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25F3F" w:rsidRDefault="00425F3F" w:rsidP="000143E0">
      <w:pPr>
        <w:spacing w:before="240" w:line="360" w:lineRule="auto"/>
        <w:jc w:val="center"/>
        <w:rPr>
          <w:rFonts w:ascii="Times New Roman" w:hAnsi="Times New Roman" w:cs="Times New Roman"/>
          <w:b/>
          <w:color w:val="0D0D0D" w:themeColor="text1" w:themeTint="F2"/>
          <w:sz w:val="32"/>
        </w:rPr>
      </w:pPr>
      <w:r>
        <w:rPr>
          <w:rFonts w:ascii="Times New Roman" w:hAnsi="Times New Roman" w:cs="Times New Roman"/>
          <w:b/>
          <w:noProof/>
          <w:color w:val="0D0D0D" w:themeColor="text1" w:themeTint="F2"/>
          <w:sz w:val="32"/>
        </w:rPr>
        <w:drawing>
          <wp:inline distT="0" distB="0" distL="0" distR="0">
            <wp:extent cx="3381375" cy="1352550"/>
            <wp:effectExtent l="0" t="0" r="9525" b="0"/>
            <wp:docPr id="312388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88367" name="Picture 312388367"/>
                    <pic:cNvPicPr/>
                  </pic:nvPicPr>
                  <pic:blipFill>
                    <a:blip r:embed="rId7">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inline>
        </w:drawing>
      </w:r>
    </w:p>
    <w:p w:rsidR="00425F3F" w:rsidRDefault="00425F3F" w:rsidP="000143E0">
      <w:pPr>
        <w:spacing w:before="240" w:line="360" w:lineRule="auto"/>
        <w:jc w:val="center"/>
        <w:rPr>
          <w:rFonts w:ascii="Times New Roman" w:hAnsi="Times New Roman" w:cs="Times New Roman"/>
          <w:b/>
          <w:color w:val="0D0D0D" w:themeColor="text1" w:themeTint="F2"/>
          <w:sz w:val="32"/>
        </w:rPr>
      </w:pPr>
    </w:p>
    <w:p w:rsidR="00AA2495" w:rsidRDefault="00AA2495" w:rsidP="000143E0">
      <w:pPr>
        <w:spacing w:before="240" w:line="360" w:lineRule="auto"/>
        <w:jc w:val="center"/>
        <w:rPr>
          <w:rFonts w:ascii="Times New Roman" w:hAnsi="Times New Roman" w:cs="Times New Roman"/>
          <w:b/>
          <w:color w:val="0D0D0D" w:themeColor="text1" w:themeTint="F2"/>
          <w:sz w:val="32"/>
        </w:rPr>
      </w:pPr>
      <w:r w:rsidRPr="003D2646">
        <w:rPr>
          <w:rFonts w:ascii="Times New Roman" w:hAnsi="Times New Roman" w:cs="Times New Roman"/>
          <w:b/>
          <w:color w:val="0D0D0D" w:themeColor="text1" w:themeTint="F2"/>
          <w:sz w:val="32"/>
        </w:rPr>
        <w:t xml:space="preserve">MBA – Master of Business Administration </w:t>
      </w:r>
    </w:p>
    <w:p w:rsidR="00425F3F" w:rsidRPr="003D2646" w:rsidRDefault="00425F3F" w:rsidP="000143E0">
      <w:pPr>
        <w:spacing w:before="240" w:line="360" w:lineRule="auto"/>
        <w:jc w:val="center"/>
        <w:rPr>
          <w:rFonts w:ascii="Times New Roman" w:hAnsi="Times New Roman" w:cs="Times New Roman"/>
          <w:b/>
          <w:color w:val="0D0D0D" w:themeColor="text1" w:themeTint="F2"/>
          <w:sz w:val="32"/>
        </w:rPr>
      </w:pPr>
      <w:r>
        <w:rPr>
          <w:rFonts w:ascii="Times New Roman" w:hAnsi="Times New Roman" w:cs="Times New Roman"/>
          <w:b/>
          <w:color w:val="0D0D0D" w:themeColor="text1" w:themeTint="F2"/>
          <w:sz w:val="32"/>
        </w:rPr>
        <w:t>Banking and Finance</w:t>
      </w:r>
    </w:p>
    <w:p w:rsidR="007A05B8" w:rsidRPr="003D2646" w:rsidRDefault="007A05B8" w:rsidP="000143E0">
      <w:pPr>
        <w:spacing w:before="240" w:line="360" w:lineRule="auto"/>
        <w:jc w:val="center"/>
        <w:rPr>
          <w:rFonts w:ascii="Times New Roman" w:hAnsi="Times New Roman" w:cs="Times New Roman"/>
          <w:b/>
          <w:i/>
          <w:color w:val="0D0D0D" w:themeColor="text1" w:themeTint="F2"/>
          <w:sz w:val="32"/>
        </w:rPr>
      </w:pPr>
      <w:r w:rsidRPr="003D2646">
        <w:rPr>
          <w:rFonts w:ascii="Times New Roman" w:hAnsi="Times New Roman" w:cs="Times New Roman"/>
          <w:b/>
          <w:i/>
          <w:color w:val="0D0D0D" w:themeColor="text1" w:themeTint="F2"/>
          <w:sz w:val="32"/>
        </w:rPr>
        <w:t xml:space="preserve">Banking Financial Management and Financial Markets </w:t>
      </w:r>
    </w:p>
    <w:p w:rsidR="00282B6B" w:rsidRPr="00425F3F" w:rsidRDefault="00282B6B" w:rsidP="000143E0">
      <w:pPr>
        <w:spacing w:before="240" w:line="360" w:lineRule="auto"/>
        <w:jc w:val="center"/>
        <w:rPr>
          <w:rFonts w:ascii="Times New Roman" w:hAnsi="Times New Roman" w:cs="Times New Roman"/>
          <w:b/>
          <w:bCs/>
          <w:color w:val="0D0D0D" w:themeColor="text1" w:themeTint="F2"/>
          <w:sz w:val="32"/>
        </w:rPr>
      </w:pPr>
      <w:r w:rsidRPr="00425F3F">
        <w:rPr>
          <w:rFonts w:ascii="Times New Roman" w:hAnsi="Times New Roman" w:cs="Times New Roman"/>
          <w:b/>
          <w:bCs/>
          <w:color w:val="0D0D0D" w:themeColor="text1" w:themeTint="F2"/>
          <w:sz w:val="32"/>
        </w:rPr>
        <w:t>HSBC PLC HOLDINGS</w:t>
      </w:r>
    </w:p>
    <w:p w:rsidR="00425F3F" w:rsidRDefault="00425F3F" w:rsidP="000143E0">
      <w:pPr>
        <w:spacing w:before="240" w:line="360" w:lineRule="auto"/>
        <w:jc w:val="center"/>
        <w:rPr>
          <w:rFonts w:ascii="Times New Roman" w:hAnsi="Times New Roman" w:cs="Times New Roman"/>
          <w:color w:val="0D0D0D" w:themeColor="text1" w:themeTint="F2"/>
          <w:sz w:val="28"/>
        </w:rPr>
      </w:pPr>
    </w:p>
    <w:p w:rsidR="00425F3F" w:rsidRDefault="00425F3F" w:rsidP="000143E0">
      <w:pPr>
        <w:spacing w:before="240" w:line="360" w:lineRule="auto"/>
        <w:jc w:val="center"/>
        <w:rPr>
          <w:rFonts w:ascii="Times New Roman" w:hAnsi="Times New Roman" w:cs="Times New Roman"/>
          <w:color w:val="0D0D0D" w:themeColor="text1" w:themeTint="F2"/>
          <w:sz w:val="28"/>
        </w:rPr>
      </w:pPr>
    </w:p>
    <w:p w:rsidR="00425F3F" w:rsidRDefault="00425F3F" w:rsidP="000143E0">
      <w:pPr>
        <w:spacing w:before="240" w:line="360" w:lineRule="auto"/>
        <w:jc w:val="center"/>
        <w:rPr>
          <w:rFonts w:ascii="Times New Roman" w:hAnsi="Times New Roman" w:cs="Times New Roman"/>
          <w:color w:val="0D0D0D" w:themeColor="text1" w:themeTint="F2"/>
          <w:sz w:val="28"/>
        </w:rPr>
      </w:pPr>
    </w:p>
    <w:p w:rsidR="00425F3F" w:rsidRDefault="00425F3F" w:rsidP="000143E0">
      <w:pPr>
        <w:spacing w:before="240" w:line="360" w:lineRule="auto"/>
        <w:jc w:val="center"/>
        <w:rPr>
          <w:rFonts w:ascii="Times New Roman" w:hAnsi="Times New Roman" w:cs="Times New Roman"/>
          <w:color w:val="0D0D0D" w:themeColor="text1" w:themeTint="F2"/>
          <w:sz w:val="28"/>
        </w:rPr>
      </w:pPr>
    </w:p>
    <w:p w:rsidR="00425F3F" w:rsidRDefault="00425F3F" w:rsidP="00425F3F">
      <w:pPr>
        <w:spacing w:before="240" w:line="360" w:lineRule="auto"/>
        <w:rPr>
          <w:rFonts w:ascii="Times New Roman" w:hAnsi="Times New Roman" w:cs="Times New Roman"/>
          <w:color w:val="0D0D0D" w:themeColor="text1" w:themeTint="F2"/>
          <w:sz w:val="28"/>
        </w:rPr>
      </w:pPr>
    </w:p>
    <w:p w:rsidR="000143E0" w:rsidRPr="003D2646" w:rsidRDefault="000143E0" w:rsidP="00425F3F">
      <w:pPr>
        <w:spacing w:before="240" w:line="360" w:lineRule="auto"/>
        <w:rPr>
          <w:rFonts w:ascii="Times New Roman" w:hAnsi="Times New Roman" w:cs="Times New Roman"/>
          <w:color w:val="0D0D0D" w:themeColor="text1" w:themeTint="F2"/>
          <w:sz w:val="28"/>
        </w:rPr>
      </w:pPr>
      <w:r w:rsidRPr="003D2646">
        <w:rPr>
          <w:rFonts w:ascii="Times New Roman" w:hAnsi="Times New Roman" w:cs="Times New Roman"/>
          <w:color w:val="0D0D0D" w:themeColor="text1" w:themeTint="F2"/>
          <w:sz w:val="28"/>
        </w:rPr>
        <w:t>Student Name:</w:t>
      </w:r>
      <w:r w:rsidR="00425F3F">
        <w:rPr>
          <w:rFonts w:ascii="Times New Roman" w:hAnsi="Times New Roman" w:cs="Times New Roman"/>
          <w:color w:val="0D0D0D" w:themeColor="text1" w:themeTint="F2"/>
          <w:sz w:val="28"/>
        </w:rPr>
        <w:t xml:space="preserve"> Priyanka </w:t>
      </w:r>
      <w:proofErr w:type="spellStart"/>
      <w:r w:rsidR="00425F3F">
        <w:rPr>
          <w:rFonts w:ascii="Times New Roman" w:hAnsi="Times New Roman" w:cs="Times New Roman"/>
          <w:color w:val="0D0D0D" w:themeColor="text1" w:themeTint="F2"/>
          <w:sz w:val="28"/>
        </w:rPr>
        <w:t>Myadari</w:t>
      </w:r>
      <w:proofErr w:type="spellEnd"/>
      <w:r w:rsidR="00425F3F">
        <w:rPr>
          <w:rFonts w:ascii="Times New Roman" w:hAnsi="Times New Roman" w:cs="Times New Roman"/>
          <w:color w:val="0D0D0D" w:themeColor="text1" w:themeTint="F2"/>
          <w:sz w:val="28"/>
        </w:rPr>
        <w:t xml:space="preserve"> </w:t>
      </w:r>
    </w:p>
    <w:p w:rsidR="00425F3F" w:rsidRDefault="000143E0" w:rsidP="00425F3F">
      <w:pPr>
        <w:spacing w:before="240" w:line="360" w:lineRule="auto"/>
        <w:rPr>
          <w:rFonts w:ascii="Times New Roman" w:hAnsi="Times New Roman" w:cs="Times New Roman"/>
          <w:color w:val="0D0D0D" w:themeColor="text1" w:themeTint="F2"/>
          <w:sz w:val="28"/>
        </w:rPr>
      </w:pPr>
      <w:r w:rsidRPr="003D2646">
        <w:rPr>
          <w:rFonts w:ascii="Times New Roman" w:hAnsi="Times New Roman" w:cs="Times New Roman"/>
          <w:color w:val="0D0D0D" w:themeColor="text1" w:themeTint="F2"/>
          <w:sz w:val="28"/>
        </w:rPr>
        <w:t>Student ID:</w:t>
      </w:r>
      <w:r w:rsidR="00425F3F">
        <w:rPr>
          <w:rFonts w:ascii="Times New Roman" w:hAnsi="Times New Roman" w:cs="Times New Roman"/>
          <w:color w:val="0D0D0D" w:themeColor="text1" w:themeTint="F2"/>
          <w:sz w:val="28"/>
        </w:rPr>
        <w:t xml:space="preserve"> 2223911</w:t>
      </w:r>
    </w:p>
    <w:p w:rsidR="005569B3" w:rsidRPr="003D2646" w:rsidRDefault="00425F3F" w:rsidP="00425F3F">
      <w:pPr>
        <w:spacing w:before="240" w:line="360" w:lineRule="auto"/>
        <w:rPr>
          <w:rFonts w:ascii="Times New Roman" w:hAnsi="Times New Roman" w:cs="Times New Roman"/>
          <w:color w:val="0D0D0D" w:themeColor="text1" w:themeTint="F2"/>
          <w:sz w:val="24"/>
        </w:rPr>
      </w:pPr>
      <w:r>
        <w:rPr>
          <w:rFonts w:ascii="Times New Roman" w:hAnsi="Times New Roman" w:cs="Times New Roman"/>
          <w:color w:val="0D0D0D" w:themeColor="text1" w:themeTint="F2"/>
          <w:sz w:val="28"/>
        </w:rPr>
        <w:t>Word count: 5000</w:t>
      </w:r>
      <w:r w:rsidR="005569B3" w:rsidRPr="003D2646">
        <w:rPr>
          <w:rFonts w:ascii="Times New Roman" w:hAnsi="Times New Roman" w:cs="Times New Roman"/>
          <w:color w:val="0D0D0D" w:themeColor="text1" w:themeTint="F2"/>
          <w:sz w:val="24"/>
        </w:rPr>
        <w:br w:type="page"/>
      </w:r>
    </w:p>
    <w:sdt>
      <w:sdtPr>
        <w:rPr>
          <w:rFonts w:asciiTheme="minorHAnsi" w:eastAsiaTheme="minorHAnsi" w:hAnsiTheme="minorHAnsi" w:cstheme="minorBidi"/>
          <w:b w:val="0"/>
          <w:color w:val="0D0D0D" w:themeColor="text1" w:themeTint="F2"/>
          <w:sz w:val="22"/>
          <w:szCs w:val="22"/>
        </w:rPr>
        <w:id w:val="1785766614"/>
        <w:docPartObj>
          <w:docPartGallery w:val="Table of Contents"/>
          <w:docPartUnique/>
        </w:docPartObj>
      </w:sdtPr>
      <w:sdtEndPr>
        <w:rPr>
          <w:rFonts w:ascii="Times New Roman" w:hAnsi="Times New Roman" w:cs="Times New Roman"/>
          <w:bCs/>
          <w:noProof/>
          <w:sz w:val="24"/>
          <w:szCs w:val="24"/>
        </w:rPr>
      </w:sdtEndPr>
      <w:sdtContent>
        <w:p w:rsidR="005569B3" w:rsidRPr="003D2646" w:rsidRDefault="005569B3" w:rsidP="0065494F">
          <w:pPr>
            <w:pStyle w:val="TOCHeading"/>
            <w:jc w:val="center"/>
            <w:rPr>
              <w:color w:val="0D0D0D" w:themeColor="text1" w:themeTint="F2"/>
            </w:rPr>
          </w:pPr>
          <w:r w:rsidRPr="003D2646">
            <w:rPr>
              <w:color w:val="0D0D0D" w:themeColor="text1" w:themeTint="F2"/>
            </w:rPr>
            <w:t>Table of Contents</w:t>
          </w:r>
        </w:p>
        <w:p w:rsidR="003D2646" w:rsidRPr="003D2646" w:rsidRDefault="005569B3" w:rsidP="003D2646">
          <w:pPr>
            <w:pStyle w:val="TOC1"/>
            <w:tabs>
              <w:tab w:val="right" w:leader="dot" w:pos="9350"/>
            </w:tabs>
            <w:spacing w:before="240" w:line="360" w:lineRule="auto"/>
            <w:jc w:val="both"/>
            <w:rPr>
              <w:rFonts w:ascii="Times New Roman" w:eastAsiaTheme="minorEastAsia" w:hAnsi="Times New Roman" w:cs="Times New Roman"/>
              <w:noProof/>
              <w:color w:val="0D0D0D" w:themeColor="text1" w:themeTint="F2"/>
              <w:sz w:val="24"/>
              <w:szCs w:val="30"/>
              <w:lang w:val="en-US" w:bidi="bn-IN"/>
            </w:rPr>
          </w:pPr>
          <w:r w:rsidRPr="003D2646">
            <w:rPr>
              <w:rFonts w:ascii="Times New Roman" w:hAnsi="Times New Roman" w:cs="Times New Roman"/>
              <w:color w:val="0D0D0D" w:themeColor="text1" w:themeTint="F2"/>
              <w:sz w:val="24"/>
              <w:szCs w:val="24"/>
            </w:rPr>
            <w:fldChar w:fldCharType="begin"/>
          </w:r>
          <w:r w:rsidRPr="003D2646">
            <w:rPr>
              <w:rFonts w:ascii="Times New Roman" w:hAnsi="Times New Roman" w:cs="Times New Roman"/>
              <w:color w:val="0D0D0D" w:themeColor="text1" w:themeTint="F2"/>
              <w:sz w:val="24"/>
              <w:szCs w:val="24"/>
            </w:rPr>
            <w:instrText xml:space="preserve"> TOC \o "1-3" \h \z \u </w:instrText>
          </w:r>
          <w:r w:rsidRPr="003D2646">
            <w:rPr>
              <w:rFonts w:ascii="Times New Roman" w:hAnsi="Times New Roman" w:cs="Times New Roman"/>
              <w:color w:val="0D0D0D" w:themeColor="text1" w:themeTint="F2"/>
              <w:sz w:val="24"/>
              <w:szCs w:val="24"/>
            </w:rPr>
            <w:fldChar w:fldCharType="separate"/>
          </w:r>
          <w:hyperlink w:anchor="_Toc143240015" w:history="1">
            <w:r w:rsidR="003D2646" w:rsidRPr="003D2646">
              <w:rPr>
                <w:rStyle w:val="Hyperlink"/>
                <w:rFonts w:ascii="Times New Roman" w:eastAsia="Times New Roman" w:hAnsi="Times New Roman" w:cs="Times New Roman"/>
                <w:noProof/>
                <w:color w:val="0D0D0D" w:themeColor="text1" w:themeTint="F2"/>
                <w:sz w:val="24"/>
                <w:szCs w:val="24"/>
              </w:rPr>
              <w:t>Introduction:</w:t>
            </w:r>
            <w:r w:rsidR="003D2646" w:rsidRPr="003D2646">
              <w:rPr>
                <w:rFonts w:ascii="Times New Roman" w:hAnsi="Times New Roman" w:cs="Times New Roman"/>
                <w:noProof/>
                <w:webHidden/>
                <w:color w:val="0D0D0D" w:themeColor="text1" w:themeTint="F2"/>
                <w:sz w:val="24"/>
                <w:szCs w:val="24"/>
              </w:rPr>
              <w:tab/>
            </w:r>
            <w:r w:rsidR="003D2646" w:rsidRPr="003D2646">
              <w:rPr>
                <w:rFonts w:ascii="Times New Roman" w:hAnsi="Times New Roman" w:cs="Times New Roman"/>
                <w:noProof/>
                <w:webHidden/>
                <w:color w:val="0D0D0D" w:themeColor="text1" w:themeTint="F2"/>
                <w:sz w:val="24"/>
                <w:szCs w:val="24"/>
              </w:rPr>
              <w:fldChar w:fldCharType="begin"/>
            </w:r>
            <w:r w:rsidR="003D2646" w:rsidRPr="003D2646">
              <w:rPr>
                <w:rFonts w:ascii="Times New Roman" w:hAnsi="Times New Roman" w:cs="Times New Roman"/>
                <w:noProof/>
                <w:webHidden/>
                <w:color w:val="0D0D0D" w:themeColor="text1" w:themeTint="F2"/>
                <w:sz w:val="24"/>
                <w:szCs w:val="24"/>
              </w:rPr>
              <w:instrText xml:space="preserve"> PAGEREF _Toc143240015 \h </w:instrText>
            </w:r>
            <w:r w:rsidR="003D2646" w:rsidRPr="003D2646">
              <w:rPr>
                <w:rFonts w:ascii="Times New Roman" w:hAnsi="Times New Roman" w:cs="Times New Roman"/>
                <w:noProof/>
                <w:webHidden/>
                <w:color w:val="0D0D0D" w:themeColor="text1" w:themeTint="F2"/>
                <w:sz w:val="24"/>
                <w:szCs w:val="24"/>
              </w:rPr>
            </w:r>
            <w:r w:rsidR="003D2646" w:rsidRPr="003D2646">
              <w:rPr>
                <w:rFonts w:ascii="Times New Roman" w:hAnsi="Times New Roman" w:cs="Times New Roman"/>
                <w:noProof/>
                <w:webHidden/>
                <w:color w:val="0D0D0D" w:themeColor="text1" w:themeTint="F2"/>
                <w:sz w:val="24"/>
                <w:szCs w:val="24"/>
              </w:rPr>
              <w:fldChar w:fldCharType="separate"/>
            </w:r>
            <w:r w:rsidR="003D2646" w:rsidRPr="003D2646">
              <w:rPr>
                <w:rFonts w:ascii="Times New Roman" w:hAnsi="Times New Roman" w:cs="Times New Roman"/>
                <w:noProof/>
                <w:webHidden/>
                <w:color w:val="0D0D0D" w:themeColor="text1" w:themeTint="F2"/>
                <w:sz w:val="24"/>
                <w:szCs w:val="24"/>
              </w:rPr>
              <w:t>2</w:t>
            </w:r>
            <w:r w:rsidR="003D2646" w:rsidRPr="003D2646">
              <w:rPr>
                <w:rFonts w:ascii="Times New Roman" w:hAnsi="Times New Roman" w:cs="Times New Roman"/>
                <w:noProof/>
                <w:webHidden/>
                <w:color w:val="0D0D0D" w:themeColor="text1" w:themeTint="F2"/>
                <w:sz w:val="24"/>
                <w:szCs w:val="24"/>
              </w:rPr>
              <w:fldChar w:fldCharType="end"/>
            </w:r>
          </w:hyperlink>
        </w:p>
        <w:p w:rsidR="003D2646" w:rsidRPr="003D2646" w:rsidRDefault="00000000" w:rsidP="003D2646">
          <w:pPr>
            <w:pStyle w:val="TOC1"/>
            <w:tabs>
              <w:tab w:val="right" w:leader="dot" w:pos="9350"/>
            </w:tabs>
            <w:spacing w:before="240" w:line="360" w:lineRule="auto"/>
            <w:jc w:val="both"/>
            <w:rPr>
              <w:rFonts w:ascii="Times New Roman" w:eastAsiaTheme="minorEastAsia" w:hAnsi="Times New Roman" w:cs="Times New Roman"/>
              <w:noProof/>
              <w:color w:val="0D0D0D" w:themeColor="text1" w:themeTint="F2"/>
              <w:sz w:val="24"/>
              <w:szCs w:val="30"/>
              <w:lang w:val="en-US" w:bidi="bn-IN"/>
            </w:rPr>
          </w:pPr>
          <w:hyperlink w:anchor="_Toc143240016" w:history="1">
            <w:r w:rsidR="003D2646" w:rsidRPr="003D2646">
              <w:rPr>
                <w:rStyle w:val="Hyperlink"/>
                <w:rFonts w:ascii="Times New Roman" w:eastAsia="Times New Roman" w:hAnsi="Times New Roman" w:cs="Times New Roman"/>
                <w:noProof/>
                <w:color w:val="0D0D0D" w:themeColor="text1" w:themeTint="F2"/>
                <w:sz w:val="24"/>
                <w:szCs w:val="24"/>
              </w:rPr>
              <w:t>Key Reforms Enacted by EU Authorities:</w:t>
            </w:r>
            <w:r w:rsidR="003D2646" w:rsidRPr="003D2646">
              <w:rPr>
                <w:rFonts w:ascii="Times New Roman" w:hAnsi="Times New Roman" w:cs="Times New Roman"/>
                <w:noProof/>
                <w:webHidden/>
                <w:color w:val="0D0D0D" w:themeColor="text1" w:themeTint="F2"/>
                <w:sz w:val="24"/>
                <w:szCs w:val="24"/>
              </w:rPr>
              <w:tab/>
            </w:r>
            <w:r w:rsidR="003D2646" w:rsidRPr="003D2646">
              <w:rPr>
                <w:rFonts w:ascii="Times New Roman" w:hAnsi="Times New Roman" w:cs="Times New Roman"/>
                <w:noProof/>
                <w:webHidden/>
                <w:color w:val="0D0D0D" w:themeColor="text1" w:themeTint="F2"/>
                <w:sz w:val="24"/>
                <w:szCs w:val="24"/>
              </w:rPr>
              <w:fldChar w:fldCharType="begin"/>
            </w:r>
            <w:r w:rsidR="003D2646" w:rsidRPr="003D2646">
              <w:rPr>
                <w:rFonts w:ascii="Times New Roman" w:hAnsi="Times New Roman" w:cs="Times New Roman"/>
                <w:noProof/>
                <w:webHidden/>
                <w:color w:val="0D0D0D" w:themeColor="text1" w:themeTint="F2"/>
                <w:sz w:val="24"/>
                <w:szCs w:val="24"/>
              </w:rPr>
              <w:instrText xml:space="preserve"> PAGEREF _Toc143240016 \h </w:instrText>
            </w:r>
            <w:r w:rsidR="003D2646" w:rsidRPr="003D2646">
              <w:rPr>
                <w:rFonts w:ascii="Times New Roman" w:hAnsi="Times New Roman" w:cs="Times New Roman"/>
                <w:noProof/>
                <w:webHidden/>
                <w:color w:val="0D0D0D" w:themeColor="text1" w:themeTint="F2"/>
                <w:sz w:val="24"/>
                <w:szCs w:val="24"/>
              </w:rPr>
            </w:r>
            <w:r w:rsidR="003D2646" w:rsidRPr="003D2646">
              <w:rPr>
                <w:rFonts w:ascii="Times New Roman" w:hAnsi="Times New Roman" w:cs="Times New Roman"/>
                <w:noProof/>
                <w:webHidden/>
                <w:color w:val="0D0D0D" w:themeColor="text1" w:themeTint="F2"/>
                <w:sz w:val="24"/>
                <w:szCs w:val="24"/>
              </w:rPr>
              <w:fldChar w:fldCharType="separate"/>
            </w:r>
            <w:r w:rsidR="003D2646" w:rsidRPr="003D2646">
              <w:rPr>
                <w:rFonts w:ascii="Times New Roman" w:hAnsi="Times New Roman" w:cs="Times New Roman"/>
                <w:noProof/>
                <w:webHidden/>
                <w:color w:val="0D0D0D" w:themeColor="text1" w:themeTint="F2"/>
                <w:sz w:val="24"/>
                <w:szCs w:val="24"/>
              </w:rPr>
              <w:t>3</w:t>
            </w:r>
            <w:r w:rsidR="003D2646" w:rsidRPr="003D2646">
              <w:rPr>
                <w:rFonts w:ascii="Times New Roman" w:hAnsi="Times New Roman" w:cs="Times New Roman"/>
                <w:noProof/>
                <w:webHidden/>
                <w:color w:val="0D0D0D" w:themeColor="text1" w:themeTint="F2"/>
                <w:sz w:val="24"/>
                <w:szCs w:val="24"/>
              </w:rPr>
              <w:fldChar w:fldCharType="end"/>
            </w:r>
          </w:hyperlink>
        </w:p>
        <w:p w:rsidR="003D2646" w:rsidRPr="003D2646" w:rsidRDefault="00000000" w:rsidP="003D2646">
          <w:pPr>
            <w:pStyle w:val="TOC1"/>
            <w:tabs>
              <w:tab w:val="right" w:leader="dot" w:pos="9350"/>
            </w:tabs>
            <w:spacing w:before="240" w:line="360" w:lineRule="auto"/>
            <w:jc w:val="both"/>
            <w:rPr>
              <w:rFonts w:ascii="Times New Roman" w:eastAsiaTheme="minorEastAsia" w:hAnsi="Times New Roman" w:cs="Times New Roman"/>
              <w:noProof/>
              <w:color w:val="0D0D0D" w:themeColor="text1" w:themeTint="F2"/>
              <w:sz w:val="24"/>
              <w:szCs w:val="30"/>
              <w:lang w:val="en-US" w:bidi="bn-IN"/>
            </w:rPr>
          </w:pPr>
          <w:hyperlink w:anchor="_Toc143240017" w:history="1">
            <w:r w:rsidR="003D2646" w:rsidRPr="003D2646">
              <w:rPr>
                <w:rStyle w:val="Hyperlink"/>
                <w:rFonts w:ascii="Times New Roman" w:eastAsia="Times New Roman" w:hAnsi="Times New Roman" w:cs="Times New Roman"/>
                <w:noProof/>
                <w:color w:val="0D0D0D" w:themeColor="text1" w:themeTint="F2"/>
                <w:sz w:val="24"/>
                <w:szCs w:val="24"/>
              </w:rPr>
              <w:t>Key Reforms Enacted by Global Players:</w:t>
            </w:r>
            <w:r w:rsidR="003D2646" w:rsidRPr="003D2646">
              <w:rPr>
                <w:rFonts w:ascii="Times New Roman" w:hAnsi="Times New Roman" w:cs="Times New Roman"/>
                <w:noProof/>
                <w:webHidden/>
                <w:color w:val="0D0D0D" w:themeColor="text1" w:themeTint="F2"/>
                <w:sz w:val="24"/>
                <w:szCs w:val="24"/>
              </w:rPr>
              <w:tab/>
            </w:r>
            <w:r w:rsidR="003D2646" w:rsidRPr="003D2646">
              <w:rPr>
                <w:rFonts w:ascii="Times New Roman" w:hAnsi="Times New Roman" w:cs="Times New Roman"/>
                <w:noProof/>
                <w:webHidden/>
                <w:color w:val="0D0D0D" w:themeColor="text1" w:themeTint="F2"/>
                <w:sz w:val="24"/>
                <w:szCs w:val="24"/>
              </w:rPr>
              <w:fldChar w:fldCharType="begin"/>
            </w:r>
            <w:r w:rsidR="003D2646" w:rsidRPr="003D2646">
              <w:rPr>
                <w:rFonts w:ascii="Times New Roman" w:hAnsi="Times New Roman" w:cs="Times New Roman"/>
                <w:noProof/>
                <w:webHidden/>
                <w:color w:val="0D0D0D" w:themeColor="text1" w:themeTint="F2"/>
                <w:sz w:val="24"/>
                <w:szCs w:val="24"/>
              </w:rPr>
              <w:instrText xml:space="preserve"> PAGEREF _Toc143240017 \h </w:instrText>
            </w:r>
            <w:r w:rsidR="003D2646" w:rsidRPr="003D2646">
              <w:rPr>
                <w:rFonts w:ascii="Times New Roman" w:hAnsi="Times New Roman" w:cs="Times New Roman"/>
                <w:noProof/>
                <w:webHidden/>
                <w:color w:val="0D0D0D" w:themeColor="text1" w:themeTint="F2"/>
                <w:sz w:val="24"/>
                <w:szCs w:val="24"/>
              </w:rPr>
            </w:r>
            <w:r w:rsidR="003D2646" w:rsidRPr="003D2646">
              <w:rPr>
                <w:rFonts w:ascii="Times New Roman" w:hAnsi="Times New Roman" w:cs="Times New Roman"/>
                <w:noProof/>
                <w:webHidden/>
                <w:color w:val="0D0D0D" w:themeColor="text1" w:themeTint="F2"/>
                <w:sz w:val="24"/>
                <w:szCs w:val="24"/>
              </w:rPr>
              <w:fldChar w:fldCharType="separate"/>
            </w:r>
            <w:r w:rsidR="003D2646" w:rsidRPr="003D2646">
              <w:rPr>
                <w:rFonts w:ascii="Times New Roman" w:hAnsi="Times New Roman" w:cs="Times New Roman"/>
                <w:noProof/>
                <w:webHidden/>
                <w:color w:val="0D0D0D" w:themeColor="text1" w:themeTint="F2"/>
                <w:sz w:val="24"/>
                <w:szCs w:val="24"/>
              </w:rPr>
              <w:t>6</w:t>
            </w:r>
            <w:r w:rsidR="003D2646" w:rsidRPr="003D2646">
              <w:rPr>
                <w:rFonts w:ascii="Times New Roman" w:hAnsi="Times New Roman" w:cs="Times New Roman"/>
                <w:noProof/>
                <w:webHidden/>
                <w:color w:val="0D0D0D" w:themeColor="text1" w:themeTint="F2"/>
                <w:sz w:val="24"/>
                <w:szCs w:val="24"/>
              </w:rPr>
              <w:fldChar w:fldCharType="end"/>
            </w:r>
          </w:hyperlink>
        </w:p>
        <w:p w:rsidR="003D2646" w:rsidRPr="003D2646" w:rsidRDefault="00000000" w:rsidP="003D2646">
          <w:pPr>
            <w:pStyle w:val="TOC1"/>
            <w:tabs>
              <w:tab w:val="right" w:leader="dot" w:pos="9350"/>
            </w:tabs>
            <w:spacing w:before="240" w:line="360" w:lineRule="auto"/>
            <w:jc w:val="both"/>
            <w:rPr>
              <w:rFonts w:ascii="Times New Roman" w:eastAsiaTheme="minorEastAsia" w:hAnsi="Times New Roman" w:cs="Times New Roman"/>
              <w:noProof/>
              <w:color w:val="0D0D0D" w:themeColor="text1" w:themeTint="F2"/>
              <w:sz w:val="24"/>
              <w:szCs w:val="30"/>
              <w:lang w:val="en-US" w:bidi="bn-IN"/>
            </w:rPr>
          </w:pPr>
          <w:hyperlink w:anchor="_Toc143240018" w:history="1">
            <w:r w:rsidR="003D2646" w:rsidRPr="003D2646">
              <w:rPr>
                <w:rStyle w:val="Hyperlink"/>
                <w:rFonts w:ascii="Times New Roman" w:eastAsia="Times New Roman" w:hAnsi="Times New Roman" w:cs="Times New Roman"/>
                <w:noProof/>
                <w:color w:val="0D0D0D" w:themeColor="text1" w:themeTint="F2"/>
                <w:sz w:val="24"/>
                <w:szCs w:val="24"/>
              </w:rPr>
              <w:t>Critical Review of Reform Impact:</w:t>
            </w:r>
            <w:r w:rsidR="003D2646" w:rsidRPr="003D2646">
              <w:rPr>
                <w:rFonts w:ascii="Times New Roman" w:hAnsi="Times New Roman" w:cs="Times New Roman"/>
                <w:noProof/>
                <w:webHidden/>
                <w:color w:val="0D0D0D" w:themeColor="text1" w:themeTint="F2"/>
                <w:sz w:val="24"/>
                <w:szCs w:val="24"/>
              </w:rPr>
              <w:tab/>
            </w:r>
            <w:r w:rsidR="003D2646" w:rsidRPr="003D2646">
              <w:rPr>
                <w:rFonts w:ascii="Times New Roman" w:hAnsi="Times New Roman" w:cs="Times New Roman"/>
                <w:noProof/>
                <w:webHidden/>
                <w:color w:val="0D0D0D" w:themeColor="text1" w:themeTint="F2"/>
                <w:sz w:val="24"/>
                <w:szCs w:val="24"/>
              </w:rPr>
              <w:fldChar w:fldCharType="begin"/>
            </w:r>
            <w:r w:rsidR="003D2646" w:rsidRPr="003D2646">
              <w:rPr>
                <w:rFonts w:ascii="Times New Roman" w:hAnsi="Times New Roman" w:cs="Times New Roman"/>
                <w:noProof/>
                <w:webHidden/>
                <w:color w:val="0D0D0D" w:themeColor="text1" w:themeTint="F2"/>
                <w:sz w:val="24"/>
                <w:szCs w:val="24"/>
              </w:rPr>
              <w:instrText xml:space="preserve"> PAGEREF _Toc143240018 \h </w:instrText>
            </w:r>
            <w:r w:rsidR="003D2646" w:rsidRPr="003D2646">
              <w:rPr>
                <w:rFonts w:ascii="Times New Roman" w:hAnsi="Times New Roman" w:cs="Times New Roman"/>
                <w:noProof/>
                <w:webHidden/>
                <w:color w:val="0D0D0D" w:themeColor="text1" w:themeTint="F2"/>
                <w:sz w:val="24"/>
                <w:szCs w:val="24"/>
              </w:rPr>
            </w:r>
            <w:r w:rsidR="003D2646" w:rsidRPr="003D2646">
              <w:rPr>
                <w:rFonts w:ascii="Times New Roman" w:hAnsi="Times New Roman" w:cs="Times New Roman"/>
                <w:noProof/>
                <w:webHidden/>
                <w:color w:val="0D0D0D" w:themeColor="text1" w:themeTint="F2"/>
                <w:sz w:val="24"/>
                <w:szCs w:val="24"/>
              </w:rPr>
              <w:fldChar w:fldCharType="separate"/>
            </w:r>
            <w:r w:rsidR="003D2646" w:rsidRPr="003D2646">
              <w:rPr>
                <w:rFonts w:ascii="Times New Roman" w:hAnsi="Times New Roman" w:cs="Times New Roman"/>
                <w:noProof/>
                <w:webHidden/>
                <w:color w:val="0D0D0D" w:themeColor="text1" w:themeTint="F2"/>
                <w:sz w:val="24"/>
                <w:szCs w:val="24"/>
              </w:rPr>
              <w:t>8</w:t>
            </w:r>
            <w:r w:rsidR="003D2646" w:rsidRPr="003D2646">
              <w:rPr>
                <w:rFonts w:ascii="Times New Roman" w:hAnsi="Times New Roman" w:cs="Times New Roman"/>
                <w:noProof/>
                <w:webHidden/>
                <w:color w:val="0D0D0D" w:themeColor="text1" w:themeTint="F2"/>
                <w:sz w:val="24"/>
                <w:szCs w:val="24"/>
              </w:rPr>
              <w:fldChar w:fldCharType="end"/>
            </w:r>
          </w:hyperlink>
        </w:p>
        <w:p w:rsidR="003D2646" w:rsidRPr="003D2646" w:rsidRDefault="00000000" w:rsidP="003D2646">
          <w:pPr>
            <w:pStyle w:val="TOC1"/>
            <w:tabs>
              <w:tab w:val="right" w:leader="dot" w:pos="9350"/>
            </w:tabs>
            <w:spacing w:before="240" w:line="360" w:lineRule="auto"/>
            <w:jc w:val="both"/>
            <w:rPr>
              <w:rFonts w:ascii="Times New Roman" w:eastAsiaTheme="minorEastAsia" w:hAnsi="Times New Roman" w:cs="Times New Roman"/>
              <w:noProof/>
              <w:color w:val="0D0D0D" w:themeColor="text1" w:themeTint="F2"/>
              <w:sz w:val="24"/>
              <w:szCs w:val="30"/>
              <w:lang w:val="en-US" w:bidi="bn-IN"/>
            </w:rPr>
          </w:pPr>
          <w:hyperlink w:anchor="_Toc143240019" w:history="1">
            <w:r w:rsidR="003D2646" w:rsidRPr="003D2646">
              <w:rPr>
                <w:rStyle w:val="Hyperlink"/>
                <w:rFonts w:ascii="Times New Roman" w:eastAsia="Times New Roman" w:hAnsi="Times New Roman" w:cs="Times New Roman"/>
                <w:noProof/>
                <w:color w:val="0D0D0D" w:themeColor="text1" w:themeTint="F2"/>
                <w:sz w:val="24"/>
                <w:szCs w:val="24"/>
              </w:rPr>
              <w:t>HSBC Holdings plc and Reform Impact:</w:t>
            </w:r>
            <w:r w:rsidR="003D2646" w:rsidRPr="003D2646">
              <w:rPr>
                <w:rFonts w:ascii="Times New Roman" w:hAnsi="Times New Roman" w:cs="Times New Roman"/>
                <w:noProof/>
                <w:webHidden/>
                <w:color w:val="0D0D0D" w:themeColor="text1" w:themeTint="F2"/>
                <w:sz w:val="24"/>
                <w:szCs w:val="24"/>
              </w:rPr>
              <w:tab/>
            </w:r>
            <w:r w:rsidR="003D2646" w:rsidRPr="003D2646">
              <w:rPr>
                <w:rFonts w:ascii="Times New Roman" w:hAnsi="Times New Roman" w:cs="Times New Roman"/>
                <w:noProof/>
                <w:webHidden/>
                <w:color w:val="0D0D0D" w:themeColor="text1" w:themeTint="F2"/>
                <w:sz w:val="24"/>
                <w:szCs w:val="24"/>
              </w:rPr>
              <w:fldChar w:fldCharType="begin"/>
            </w:r>
            <w:r w:rsidR="003D2646" w:rsidRPr="003D2646">
              <w:rPr>
                <w:rFonts w:ascii="Times New Roman" w:hAnsi="Times New Roman" w:cs="Times New Roman"/>
                <w:noProof/>
                <w:webHidden/>
                <w:color w:val="0D0D0D" w:themeColor="text1" w:themeTint="F2"/>
                <w:sz w:val="24"/>
                <w:szCs w:val="24"/>
              </w:rPr>
              <w:instrText xml:space="preserve"> PAGEREF _Toc143240019 \h </w:instrText>
            </w:r>
            <w:r w:rsidR="003D2646" w:rsidRPr="003D2646">
              <w:rPr>
                <w:rFonts w:ascii="Times New Roman" w:hAnsi="Times New Roman" w:cs="Times New Roman"/>
                <w:noProof/>
                <w:webHidden/>
                <w:color w:val="0D0D0D" w:themeColor="text1" w:themeTint="F2"/>
                <w:sz w:val="24"/>
                <w:szCs w:val="24"/>
              </w:rPr>
            </w:r>
            <w:r w:rsidR="003D2646" w:rsidRPr="003D2646">
              <w:rPr>
                <w:rFonts w:ascii="Times New Roman" w:hAnsi="Times New Roman" w:cs="Times New Roman"/>
                <w:noProof/>
                <w:webHidden/>
                <w:color w:val="0D0D0D" w:themeColor="text1" w:themeTint="F2"/>
                <w:sz w:val="24"/>
                <w:szCs w:val="24"/>
              </w:rPr>
              <w:fldChar w:fldCharType="separate"/>
            </w:r>
            <w:r w:rsidR="003D2646" w:rsidRPr="003D2646">
              <w:rPr>
                <w:rFonts w:ascii="Times New Roman" w:hAnsi="Times New Roman" w:cs="Times New Roman"/>
                <w:noProof/>
                <w:webHidden/>
                <w:color w:val="0D0D0D" w:themeColor="text1" w:themeTint="F2"/>
                <w:sz w:val="24"/>
                <w:szCs w:val="24"/>
              </w:rPr>
              <w:t>12</w:t>
            </w:r>
            <w:r w:rsidR="003D2646" w:rsidRPr="003D2646">
              <w:rPr>
                <w:rFonts w:ascii="Times New Roman" w:hAnsi="Times New Roman" w:cs="Times New Roman"/>
                <w:noProof/>
                <w:webHidden/>
                <w:color w:val="0D0D0D" w:themeColor="text1" w:themeTint="F2"/>
                <w:sz w:val="24"/>
                <w:szCs w:val="24"/>
              </w:rPr>
              <w:fldChar w:fldCharType="end"/>
            </w:r>
          </w:hyperlink>
        </w:p>
        <w:p w:rsidR="003D2646" w:rsidRPr="003D2646" w:rsidRDefault="00000000" w:rsidP="003D2646">
          <w:pPr>
            <w:pStyle w:val="TOC1"/>
            <w:tabs>
              <w:tab w:val="right" w:leader="dot" w:pos="9350"/>
            </w:tabs>
            <w:spacing w:before="240" w:line="360" w:lineRule="auto"/>
            <w:jc w:val="both"/>
            <w:rPr>
              <w:rFonts w:ascii="Times New Roman" w:eastAsiaTheme="minorEastAsia" w:hAnsi="Times New Roman" w:cs="Times New Roman"/>
              <w:noProof/>
              <w:color w:val="0D0D0D" w:themeColor="text1" w:themeTint="F2"/>
              <w:sz w:val="24"/>
              <w:szCs w:val="30"/>
              <w:lang w:val="en-US" w:bidi="bn-IN"/>
            </w:rPr>
          </w:pPr>
          <w:hyperlink w:anchor="_Toc143240020" w:history="1">
            <w:r w:rsidR="003D2646" w:rsidRPr="003D2646">
              <w:rPr>
                <w:rStyle w:val="Hyperlink"/>
                <w:rFonts w:ascii="Times New Roman" w:eastAsia="Times New Roman" w:hAnsi="Times New Roman" w:cs="Times New Roman"/>
                <w:noProof/>
                <w:color w:val="0D0D0D" w:themeColor="text1" w:themeTint="F2"/>
                <w:sz w:val="24"/>
                <w:szCs w:val="24"/>
              </w:rPr>
              <w:t>Structural Adjustments for HSBC Holdings plc:</w:t>
            </w:r>
            <w:r w:rsidR="003D2646" w:rsidRPr="003D2646">
              <w:rPr>
                <w:rFonts w:ascii="Times New Roman" w:hAnsi="Times New Roman" w:cs="Times New Roman"/>
                <w:noProof/>
                <w:webHidden/>
                <w:color w:val="0D0D0D" w:themeColor="text1" w:themeTint="F2"/>
                <w:sz w:val="24"/>
                <w:szCs w:val="24"/>
              </w:rPr>
              <w:tab/>
            </w:r>
            <w:r w:rsidR="003D2646" w:rsidRPr="003D2646">
              <w:rPr>
                <w:rFonts w:ascii="Times New Roman" w:hAnsi="Times New Roman" w:cs="Times New Roman"/>
                <w:noProof/>
                <w:webHidden/>
                <w:color w:val="0D0D0D" w:themeColor="text1" w:themeTint="F2"/>
                <w:sz w:val="24"/>
                <w:szCs w:val="24"/>
              </w:rPr>
              <w:fldChar w:fldCharType="begin"/>
            </w:r>
            <w:r w:rsidR="003D2646" w:rsidRPr="003D2646">
              <w:rPr>
                <w:rFonts w:ascii="Times New Roman" w:hAnsi="Times New Roman" w:cs="Times New Roman"/>
                <w:noProof/>
                <w:webHidden/>
                <w:color w:val="0D0D0D" w:themeColor="text1" w:themeTint="F2"/>
                <w:sz w:val="24"/>
                <w:szCs w:val="24"/>
              </w:rPr>
              <w:instrText xml:space="preserve"> PAGEREF _Toc143240020 \h </w:instrText>
            </w:r>
            <w:r w:rsidR="003D2646" w:rsidRPr="003D2646">
              <w:rPr>
                <w:rFonts w:ascii="Times New Roman" w:hAnsi="Times New Roman" w:cs="Times New Roman"/>
                <w:noProof/>
                <w:webHidden/>
                <w:color w:val="0D0D0D" w:themeColor="text1" w:themeTint="F2"/>
                <w:sz w:val="24"/>
                <w:szCs w:val="24"/>
              </w:rPr>
            </w:r>
            <w:r w:rsidR="003D2646" w:rsidRPr="003D2646">
              <w:rPr>
                <w:rFonts w:ascii="Times New Roman" w:hAnsi="Times New Roman" w:cs="Times New Roman"/>
                <w:noProof/>
                <w:webHidden/>
                <w:color w:val="0D0D0D" w:themeColor="text1" w:themeTint="F2"/>
                <w:sz w:val="24"/>
                <w:szCs w:val="24"/>
              </w:rPr>
              <w:fldChar w:fldCharType="separate"/>
            </w:r>
            <w:r w:rsidR="003D2646" w:rsidRPr="003D2646">
              <w:rPr>
                <w:rFonts w:ascii="Times New Roman" w:hAnsi="Times New Roman" w:cs="Times New Roman"/>
                <w:noProof/>
                <w:webHidden/>
                <w:color w:val="0D0D0D" w:themeColor="text1" w:themeTint="F2"/>
                <w:sz w:val="24"/>
                <w:szCs w:val="24"/>
              </w:rPr>
              <w:t>16</w:t>
            </w:r>
            <w:r w:rsidR="003D2646" w:rsidRPr="003D2646">
              <w:rPr>
                <w:rFonts w:ascii="Times New Roman" w:hAnsi="Times New Roman" w:cs="Times New Roman"/>
                <w:noProof/>
                <w:webHidden/>
                <w:color w:val="0D0D0D" w:themeColor="text1" w:themeTint="F2"/>
                <w:sz w:val="24"/>
                <w:szCs w:val="24"/>
              </w:rPr>
              <w:fldChar w:fldCharType="end"/>
            </w:r>
          </w:hyperlink>
        </w:p>
        <w:p w:rsidR="003D2646" w:rsidRPr="003D2646" w:rsidRDefault="00000000" w:rsidP="003D2646">
          <w:pPr>
            <w:pStyle w:val="TOC1"/>
            <w:tabs>
              <w:tab w:val="right" w:leader="dot" w:pos="9350"/>
            </w:tabs>
            <w:spacing w:before="240" w:line="360" w:lineRule="auto"/>
            <w:jc w:val="both"/>
            <w:rPr>
              <w:rFonts w:ascii="Times New Roman" w:eastAsiaTheme="minorEastAsia" w:hAnsi="Times New Roman" w:cs="Times New Roman"/>
              <w:noProof/>
              <w:color w:val="0D0D0D" w:themeColor="text1" w:themeTint="F2"/>
              <w:sz w:val="24"/>
              <w:szCs w:val="30"/>
              <w:lang w:val="en-US" w:bidi="bn-IN"/>
            </w:rPr>
          </w:pPr>
          <w:hyperlink w:anchor="_Toc143240021" w:history="1">
            <w:r w:rsidR="003D2646" w:rsidRPr="003D2646">
              <w:rPr>
                <w:rStyle w:val="Hyperlink"/>
                <w:rFonts w:ascii="Times New Roman" w:eastAsia="Times New Roman" w:hAnsi="Times New Roman" w:cs="Times New Roman"/>
                <w:noProof/>
                <w:color w:val="0D0D0D" w:themeColor="text1" w:themeTint="F2"/>
                <w:sz w:val="24"/>
                <w:szCs w:val="24"/>
              </w:rPr>
              <w:t>Conclusion:</w:t>
            </w:r>
            <w:r w:rsidR="003D2646" w:rsidRPr="003D2646">
              <w:rPr>
                <w:rFonts w:ascii="Times New Roman" w:hAnsi="Times New Roman" w:cs="Times New Roman"/>
                <w:noProof/>
                <w:webHidden/>
                <w:color w:val="0D0D0D" w:themeColor="text1" w:themeTint="F2"/>
                <w:sz w:val="24"/>
                <w:szCs w:val="24"/>
              </w:rPr>
              <w:tab/>
            </w:r>
            <w:r w:rsidR="003D2646" w:rsidRPr="003D2646">
              <w:rPr>
                <w:rFonts w:ascii="Times New Roman" w:hAnsi="Times New Roman" w:cs="Times New Roman"/>
                <w:noProof/>
                <w:webHidden/>
                <w:color w:val="0D0D0D" w:themeColor="text1" w:themeTint="F2"/>
                <w:sz w:val="24"/>
                <w:szCs w:val="24"/>
              </w:rPr>
              <w:fldChar w:fldCharType="begin"/>
            </w:r>
            <w:r w:rsidR="003D2646" w:rsidRPr="003D2646">
              <w:rPr>
                <w:rFonts w:ascii="Times New Roman" w:hAnsi="Times New Roman" w:cs="Times New Roman"/>
                <w:noProof/>
                <w:webHidden/>
                <w:color w:val="0D0D0D" w:themeColor="text1" w:themeTint="F2"/>
                <w:sz w:val="24"/>
                <w:szCs w:val="24"/>
              </w:rPr>
              <w:instrText xml:space="preserve"> PAGEREF _Toc143240021 \h </w:instrText>
            </w:r>
            <w:r w:rsidR="003D2646" w:rsidRPr="003D2646">
              <w:rPr>
                <w:rFonts w:ascii="Times New Roman" w:hAnsi="Times New Roman" w:cs="Times New Roman"/>
                <w:noProof/>
                <w:webHidden/>
                <w:color w:val="0D0D0D" w:themeColor="text1" w:themeTint="F2"/>
                <w:sz w:val="24"/>
                <w:szCs w:val="24"/>
              </w:rPr>
            </w:r>
            <w:r w:rsidR="003D2646" w:rsidRPr="003D2646">
              <w:rPr>
                <w:rFonts w:ascii="Times New Roman" w:hAnsi="Times New Roman" w:cs="Times New Roman"/>
                <w:noProof/>
                <w:webHidden/>
                <w:color w:val="0D0D0D" w:themeColor="text1" w:themeTint="F2"/>
                <w:sz w:val="24"/>
                <w:szCs w:val="24"/>
              </w:rPr>
              <w:fldChar w:fldCharType="separate"/>
            </w:r>
            <w:r w:rsidR="003D2646" w:rsidRPr="003D2646">
              <w:rPr>
                <w:rFonts w:ascii="Times New Roman" w:hAnsi="Times New Roman" w:cs="Times New Roman"/>
                <w:noProof/>
                <w:webHidden/>
                <w:color w:val="0D0D0D" w:themeColor="text1" w:themeTint="F2"/>
                <w:sz w:val="24"/>
                <w:szCs w:val="24"/>
              </w:rPr>
              <w:t>18</w:t>
            </w:r>
            <w:r w:rsidR="003D2646" w:rsidRPr="003D2646">
              <w:rPr>
                <w:rFonts w:ascii="Times New Roman" w:hAnsi="Times New Roman" w:cs="Times New Roman"/>
                <w:noProof/>
                <w:webHidden/>
                <w:color w:val="0D0D0D" w:themeColor="text1" w:themeTint="F2"/>
                <w:sz w:val="24"/>
                <w:szCs w:val="24"/>
              </w:rPr>
              <w:fldChar w:fldCharType="end"/>
            </w:r>
          </w:hyperlink>
        </w:p>
        <w:p w:rsidR="003D2646" w:rsidRPr="003D2646" w:rsidRDefault="00000000" w:rsidP="003D2646">
          <w:pPr>
            <w:pStyle w:val="TOC1"/>
            <w:tabs>
              <w:tab w:val="right" w:leader="dot" w:pos="9350"/>
            </w:tabs>
            <w:spacing w:before="240" w:line="360" w:lineRule="auto"/>
            <w:jc w:val="both"/>
            <w:rPr>
              <w:rFonts w:eastAsiaTheme="minorEastAsia" w:cs="Vrinda"/>
              <w:noProof/>
              <w:color w:val="0D0D0D" w:themeColor="text1" w:themeTint="F2"/>
              <w:szCs w:val="28"/>
              <w:lang w:val="en-US" w:bidi="bn-IN"/>
            </w:rPr>
          </w:pPr>
          <w:hyperlink w:anchor="_Toc143240022" w:history="1">
            <w:r w:rsidR="003D2646" w:rsidRPr="003D2646">
              <w:rPr>
                <w:rStyle w:val="Hyperlink"/>
                <w:rFonts w:ascii="Times New Roman" w:hAnsi="Times New Roman" w:cs="Times New Roman"/>
                <w:noProof/>
                <w:color w:val="0D0D0D" w:themeColor="text1" w:themeTint="F2"/>
                <w:sz w:val="24"/>
                <w:szCs w:val="24"/>
              </w:rPr>
              <w:t>References</w:t>
            </w:r>
            <w:r w:rsidR="003D2646" w:rsidRPr="003D2646">
              <w:rPr>
                <w:rFonts w:ascii="Times New Roman" w:hAnsi="Times New Roman" w:cs="Times New Roman"/>
                <w:noProof/>
                <w:webHidden/>
                <w:color w:val="0D0D0D" w:themeColor="text1" w:themeTint="F2"/>
                <w:sz w:val="24"/>
                <w:szCs w:val="24"/>
              </w:rPr>
              <w:tab/>
            </w:r>
            <w:r w:rsidR="003D2646" w:rsidRPr="003D2646">
              <w:rPr>
                <w:rFonts w:ascii="Times New Roman" w:hAnsi="Times New Roman" w:cs="Times New Roman"/>
                <w:noProof/>
                <w:webHidden/>
                <w:color w:val="0D0D0D" w:themeColor="text1" w:themeTint="F2"/>
                <w:sz w:val="24"/>
                <w:szCs w:val="24"/>
              </w:rPr>
              <w:fldChar w:fldCharType="begin"/>
            </w:r>
            <w:r w:rsidR="003D2646" w:rsidRPr="003D2646">
              <w:rPr>
                <w:rFonts w:ascii="Times New Roman" w:hAnsi="Times New Roman" w:cs="Times New Roman"/>
                <w:noProof/>
                <w:webHidden/>
                <w:color w:val="0D0D0D" w:themeColor="text1" w:themeTint="F2"/>
                <w:sz w:val="24"/>
                <w:szCs w:val="24"/>
              </w:rPr>
              <w:instrText xml:space="preserve"> PAGEREF _Toc143240022 \h </w:instrText>
            </w:r>
            <w:r w:rsidR="003D2646" w:rsidRPr="003D2646">
              <w:rPr>
                <w:rFonts w:ascii="Times New Roman" w:hAnsi="Times New Roman" w:cs="Times New Roman"/>
                <w:noProof/>
                <w:webHidden/>
                <w:color w:val="0D0D0D" w:themeColor="text1" w:themeTint="F2"/>
                <w:sz w:val="24"/>
                <w:szCs w:val="24"/>
              </w:rPr>
            </w:r>
            <w:r w:rsidR="003D2646" w:rsidRPr="003D2646">
              <w:rPr>
                <w:rFonts w:ascii="Times New Roman" w:hAnsi="Times New Roman" w:cs="Times New Roman"/>
                <w:noProof/>
                <w:webHidden/>
                <w:color w:val="0D0D0D" w:themeColor="text1" w:themeTint="F2"/>
                <w:sz w:val="24"/>
                <w:szCs w:val="24"/>
              </w:rPr>
              <w:fldChar w:fldCharType="separate"/>
            </w:r>
            <w:r w:rsidR="003D2646" w:rsidRPr="003D2646">
              <w:rPr>
                <w:rFonts w:ascii="Times New Roman" w:hAnsi="Times New Roman" w:cs="Times New Roman"/>
                <w:noProof/>
                <w:webHidden/>
                <w:color w:val="0D0D0D" w:themeColor="text1" w:themeTint="F2"/>
                <w:sz w:val="24"/>
                <w:szCs w:val="24"/>
              </w:rPr>
              <w:t>19</w:t>
            </w:r>
            <w:r w:rsidR="003D2646" w:rsidRPr="003D2646">
              <w:rPr>
                <w:rFonts w:ascii="Times New Roman" w:hAnsi="Times New Roman" w:cs="Times New Roman"/>
                <w:noProof/>
                <w:webHidden/>
                <w:color w:val="0D0D0D" w:themeColor="text1" w:themeTint="F2"/>
                <w:sz w:val="24"/>
                <w:szCs w:val="24"/>
              </w:rPr>
              <w:fldChar w:fldCharType="end"/>
            </w:r>
          </w:hyperlink>
        </w:p>
        <w:p w:rsidR="005569B3" w:rsidRPr="003D2646" w:rsidRDefault="005569B3" w:rsidP="00952451">
          <w:pPr>
            <w:spacing w:before="240" w:line="360" w:lineRule="auto"/>
            <w:jc w:val="both"/>
            <w:rPr>
              <w:rFonts w:ascii="Times New Roman" w:hAnsi="Times New Roman" w:cs="Times New Roman"/>
              <w:color w:val="0D0D0D" w:themeColor="text1" w:themeTint="F2"/>
              <w:sz w:val="24"/>
              <w:szCs w:val="24"/>
            </w:rPr>
          </w:pPr>
          <w:r w:rsidRPr="003D2646">
            <w:rPr>
              <w:rFonts w:ascii="Times New Roman" w:hAnsi="Times New Roman" w:cs="Times New Roman"/>
              <w:b/>
              <w:bCs/>
              <w:noProof/>
              <w:color w:val="0D0D0D" w:themeColor="text1" w:themeTint="F2"/>
              <w:sz w:val="24"/>
              <w:szCs w:val="24"/>
            </w:rPr>
            <w:fldChar w:fldCharType="end"/>
          </w:r>
        </w:p>
      </w:sdtContent>
    </w:sdt>
    <w:p w:rsidR="0014254D" w:rsidRPr="003D2646" w:rsidRDefault="0014254D" w:rsidP="00952451">
      <w:pPr>
        <w:spacing w:before="240" w:line="360" w:lineRule="auto"/>
        <w:jc w:val="both"/>
        <w:rPr>
          <w:rFonts w:ascii="Times New Roman" w:hAnsi="Times New Roman" w:cs="Times New Roman"/>
          <w:color w:val="0D0D0D" w:themeColor="text1" w:themeTint="F2"/>
          <w:sz w:val="28"/>
          <w:szCs w:val="24"/>
        </w:rPr>
      </w:pPr>
    </w:p>
    <w:p w:rsidR="0014254D" w:rsidRPr="003D2646" w:rsidRDefault="0014254D">
      <w:pPr>
        <w:rPr>
          <w:rFonts w:ascii="Times New Roman" w:hAnsi="Times New Roman" w:cs="Times New Roman"/>
          <w:color w:val="0D0D0D" w:themeColor="text1" w:themeTint="F2"/>
          <w:sz w:val="32"/>
        </w:rPr>
      </w:pPr>
      <w:r w:rsidRPr="003D2646">
        <w:rPr>
          <w:rFonts w:ascii="Times New Roman" w:hAnsi="Times New Roman" w:cs="Times New Roman"/>
          <w:color w:val="0D0D0D" w:themeColor="text1" w:themeTint="F2"/>
          <w:sz w:val="32"/>
        </w:rPr>
        <w:br w:type="page"/>
      </w:r>
    </w:p>
    <w:p w:rsidR="005569B3" w:rsidRPr="003D2646" w:rsidRDefault="003A199B" w:rsidP="00A063E8">
      <w:pPr>
        <w:pStyle w:val="Heading1"/>
        <w:rPr>
          <w:rFonts w:eastAsia="Times New Roman"/>
          <w:color w:val="0D0D0D" w:themeColor="text1" w:themeTint="F2"/>
        </w:rPr>
      </w:pPr>
      <w:bookmarkStart w:id="0" w:name="_Toc143240015"/>
      <w:r w:rsidRPr="003D2646">
        <w:rPr>
          <w:rFonts w:eastAsia="Times New Roman"/>
          <w:color w:val="0D0D0D" w:themeColor="text1" w:themeTint="F2"/>
        </w:rPr>
        <w:lastRenderedPageBreak/>
        <w:t>Introduction:</w:t>
      </w:r>
      <w:bookmarkEnd w:id="0"/>
    </w:p>
    <w:p w:rsidR="007D4725" w:rsidRPr="003D2646" w:rsidRDefault="003A199B" w:rsidP="005569B3">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worldwide implications of the 2008 financial crisis sparked a wave of changes that were aimed at increasing the stability of the financial system so that it could better withstand the occurrence of such crises in the future</w:t>
      </w:r>
      <w:r w:rsidR="004C1869"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Johannes</w:t>
      </w:r>
      <w:r w:rsidR="004C1869" w:rsidRPr="003D2646">
        <w:rPr>
          <w:rFonts w:ascii="Times New Roman" w:eastAsia="Times New Roman" w:hAnsi="Times New Roman" w:cs="Times New Roman"/>
          <w:color w:val="0D0D0D" w:themeColor="text1" w:themeTint="F2"/>
          <w:sz w:val="24"/>
          <w:szCs w:val="24"/>
        </w:rPr>
        <w:t xml:space="preserve"> </w:t>
      </w:r>
      <w:r w:rsidR="004C1869" w:rsidRPr="003D2646">
        <w:rPr>
          <w:rFonts w:ascii="Times New Roman" w:eastAsia="Times New Roman" w:hAnsi="Times New Roman" w:cs="Times New Roman"/>
          <w:i/>
          <w:iCs/>
          <w:color w:val="0D0D0D" w:themeColor="text1" w:themeTint="F2"/>
          <w:sz w:val="24"/>
          <w:szCs w:val="24"/>
        </w:rPr>
        <w:t>et al.</w:t>
      </w:r>
      <w:r w:rsidR="004C1869" w:rsidRPr="003D2646">
        <w:rPr>
          <w:rFonts w:ascii="Times New Roman" w:eastAsia="Times New Roman" w:hAnsi="Times New Roman" w:cs="Times New Roman"/>
          <w:color w:val="0D0D0D" w:themeColor="text1" w:themeTint="F2"/>
          <w:sz w:val="24"/>
          <w:szCs w:val="24"/>
        </w:rPr>
        <w:t xml:space="preserve"> 2018)</w:t>
      </w:r>
      <w:r w:rsidRPr="003D2646">
        <w:rPr>
          <w:rFonts w:ascii="Times New Roman" w:eastAsia="Times New Roman" w:hAnsi="Times New Roman" w:cs="Times New Roman"/>
          <w:color w:val="0D0D0D" w:themeColor="text1" w:themeTint="F2"/>
          <w:sz w:val="24"/>
          <w:szCs w:val="24"/>
        </w:rPr>
        <w:t xml:space="preserve">. This paper investigates the extensive legislative and regulatory actions that were enacted as a reaction to the crisis by EU authorities and worldwide financial companies. These changes will affect a variety of aspects, including requirements for capital, risk management, and transparency. </w:t>
      </w:r>
    </w:p>
    <w:p w:rsidR="007D4725" w:rsidRPr="003D2646" w:rsidRDefault="007D4725" w:rsidP="007D4725">
      <w:pPr>
        <w:spacing w:before="200" w:after="200" w:line="360" w:lineRule="auto"/>
        <w:jc w:val="center"/>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noProof/>
          <w:color w:val="0D0D0D" w:themeColor="text1" w:themeTint="F2"/>
          <w:sz w:val="24"/>
          <w:szCs w:val="24"/>
        </w:rPr>
        <w:drawing>
          <wp:inline distT="0" distB="0" distL="0" distR="0" wp14:anchorId="33159FC8" wp14:editId="5F9F8F0D">
            <wp:extent cx="5943600" cy="1580515"/>
            <wp:effectExtent l="76200" t="76200" r="133350" b="133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580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D4725" w:rsidRPr="003D2646" w:rsidRDefault="007D4725" w:rsidP="007D4725">
      <w:pPr>
        <w:spacing w:before="200" w:after="200" w:line="360" w:lineRule="auto"/>
        <w:jc w:val="center"/>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Figure 1: HSBC Holdings Highlights in 2023</w:t>
      </w:r>
    </w:p>
    <w:p w:rsidR="007D4725" w:rsidRPr="003D2646" w:rsidRDefault="007D4725" w:rsidP="007D4725">
      <w:pPr>
        <w:spacing w:before="200" w:after="200" w:line="360" w:lineRule="auto"/>
        <w:jc w:val="center"/>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(Source: HSBC, 2023)</w:t>
      </w:r>
    </w:p>
    <w:p w:rsidR="003A199B" w:rsidRPr="003D2646" w:rsidRDefault="00CD409F" w:rsidP="005569B3">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Figure 1 stated that HSBC has been able to </w:t>
      </w:r>
      <w:proofErr w:type="spellStart"/>
      <w:r w:rsidRPr="003D2646">
        <w:rPr>
          <w:rFonts w:ascii="Times New Roman" w:eastAsia="Times New Roman" w:hAnsi="Times New Roman" w:cs="Times New Roman"/>
          <w:color w:val="0D0D0D" w:themeColor="text1" w:themeTint="F2"/>
          <w:sz w:val="24"/>
          <w:szCs w:val="24"/>
        </w:rPr>
        <w:t>achive</w:t>
      </w:r>
      <w:proofErr w:type="spellEnd"/>
      <w:r w:rsidRPr="003D2646">
        <w:rPr>
          <w:rFonts w:ascii="Times New Roman" w:eastAsia="Times New Roman" w:hAnsi="Times New Roman" w:cs="Times New Roman"/>
          <w:color w:val="0D0D0D" w:themeColor="text1" w:themeTint="F2"/>
          <w:sz w:val="24"/>
          <w:szCs w:val="24"/>
        </w:rPr>
        <w:t xml:space="preserve"> $36.9bn revenue in the current fiscal year along with 21.7bn USD profit before tax and 0.10$ dividend per share. </w:t>
      </w:r>
      <w:r w:rsidR="003A199B" w:rsidRPr="003D2646">
        <w:rPr>
          <w:rFonts w:ascii="Times New Roman" w:eastAsia="Times New Roman" w:hAnsi="Times New Roman" w:cs="Times New Roman"/>
          <w:color w:val="0D0D0D" w:themeColor="text1" w:themeTint="F2"/>
          <w:sz w:val="24"/>
          <w:szCs w:val="24"/>
        </w:rPr>
        <w:t xml:space="preserve">The investigation will analyse how the </w:t>
      </w:r>
      <w:proofErr w:type="gramStart"/>
      <w:r w:rsidR="003A199B" w:rsidRPr="003D2646">
        <w:rPr>
          <w:rFonts w:ascii="Times New Roman" w:eastAsia="Times New Roman" w:hAnsi="Times New Roman" w:cs="Times New Roman"/>
          <w:color w:val="0D0D0D" w:themeColor="text1" w:themeTint="F2"/>
          <w:sz w:val="24"/>
          <w:szCs w:val="24"/>
        </w:rPr>
        <w:t>aforementioned changes</w:t>
      </w:r>
      <w:proofErr w:type="gramEnd"/>
      <w:r w:rsidR="003A199B" w:rsidRPr="003D2646">
        <w:rPr>
          <w:rFonts w:ascii="Times New Roman" w:eastAsia="Times New Roman" w:hAnsi="Times New Roman" w:cs="Times New Roman"/>
          <w:color w:val="0D0D0D" w:themeColor="text1" w:themeTint="F2"/>
          <w:sz w:val="24"/>
          <w:szCs w:val="24"/>
        </w:rPr>
        <w:t xml:space="preserve"> may affect HSBC Holdings plc in addition to the international monetary system as a whole</w:t>
      </w:r>
      <w:r w:rsidR="003F6CEA" w:rsidRPr="003D2646">
        <w:rPr>
          <w:rFonts w:ascii="Times New Roman" w:eastAsia="Times New Roman" w:hAnsi="Times New Roman" w:cs="Times New Roman"/>
          <w:color w:val="0D0D0D" w:themeColor="text1" w:themeTint="F2"/>
          <w:sz w:val="24"/>
          <w:szCs w:val="24"/>
        </w:rPr>
        <w:t xml:space="preserve"> (Frame, 2022)</w:t>
      </w:r>
      <w:r w:rsidR="003A199B" w:rsidRPr="003D2646">
        <w:rPr>
          <w:rFonts w:ascii="Times New Roman" w:eastAsia="Times New Roman" w:hAnsi="Times New Roman" w:cs="Times New Roman"/>
          <w:color w:val="0D0D0D" w:themeColor="text1" w:themeTint="F2"/>
          <w:sz w:val="24"/>
          <w:szCs w:val="24"/>
        </w:rPr>
        <w:t xml:space="preserve">. HSBC's dedication to ethical business practises, which can be seen in the </w:t>
      </w:r>
      <w:r w:rsidR="0059591E" w:rsidRPr="003D2646">
        <w:rPr>
          <w:rFonts w:ascii="Times New Roman" w:eastAsia="Times New Roman" w:hAnsi="Times New Roman" w:cs="Times New Roman"/>
          <w:color w:val="0D0D0D" w:themeColor="text1" w:themeTint="F2"/>
          <w:sz w:val="24"/>
          <w:szCs w:val="24"/>
        </w:rPr>
        <w:t>diverse</w:t>
      </w:r>
      <w:r w:rsidR="003A199B" w:rsidRPr="003D2646">
        <w:rPr>
          <w:rFonts w:ascii="Times New Roman" w:eastAsia="Times New Roman" w:hAnsi="Times New Roman" w:cs="Times New Roman"/>
          <w:color w:val="0D0D0D" w:themeColor="text1" w:themeTint="F2"/>
          <w:sz w:val="24"/>
          <w:szCs w:val="24"/>
        </w:rPr>
        <w:t xml:space="preserve"> efforts it has undertaken and the community contributions it has made exemplifies the company's agility in the face of shifting regulatory environments</w:t>
      </w:r>
      <w:r w:rsidR="001B7E6F" w:rsidRPr="003D2646">
        <w:rPr>
          <w:rFonts w:ascii="Times New Roman" w:eastAsia="Times New Roman" w:hAnsi="Times New Roman" w:cs="Times New Roman"/>
          <w:color w:val="0D0D0D" w:themeColor="text1" w:themeTint="F2"/>
          <w:sz w:val="24"/>
          <w:szCs w:val="24"/>
        </w:rPr>
        <w:t xml:space="preserve"> (Simona, 2015)</w:t>
      </w:r>
      <w:r w:rsidR="003A199B" w:rsidRPr="003D2646">
        <w:rPr>
          <w:rFonts w:ascii="Times New Roman" w:eastAsia="Times New Roman" w:hAnsi="Times New Roman" w:cs="Times New Roman"/>
          <w:color w:val="0D0D0D" w:themeColor="text1" w:themeTint="F2"/>
          <w:sz w:val="24"/>
          <w:szCs w:val="24"/>
        </w:rPr>
        <w:t>. The insights that were acquired from this research helped pave the way for suggestions on possible structural modifications that might better align the operations of HSBC with these post-crisis reforms.</w:t>
      </w:r>
    </w:p>
    <w:p w:rsidR="0059591E" w:rsidRPr="003D2646" w:rsidRDefault="0059591E" w:rsidP="00A063E8">
      <w:pPr>
        <w:pStyle w:val="Heading1"/>
        <w:rPr>
          <w:rFonts w:eastAsia="Times New Roman"/>
          <w:color w:val="0D0D0D" w:themeColor="text1" w:themeTint="F2"/>
        </w:rPr>
      </w:pPr>
      <w:bookmarkStart w:id="1" w:name="_Toc143240016"/>
      <w:r w:rsidRPr="003D2646">
        <w:rPr>
          <w:rFonts w:eastAsia="Times New Roman"/>
          <w:color w:val="0D0D0D" w:themeColor="text1" w:themeTint="F2"/>
        </w:rPr>
        <w:lastRenderedPageBreak/>
        <w:t>Key Reforms Enacted by EU Authorities:</w:t>
      </w:r>
      <w:bookmarkEnd w:id="1"/>
    </w:p>
    <w:p w:rsidR="0059591E" w:rsidRPr="003D2646" w:rsidRDefault="0059591E" w:rsidP="0059591E">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In the aftermath of the 2008 financial crisis, the authorities in the European Union (EU) decided to undertake a major reform of financial rules in order to improve the stability and resiliency of the financial system. In this part, the most important changes that were put into effect are discussed</w:t>
      </w:r>
      <w:r w:rsidR="00022716" w:rsidRPr="003D2646">
        <w:rPr>
          <w:rFonts w:ascii="Times New Roman" w:eastAsia="Times New Roman" w:hAnsi="Times New Roman" w:cs="Times New Roman"/>
          <w:color w:val="0D0D0D" w:themeColor="text1" w:themeTint="F2"/>
          <w:sz w:val="24"/>
          <w:szCs w:val="24"/>
        </w:rPr>
        <w:t xml:space="preserve"> (Johannes </w:t>
      </w:r>
      <w:r w:rsidR="00022716" w:rsidRPr="003D2646">
        <w:rPr>
          <w:rFonts w:ascii="Times New Roman" w:eastAsia="Times New Roman" w:hAnsi="Times New Roman" w:cs="Times New Roman"/>
          <w:i/>
          <w:iCs/>
          <w:color w:val="0D0D0D" w:themeColor="text1" w:themeTint="F2"/>
          <w:sz w:val="24"/>
          <w:szCs w:val="24"/>
        </w:rPr>
        <w:t>et al.</w:t>
      </w:r>
      <w:r w:rsidR="00022716" w:rsidRPr="003D2646">
        <w:rPr>
          <w:rFonts w:ascii="Times New Roman" w:eastAsia="Times New Roman" w:hAnsi="Times New Roman" w:cs="Times New Roman"/>
          <w:color w:val="0D0D0D" w:themeColor="text1" w:themeTint="F2"/>
          <w:sz w:val="24"/>
          <w:szCs w:val="24"/>
        </w:rPr>
        <w:t xml:space="preserve"> 2018)</w:t>
      </w:r>
      <w:r w:rsidRPr="003D2646">
        <w:rPr>
          <w:rFonts w:ascii="Times New Roman" w:eastAsia="Times New Roman" w:hAnsi="Times New Roman" w:cs="Times New Roman"/>
          <w:color w:val="0D0D0D" w:themeColor="text1" w:themeTint="F2"/>
          <w:sz w:val="24"/>
          <w:szCs w:val="24"/>
        </w:rPr>
        <w:t>. These reforms address fundamental problems with risk management, capital sufficiency, transparency, and consumer protection.</w:t>
      </w:r>
    </w:p>
    <w:p w:rsidR="002D4B50" w:rsidRPr="003D2646" w:rsidRDefault="002D4B50" w:rsidP="002D4B50">
      <w:pPr>
        <w:spacing w:before="200" w:after="200" w:line="360" w:lineRule="auto"/>
        <w:jc w:val="center"/>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noProof/>
          <w:color w:val="0D0D0D" w:themeColor="text1" w:themeTint="F2"/>
          <w:sz w:val="24"/>
          <w:szCs w:val="24"/>
        </w:rPr>
        <w:drawing>
          <wp:inline distT="0" distB="0" distL="0" distR="0" wp14:anchorId="073FC5EF" wp14:editId="34991DFE">
            <wp:extent cx="5425910" cy="4092295"/>
            <wp:effectExtent l="76200" t="76200" r="137160" b="137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25910" cy="4092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D4B50" w:rsidRPr="003D2646" w:rsidRDefault="002D4B50" w:rsidP="002D4B50">
      <w:pPr>
        <w:spacing w:before="200" w:after="200" w:line="360" w:lineRule="auto"/>
        <w:jc w:val="center"/>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Figure 2: Impact of CRD IV measures</w:t>
      </w:r>
    </w:p>
    <w:p w:rsidR="002D4B50" w:rsidRPr="003D2646" w:rsidRDefault="002D4B50" w:rsidP="002D4B50">
      <w:pPr>
        <w:spacing w:before="200" w:after="200" w:line="360" w:lineRule="auto"/>
        <w:jc w:val="center"/>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(Source: European Parliament, 2011)</w:t>
      </w:r>
    </w:p>
    <w:p w:rsidR="008850DD" w:rsidRPr="003D2646" w:rsidRDefault="00465F96" w:rsidP="00465F96">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mitigation of possible adverse effects on investments and economic development might be achieved by the reduction of CRD IV's impact on banks' funding costs, as well as the ability of banks to transfer higher financing costs to their consumers</w:t>
      </w:r>
      <w:r w:rsidR="00822E6B" w:rsidRPr="003D2646">
        <w:rPr>
          <w:rFonts w:ascii="Times New Roman" w:eastAsia="Times New Roman" w:hAnsi="Times New Roman" w:cs="Times New Roman"/>
          <w:color w:val="0D0D0D" w:themeColor="text1" w:themeTint="F2"/>
          <w:sz w:val="24"/>
          <w:szCs w:val="24"/>
        </w:rPr>
        <w:t xml:space="preserve"> (European Parliament, 2011)</w:t>
      </w:r>
      <w:r w:rsidRPr="003D2646">
        <w:rPr>
          <w:rFonts w:ascii="Times New Roman" w:eastAsia="Times New Roman" w:hAnsi="Times New Roman" w:cs="Times New Roman"/>
          <w:color w:val="0D0D0D" w:themeColor="text1" w:themeTint="F2"/>
          <w:sz w:val="24"/>
          <w:szCs w:val="24"/>
        </w:rPr>
        <w:t>.  T</w:t>
      </w:r>
      <w:r w:rsidR="0059591E" w:rsidRPr="003D2646">
        <w:rPr>
          <w:rFonts w:ascii="Times New Roman" w:eastAsia="Times New Roman" w:hAnsi="Times New Roman" w:cs="Times New Roman"/>
          <w:color w:val="0D0D0D" w:themeColor="text1" w:themeTint="F2"/>
          <w:sz w:val="24"/>
          <w:szCs w:val="24"/>
        </w:rPr>
        <w:t xml:space="preserve">he implementation of the Capital Requirements Directive IV (also known as CRD IV) and the Capital </w:t>
      </w:r>
      <w:r w:rsidR="0059591E" w:rsidRPr="003D2646">
        <w:rPr>
          <w:rFonts w:ascii="Times New Roman" w:eastAsia="Times New Roman" w:hAnsi="Times New Roman" w:cs="Times New Roman"/>
          <w:color w:val="0D0D0D" w:themeColor="text1" w:themeTint="F2"/>
          <w:sz w:val="24"/>
          <w:szCs w:val="24"/>
        </w:rPr>
        <w:lastRenderedPageBreak/>
        <w:t xml:space="preserve">Requirements Regulation (also known as CRR) was one of the most notable legislative efforts that </w:t>
      </w:r>
      <w:r w:rsidR="000F7191" w:rsidRPr="003D2646">
        <w:rPr>
          <w:rFonts w:ascii="Times New Roman" w:eastAsia="Times New Roman" w:hAnsi="Times New Roman" w:cs="Times New Roman"/>
          <w:color w:val="0D0D0D" w:themeColor="text1" w:themeTint="F2"/>
          <w:sz w:val="24"/>
          <w:szCs w:val="24"/>
        </w:rPr>
        <w:t>have</w:t>
      </w:r>
      <w:r w:rsidR="00EE6270" w:rsidRPr="003D2646">
        <w:rPr>
          <w:rFonts w:ascii="Times New Roman" w:eastAsia="Times New Roman" w:hAnsi="Times New Roman" w:cs="Times New Roman"/>
          <w:color w:val="0D0D0D" w:themeColor="text1" w:themeTint="F2"/>
          <w:sz w:val="24"/>
          <w:szCs w:val="24"/>
        </w:rPr>
        <w:t xml:space="preserve"> been </w:t>
      </w:r>
      <w:r w:rsidR="0059591E" w:rsidRPr="003D2646">
        <w:rPr>
          <w:rFonts w:ascii="Times New Roman" w:eastAsia="Times New Roman" w:hAnsi="Times New Roman" w:cs="Times New Roman"/>
          <w:color w:val="0D0D0D" w:themeColor="text1" w:themeTint="F2"/>
          <w:sz w:val="24"/>
          <w:szCs w:val="24"/>
        </w:rPr>
        <w:t>developed in the aftermath of the financial crisis</w:t>
      </w:r>
      <w:r w:rsidR="006237EC" w:rsidRPr="003D2646">
        <w:rPr>
          <w:rFonts w:ascii="Times New Roman" w:eastAsia="Times New Roman" w:hAnsi="Times New Roman" w:cs="Times New Roman"/>
          <w:color w:val="0D0D0D" w:themeColor="text1" w:themeTint="F2"/>
          <w:sz w:val="24"/>
          <w:szCs w:val="24"/>
        </w:rPr>
        <w:t xml:space="preserve"> (Simona, </w:t>
      </w:r>
      <w:r w:rsidR="00BA1EFA" w:rsidRPr="003D2646">
        <w:rPr>
          <w:rFonts w:ascii="Times New Roman" w:eastAsia="Times New Roman" w:hAnsi="Times New Roman" w:cs="Times New Roman"/>
          <w:color w:val="0D0D0D" w:themeColor="text1" w:themeTint="F2"/>
          <w:sz w:val="24"/>
          <w:szCs w:val="24"/>
        </w:rPr>
        <w:t>2015</w:t>
      </w:r>
      <w:r w:rsidR="006237EC" w:rsidRPr="003D2646">
        <w:rPr>
          <w:rFonts w:ascii="Times New Roman" w:eastAsia="Times New Roman" w:hAnsi="Times New Roman" w:cs="Times New Roman"/>
          <w:color w:val="0D0D0D" w:themeColor="text1" w:themeTint="F2"/>
          <w:sz w:val="24"/>
          <w:szCs w:val="24"/>
        </w:rPr>
        <w:t>)</w:t>
      </w:r>
      <w:r w:rsidR="001743CB" w:rsidRPr="003D2646">
        <w:rPr>
          <w:rFonts w:ascii="Times New Roman" w:eastAsia="Times New Roman" w:hAnsi="Times New Roman" w:cs="Times New Roman"/>
          <w:color w:val="0D0D0D" w:themeColor="text1" w:themeTint="F2"/>
          <w:sz w:val="24"/>
          <w:szCs w:val="24"/>
        </w:rPr>
        <w:t xml:space="preserve"> (James </w:t>
      </w:r>
      <w:r w:rsidR="001743CB" w:rsidRPr="003D2646">
        <w:rPr>
          <w:rFonts w:ascii="Times New Roman" w:eastAsia="Times New Roman" w:hAnsi="Times New Roman" w:cs="Times New Roman"/>
          <w:i/>
          <w:iCs/>
          <w:color w:val="0D0D0D" w:themeColor="text1" w:themeTint="F2"/>
          <w:sz w:val="24"/>
          <w:szCs w:val="24"/>
        </w:rPr>
        <w:t>et al.</w:t>
      </w:r>
      <w:r w:rsidR="001743CB" w:rsidRPr="003D2646">
        <w:rPr>
          <w:rFonts w:ascii="Times New Roman" w:eastAsia="Times New Roman" w:hAnsi="Times New Roman" w:cs="Times New Roman"/>
          <w:color w:val="0D0D0D" w:themeColor="text1" w:themeTint="F2"/>
          <w:sz w:val="24"/>
          <w:szCs w:val="24"/>
        </w:rPr>
        <w:t xml:space="preserve"> 2022)</w:t>
      </w:r>
      <w:r w:rsidR="0059591E" w:rsidRPr="003D2646">
        <w:rPr>
          <w:rFonts w:ascii="Times New Roman" w:eastAsia="Times New Roman" w:hAnsi="Times New Roman" w:cs="Times New Roman"/>
          <w:color w:val="0D0D0D" w:themeColor="text1" w:themeTint="F2"/>
          <w:sz w:val="24"/>
          <w:szCs w:val="24"/>
        </w:rPr>
        <w:t xml:space="preserve">. </w:t>
      </w:r>
      <w:r w:rsidR="008850DD" w:rsidRPr="003D2646">
        <w:rPr>
          <w:rFonts w:ascii="Times New Roman" w:eastAsia="Times New Roman" w:hAnsi="Times New Roman" w:cs="Times New Roman"/>
          <w:color w:val="0D0D0D" w:themeColor="text1" w:themeTint="F2"/>
          <w:sz w:val="24"/>
          <w:szCs w:val="24"/>
        </w:rPr>
        <w:t xml:space="preserve">The implementation of these regulations </w:t>
      </w:r>
      <w:r w:rsidR="00BE4B1C" w:rsidRPr="003D2646">
        <w:rPr>
          <w:rFonts w:ascii="Times New Roman" w:eastAsia="Times New Roman" w:hAnsi="Times New Roman" w:cs="Times New Roman"/>
          <w:color w:val="0D0D0D" w:themeColor="text1" w:themeTint="F2"/>
          <w:sz w:val="24"/>
          <w:szCs w:val="24"/>
        </w:rPr>
        <w:t>affected</w:t>
      </w:r>
      <w:r w:rsidR="008850DD" w:rsidRPr="003D2646">
        <w:rPr>
          <w:rFonts w:ascii="Times New Roman" w:eastAsia="Times New Roman" w:hAnsi="Times New Roman" w:cs="Times New Roman"/>
          <w:color w:val="0D0D0D" w:themeColor="text1" w:themeTint="F2"/>
          <w:sz w:val="24"/>
          <w:szCs w:val="24"/>
        </w:rPr>
        <w:t xml:space="preserve"> the establishment of a more comprehensive framework </w:t>
      </w:r>
      <w:r w:rsidR="002271D7" w:rsidRPr="003D2646">
        <w:rPr>
          <w:rFonts w:ascii="Times New Roman" w:eastAsia="Times New Roman" w:hAnsi="Times New Roman" w:cs="Times New Roman"/>
          <w:color w:val="0D0D0D" w:themeColor="text1" w:themeTint="F2"/>
          <w:sz w:val="24"/>
          <w:szCs w:val="24"/>
        </w:rPr>
        <w:t>to ensure</w:t>
      </w:r>
      <w:r w:rsidR="00063240" w:rsidRPr="003D2646">
        <w:rPr>
          <w:rFonts w:ascii="Times New Roman" w:eastAsia="Times New Roman" w:hAnsi="Times New Roman" w:cs="Times New Roman"/>
          <w:color w:val="0D0D0D" w:themeColor="text1" w:themeTint="F2"/>
          <w:sz w:val="24"/>
          <w:szCs w:val="24"/>
        </w:rPr>
        <w:t xml:space="preserve"> sufficient capital reserves. These have been</w:t>
      </w:r>
      <w:r w:rsidR="008850DD" w:rsidRPr="003D2646">
        <w:rPr>
          <w:rFonts w:ascii="Times New Roman" w:eastAsia="Times New Roman" w:hAnsi="Times New Roman" w:cs="Times New Roman"/>
          <w:color w:val="0D0D0D" w:themeColor="text1" w:themeTint="F2"/>
          <w:sz w:val="24"/>
          <w:szCs w:val="24"/>
        </w:rPr>
        <w:t xml:space="preserve"> characterised by increased capital ratios and a particular emphasis on common equity Tier 1 (CET1) capital (Johanne</w:t>
      </w:r>
      <w:r w:rsidR="0019607A" w:rsidRPr="003D2646">
        <w:rPr>
          <w:rFonts w:ascii="Times New Roman" w:eastAsia="Times New Roman" w:hAnsi="Times New Roman" w:cs="Times New Roman"/>
          <w:color w:val="0D0D0D" w:themeColor="text1" w:themeTint="F2"/>
          <w:sz w:val="24"/>
          <w:szCs w:val="24"/>
        </w:rPr>
        <w:t xml:space="preserve">s et al., 2018). These modifications wanted </w:t>
      </w:r>
      <w:r w:rsidR="008850DD" w:rsidRPr="003D2646">
        <w:rPr>
          <w:rFonts w:ascii="Times New Roman" w:eastAsia="Times New Roman" w:hAnsi="Times New Roman" w:cs="Times New Roman"/>
          <w:color w:val="0D0D0D" w:themeColor="text1" w:themeTint="F2"/>
          <w:sz w:val="24"/>
          <w:szCs w:val="24"/>
        </w:rPr>
        <w:t xml:space="preserve">to mitigate the risk of bank insolvency </w:t>
      </w:r>
      <w:r w:rsidR="00080702" w:rsidRPr="003D2646">
        <w:rPr>
          <w:rFonts w:ascii="Times New Roman" w:eastAsia="Times New Roman" w:hAnsi="Times New Roman" w:cs="Times New Roman"/>
          <w:color w:val="0D0D0D" w:themeColor="text1" w:themeTint="F2"/>
          <w:sz w:val="24"/>
          <w:szCs w:val="24"/>
        </w:rPr>
        <w:t>through the enhancement of</w:t>
      </w:r>
      <w:r w:rsidR="008850DD" w:rsidRPr="003D2646">
        <w:rPr>
          <w:rFonts w:ascii="Times New Roman" w:eastAsia="Times New Roman" w:hAnsi="Times New Roman" w:cs="Times New Roman"/>
          <w:color w:val="0D0D0D" w:themeColor="text1" w:themeTint="F2"/>
          <w:sz w:val="24"/>
          <w:szCs w:val="24"/>
        </w:rPr>
        <w:t xml:space="preserve"> the ability of banks to absorb losses during periods of heightened financial strain (Martinez and Gil, 2022; Giglio, 2022).</w:t>
      </w:r>
    </w:p>
    <w:p w:rsidR="00ED2CE7" w:rsidRPr="003D2646" w:rsidRDefault="00ED2CE7" w:rsidP="00C94DBE">
      <w:pPr>
        <w:spacing w:before="200" w:after="200" w:line="360" w:lineRule="auto"/>
        <w:jc w:val="center"/>
        <w:rPr>
          <w:rFonts w:ascii="Times New Roman" w:eastAsia="Times New Roman" w:hAnsi="Times New Roman" w:cs="Times New Roman"/>
          <w:color w:val="0D0D0D" w:themeColor="text1" w:themeTint="F2"/>
          <w:sz w:val="24"/>
          <w:szCs w:val="24"/>
        </w:rPr>
      </w:pPr>
      <w:r w:rsidRPr="003D2646">
        <w:rPr>
          <w:noProof/>
          <w:color w:val="0D0D0D" w:themeColor="text1" w:themeTint="F2"/>
          <w:lang w:val="en-US" w:bidi="bn-IN"/>
        </w:rPr>
        <w:drawing>
          <wp:inline distT="0" distB="0" distL="0" distR="0" wp14:anchorId="71206DA4" wp14:editId="041B1AA7">
            <wp:extent cx="5943600" cy="3024371"/>
            <wp:effectExtent l="76200" t="76200" r="133350" b="138430"/>
            <wp:docPr id="3" name="Picture 3" descr="https://eimf.eu/wp-content/uploads/2016/01/What-is-EMIR-European-Market-Infrastructure-Regu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imf.eu/wp-content/uploads/2016/01/What-is-EMIR-European-Market-Infrastructure-Regulatio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243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2CE7" w:rsidRPr="003D2646" w:rsidRDefault="00ED2CE7" w:rsidP="00C94DBE">
      <w:pPr>
        <w:spacing w:before="200" w:after="200" w:line="360" w:lineRule="auto"/>
        <w:jc w:val="center"/>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Figure 3: European Market Infrastructure Regulation (EMIR)</w:t>
      </w:r>
    </w:p>
    <w:p w:rsidR="00ED2CE7" w:rsidRPr="003D2646" w:rsidRDefault="00ED2CE7" w:rsidP="00C94DBE">
      <w:pPr>
        <w:spacing w:before="200" w:after="200" w:line="360" w:lineRule="auto"/>
        <w:jc w:val="center"/>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(Source: EIMF, 2023)</w:t>
      </w:r>
    </w:p>
    <w:p w:rsidR="008850DD" w:rsidRPr="003D2646" w:rsidRDefault="008850DD" w:rsidP="008850D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The implementation of the European Market Infrastructure Regulation (EMIR) aimed to enhance market transparency and mitigate risk by mandating the use of central clearing and reporting for derivatives transactions (Simona, 2015). The objective of EU authorities in streamlining the clearing process was to reduce the risk of counterparty failure and establish a more stable derivatives market. According to Acharya and Steffen (2013), significant advancements have been achieved in the global financial system </w:t>
      </w:r>
      <w:proofErr w:type="gramStart"/>
      <w:r w:rsidRPr="003D2646">
        <w:rPr>
          <w:rFonts w:ascii="Times New Roman" w:eastAsia="Times New Roman" w:hAnsi="Times New Roman" w:cs="Times New Roman"/>
          <w:color w:val="0D0D0D" w:themeColor="text1" w:themeTint="F2"/>
          <w:sz w:val="24"/>
          <w:szCs w:val="24"/>
        </w:rPr>
        <w:t xml:space="preserve">with </w:t>
      </w:r>
      <w:r w:rsidR="009106EA" w:rsidRPr="003D2646">
        <w:rPr>
          <w:rFonts w:ascii="Times New Roman" w:eastAsia="Times New Roman" w:hAnsi="Times New Roman" w:cs="Times New Roman"/>
          <w:color w:val="0D0D0D" w:themeColor="text1" w:themeTint="F2"/>
          <w:sz w:val="24"/>
          <w:szCs w:val="24"/>
        </w:rPr>
        <w:t>regard</w:t>
      </w:r>
      <w:r w:rsidRPr="003D2646">
        <w:rPr>
          <w:rFonts w:ascii="Times New Roman" w:eastAsia="Times New Roman" w:hAnsi="Times New Roman" w:cs="Times New Roman"/>
          <w:color w:val="0D0D0D" w:themeColor="text1" w:themeTint="F2"/>
          <w:sz w:val="24"/>
          <w:szCs w:val="24"/>
        </w:rPr>
        <w:t xml:space="preserve"> to</w:t>
      </w:r>
      <w:proofErr w:type="gramEnd"/>
      <w:r w:rsidRPr="003D2646">
        <w:rPr>
          <w:rFonts w:ascii="Times New Roman" w:eastAsia="Times New Roman" w:hAnsi="Times New Roman" w:cs="Times New Roman"/>
          <w:color w:val="0D0D0D" w:themeColor="text1" w:themeTint="F2"/>
          <w:sz w:val="24"/>
          <w:szCs w:val="24"/>
        </w:rPr>
        <w:t xml:space="preserve"> increased transparency and responsibility, mostly attributed to the adoption and execution of MiFID II and MiFIR. The </w:t>
      </w:r>
      <w:proofErr w:type="gramStart"/>
      <w:r w:rsidRPr="003D2646">
        <w:rPr>
          <w:rFonts w:ascii="Times New Roman" w:eastAsia="Times New Roman" w:hAnsi="Times New Roman" w:cs="Times New Roman"/>
          <w:color w:val="0D0D0D" w:themeColor="text1" w:themeTint="F2"/>
          <w:sz w:val="24"/>
          <w:szCs w:val="24"/>
        </w:rPr>
        <w:t xml:space="preserve">aforementioned </w:t>
      </w:r>
      <w:r w:rsidRPr="003D2646">
        <w:rPr>
          <w:rFonts w:ascii="Times New Roman" w:eastAsia="Times New Roman" w:hAnsi="Times New Roman" w:cs="Times New Roman"/>
          <w:color w:val="0D0D0D" w:themeColor="text1" w:themeTint="F2"/>
          <w:sz w:val="24"/>
          <w:szCs w:val="24"/>
        </w:rPr>
        <w:lastRenderedPageBreak/>
        <w:t>legislation</w:t>
      </w:r>
      <w:proofErr w:type="gramEnd"/>
      <w:r w:rsidRPr="003D2646">
        <w:rPr>
          <w:rFonts w:ascii="Times New Roman" w:eastAsia="Times New Roman" w:hAnsi="Times New Roman" w:cs="Times New Roman"/>
          <w:color w:val="0D0D0D" w:themeColor="text1" w:themeTint="F2"/>
          <w:sz w:val="24"/>
          <w:szCs w:val="24"/>
        </w:rPr>
        <w:t xml:space="preserve"> enhanced market supervision and investor protection by the reinforcement of reporting obligations pertaining to the trading of financial instruments. The need </w:t>
      </w:r>
      <w:r w:rsidR="009106EA" w:rsidRPr="003D2646">
        <w:rPr>
          <w:rFonts w:ascii="Times New Roman" w:eastAsia="Times New Roman" w:hAnsi="Times New Roman" w:cs="Times New Roman"/>
          <w:color w:val="0D0D0D" w:themeColor="text1" w:themeTint="F2"/>
          <w:sz w:val="24"/>
          <w:szCs w:val="24"/>
        </w:rPr>
        <w:t>for</w:t>
      </w:r>
      <w:r w:rsidRPr="003D2646">
        <w:rPr>
          <w:rFonts w:ascii="Times New Roman" w:eastAsia="Times New Roman" w:hAnsi="Times New Roman" w:cs="Times New Roman"/>
          <w:color w:val="0D0D0D" w:themeColor="text1" w:themeTint="F2"/>
          <w:sz w:val="24"/>
          <w:szCs w:val="24"/>
        </w:rPr>
        <w:t xml:space="preserve"> transparency was emphasised in order to mitigate the likelihood of a repetition of the opaque and high-risk transactions that played a role in the occurrence of the financial crisis in 2008.</w:t>
      </w:r>
    </w:p>
    <w:p w:rsidR="0059591E" w:rsidRPr="003D2646" w:rsidRDefault="008850DD" w:rsidP="008850D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The focus on safeguarding consumer interests has been a prominent aspect of legislative endeavours after the implementation of the EU Mortgage Credit Directive (MCD) and the Packaged Retail and Insurance-based Investment Products Regulation (PRIIPs Regulation) (Erkens et al., 2012). </w:t>
      </w:r>
      <w:r w:rsidR="0059591E" w:rsidRPr="003D2646">
        <w:rPr>
          <w:rFonts w:ascii="Times New Roman" w:eastAsia="Times New Roman" w:hAnsi="Times New Roman" w:cs="Times New Roman"/>
          <w:color w:val="0D0D0D" w:themeColor="text1" w:themeTint="F2"/>
          <w:sz w:val="24"/>
          <w:szCs w:val="24"/>
        </w:rPr>
        <w:t>The MCD standardised practises for the lending of mortgages and increased borrower information, with the goals of encouraging responsible lending and lowering the risk of mortgages that cannot be sustained. In the meanwhile, PRIIPs produced key information papers for retail investment products</w:t>
      </w:r>
      <w:r w:rsidR="00850B6E" w:rsidRPr="003D2646">
        <w:rPr>
          <w:rFonts w:ascii="Times New Roman" w:eastAsia="Times New Roman" w:hAnsi="Times New Roman" w:cs="Times New Roman"/>
          <w:color w:val="0D0D0D" w:themeColor="text1" w:themeTint="F2"/>
          <w:sz w:val="24"/>
          <w:szCs w:val="24"/>
        </w:rPr>
        <w:t xml:space="preserve"> (Acharya and Steffen, 2013)</w:t>
      </w:r>
      <w:r w:rsidR="0059591E" w:rsidRPr="003D2646">
        <w:rPr>
          <w:rFonts w:ascii="Times New Roman" w:eastAsia="Times New Roman" w:hAnsi="Times New Roman" w:cs="Times New Roman"/>
          <w:color w:val="0D0D0D" w:themeColor="text1" w:themeTint="F2"/>
          <w:sz w:val="24"/>
          <w:szCs w:val="24"/>
        </w:rPr>
        <w:t>. These documents provided customers with information that was both clear and succinct on the possible risks and returns associated with the products.</w:t>
      </w:r>
    </w:p>
    <w:p w:rsidR="0059591E" w:rsidRPr="003D2646" w:rsidRDefault="0059591E" w:rsidP="0059591E">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Additionally, a fundamental shift in the institutional makeup of EU financial supervision occurred with the founding of the European Systemic Risk Board (ESRB) and the Single Supervisory Mechanism (SSM)</w:t>
      </w:r>
      <w:r w:rsidR="00C12EAE"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Erkens</w:t>
      </w:r>
      <w:r w:rsidR="00C12EAE" w:rsidRPr="003D2646">
        <w:rPr>
          <w:rFonts w:ascii="Times New Roman" w:eastAsia="Times New Roman" w:hAnsi="Times New Roman" w:cs="Times New Roman"/>
          <w:color w:val="0D0D0D" w:themeColor="text1" w:themeTint="F2"/>
          <w:sz w:val="24"/>
          <w:szCs w:val="24"/>
        </w:rPr>
        <w:t xml:space="preserve"> </w:t>
      </w:r>
      <w:r w:rsidR="00C12EAE" w:rsidRPr="003D2646">
        <w:rPr>
          <w:rFonts w:ascii="Times New Roman" w:eastAsia="Times New Roman" w:hAnsi="Times New Roman" w:cs="Times New Roman"/>
          <w:i/>
          <w:iCs/>
          <w:color w:val="0D0D0D" w:themeColor="text1" w:themeTint="F2"/>
          <w:sz w:val="24"/>
          <w:szCs w:val="24"/>
        </w:rPr>
        <w:t>et al.</w:t>
      </w:r>
      <w:r w:rsidR="00C12EAE" w:rsidRPr="003D2646">
        <w:rPr>
          <w:rFonts w:ascii="Times New Roman" w:eastAsia="Times New Roman" w:hAnsi="Times New Roman" w:cs="Times New Roman"/>
          <w:color w:val="0D0D0D" w:themeColor="text1" w:themeTint="F2"/>
          <w:sz w:val="24"/>
          <w:szCs w:val="24"/>
        </w:rPr>
        <w:t xml:space="preserve"> 2012)</w:t>
      </w:r>
      <w:r w:rsidRPr="003D2646">
        <w:rPr>
          <w:rFonts w:ascii="Times New Roman" w:eastAsia="Times New Roman" w:hAnsi="Times New Roman" w:cs="Times New Roman"/>
          <w:color w:val="0D0D0D" w:themeColor="text1" w:themeTint="F2"/>
          <w:sz w:val="24"/>
          <w:szCs w:val="24"/>
        </w:rPr>
        <w:t>. In its capacity as an early warning system for possible crises, the European Systemic Risk Board (ESRB) was entrusted with the responsibility of detecting and reducing systemic risks throughout the EU. Concurrently, the SSM delegated responsibility for the supervision of important banks to the European Central Bank (ECB), with the intention of maintaining uniform and stringent scrutiny in order to avoid regulatory arbitrage</w:t>
      </w:r>
      <w:r w:rsidR="00850B6E" w:rsidRPr="003D2646">
        <w:rPr>
          <w:rFonts w:ascii="Times New Roman" w:eastAsia="Times New Roman" w:hAnsi="Times New Roman" w:cs="Times New Roman"/>
          <w:color w:val="0D0D0D" w:themeColor="text1" w:themeTint="F2"/>
          <w:sz w:val="24"/>
          <w:szCs w:val="24"/>
        </w:rPr>
        <w:t xml:space="preserve"> (Acharya and Steffen, 2013)</w:t>
      </w:r>
      <w:r w:rsidRPr="003D2646">
        <w:rPr>
          <w:rFonts w:ascii="Times New Roman" w:eastAsia="Times New Roman" w:hAnsi="Times New Roman" w:cs="Times New Roman"/>
          <w:color w:val="0D0D0D" w:themeColor="text1" w:themeTint="F2"/>
          <w:sz w:val="24"/>
          <w:szCs w:val="24"/>
        </w:rPr>
        <w:t>.</w:t>
      </w:r>
    </w:p>
    <w:p w:rsidR="0059591E" w:rsidRPr="003D2646" w:rsidRDefault="0059591E" w:rsidP="0059591E">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In a nutshell, the EU authorities reacted to the 2008 financial crisis with a comprehensive strategy for reforming the whole system. They wanted to make the financial system more resistant to future meltdowns, so they implemented policies that focused on risk management, capital sufficiency, transparency, and consumer protection</w:t>
      </w:r>
      <w:r w:rsidR="007C298C" w:rsidRPr="003D2646">
        <w:rPr>
          <w:rFonts w:ascii="Times New Roman" w:eastAsia="Times New Roman" w:hAnsi="Times New Roman" w:cs="Times New Roman"/>
          <w:color w:val="0D0D0D" w:themeColor="text1" w:themeTint="F2"/>
          <w:sz w:val="24"/>
          <w:szCs w:val="24"/>
        </w:rPr>
        <w:t xml:space="preserve"> (Erkens </w:t>
      </w:r>
      <w:r w:rsidR="007C298C" w:rsidRPr="003D2646">
        <w:rPr>
          <w:rFonts w:ascii="Times New Roman" w:eastAsia="Times New Roman" w:hAnsi="Times New Roman" w:cs="Times New Roman"/>
          <w:i/>
          <w:iCs/>
          <w:color w:val="0D0D0D" w:themeColor="text1" w:themeTint="F2"/>
          <w:sz w:val="24"/>
          <w:szCs w:val="24"/>
        </w:rPr>
        <w:t>et al.</w:t>
      </w:r>
      <w:r w:rsidR="007C298C" w:rsidRPr="003D2646">
        <w:rPr>
          <w:rFonts w:ascii="Times New Roman" w:eastAsia="Times New Roman" w:hAnsi="Times New Roman" w:cs="Times New Roman"/>
          <w:color w:val="0D0D0D" w:themeColor="text1" w:themeTint="F2"/>
          <w:sz w:val="24"/>
          <w:szCs w:val="24"/>
        </w:rPr>
        <w:t xml:space="preserve"> 2012)</w:t>
      </w:r>
      <w:r w:rsidRPr="003D2646">
        <w:rPr>
          <w:rFonts w:ascii="Times New Roman" w:eastAsia="Times New Roman" w:hAnsi="Times New Roman" w:cs="Times New Roman"/>
          <w:color w:val="0D0D0D" w:themeColor="text1" w:themeTint="F2"/>
          <w:sz w:val="24"/>
          <w:szCs w:val="24"/>
        </w:rPr>
        <w:t>. These changes not only attempted to avoid a repeat of the vulnerabilities that led to the crisis, but they also established the European Union (EU) as a frontrunner in the field of global financial regulation</w:t>
      </w:r>
      <w:r w:rsidR="00460393"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Barth</w:t>
      </w:r>
      <w:r w:rsidR="00460393" w:rsidRPr="003D2646">
        <w:rPr>
          <w:rFonts w:ascii="Times New Roman" w:eastAsia="Times New Roman" w:hAnsi="Times New Roman" w:cs="Times New Roman"/>
          <w:color w:val="0D0D0D" w:themeColor="text1" w:themeTint="F2"/>
          <w:sz w:val="24"/>
          <w:szCs w:val="24"/>
        </w:rPr>
        <w:t xml:space="preserve"> </w:t>
      </w:r>
      <w:r w:rsidR="00460393" w:rsidRPr="003D2646">
        <w:rPr>
          <w:rFonts w:ascii="Times New Roman" w:eastAsia="Times New Roman" w:hAnsi="Times New Roman" w:cs="Times New Roman"/>
          <w:i/>
          <w:iCs/>
          <w:color w:val="0D0D0D" w:themeColor="text1" w:themeTint="F2"/>
          <w:sz w:val="24"/>
          <w:szCs w:val="24"/>
        </w:rPr>
        <w:t>et al.</w:t>
      </w:r>
      <w:r w:rsidR="00460393" w:rsidRPr="003D2646">
        <w:rPr>
          <w:rFonts w:ascii="Times New Roman" w:eastAsia="Times New Roman" w:hAnsi="Times New Roman" w:cs="Times New Roman"/>
          <w:color w:val="0D0D0D" w:themeColor="text1" w:themeTint="F2"/>
          <w:sz w:val="24"/>
          <w:szCs w:val="24"/>
        </w:rPr>
        <w:t xml:space="preserve"> 2012)</w:t>
      </w:r>
      <w:r w:rsidRPr="003D2646">
        <w:rPr>
          <w:rFonts w:ascii="Times New Roman" w:eastAsia="Times New Roman" w:hAnsi="Times New Roman" w:cs="Times New Roman"/>
          <w:color w:val="0D0D0D" w:themeColor="text1" w:themeTint="F2"/>
          <w:sz w:val="24"/>
          <w:szCs w:val="24"/>
        </w:rPr>
        <w:t>. The EU's devotion to promoting a stable and resilient financial environment is shown by its commitment to these measures, which will be implemented.</w:t>
      </w:r>
    </w:p>
    <w:p w:rsidR="000B6B41" w:rsidRPr="003D2646" w:rsidRDefault="000B6B41" w:rsidP="00A063E8">
      <w:pPr>
        <w:pStyle w:val="Heading1"/>
        <w:rPr>
          <w:rFonts w:eastAsia="Times New Roman"/>
          <w:color w:val="0D0D0D" w:themeColor="text1" w:themeTint="F2"/>
        </w:rPr>
      </w:pPr>
      <w:bookmarkStart w:id="2" w:name="_Toc143240017"/>
      <w:r w:rsidRPr="003D2646">
        <w:rPr>
          <w:rFonts w:eastAsia="Times New Roman"/>
          <w:color w:val="0D0D0D" w:themeColor="text1" w:themeTint="F2"/>
        </w:rPr>
        <w:lastRenderedPageBreak/>
        <w:t>Key Reforms Enacted by Global Players:</w:t>
      </w:r>
      <w:bookmarkEnd w:id="2"/>
    </w:p>
    <w:p w:rsidR="00894ECA" w:rsidRPr="003D2646" w:rsidRDefault="006C334E" w:rsidP="00894ECA">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International financial institutions were motivated to </w:t>
      </w:r>
      <w:proofErr w:type="gramStart"/>
      <w:r w:rsidRPr="003D2646">
        <w:rPr>
          <w:rFonts w:ascii="Times New Roman" w:eastAsia="Times New Roman" w:hAnsi="Times New Roman" w:cs="Times New Roman"/>
          <w:color w:val="0D0D0D" w:themeColor="text1" w:themeTint="F2"/>
          <w:sz w:val="24"/>
          <w:szCs w:val="24"/>
        </w:rPr>
        <w:t>take action</w:t>
      </w:r>
      <w:proofErr w:type="gramEnd"/>
      <w:r w:rsidRPr="003D2646">
        <w:rPr>
          <w:rFonts w:ascii="Times New Roman" w:eastAsia="Times New Roman" w:hAnsi="Times New Roman" w:cs="Times New Roman"/>
          <w:color w:val="0D0D0D" w:themeColor="text1" w:themeTint="F2"/>
          <w:sz w:val="24"/>
          <w:szCs w:val="24"/>
        </w:rPr>
        <w:t xml:space="preserve"> as a result of the aftermath of the 2008 financial crisis, which resulted in a wave of changes that intended to strengthen the overall financial environment</w:t>
      </w:r>
      <w:r w:rsidR="00355B91" w:rsidRPr="003D2646">
        <w:rPr>
          <w:rFonts w:ascii="Times New Roman" w:eastAsia="Times New Roman" w:hAnsi="Times New Roman" w:cs="Times New Roman"/>
          <w:color w:val="0D0D0D" w:themeColor="text1" w:themeTint="F2"/>
          <w:sz w:val="24"/>
          <w:szCs w:val="24"/>
        </w:rPr>
        <w:t xml:space="preserve"> (Mallard and Sun, </w:t>
      </w:r>
      <w:r w:rsidR="00BA1EFA" w:rsidRPr="003D2646">
        <w:rPr>
          <w:rFonts w:ascii="Times New Roman" w:eastAsia="Times New Roman" w:hAnsi="Times New Roman" w:cs="Times New Roman"/>
          <w:color w:val="0D0D0D" w:themeColor="text1" w:themeTint="F2"/>
          <w:sz w:val="24"/>
          <w:szCs w:val="24"/>
        </w:rPr>
        <w:t>2022</w:t>
      </w:r>
      <w:r w:rsidR="00355B91"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This section goes further into the key initiatives undertaken by prominent actors such as the International Monetary Fund (IMF) and the World Bank. These initiatives represent the participants' concentrated efforts to develop a more robust and linked global financial system</w:t>
      </w:r>
      <w:r w:rsidR="00E455BA" w:rsidRPr="003D2646">
        <w:rPr>
          <w:rFonts w:ascii="Times New Roman" w:eastAsia="Times New Roman" w:hAnsi="Times New Roman" w:cs="Times New Roman"/>
          <w:color w:val="0D0D0D" w:themeColor="text1" w:themeTint="F2"/>
          <w:sz w:val="24"/>
          <w:szCs w:val="24"/>
        </w:rPr>
        <w:t xml:space="preserve"> (Angeloni and Wolff, </w:t>
      </w:r>
      <w:r w:rsidR="00BA1EFA" w:rsidRPr="003D2646">
        <w:rPr>
          <w:rFonts w:ascii="Times New Roman" w:eastAsia="Times New Roman" w:hAnsi="Times New Roman" w:cs="Times New Roman"/>
          <w:color w:val="0D0D0D" w:themeColor="text1" w:themeTint="F2"/>
          <w:sz w:val="24"/>
          <w:szCs w:val="24"/>
        </w:rPr>
        <w:t>2012</w:t>
      </w:r>
      <w:r w:rsidR="00E455BA"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w:t>
      </w:r>
      <w:r w:rsidR="00477805" w:rsidRPr="003D2646">
        <w:rPr>
          <w:rFonts w:ascii="Times New Roman" w:eastAsia="Times New Roman" w:hAnsi="Times New Roman" w:cs="Times New Roman"/>
          <w:color w:val="0D0D0D" w:themeColor="text1" w:themeTint="F2"/>
          <w:sz w:val="24"/>
          <w:szCs w:val="24"/>
        </w:rPr>
        <w:t xml:space="preserve"> </w:t>
      </w:r>
      <w:r w:rsidRPr="003D2646">
        <w:rPr>
          <w:rFonts w:ascii="Times New Roman" w:eastAsia="Times New Roman" w:hAnsi="Times New Roman" w:cs="Times New Roman"/>
          <w:color w:val="0D0D0D" w:themeColor="text1" w:themeTint="F2"/>
          <w:sz w:val="24"/>
          <w:szCs w:val="24"/>
        </w:rPr>
        <w:t>As a leading global organisation, the International Monetary Fund (IMF) has taken steps towards reforming its operations in accordance with the mandate it was given to foster monetary cooperation on a worldwide scale and maintain exchange rate stability</w:t>
      </w:r>
      <w:r w:rsidR="00122BFF" w:rsidRPr="003D2646">
        <w:rPr>
          <w:rFonts w:ascii="Times New Roman" w:eastAsia="Times New Roman" w:hAnsi="Times New Roman" w:cs="Times New Roman"/>
          <w:color w:val="0D0D0D" w:themeColor="text1" w:themeTint="F2"/>
          <w:sz w:val="24"/>
          <w:szCs w:val="24"/>
        </w:rPr>
        <w:t xml:space="preserve"> (Barth </w:t>
      </w:r>
      <w:r w:rsidR="00122BFF" w:rsidRPr="003D2646">
        <w:rPr>
          <w:rFonts w:ascii="Times New Roman" w:eastAsia="Times New Roman" w:hAnsi="Times New Roman" w:cs="Times New Roman"/>
          <w:i/>
          <w:iCs/>
          <w:color w:val="0D0D0D" w:themeColor="text1" w:themeTint="F2"/>
          <w:sz w:val="24"/>
          <w:szCs w:val="24"/>
        </w:rPr>
        <w:t>et al.</w:t>
      </w:r>
      <w:r w:rsidR="00122BFF" w:rsidRPr="003D2646">
        <w:rPr>
          <w:rFonts w:ascii="Times New Roman" w:eastAsia="Times New Roman" w:hAnsi="Times New Roman" w:cs="Times New Roman"/>
          <w:color w:val="0D0D0D" w:themeColor="text1" w:themeTint="F2"/>
          <w:sz w:val="24"/>
          <w:szCs w:val="24"/>
        </w:rPr>
        <w:t xml:space="preserve"> 2012)</w:t>
      </w:r>
      <w:r w:rsidRPr="003D2646">
        <w:rPr>
          <w:rFonts w:ascii="Times New Roman" w:eastAsia="Times New Roman" w:hAnsi="Times New Roman" w:cs="Times New Roman"/>
          <w:color w:val="0D0D0D" w:themeColor="text1" w:themeTint="F2"/>
          <w:sz w:val="24"/>
          <w:szCs w:val="24"/>
        </w:rPr>
        <w:t xml:space="preserve">. </w:t>
      </w:r>
      <w:r w:rsidR="00894ECA" w:rsidRPr="003D2646">
        <w:rPr>
          <w:rFonts w:ascii="Times New Roman" w:eastAsia="Times New Roman" w:hAnsi="Times New Roman" w:cs="Times New Roman"/>
          <w:color w:val="0D0D0D" w:themeColor="text1" w:themeTint="F2"/>
          <w:sz w:val="24"/>
          <w:szCs w:val="24"/>
        </w:rPr>
        <w:t xml:space="preserve">The International Monetary Fund (IMF) has prioritised the achievement of global financial stability and the prevention of future crises </w:t>
      </w:r>
      <w:r w:rsidR="000E3B36" w:rsidRPr="003D2646">
        <w:rPr>
          <w:rFonts w:ascii="Times New Roman" w:eastAsia="Times New Roman" w:hAnsi="Times New Roman" w:cs="Times New Roman"/>
          <w:color w:val="0D0D0D" w:themeColor="text1" w:themeTint="F2"/>
          <w:sz w:val="24"/>
          <w:szCs w:val="24"/>
        </w:rPr>
        <w:t>by considering it as the</w:t>
      </w:r>
      <w:r w:rsidR="00894ECA" w:rsidRPr="003D2646">
        <w:rPr>
          <w:rFonts w:ascii="Times New Roman" w:eastAsia="Times New Roman" w:hAnsi="Times New Roman" w:cs="Times New Roman"/>
          <w:color w:val="0D0D0D" w:themeColor="text1" w:themeTint="F2"/>
          <w:sz w:val="24"/>
          <w:szCs w:val="24"/>
        </w:rPr>
        <w:t xml:space="preserve"> fundamental </w:t>
      </w:r>
      <w:r w:rsidR="00AC407D" w:rsidRPr="003D2646">
        <w:rPr>
          <w:rFonts w:ascii="Times New Roman" w:eastAsia="Times New Roman" w:hAnsi="Times New Roman" w:cs="Times New Roman"/>
          <w:color w:val="0D0D0D" w:themeColor="text1" w:themeTint="F2"/>
          <w:sz w:val="24"/>
          <w:szCs w:val="24"/>
        </w:rPr>
        <w:t>objective</w:t>
      </w:r>
      <w:r w:rsidR="00894ECA" w:rsidRPr="003D2646">
        <w:rPr>
          <w:rFonts w:ascii="Times New Roman" w:eastAsia="Times New Roman" w:hAnsi="Times New Roman" w:cs="Times New Roman"/>
          <w:color w:val="0D0D0D" w:themeColor="text1" w:themeTint="F2"/>
          <w:sz w:val="24"/>
          <w:szCs w:val="24"/>
        </w:rPr>
        <w:t>.</w:t>
      </w:r>
      <w:r w:rsidR="007C3587" w:rsidRPr="003D2646">
        <w:rPr>
          <w:rFonts w:ascii="Times New Roman" w:eastAsia="Times New Roman" w:hAnsi="Times New Roman" w:cs="Times New Roman"/>
          <w:color w:val="0D0D0D" w:themeColor="text1" w:themeTint="F2"/>
          <w:sz w:val="24"/>
          <w:szCs w:val="24"/>
        </w:rPr>
        <w:t xml:space="preserve"> T</w:t>
      </w:r>
      <w:r w:rsidR="00894ECA" w:rsidRPr="003D2646">
        <w:rPr>
          <w:rFonts w:ascii="Times New Roman" w:eastAsia="Times New Roman" w:hAnsi="Times New Roman" w:cs="Times New Roman"/>
          <w:color w:val="0D0D0D" w:themeColor="text1" w:themeTint="F2"/>
          <w:sz w:val="24"/>
          <w:szCs w:val="24"/>
        </w:rPr>
        <w:t xml:space="preserve">he group intensified its surveillance efforts and undertook comprehensive examinations of the financial and economic conditions of the countries under its membership </w:t>
      </w:r>
      <w:r w:rsidR="007C3587" w:rsidRPr="003D2646">
        <w:rPr>
          <w:rFonts w:ascii="Times New Roman" w:eastAsia="Times New Roman" w:hAnsi="Times New Roman" w:cs="Times New Roman"/>
          <w:color w:val="0D0D0D" w:themeColor="text1" w:themeTint="F2"/>
          <w:sz w:val="24"/>
          <w:szCs w:val="24"/>
        </w:rPr>
        <w:t xml:space="preserve">in order to reach </w:t>
      </w:r>
      <w:r w:rsidR="00AC407D" w:rsidRPr="003D2646">
        <w:rPr>
          <w:rFonts w:ascii="Times New Roman" w:eastAsia="Times New Roman" w:hAnsi="Times New Roman" w:cs="Times New Roman"/>
          <w:color w:val="0D0D0D" w:themeColor="text1" w:themeTint="F2"/>
          <w:sz w:val="24"/>
          <w:szCs w:val="24"/>
        </w:rPr>
        <w:t xml:space="preserve">its </w:t>
      </w:r>
      <w:r w:rsidR="007C3587" w:rsidRPr="003D2646">
        <w:rPr>
          <w:rFonts w:ascii="Times New Roman" w:eastAsia="Times New Roman" w:hAnsi="Times New Roman" w:cs="Times New Roman"/>
          <w:color w:val="0D0D0D" w:themeColor="text1" w:themeTint="F2"/>
          <w:sz w:val="24"/>
          <w:szCs w:val="24"/>
        </w:rPr>
        <w:t xml:space="preserve">objective </w:t>
      </w:r>
      <w:r w:rsidR="00894ECA" w:rsidRPr="003D2646">
        <w:rPr>
          <w:rFonts w:ascii="Times New Roman" w:eastAsia="Times New Roman" w:hAnsi="Times New Roman" w:cs="Times New Roman"/>
          <w:color w:val="0D0D0D" w:themeColor="text1" w:themeTint="F2"/>
          <w:sz w:val="24"/>
          <w:szCs w:val="24"/>
        </w:rPr>
        <w:t xml:space="preserve">(Angeloni and Wolff, 2012). The </w:t>
      </w:r>
      <w:r w:rsidR="00A14D67" w:rsidRPr="003D2646">
        <w:rPr>
          <w:rFonts w:ascii="Times New Roman" w:eastAsia="Times New Roman" w:hAnsi="Times New Roman" w:cs="Times New Roman"/>
          <w:color w:val="0D0D0D" w:themeColor="text1" w:themeTint="F2"/>
          <w:sz w:val="24"/>
          <w:szCs w:val="24"/>
        </w:rPr>
        <w:t>result</w:t>
      </w:r>
      <w:r w:rsidR="00894ECA" w:rsidRPr="003D2646">
        <w:rPr>
          <w:rFonts w:ascii="Times New Roman" w:eastAsia="Times New Roman" w:hAnsi="Times New Roman" w:cs="Times New Roman"/>
          <w:color w:val="0D0D0D" w:themeColor="text1" w:themeTint="F2"/>
          <w:sz w:val="24"/>
          <w:szCs w:val="24"/>
        </w:rPr>
        <w:t xml:space="preserve"> of these reviews </w:t>
      </w:r>
      <w:r w:rsidR="00A14D67" w:rsidRPr="003D2646">
        <w:rPr>
          <w:rFonts w:ascii="Times New Roman" w:eastAsia="Times New Roman" w:hAnsi="Times New Roman" w:cs="Times New Roman"/>
          <w:color w:val="0D0D0D" w:themeColor="text1" w:themeTint="F2"/>
          <w:sz w:val="24"/>
          <w:szCs w:val="24"/>
        </w:rPr>
        <w:t>can</w:t>
      </w:r>
      <w:r w:rsidR="00894ECA" w:rsidRPr="003D2646">
        <w:rPr>
          <w:rFonts w:ascii="Times New Roman" w:eastAsia="Times New Roman" w:hAnsi="Times New Roman" w:cs="Times New Roman"/>
          <w:color w:val="0D0D0D" w:themeColor="text1" w:themeTint="F2"/>
          <w:sz w:val="24"/>
          <w:szCs w:val="24"/>
        </w:rPr>
        <w:t xml:space="preserve"> reveal policy deficiencies, </w:t>
      </w:r>
      <w:r w:rsidR="00445D29" w:rsidRPr="003D2646">
        <w:rPr>
          <w:rFonts w:ascii="Times New Roman" w:eastAsia="Times New Roman" w:hAnsi="Times New Roman" w:cs="Times New Roman"/>
          <w:color w:val="0D0D0D" w:themeColor="text1" w:themeTint="F2"/>
          <w:sz w:val="24"/>
          <w:szCs w:val="24"/>
        </w:rPr>
        <w:t>that can</w:t>
      </w:r>
      <w:r w:rsidR="00894ECA" w:rsidRPr="003D2646">
        <w:rPr>
          <w:rFonts w:ascii="Times New Roman" w:eastAsia="Times New Roman" w:hAnsi="Times New Roman" w:cs="Times New Roman"/>
          <w:color w:val="0D0D0D" w:themeColor="text1" w:themeTint="F2"/>
          <w:sz w:val="24"/>
          <w:szCs w:val="24"/>
        </w:rPr>
        <w:t xml:space="preserve"> be promptly identified and remedied, </w:t>
      </w:r>
      <w:r w:rsidR="00252363" w:rsidRPr="003D2646">
        <w:rPr>
          <w:rFonts w:ascii="Times New Roman" w:eastAsia="Times New Roman" w:hAnsi="Times New Roman" w:cs="Times New Roman"/>
          <w:color w:val="0D0D0D" w:themeColor="text1" w:themeTint="F2"/>
          <w:sz w:val="24"/>
          <w:szCs w:val="24"/>
        </w:rPr>
        <w:t>by</w:t>
      </w:r>
      <w:r w:rsidR="00894ECA" w:rsidRPr="003D2646">
        <w:rPr>
          <w:rFonts w:ascii="Times New Roman" w:eastAsia="Times New Roman" w:hAnsi="Times New Roman" w:cs="Times New Roman"/>
          <w:color w:val="0D0D0D" w:themeColor="text1" w:themeTint="F2"/>
          <w:sz w:val="24"/>
          <w:szCs w:val="24"/>
        </w:rPr>
        <w:t xml:space="preserve"> reducing susceptibility.</w:t>
      </w:r>
    </w:p>
    <w:p w:rsidR="00BE2A9C" w:rsidRPr="003D2646" w:rsidRDefault="00BE2A9C" w:rsidP="006F136B">
      <w:pPr>
        <w:spacing w:before="200" w:after="200" w:line="360" w:lineRule="auto"/>
        <w:jc w:val="center"/>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noProof/>
          <w:color w:val="0D0D0D" w:themeColor="text1" w:themeTint="F2"/>
          <w:sz w:val="24"/>
          <w:szCs w:val="24"/>
          <w:lang w:val="en-US" w:bidi="bn-IN"/>
        </w:rPr>
        <w:drawing>
          <wp:inline distT="0" distB="0" distL="0" distR="0" wp14:anchorId="1EDA25B4" wp14:editId="31E5243D">
            <wp:extent cx="5486400" cy="3200400"/>
            <wp:effectExtent l="0" t="0" r="952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6F136B" w:rsidRPr="003D2646" w:rsidRDefault="006F136B" w:rsidP="006F136B">
      <w:pPr>
        <w:spacing w:before="200" w:after="200" w:line="360" w:lineRule="auto"/>
        <w:jc w:val="center"/>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Figure 4: Two lending facilities of the IMF</w:t>
      </w:r>
    </w:p>
    <w:p w:rsidR="006F136B" w:rsidRPr="003D2646" w:rsidRDefault="006F136B" w:rsidP="006F136B">
      <w:pPr>
        <w:spacing w:before="200" w:after="200" w:line="360" w:lineRule="auto"/>
        <w:jc w:val="center"/>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lastRenderedPageBreak/>
        <w:t>(Source: Self-developed)</w:t>
      </w:r>
    </w:p>
    <w:p w:rsidR="00894ECA" w:rsidRPr="003D2646" w:rsidRDefault="00894ECA" w:rsidP="00894ECA">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International Monetary Fund (IMF) has</w:t>
      </w:r>
      <w:r w:rsidR="0062086D" w:rsidRPr="003D2646">
        <w:rPr>
          <w:rFonts w:ascii="Times New Roman" w:eastAsia="Times New Roman" w:hAnsi="Times New Roman" w:cs="Times New Roman"/>
          <w:color w:val="0D0D0D" w:themeColor="text1" w:themeTint="F2"/>
          <w:sz w:val="24"/>
          <w:szCs w:val="24"/>
        </w:rPr>
        <w:t xml:space="preserve"> taken</w:t>
      </w:r>
      <w:r w:rsidRPr="003D2646">
        <w:rPr>
          <w:rFonts w:ascii="Times New Roman" w:eastAsia="Times New Roman" w:hAnsi="Times New Roman" w:cs="Times New Roman"/>
          <w:color w:val="0D0D0D" w:themeColor="text1" w:themeTint="F2"/>
          <w:sz w:val="24"/>
          <w:szCs w:val="24"/>
        </w:rPr>
        <w:t xml:space="preserve"> </w:t>
      </w:r>
      <w:r w:rsidR="0062086D" w:rsidRPr="003D2646">
        <w:rPr>
          <w:rFonts w:ascii="Times New Roman" w:eastAsia="Times New Roman" w:hAnsi="Times New Roman" w:cs="Times New Roman"/>
          <w:color w:val="0D0D0D" w:themeColor="text1" w:themeTint="F2"/>
          <w:sz w:val="24"/>
          <w:szCs w:val="24"/>
        </w:rPr>
        <w:t xml:space="preserve">effective </w:t>
      </w:r>
      <w:r w:rsidRPr="003D2646">
        <w:rPr>
          <w:rFonts w:ascii="Times New Roman" w:eastAsia="Times New Roman" w:hAnsi="Times New Roman" w:cs="Times New Roman"/>
          <w:color w:val="0D0D0D" w:themeColor="text1" w:themeTint="F2"/>
          <w:sz w:val="24"/>
          <w:szCs w:val="24"/>
        </w:rPr>
        <w:t>measures to enhance the global financial safety net</w:t>
      </w:r>
      <w:r w:rsidR="00FC0053" w:rsidRPr="003D2646">
        <w:rPr>
          <w:rFonts w:ascii="Times New Roman" w:eastAsia="Times New Roman" w:hAnsi="Times New Roman" w:cs="Times New Roman"/>
          <w:color w:val="0D0D0D" w:themeColor="text1" w:themeTint="F2"/>
          <w:sz w:val="24"/>
          <w:szCs w:val="24"/>
        </w:rPr>
        <w:t>. T</w:t>
      </w:r>
      <w:r w:rsidRPr="003D2646">
        <w:rPr>
          <w:rFonts w:ascii="Times New Roman" w:eastAsia="Times New Roman" w:hAnsi="Times New Roman" w:cs="Times New Roman"/>
          <w:color w:val="0D0D0D" w:themeColor="text1" w:themeTint="F2"/>
          <w:sz w:val="24"/>
          <w:szCs w:val="24"/>
        </w:rPr>
        <w:t xml:space="preserve">he International Monetary Fund (IMF) has implemented two lending facilities known as the Flexible </w:t>
      </w:r>
      <w:r w:rsidR="00504C65" w:rsidRPr="003D2646">
        <w:rPr>
          <w:rFonts w:ascii="Times New Roman" w:eastAsia="Times New Roman" w:hAnsi="Times New Roman" w:cs="Times New Roman"/>
          <w:color w:val="0D0D0D" w:themeColor="text1" w:themeTint="F2"/>
          <w:sz w:val="24"/>
          <w:szCs w:val="24"/>
        </w:rPr>
        <w:t>Lending</w:t>
      </w:r>
      <w:r w:rsidRPr="003D2646">
        <w:rPr>
          <w:rFonts w:ascii="Times New Roman" w:eastAsia="Times New Roman" w:hAnsi="Times New Roman" w:cs="Times New Roman"/>
          <w:color w:val="0D0D0D" w:themeColor="text1" w:themeTint="F2"/>
          <w:sz w:val="24"/>
          <w:szCs w:val="24"/>
        </w:rPr>
        <w:t xml:space="preserve"> Line (FCL) and the Precautionary and Liquidity Line (PLL)</w:t>
      </w:r>
      <w:r w:rsidR="00FC0053" w:rsidRPr="003D2646">
        <w:rPr>
          <w:rFonts w:ascii="Times New Roman" w:eastAsia="Times New Roman" w:hAnsi="Times New Roman" w:cs="Times New Roman"/>
          <w:color w:val="0D0D0D" w:themeColor="text1" w:themeTint="F2"/>
          <w:sz w:val="24"/>
          <w:szCs w:val="24"/>
        </w:rPr>
        <w:t xml:space="preserve"> in order to assist eligible member nations in managing tim</w:t>
      </w:r>
      <w:r w:rsidR="0004315F" w:rsidRPr="003D2646">
        <w:rPr>
          <w:rFonts w:ascii="Times New Roman" w:eastAsia="Times New Roman" w:hAnsi="Times New Roman" w:cs="Times New Roman"/>
          <w:color w:val="0D0D0D" w:themeColor="text1" w:themeTint="F2"/>
          <w:sz w:val="24"/>
          <w:szCs w:val="24"/>
        </w:rPr>
        <w:t>es of extreme market volatility</w:t>
      </w:r>
      <w:r w:rsidRPr="003D2646">
        <w:rPr>
          <w:rFonts w:ascii="Times New Roman" w:eastAsia="Times New Roman" w:hAnsi="Times New Roman" w:cs="Times New Roman"/>
          <w:color w:val="0D0D0D" w:themeColor="text1" w:themeTint="F2"/>
          <w:sz w:val="24"/>
          <w:szCs w:val="24"/>
        </w:rPr>
        <w:t xml:space="preserve">. The </w:t>
      </w:r>
      <w:r w:rsidR="00826E94" w:rsidRPr="003D2646">
        <w:rPr>
          <w:rFonts w:ascii="Times New Roman" w:eastAsia="Times New Roman" w:hAnsi="Times New Roman" w:cs="Times New Roman"/>
          <w:color w:val="0D0D0D" w:themeColor="text1" w:themeTint="F2"/>
          <w:sz w:val="24"/>
          <w:szCs w:val="24"/>
        </w:rPr>
        <w:t>main aim</w:t>
      </w:r>
      <w:r w:rsidRPr="003D2646">
        <w:rPr>
          <w:rFonts w:ascii="Times New Roman" w:eastAsia="Times New Roman" w:hAnsi="Times New Roman" w:cs="Times New Roman"/>
          <w:color w:val="0D0D0D" w:themeColor="text1" w:themeTint="F2"/>
          <w:sz w:val="24"/>
          <w:szCs w:val="24"/>
        </w:rPr>
        <w:t xml:space="preserve"> of implementing these credit lines was to enhance trust and bolster stability with</w:t>
      </w:r>
      <w:r w:rsidR="001562E9" w:rsidRPr="003D2646">
        <w:rPr>
          <w:rFonts w:ascii="Times New Roman" w:eastAsia="Times New Roman" w:hAnsi="Times New Roman" w:cs="Times New Roman"/>
          <w:color w:val="0D0D0D" w:themeColor="text1" w:themeTint="F2"/>
          <w:sz w:val="24"/>
          <w:szCs w:val="24"/>
        </w:rPr>
        <w:t>in the global financial systems. It also includes</w:t>
      </w:r>
      <w:r w:rsidRPr="003D2646">
        <w:rPr>
          <w:rFonts w:ascii="Times New Roman" w:eastAsia="Times New Roman" w:hAnsi="Times New Roman" w:cs="Times New Roman"/>
          <w:color w:val="0D0D0D" w:themeColor="text1" w:themeTint="F2"/>
          <w:sz w:val="24"/>
          <w:szCs w:val="24"/>
        </w:rPr>
        <w:t xml:space="preserve"> mitigating the risk of cross-border transmission of a pandemic (Ercegovac et al., 2020). The World Bank, an essential agency for worldwide advancement, extended more assistance towards these endeavours. The </w:t>
      </w:r>
      <w:r w:rsidR="004F3796" w:rsidRPr="003D2646">
        <w:rPr>
          <w:rFonts w:ascii="Times New Roman" w:eastAsia="Times New Roman" w:hAnsi="Times New Roman" w:cs="Times New Roman"/>
          <w:color w:val="0D0D0D" w:themeColor="text1" w:themeTint="F2"/>
          <w:sz w:val="24"/>
          <w:szCs w:val="24"/>
        </w:rPr>
        <w:t>main</w:t>
      </w:r>
      <w:r w:rsidRPr="003D2646">
        <w:rPr>
          <w:rFonts w:ascii="Times New Roman" w:eastAsia="Times New Roman" w:hAnsi="Times New Roman" w:cs="Times New Roman"/>
          <w:color w:val="0D0D0D" w:themeColor="text1" w:themeTint="F2"/>
          <w:sz w:val="24"/>
          <w:szCs w:val="24"/>
        </w:rPr>
        <w:t xml:space="preserve"> </w:t>
      </w:r>
      <w:r w:rsidR="004F3796" w:rsidRPr="003D2646">
        <w:rPr>
          <w:rFonts w:ascii="Times New Roman" w:eastAsia="Times New Roman" w:hAnsi="Times New Roman" w:cs="Times New Roman"/>
          <w:color w:val="0D0D0D" w:themeColor="text1" w:themeTint="F2"/>
          <w:sz w:val="24"/>
          <w:szCs w:val="24"/>
        </w:rPr>
        <w:t xml:space="preserve">intention </w:t>
      </w:r>
      <w:r w:rsidRPr="003D2646">
        <w:rPr>
          <w:rFonts w:ascii="Times New Roman" w:eastAsia="Times New Roman" w:hAnsi="Times New Roman" w:cs="Times New Roman"/>
          <w:color w:val="0D0D0D" w:themeColor="text1" w:themeTint="F2"/>
          <w:sz w:val="24"/>
          <w:szCs w:val="24"/>
        </w:rPr>
        <w:t xml:space="preserve">of the World Bank's efforts was the establishment of a robust monetary infrastructure in developing countries. The Global Findex Database </w:t>
      </w:r>
      <w:r w:rsidR="00E74CC2" w:rsidRPr="003D2646">
        <w:rPr>
          <w:rFonts w:ascii="Times New Roman" w:eastAsia="Times New Roman" w:hAnsi="Times New Roman" w:cs="Times New Roman"/>
          <w:color w:val="0D0D0D" w:themeColor="text1" w:themeTint="F2"/>
          <w:sz w:val="24"/>
          <w:szCs w:val="24"/>
        </w:rPr>
        <w:t>can be entailed as a</w:t>
      </w:r>
      <w:r w:rsidRPr="003D2646">
        <w:rPr>
          <w:rFonts w:ascii="Times New Roman" w:eastAsia="Times New Roman" w:hAnsi="Times New Roman" w:cs="Times New Roman"/>
          <w:color w:val="0D0D0D" w:themeColor="text1" w:themeTint="F2"/>
          <w:sz w:val="24"/>
          <w:szCs w:val="24"/>
        </w:rPr>
        <w:t xml:space="preserve"> significant project due to its establishment via many collaborations (Angeloni and Wolff, 2012). </w:t>
      </w:r>
      <w:r w:rsidR="0009188E" w:rsidRPr="003D2646">
        <w:rPr>
          <w:rFonts w:ascii="Times New Roman" w:eastAsia="Times New Roman" w:hAnsi="Times New Roman" w:cs="Times New Roman"/>
          <w:color w:val="0D0D0D" w:themeColor="text1" w:themeTint="F2"/>
          <w:sz w:val="24"/>
          <w:szCs w:val="24"/>
        </w:rPr>
        <w:t>These databases</w:t>
      </w:r>
      <w:r w:rsidRPr="003D2646">
        <w:rPr>
          <w:rFonts w:ascii="Times New Roman" w:eastAsia="Times New Roman" w:hAnsi="Times New Roman" w:cs="Times New Roman"/>
          <w:color w:val="0D0D0D" w:themeColor="text1" w:themeTint="F2"/>
          <w:sz w:val="24"/>
          <w:szCs w:val="24"/>
        </w:rPr>
        <w:t xml:space="preserve"> offered valuable insights </w:t>
      </w:r>
      <w:r w:rsidR="00716FB0" w:rsidRPr="003D2646">
        <w:rPr>
          <w:rFonts w:ascii="Times New Roman" w:eastAsia="Times New Roman" w:hAnsi="Times New Roman" w:cs="Times New Roman"/>
          <w:color w:val="0D0D0D" w:themeColor="text1" w:themeTint="F2"/>
          <w:sz w:val="24"/>
          <w:szCs w:val="24"/>
        </w:rPr>
        <w:t>into</w:t>
      </w:r>
      <w:r w:rsidRPr="003D2646">
        <w:rPr>
          <w:rFonts w:ascii="Times New Roman" w:eastAsia="Times New Roman" w:hAnsi="Times New Roman" w:cs="Times New Roman"/>
          <w:color w:val="0D0D0D" w:themeColor="text1" w:themeTint="F2"/>
          <w:sz w:val="24"/>
          <w:szCs w:val="24"/>
        </w:rPr>
        <w:t xml:space="preserve"> global financial inclusion and the availability of banking </w:t>
      </w:r>
      <w:proofErr w:type="gramStart"/>
      <w:r w:rsidRPr="003D2646">
        <w:rPr>
          <w:rFonts w:ascii="Times New Roman" w:eastAsia="Times New Roman" w:hAnsi="Times New Roman" w:cs="Times New Roman"/>
          <w:color w:val="0D0D0D" w:themeColor="text1" w:themeTint="F2"/>
          <w:sz w:val="24"/>
          <w:szCs w:val="24"/>
        </w:rPr>
        <w:t>services,</w:t>
      </w:r>
      <w:proofErr w:type="gramEnd"/>
      <w:r w:rsidRPr="003D2646">
        <w:rPr>
          <w:rFonts w:ascii="Times New Roman" w:eastAsia="Times New Roman" w:hAnsi="Times New Roman" w:cs="Times New Roman"/>
          <w:color w:val="0D0D0D" w:themeColor="text1" w:themeTint="F2"/>
          <w:sz w:val="24"/>
          <w:szCs w:val="24"/>
        </w:rPr>
        <w:t xml:space="preserve"> </w:t>
      </w:r>
      <w:r w:rsidR="00EC7063" w:rsidRPr="003D2646">
        <w:rPr>
          <w:rFonts w:ascii="Times New Roman" w:eastAsia="Times New Roman" w:hAnsi="Times New Roman" w:cs="Times New Roman"/>
          <w:color w:val="0D0D0D" w:themeColor="text1" w:themeTint="F2"/>
          <w:sz w:val="24"/>
          <w:szCs w:val="24"/>
        </w:rPr>
        <w:t>therefore it has helped in</w:t>
      </w:r>
      <w:r w:rsidRPr="003D2646">
        <w:rPr>
          <w:rFonts w:ascii="Times New Roman" w:eastAsia="Times New Roman" w:hAnsi="Times New Roman" w:cs="Times New Roman"/>
          <w:color w:val="0D0D0D" w:themeColor="text1" w:themeTint="F2"/>
          <w:sz w:val="24"/>
          <w:szCs w:val="24"/>
        </w:rPr>
        <w:t xml:space="preserve"> facilitating the formulation of more focused policy interventions by policymakers.</w:t>
      </w:r>
    </w:p>
    <w:p w:rsidR="00894ECA" w:rsidRPr="003D2646" w:rsidRDefault="00894ECA" w:rsidP="00894ECA">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Furthermore, it </w:t>
      </w:r>
      <w:r w:rsidR="00FB466E" w:rsidRPr="003D2646">
        <w:rPr>
          <w:rFonts w:ascii="Times New Roman" w:eastAsia="Times New Roman" w:hAnsi="Times New Roman" w:cs="Times New Roman"/>
          <w:color w:val="0D0D0D" w:themeColor="text1" w:themeTint="F2"/>
          <w:sz w:val="24"/>
          <w:szCs w:val="24"/>
        </w:rPr>
        <w:t>can be noted</w:t>
      </w:r>
      <w:r w:rsidRPr="003D2646">
        <w:rPr>
          <w:rFonts w:ascii="Times New Roman" w:eastAsia="Times New Roman" w:hAnsi="Times New Roman" w:cs="Times New Roman"/>
          <w:color w:val="0D0D0D" w:themeColor="text1" w:themeTint="F2"/>
          <w:sz w:val="24"/>
          <w:szCs w:val="24"/>
        </w:rPr>
        <w:t xml:space="preserve"> that the Financial Sector Assessment Programme (FSAP) was strongly advocated by t</w:t>
      </w:r>
      <w:r w:rsidR="00716FB0" w:rsidRPr="003D2646">
        <w:rPr>
          <w:rFonts w:ascii="Times New Roman" w:eastAsia="Times New Roman" w:hAnsi="Times New Roman" w:cs="Times New Roman"/>
          <w:color w:val="0D0D0D" w:themeColor="text1" w:themeTint="F2"/>
          <w:sz w:val="24"/>
          <w:szCs w:val="24"/>
        </w:rPr>
        <w:t>he World Bank. This programme</w:t>
      </w:r>
      <w:r w:rsidRPr="003D2646">
        <w:rPr>
          <w:rFonts w:ascii="Times New Roman" w:eastAsia="Times New Roman" w:hAnsi="Times New Roman" w:cs="Times New Roman"/>
          <w:color w:val="0D0D0D" w:themeColor="text1" w:themeTint="F2"/>
          <w:sz w:val="24"/>
          <w:szCs w:val="24"/>
        </w:rPr>
        <w:t xml:space="preserve"> included a cooperative effort between the International Monetary</w:t>
      </w:r>
      <w:r w:rsidR="00A24AFC" w:rsidRPr="003D2646">
        <w:rPr>
          <w:rFonts w:ascii="Times New Roman" w:eastAsia="Times New Roman" w:hAnsi="Times New Roman" w:cs="Times New Roman"/>
          <w:color w:val="0D0D0D" w:themeColor="text1" w:themeTint="F2"/>
          <w:sz w:val="24"/>
          <w:szCs w:val="24"/>
        </w:rPr>
        <w:t xml:space="preserve"> Fund (IMF) and the World Bank by aiming </w:t>
      </w:r>
      <w:r w:rsidRPr="003D2646">
        <w:rPr>
          <w:rFonts w:ascii="Times New Roman" w:eastAsia="Times New Roman" w:hAnsi="Times New Roman" w:cs="Times New Roman"/>
          <w:color w:val="0D0D0D" w:themeColor="text1" w:themeTint="F2"/>
          <w:sz w:val="24"/>
          <w:szCs w:val="24"/>
        </w:rPr>
        <w:t>to undertake thorough evaluations of the financial systems of various countries (</w:t>
      </w:r>
      <w:proofErr w:type="spellStart"/>
      <w:r w:rsidRPr="003D2646">
        <w:rPr>
          <w:rFonts w:ascii="Times New Roman" w:eastAsia="Times New Roman" w:hAnsi="Times New Roman" w:cs="Times New Roman"/>
          <w:color w:val="0D0D0D" w:themeColor="text1" w:themeTint="F2"/>
          <w:sz w:val="24"/>
          <w:szCs w:val="24"/>
        </w:rPr>
        <w:t>Derbali</w:t>
      </w:r>
      <w:proofErr w:type="spellEnd"/>
      <w:r w:rsidRPr="003D2646">
        <w:rPr>
          <w:rFonts w:ascii="Times New Roman" w:eastAsia="Times New Roman" w:hAnsi="Times New Roman" w:cs="Times New Roman"/>
          <w:color w:val="0D0D0D" w:themeColor="text1" w:themeTint="F2"/>
          <w:sz w:val="24"/>
          <w:szCs w:val="24"/>
        </w:rPr>
        <w:t xml:space="preserve"> and </w:t>
      </w:r>
      <w:proofErr w:type="spellStart"/>
      <w:r w:rsidRPr="003D2646">
        <w:rPr>
          <w:rFonts w:ascii="Times New Roman" w:eastAsia="Times New Roman" w:hAnsi="Times New Roman" w:cs="Times New Roman"/>
          <w:color w:val="0D0D0D" w:themeColor="text1" w:themeTint="F2"/>
          <w:sz w:val="24"/>
          <w:szCs w:val="24"/>
        </w:rPr>
        <w:t>Hallara</w:t>
      </w:r>
      <w:proofErr w:type="spellEnd"/>
      <w:r w:rsidRPr="003D2646">
        <w:rPr>
          <w:rFonts w:ascii="Times New Roman" w:eastAsia="Times New Roman" w:hAnsi="Times New Roman" w:cs="Times New Roman"/>
          <w:color w:val="0D0D0D" w:themeColor="text1" w:themeTint="F2"/>
          <w:sz w:val="24"/>
          <w:szCs w:val="24"/>
        </w:rPr>
        <w:t xml:space="preserve">, 2016). A comprehensive analysis </w:t>
      </w:r>
      <w:r w:rsidR="000F3F6C" w:rsidRPr="003D2646">
        <w:rPr>
          <w:rFonts w:ascii="Times New Roman" w:eastAsia="Times New Roman" w:hAnsi="Times New Roman" w:cs="Times New Roman"/>
          <w:color w:val="0D0D0D" w:themeColor="text1" w:themeTint="F2"/>
          <w:sz w:val="24"/>
          <w:szCs w:val="24"/>
        </w:rPr>
        <w:t>has been initiated</w:t>
      </w:r>
      <w:r w:rsidRPr="003D2646">
        <w:rPr>
          <w:rFonts w:ascii="Times New Roman" w:eastAsia="Times New Roman" w:hAnsi="Times New Roman" w:cs="Times New Roman"/>
          <w:color w:val="0D0D0D" w:themeColor="text1" w:themeTint="F2"/>
          <w:sz w:val="24"/>
          <w:szCs w:val="24"/>
        </w:rPr>
        <w:t xml:space="preserve"> to assess the effectiveness of regulatory frameworks, risk management protocols, and systemic vulnerabilities. The </w:t>
      </w:r>
      <w:r w:rsidR="00165CA7" w:rsidRPr="003D2646">
        <w:rPr>
          <w:rFonts w:ascii="Times New Roman" w:eastAsia="Times New Roman" w:hAnsi="Times New Roman" w:cs="Times New Roman"/>
          <w:color w:val="0D0D0D" w:themeColor="text1" w:themeTint="F2"/>
          <w:sz w:val="24"/>
          <w:szCs w:val="24"/>
        </w:rPr>
        <w:t>main motive</w:t>
      </w:r>
      <w:r w:rsidRPr="003D2646">
        <w:rPr>
          <w:rFonts w:ascii="Times New Roman" w:eastAsia="Times New Roman" w:hAnsi="Times New Roman" w:cs="Times New Roman"/>
          <w:color w:val="0D0D0D" w:themeColor="text1" w:themeTint="F2"/>
          <w:sz w:val="24"/>
          <w:szCs w:val="24"/>
        </w:rPr>
        <w:t xml:space="preserve"> of the Financial System Assessment Programme (FSAP) is to enhance the stability and resilience of financial systems in both developed and developing countries by identifying deficiencies and providing specific suggestions for improvement (Ercegovac et al., 2020).</w:t>
      </w:r>
    </w:p>
    <w:p w:rsidR="006C334E" w:rsidRPr="003D2646" w:rsidRDefault="00894ECA" w:rsidP="00894ECA">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The international community </w:t>
      </w:r>
      <w:r w:rsidR="00721813" w:rsidRPr="003D2646">
        <w:rPr>
          <w:rFonts w:ascii="Times New Roman" w:eastAsia="Times New Roman" w:hAnsi="Times New Roman" w:cs="Times New Roman"/>
          <w:color w:val="0D0D0D" w:themeColor="text1" w:themeTint="F2"/>
          <w:sz w:val="24"/>
          <w:szCs w:val="24"/>
        </w:rPr>
        <w:t xml:space="preserve">has </w:t>
      </w:r>
      <w:r w:rsidRPr="003D2646">
        <w:rPr>
          <w:rFonts w:ascii="Times New Roman" w:eastAsia="Times New Roman" w:hAnsi="Times New Roman" w:cs="Times New Roman"/>
          <w:color w:val="0D0D0D" w:themeColor="text1" w:themeTint="F2"/>
          <w:sz w:val="24"/>
          <w:szCs w:val="24"/>
        </w:rPr>
        <w:t xml:space="preserve">engaged in collaborative efforts </w:t>
      </w:r>
      <w:r w:rsidR="00721813" w:rsidRPr="003D2646">
        <w:rPr>
          <w:rFonts w:ascii="Times New Roman" w:eastAsia="Times New Roman" w:hAnsi="Times New Roman" w:cs="Times New Roman"/>
          <w:color w:val="0D0D0D" w:themeColor="text1" w:themeTint="F2"/>
          <w:sz w:val="24"/>
          <w:szCs w:val="24"/>
        </w:rPr>
        <w:t xml:space="preserve">which </w:t>
      </w:r>
      <w:r w:rsidR="001D57AC" w:rsidRPr="003D2646">
        <w:rPr>
          <w:rFonts w:ascii="Times New Roman" w:eastAsia="Times New Roman" w:hAnsi="Times New Roman" w:cs="Times New Roman"/>
          <w:color w:val="0D0D0D" w:themeColor="text1" w:themeTint="F2"/>
          <w:sz w:val="24"/>
          <w:szCs w:val="24"/>
        </w:rPr>
        <w:t>have</w:t>
      </w:r>
      <w:r w:rsidR="00721813" w:rsidRPr="003D2646">
        <w:rPr>
          <w:rFonts w:ascii="Times New Roman" w:eastAsia="Times New Roman" w:hAnsi="Times New Roman" w:cs="Times New Roman"/>
          <w:color w:val="0D0D0D" w:themeColor="text1" w:themeTint="F2"/>
          <w:sz w:val="24"/>
          <w:szCs w:val="24"/>
        </w:rPr>
        <w:t xml:space="preserve"> been </w:t>
      </w:r>
      <w:r w:rsidRPr="003D2646">
        <w:rPr>
          <w:rFonts w:ascii="Times New Roman" w:eastAsia="Times New Roman" w:hAnsi="Times New Roman" w:cs="Times New Roman"/>
          <w:color w:val="0D0D0D" w:themeColor="text1" w:themeTint="F2"/>
          <w:sz w:val="24"/>
          <w:szCs w:val="24"/>
        </w:rPr>
        <w:t>extended beyond the scope of officially formed organisations.</w:t>
      </w:r>
      <w:r w:rsidR="006C334E" w:rsidRPr="003D2646">
        <w:rPr>
          <w:rFonts w:ascii="Times New Roman" w:eastAsia="Times New Roman" w:hAnsi="Times New Roman" w:cs="Times New Roman"/>
          <w:color w:val="0D0D0D" w:themeColor="text1" w:themeTint="F2"/>
          <w:sz w:val="24"/>
          <w:szCs w:val="24"/>
        </w:rPr>
        <w:t xml:space="preserve"> As a framework for strengthening collaboration and coordination, the Financial Stability Board (FSB) is comprised of international organisations, as well as regulatory bodies and central banks</w:t>
      </w:r>
      <w:r w:rsidR="00321047" w:rsidRPr="003D2646">
        <w:rPr>
          <w:rFonts w:ascii="Times New Roman" w:eastAsia="Times New Roman" w:hAnsi="Times New Roman" w:cs="Times New Roman"/>
          <w:color w:val="0D0D0D" w:themeColor="text1" w:themeTint="F2"/>
          <w:sz w:val="24"/>
          <w:szCs w:val="24"/>
        </w:rPr>
        <w:t xml:space="preserve"> (</w:t>
      </w:r>
      <w:proofErr w:type="spellStart"/>
      <w:r w:rsidR="00321047" w:rsidRPr="003D2646">
        <w:rPr>
          <w:rFonts w:ascii="Times New Roman" w:eastAsia="Times New Roman" w:hAnsi="Times New Roman" w:cs="Times New Roman"/>
          <w:color w:val="0D0D0D" w:themeColor="text1" w:themeTint="F2"/>
          <w:sz w:val="24"/>
          <w:szCs w:val="24"/>
        </w:rPr>
        <w:t>Derbali</w:t>
      </w:r>
      <w:proofErr w:type="spellEnd"/>
      <w:r w:rsidR="00321047" w:rsidRPr="003D2646">
        <w:rPr>
          <w:rFonts w:ascii="Times New Roman" w:eastAsia="Times New Roman" w:hAnsi="Times New Roman" w:cs="Times New Roman"/>
          <w:color w:val="0D0D0D" w:themeColor="text1" w:themeTint="F2"/>
          <w:sz w:val="24"/>
          <w:szCs w:val="24"/>
        </w:rPr>
        <w:t xml:space="preserve"> and </w:t>
      </w:r>
      <w:proofErr w:type="spellStart"/>
      <w:r w:rsidR="00321047" w:rsidRPr="003D2646">
        <w:rPr>
          <w:rFonts w:ascii="Times New Roman" w:eastAsia="Times New Roman" w:hAnsi="Times New Roman" w:cs="Times New Roman"/>
          <w:color w:val="0D0D0D" w:themeColor="text1" w:themeTint="F2"/>
          <w:sz w:val="24"/>
          <w:szCs w:val="24"/>
        </w:rPr>
        <w:t>Hallara</w:t>
      </w:r>
      <w:proofErr w:type="spellEnd"/>
      <w:r w:rsidR="00321047"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2016</w:t>
      </w:r>
      <w:r w:rsidR="00321047" w:rsidRPr="003D2646">
        <w:rPr>
          <w:rFonts w:ascii="Times New Roman" w:eastAsia="Times New Roman" w:hAnsi="Times New Roman" w:cs="Times New Roman"/>
          <w:color w:val="0D0D0D" w:themeColor="text1" w:themeTint="F2"/>
          <w:sz w:val="24"/>
          <w:szCs w:val="24"/>
        </w:rPr>
        <w:t>)</w:t>
      </w:r>
      <w:r w:rsidR="006C334E" w:rsidRPr="003D2646">
        <w:rPr>
          <w:rFonts w:ascii="Times New Roman" w:eastAsia="Times New Roman" w:hAnsi="Times New Roman" w:cs="Times New Roman"/>
          <w:color w:val="0D0D0D" w:themeColor="text1" w:themeTint="F2"/>
          <w:sz w:val="24"/>
          <w:szCs w:val="24"/>
        </w:rPr>
        <w:t xml:space="preserve">. The Financial Stability Board (FSB) took on a crucial role in the process of establishing international standards and supporting the most effective </w:t>
      </w:r>
      <w:r w:rsidR="00385017" w:rsidRPr="003D2646">
        <w:rPr>
          <w:rFonts w:ascii="Times New Roman" w:eastAsia="Times New Roman" w:hAnsi="Times New Roman" w:cs="Times New Roman"/>
          <w:color w:val="0D0D0D" w:themeColor="text1" w:themeTint="F2"/>
          <w:sz w:val="24"/>
          <w:szCs w:val="24"/>
        </w:rPr>
        <w:t>practices</w:t>
      </w:r>
      <w:r w:rsidR="006C334E" w:rsidRPr="003D2646">
        <w:rPr>
          <w:rFonts w:ascii="Times New Roman" w:eastAsia="Times New Roman" w:hAnsi="Times New Roman" w:cs="Times New Roman"/>
          <w:color w:val="0D0D0D" w:themeColor="text1" w:themeTint="F2"/>
          <w:sz w:val="24"/>
          <w:szCs w:val="24"/>
        </w:rPr>
        <w:t xml:space="preserve"> in the area of financial regulation and supervision. Its efforts were centred on detecting systemic risks, improving transparency, and </w:t>
      </w:r>
      <w:r w:rsidR="006C334E" w:rsidRPr="003D2646">
        <w:rPr>
          <w:rFonts w:ascii="Times New Roman" w:eastAsia="Times New Roman" w:hAnsi="Times New Roman" w:cs="Times New Roman"/>
          <w:color w:val="0D0D0D" w:themeColor="text1" w:themeTint="F2"/>
          <w:sz w:val="24"/>
          <w:szCs w:val="24"/>
        </w:rPr>
        <w:lastRenderedPageBreak/>
        <w:t>fixing regulatory deficiencies that may possibly cause more crises in the future</w:t>
      </w:r>
      <w:r w:rsidR="001714EA" w:rsidRPr="003D2646">
        <w:rPr>
          <w:rFonts w:ascii="Times New Roman" w:eastAsia="Times New Roman" w:hAnsi="Times New Roman" w:cs="Times New Roman"/>
          <w:color w:val="0D0D0D" w:themeColor="text1" w:themeTint="F2"/>
          <w:sz w:val="24"/>
          <w:szCs w:val="24"/>
        </w:rPr>
        <w:t xml:space="preserve"> (Ercegovac </w:t>
      </w:r>
      <w:r w:rsidR="001714EA" w:rsidRPr="003D2646">
        <w:rPr>
          <w:rFonts w:ascii="Times New Roman" w:eastAsia="Times New Roman" w:hAnsi="Times New Roman" w:cs="Times New Roman"/>
          <w:i/>
          <w:iCs/>
          <w:color w:val="0D0D0D" w:themeColor="text1" w:themeTint="F2"/>
          <w:sz w:val="24"/>
          <w:szCs w:val="24"/>
        </w:rPr>
        <w:t>et al.</w:t>
      </w:r>
      <w:r w:rsidR="001714EA" w:rsidRPr="003D2646">
        <w:rPr>
          <w:rFonts w:ascii="Times New Roman" w:eastAsia="Times New Roman" w:hAnsi="Times New Roman" w:cs="Times New Roman"/>
          <w:color w:val="0D0D0D" w:themeColor="text1" w:themeTint="F2"/>
          <w:sz w:val="24"/>
          <w:szCs w:val="24"/>
        </w:rPr>
        <w:t xml:space="preserve"> 2020)</w:t>
      </w:r>
      <w:r w:rsidR="006C334E" w:rsidRPr="003D2646">
        <w:rPr>
          <w:rFonts w:ascii="Times New Roman" w:eastAsia="Times New Roman" w:hAnsi="Times New Roman" w:cs="Times New Roman"/>
          <w:color w:val="0D0D0D" w:themeColor="text1" w:themeTint="F2"/>
          <w:sz w:val="24"/>
          <w:szCs w:val="24"/>
        </w:rPr>
        <w:t>.</w:t>
      </w:r>
    </w:p>
    <w:p w:rsidR="005569B3" w:rsidRPr="003D2646" w:rsidRDefault="00385017" w:rsidP="006C334E">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Therefore</w:t>
      </w:r>
      <w:r w:rsidR="006C334E" w:rsidRPr="003D2646">
        <w:rPr>
          <w:rFonts w:ascii="Times New Roman" w:eastAsia="Times New Roman" w:hAnsi="Times New Roman" w:cs="Times New Roman"/>
          <w:color w:val="0D0D0D" w:themeColor="text1" w:themeTint="F2"/>
          <w:sz w:val="24"/>
          <w:szCs w:val="24"/>
        </w:rPr>
        <w:t>, the years after the financial crisis of 2008 were marked by a determined effort on the part of international financial institutions to strengthen the global financial system</w:t>
      </w:r>
      <w:r w:rsidR="0050421C" w:rsidRPr="003D2646">
        <w:rPr>
          <w:rFonts w:ascii="Times New Roman" w:eastAsia="Times New Roman" w:hAnsi="Times New Roman" w:cs="Times New Roman"/>
          <w:color w:val="0D0D0D" w:themeColor="text1" w:themeTint="F2"/>
          <w:sz w:val="24"/>
          <w:szCs w:val="24"/>
        </w:rPr>
        <w:t xml:space="preserve"> (Paulet and </w:t>
      </w:r>
      <w:proofErr w:type="spellStart"/>
      <w:r w:rsidR="0050421C" w:rsidRPr="003D2646">
        <w:rPr>
          <w:rFonts w:ascii="Times New Roman" w:eastAsia="Times New Roman" w:hAnsi="Times New Roman" w:cs="Times New Roman"/>
          <w:color w:val="0D0D0D" w:themeColor="text1" w:themeTint="F2"/>
          <w:sz w:val="24"/>
          <w:szCs w:val="24"/>
        </w:rPr>
        <w:t>Mavoori</w:t>
      </w:r>
      <w:proofErr w:type="spellEnd"/>
      <w:r w:rsidR="0050421C"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2019</w:t>
      </w:r>
      <w:r w:rsidR="0050421C" w:rsidRPr="003D2646">
        <w:rPr>
          <w:rFonts w:ascii="Times New Roman" w:eastAsia="Times New Roman" w:hAnsi="Times New Roman" w:cs="Times New Roman"/>
          <w:color w:val="0D0D0D" w:themeColor="text1" w:themeTint="F2"/>
          <w:sz w:val="24"/>
          <w:szCs w:val="24"/>
        </w:rPr>
        <w:t>)</w:t>
      </w:r>
      <w:r w:rsidR="006C334E" w:rsidRPr="003D2646">
        <w:rPr>
          <w:rFonts w:ascii="Times New Roman" w:eastAsia="Times New Roman" w:hAnsi="Times New Roman" w:cs="Times New Roman"/>
          <w:color w:val="0D0D0D" w:themeColor="text1" w:themeTint="F2"/>
          <w:sz w:val="24"/>
          <w:szCs w:val="24"/>
        </w:rPr>
        <w:t>. The increased supervision and the construction of financial safety nets by the International Monetary Fund (IMF), together with the emphasis on financial inclusion and sector evaluations by the World Bank, were all attempts to avert a repetition of the vulnerabilities that led to the financial crisis</w:t>
      </w:r>
      <w:r w:rsidR="00AF7512" w:rsidRPr="003D2646">
        <w:rPr>
          <w:rFonts w:ascii="Times New Roman" w:eastAsia="Times New Roman" w:hAnsi="Times New Roman" w:cs="Times New Roman"/>
          <w:color w:val="0D0D0D" w:themeColor="text1" w:themeTint="F2"/>
          <w:sz w:val="24"/>
          <w:szCs w:val="24"/>
        </w:rPr>
        <w:t xml:space="preserve"> (</w:t>
      </w:r>
      <w:proofErr w:type="spellStart"/>
      <w:r w:rsidR="00AF7512" w:rsidRPr="003D2646">
        <w:rPr>
          <w:rFonts w:ascii="Times New Roman" w:eastAsia="Times New Roman" w:hAnsi="Times New Roman" w:cs="Times New Roman"/>
          <w:color w:val="0D0D0D" w:themeColor="text1" w:themeTint="F2"/>
          <w:sz w:val="24"/>
          <w:szCs w:val="24"/>
        </w:rPr>
        <w:t>Derbali</w:t>
      </w:r>
      <w:proofErr w:type="spellEnd"/>
      <w:r w:rsidR="00AF7512" w:rsidRPr="003D2646">
        <w:rPr>
          <w:rFonts w:ascii="Times New Roman" w:eastAsia="Times New Roman" w:hAnsi="Times New Roman" w:cs="Times New Roman"/>
          <w:color w:val="0D0D0D" w:themeColor="text1" w:themeTint="F2"/>
          <w:sz w:val="24"/>
          <w:szCs w:val="24"/>
        </w:rPr>
        <w:t xml:space="preserve"> and </w:t>
      </w:r>
      <w:proofErr w:type="spellStart"/>
      <w:r w:rsidR="00AF7512" w:rsidRPr="003D2646">
        <w:rPr>
          <w:rFonts w:ascii="Times New Roman" w:eastAsia="Times New Roman" w:hAnsi="Times New Roman" w:cs="Times New Roman"/>
          <w:color w:val="0D0D0D" w:themeColor="text1" w:themeTint="F2"/>
          <w:sz w:val="24"/>
          <w:szCs w:val="24"/>
        </w:rPr>
        <w:t>Hallara</w:t>
      </w:r>
      <w:proofErr w:type="spellEnd"/>
      <w:r w:rsidR="00AF7512" w:rsidRPr="003D2646">
        <w:rPr>
          <w:rFonts w:ascii="Times New Roman" w:eastAsia="Times New Roman" w:hAnsi="Times New Roman" w:cs="Times New Roman"/>
          <w:color w:val="0D0D0D" w:themeColor="text1" w:themeTint="F2"/>
          <w:sz w:val="24"/>
          <w:szCs w:val="24"/>
        </w:rPr>
        <w:t>, 2016)</w:t>
      </w:r>
      <w:r w:rsidR="006C334E" w:rsidRPr="003D2646">
        <w:rPr>
          <w:rFonts w:ascii="Times New Roman" w:eastAsia="Times New Roman" w:hAnsi="Times New Roman" w:cs="Times New Roman"/>
          <w:color w:val="0D0D0D" w:themeColor="text1" w:themeTint="F2"/>
          <w:sz w:val="24"/>
          <w:szCs w:val="24"/>
        </w:rPr>
        <w:t>. The strategy of working together, as typified by the Financial Stability Board, placed an emphasis on coordinated efforts to create a more robust, linked, and stable worldwide financial ecosystem</w:t>
      </w:r>
      <w:r w:rsidR="000B1489" w:rsidRPr="003D2646">
        <w:rPr>
          <w:rFonts w:ascii="Times New Roman" w:eastAsia="Times New Roman" w:hAnsi="Times New Roman" w:cs="Times New Roman"/>
          <w:color w:val="0D0D0D" w:themeColor="text1" w:themeTint="F2"/>
          <w:sz w:val="24"/>
          <w:szCs w:val="24"/>
        </w:rPr>
        <w:t xml:space="preserve"> (James and Quaglia, </w:t>
      </w:r>
      <w:r w:rsidR="00BA1EFA" w:rsidRPr="003D2646">
        <w:rPr>
          <w:rFonts w:ascii="Times New Roman" w:eastAsia="Times New Roman" w:hAnsi="Times New Roman" w:cs="Times New Roman"/>
          <w:color w:val="0D0D0D" w:themeColor="text1" w:themeTint="F2"/>
          <w:sz w:val="24"/>
          <w:szCs w:val="24"/>
        </w:rPr>
        <w:t>2021</w:t>
      </w:r>
      <w:r w:rsidR="000B1489" w:rsidRPr="003D2646">
        <w:rPr>
          <w:rFonts w:ascii="Times New Roman" w:eastAsia="Times New Roman" w:hAnsi="Times New Roman" w:cs="Times New Roman"/>
          <w:color w:val="0D0D0D" w:themeColor="text1" w:themeTint="F2"/>
          <w:sz w:val="24"/>
          <w:szCs w:val="24"/>
        </w:rPr>
        <w:t>)</w:t>
      </w:r>
      <w:r w:rsidR="006C334E" w:rsidRPr="003D2646">
        <w:rPr>
          <w:rFonts w:ascii="Times New Roman" w:eastAsia="Times New Roman" w:hAnsi="Times New Roman" w:cs="Times New Roman"/>
          <w:color w:val="0D0D0D" w:themeColor="text1" w:themeTint="F2"/>
          <w:sz w:val="24"/>
          <w:szCs w:val="24"/>
        </w:rPr>
        <w:t>. These changes highlighted the resolve of global participants to reduce the risks posed to the economic system as a whole and to foster economic development that is sustainable on a global scale.</w:t>
      </w:r>
    </w:p>
    <w:p w:rsidR="0020402F" w:rsidRPr="003D2646" w:rsidRDefault="0020402F" w:rsidP="00A063E8">
      <w:pPr>
        <w:pStyle w:val="Heading1"/>
        <w:rPr>
          <w:rFonts w:eastAsia="Times New Roman"/>
          <w:color w:val="0D0D0D" w:themeColor="text1" w:themeTint="F2"/>
        </w:rPr>
      </w:pPr>
      <w:bookmarkStart w:id="3" w:name="_Toc143240018"/>
      <w:r w:rsidRPr="003D2646">
        <w:rPr>
          <w:rFonts w:eastAsia="Times New Roman"/>
          <w:color w:val="0D0D0D" w:themeColor="text1" w:themeTint="F2"/>
        </w:rPr>
        <w:t>Critical Review of Reform Impact:</w:t>
      </w:r>
      <w:bookmarkEnd w:id="3"/>
    </w:p>
    <w:p w:rsidR="0020402F" w:rsidRPr="003D2646" w:rsidRDefault="0020402F" w:rsidP="0020402F">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A comprehensive analysis of the changes that were implemented in the wake of the financial crisis that occurred in 2008 demonstrates that they had a mixed influence on the process of stabilising the financial system and individual banking institutions</w:t>
      </w:r>
      <w:r w:rsidR="008073F7"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Gutiérrez-L</w:t>
      </w:r>
      <w:r w:rsidR="008073F7" w:rsidRPr="003D2646">
        <w:rPr>
          <w:rFonts w:ascii="Times New Roman" w:eastAsia="Times New Roman" w:hAnsi="Times New Roman" w:cs="Times New Roman"/>
          <w:color w:val="0D0D0D" w:themeColor="text1" w:themeTint="F2"/>
          <w:sz w:val="24"/>
          <w:szCs w:val="24"/>
        </w:rPr>
        <w:t xml:space="preserve">ópez and Abad-González, </w:t>
      </w:r>
      <w:r w:rsidR="00BA1EFA" w:rsidRPr="003D2646">
        <w:rPr>
          <w:rFonts w:ascii="Times New Roman" w:eastAsia="Times New Roman" w:hAnsi="Times New Roman" w:cs="Times New Roman"/>
          <w:color w:val="0D0D0D" w:themeColor="text1" w:themeTint="F2"/>
          <w:sz w:val="24"/>
          <w:szCs w:val="24"/>
        </w:rPr>
        <w:t>2020</w:t>
      </w:r>
      <w:r w:rsidR="008073F7"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xml:space="preserve">. It is necessary to conduct an all-encompassing analysis of the efficacy of the reforms because of the diverse character of the changes, which encompasses risk assessment, enhancements to transparency, and adjustments in banking </w:t>
      </w:r>
      <w:r w:rsidR="00FE0027" w:rsidRPr="003D2646">
        <w:rPr>
          <w:rFonts w:ascii="Times New Roman" w:eastAsia="Times New Roman" w:hAnsi="Times New Roman" w:cs="Times New Roman"/>
          <w:color w:val="0D0D0D" w:themeColor="text1" w:themeTint="F2"/>
          <w:sz w:val="24"/>
          <w:szCs w:val="24"/>
        </w:rPr>
        <w:t>practices</w:t>
      </w:r>
      <w:r w:rsidRPr="003D2646">
        <w:rPr>
          <w:rFonts w:ascii="Times New Roman" w:eastAsia="Times New Roman" w:hAnsi="Times New Roman" w:cs="Times New Roman"/>
          <w:color w:val="0D0D0D" w:themeColor="text1" w:themeTint="F2"/>
          <w:sz w:val="24"/>
          <w:szCs w:val="24"/>
        </w:rPr>
        <w:t>.</w:t>
      </w:r>
    </w:p>
    <w:p w:rsidR="0020402F" w:rsidRPr="003D2646" w:rsidRDefault="0020402F" w:rsidP="0020402F">
      <w:pPr>
        <w:spacing w:before="200" w:after="200" w:line="360" w:lineRule="auto"/>
        <w:jc w:val="both"/>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Improved Risk Assessment:</w:t>
      </w:r>
    </w:p>
    <w:p w:rsidR="003E1BD0" w:rsidRPr="003D2646" w:rsidRDefault="0020402F" w:rsidP="0020402F">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The reforms brought in a variety of new processes that were designed to improve risk assessment and management within the financial </w:t>
      </w:r>
      <w:proofErr w:type="gramStart"/>
      <w:r w:rsidRPr="003D2646">
        <w:rPr>
          <w:rFonts w:ascii="Times New Roman" w:eastAsia="Times New Roman" w:hAnsi="Times New Roman" w:cs="Times New Roman"/>
          <w:color w:val="0D0D0D" w:themeColor="text1" w:themeTint="F2"/>
          <w:sz w:val="24"/>
          <w:szCs w:val="24"/>
        </w:rPr>
        <w:t>sector as a whole</w:t>
      </w:r>
      <w:proofErr w:type="gramEnd"/>
      <w:r w:rsidRPr="003D2646">
        <w:rPr>
          <w:rFonts w:ascii="Times New Roman" w:eastAsia="Times New Roman" w:hAnsi="Times New Roman" w:cs="Times New Roman"/>
          <w:color w:val="0D0D0D" w:themeColor="text1" w:themeTint="F2"/>
          <w:sz w:val="24"/>
          <w:szCs w:val="24"/>
        </w:rPr>
        <w:t xml:space="preserve">. </w:t>
      </w:r>
    </w:p>
    <w:p w:rsidR="003E1BD0" w:rsidRPr="003D2646" w:rsidRDefault="003E1BD0" w:rsidP="00644ECC">
      <w:pPr>
        <w:spacing w:before="200" w:after="200" w:line="360" w:lineRule="auto"/>
        <w:jc w:val="center"/>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noProof/>
          <w:color w:val="0D0D0D" w:themeColor="text1" w:themeTint="F2"/>
          <w:sz w:val="24"/>
          <w:szCs w:val="24"/>
        </w:rPr>
        <w:lastRenderedPageBreak/>
        <w:drawing>
          <wp:inline distT="0" distB="0" distL="0" distR="0" wp14:anchorId="3EABF454" wp14:editId="65C90EE2">
            <wp:extent cx="5943600" cy="3984625"/>
            <wp:effectExtent l="76200" t="76200" r="133350" b="130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984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E1BD0" w:rsidRPr="003D2646" w:rsidRDefault="003E1BD0" w:rsidP="00644ECC">
      <w:pPr>
        <w:spacing w:before="200" w:after="200" w:line="360" w:lineRule="auto"/>
        <w:jc w:val="center"/>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F</w:t>
      </w:r>
      <w:r w:rsidR="00644ECC" w:rsidRPr="003D2646">
        <w:rPr>
          <w:rFonts w:ascii="Times New Roman" w:eastAsia="Times New Roman" w:hAnsi="Times New Roman" w:cs="Times New Roman"/>
          <w:b/>
          <w:bCs/>
          <w:color w:val="0D0D0D" w:themeColor="text1" w:themeTint="F2"/>
          <w:sz w:val="24"/>
          <w:szCs w:val="24"/>
        </w:rPr>
        <w:t>igure 5</w:t>
      </w:r>
      <w:r w:rsidRPr="003D2646">
        <w:rPr>
          <w:rFonts w:ascii="Times New Roman" w:eastAsia="Times New Roman" w:hAnsi="Times New Roman" w:cs="Times New Roman"/>
          <w:b/>
          <w:bCs/>
          <w:color w:val="0D0D0D" w:themeColor="text1" w:themeTint="F2"/>
          <w:sz w:val="24"/>
          <w:szCs w:val="24"/>
        </w:rPr>
        <w:t>: Basel III framework</w:t>
      </w:r>
    </w:p>
    <w:p w:rsidR="003E1BD0" w:rsidRPr="003D2646" w:rsidRDefault="003E1BD0" w:rsidP="00644ECC">
      <w:pPr>
        <w:spacing w:before="200" w:after="200" w:line="360" w:lineRule="auto"/>
        <w:jc w:val="center"/>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(Source: Alexander, 2014)</w:t>
      </w:r>
    </w:p>
    <w:p w:rsidR="0020402F" w:rsidRPr="003D2646" w:rsidRDefault="0020402F" w:rsidP="0020402F">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Banks were forced to have bigger capital buffers to protect themselves from the effects of shocks as a result of stricter capital requirements, such as those defined in the Basel III framework</w:t>
      </w:r>
      <w:r w:rsidR="003517F1" w:rsidRPr="003D2646">
        <w:rPr>
          <w:rFonts w:ascii="Times New Roman" w:eastAsia="Times New Roman" w:hAnsi="Times New Roman" w:cs="Times New Roman"/>
          <w:color w:val="0D0D0D" w:themeColor="text1" w:themeTint="F2"/>
          <w:sz w:val="24"/>
          <w:szCs w:val="24"/>
        </w:rPr>
        <w:t xml:space="preserve"> (Matousek </w:t>
      </w:r>
      <w:r w:rsidR="003517F1" w:rsidRPr="003D2646">
        <w:rPr>
          <w:rFonts w:ascii="Times New Roman" w:eastAsia="Times New Roman" w:hAnsi="Times New Roman" w:cs="Times New Roman"/>
          <w:i/>
          <w:iCs/>
          <w:color w:val="0D0D0D" w:themeColor="text1" w:themeTint="F2"/>
          <w:sz w:val="24"/>
          <w:szCs w:val="24"/>
        </w:rPr>
        <w:t>et al.</w:t>
      </w:r>
      <w:r w:rsidR="003517F1" w:rsidRPr="003D2646">
        <w:rPr>
          <w:rFonts w:ascii="Times New Roman" w:eastAsia="Times New Roman" w:hAnsi="Times New Roman" w:cs="Times New Roman"/>
          <w:color w:val="0D0D0D" w:themeColor="text1" w:themeTint="F2"/>
          <w:sz w:val="24"/>
          <w:szCs w:val="24"/>
        </w:rPr>
        <w:t xml:space="preserve"> 2015)</w:t>
      </w:r>
      <w:r w:rsidRPr="003D2646">
        <w:rPr>
          <w:rFonts w:ascii="Times New Roman" w:eastAsia="Times New Roman" w:hAnsi="Times New Roman" w:cs="Times New Roman"/>
          <w:color w:val="0D0D0D" w:themeColor="text1" w:themeTint="F2"/>
          <w:sz w:val="24"/>
          <w:szCs w:val="24"/>
        </w:rPr>
        <w:t>. Because of this, their resilience was improved, and they were better able to absorb losses, both of which contributed to a more stable financial environment. Another essential change, known as stress testing, included putting financial institutions in a variety of potentially dangerous situations, with the goal of identifying possible weak spots and ensuring that they were appropriately equipped</w:t>
      </w:r>
      <w:r w:rsidR="007F29EC"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Bottineau</w:t>
      </w:r>
      <w:r w:rsidR="007F29EC" w:rsidRPr="003D2646">
        <w:rPr>
          <w:rFonts w:ascii="Times New Roman" w:eastAsia="Times New Roman" w:hAnsi="Times New Roman" w:cs="Times New Roman"/>
          <w:color w:val="0D0D0D" w:themeColor="text1" w:themeTint="F2"/>
          <w:sz w:val="24"/>
          <w:szCs w:val="24"/>
        </w:rPr>
        <w:t xml:space="preserve"> </w:t>
      </w:r>
      <w:r w:rsidR="007F29EC" w:rsidRPr="003D2646">
        <w:rPr>
          <w:rFonts w:ascii="Times New Roman" w:eastAsia="Times New Roman" w:hAnsi="Times New Roman" w:cs="Times New Roman"/>
          <w:i/>
          <w:iCs/>
          <w:color w:val="0D0D0D" w:themeColor="text1" w:themeTint="F2"/>
          <w:sz w:val="24"/>
          <w:szCs w:val="24"/>
        </w:rPr>
        <w:t>et al.</w:t>
      </w:r>
      <w:r w:rsidR="007F29EC" w:rsidRPr="003D2646">
        <w:rPr>
          <w:rFonts w:ascii="Times New Roman" w:eastAsia="Times New Roman" w:hAnsi="Times New Roman" w:cs="Times New Roman"/>
          <w:color w:val="0D0D0D" w:themeColor="text1" w:themeTint="F2"/>
          <w:sz w:val="24"/>
          <w:szCs w:val="24"/>
        </w:rPr>
        <w:t xml:space="preserve"> 2022)</w:t>
      </w:r>
      <w:r w:rsidRPr="003D2646">
        <w:rPr>
          <w:rFonts w:ascii="Times New Roman" w:eastAsia="Times New Roman" w:hAnsi="Times New Roman" w:cs="Times New Roman"/>
          <w:color w:val="0D0D0D" w:themeColor="text1" w:themeTint="F2"/>
          <w:sz w:val="24"/>
          <w:szCs w:val="24"/>
        </w:rPr>
        <w:t>.</w:t>
      </w:r>
      <w:r w:rsidR="00C27A39" w:rsidRPr="003D2646">
        <w:rPr>
          <w:rFonts w:ascii="Times New Roman" w:eastAsia="Times New Roman" w:hAnsi="Times New Roman" w:cs="Times New Roman"/>
          <w:color w:val="0D0D0D" w:themeColor="text1" w:themeTint="F2"/>
          <w:sz w:val="24"/>
          <w:szCs w:val="24"/>
        </w:rPr>
        <w:t xml:space="preserve"> </w:t>
      </w:r>
      <w:r w:rsidRPr="003D2646">
        <w:rPr>
          <w:rFonts w:ascii="Times New Roman" w:eastAsia="Times New Roman" w:hAnsi="Times New Roman" w:cs="Times New Roman"/>
          <w:color w:val="0D0D0D" w:themeColor="text1" w:themeTint="F2"/>
          <w:sz w:val="24"/>
          <w:szCs w:val="24"/>
        </w:rPr>
        <w:t xml:space="preserve">On the other hand, the efficacy of these risk assessment improvements has been called into question. Some people think that comparisons and projections are difficult to draw because of how complicated stress testing is and how </w:t>
      </w:r>
      <w:proofErr w:type="gramStart"/>
      <w:r w:rsidRPr="003D2646">
        <w:rPr>
          <w:rFonts w:ascii="Times New Roman" w:eastAsia="Times New Roman" w:hAnsi="Times New Roman" w:cs="Times New Roman"/>
          <w:color w:val="0D0D0D" w:themeColor="text1" w:themeTint="F2"/>
          <w:sz w:val="24"/>
          <w:szCs w:val="24"/>
        </w:rPr>
        <w:t>many different kinds of</w:t>
      </w:r>
      <w:proofErr w:type="gramEnd"/>
      <w:r w:rsidRPr="003D2646">
        <w:rPr>
          <w:rFonts w:ascii="Times New Roman" w:eastAsia="Times New Roman" w:hAnsi="Times New Roman" w:cs="Times New Roman"/>
          <w:color w:val="0D0D0D" w:themeColor="text1" w:themeTint="F2"/>
          <w:sz w:val="24"/>
          <w:szCs w:val="24"/>
        </w:rPr>
        <w:t xml:space="preserve"> financial organisations there are</w:t>
      </w:r>
      <w:r w:rsidR="001C2743" w:rsidRPr="003D2646">
        <w:rPr>
          <w:rFonts w:ascii="Times New Roman" w:eastAsia="Times New Roman" w:hAnsi="Times New Roman" w:cs="Times New Roman"/>
          <w:color w:val="0D0D0D" w:themeColor="text1" w:themeTint="F2"/>
          <w:sz w:val="24"/>
          <w:szCs w:val="24"/>
        </w:rPr>
        <w:t xml:space="preserve"> (Gutiérrez-López and Abad-González, 2020)</w:t>
      </w:r>
      <w:r w:rsidRPr="003D2646">
        <w:rPr>
          <w:rFonts w:ascii="Times New Roman" w:eastAsia="Times New Roman" w:hAnsi="Times New Roman" w:cs="Times New Roman"/>
          <w:color w:val="0D0D0D" w:themeColor="text1" w:themeTint="F2"/>
          <w:sz w:val="24"/>
          <w:szCs w:val="24"/>
        </w:rPr>
        <w:t xml:space="preserve">. </w:t>
      </w:r>
      <w:r w:rsidRPr="003D2646">
        <w:rPr>
          <w:rFonts w:ascii="Times New Roman" w:eastAsia="Times New Roman" w:hAnsi="Times New Roman" w:cs="Times New Roman"/>
          <w:color w:val="0D0D0D" w:themeColor="text1" w:themeTint="F2"/>
          <w:sz w:val="24"/>
          <w:szCs w:val="24"/>
        </w:rPr>
        <w:lastRenderedPageBreak/>
        <w:t>In addition, there is the potential for unexpected effects, such as a reduction in lending due to a fear of taking risks, which is a cause for worry.</w:t>
      </w:r>
    </w:p>
    <w:p w:rsidR="00B556C3" w:rsidRPr="003D2646" w:rsidRDefault="00B556C3" w:rsidP="0020402F">
      <w:pPr>
        <w:spacing w:before="200" w:after="200" w:line="360" w:lineRule="auto"/>
        <w:jc w:val="both"/>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Enhanced Transparency:</w:t>
      </w:r>
    </w:p>
    <w:p w:rsidR="001D2021" w:rsidRPr="003D2646" w:rsidRDefault="001D2021" w:rsidP="001D2021">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According to Matousek et al. (2015), one of the primary goals of the regulatory changes that were enacted in the wake of the 2008 financial crisis was to increase transparency. Initiatives such as MiFID II and MiFIR were essential in bringing about these changes. In order to strengthen both the integrity of the market and the confidence of investors, these laws made it mandatory for all transactions involving financial instruments to be reported in their entirety</w:t>
      </w:r>
      <w:r w:rsidR="00EE41CE" w:rsidRPr="003D2646">
        <w:rPr>
          <w:rFonts w:ascii="Times New Roman" w:eastAsia="Times New Roman" w:hAnsi="Times New Roman" w:cs="Times New Roman"/>
          <w:color w:val="0D0D0D" w:themeColor="text1" w:themeTint="F2"/>
          <w:sz w:val="24"/>
          <w:szCs w:val="24"/>
        </w:rPr>
        <w:t xml:space="preserve"> (Ercegovac </w:t>
      </w:r>
      <w:r w:rsidR="00EE41CE" w:rsidRPr="003D2646">
        <w:rPr>
          <w:rFonts w:ascii="Times New Roman" w:eastAsia="Times New Roman" w:hAnsi="Times New Roman" w:cs="Times New Roman"/>
          <w:i/>
          <w:iCs/>
          <w:color w:val="0D0D0D" w:themeColor="text1" w:themeTint="F2"/>
          <w:sz w:val="24"/>
          <w:szCs w:val="24"/>
        </w:rPr>
        <w:t>et al.</w:t>
      </w:r>
      <w:r w:rsidR="00EE41CE" w:rsidRPr="003D2646">
        <w:rPr>
          <w:rFonts w:ascii="Times New Roman" w:eastAsia="Times New Roman" w:hAnsi="Times New Roman" w:cs="Times New Roman"/>
          <w:color w:val="0D0D0D" w:themeColor="text1" w:themeTint="F2"/>
          <w:sz w:val="24"/>
          <w:szCs w:val="24"/>
        </w:rPr>
        <w:t xml:space="preserve"> 2022)</w:t>
      </w:r>
      <w:r w:rsidRPr="003D2646">
        <w:rPr>
          <w:rFonts w:ascii="Times New Roman" w:eastAsia="Times New Roman" w:hAnsi="Times New Roman" w:cs="Times New Roman"/>
          <w:color w:val="0D0D0D" w:themeColor="text1" w:themeTint="F2"/>
          <w:sz w:val="24"/>
          <w:szCs w:val="24"/>
        </w:rPr>
        <w:t>. However, the effect of these transparency initiatives has delivered conflicting outcomes, demonstrating the complicated interaction that exists between increasing openness and its larger repercussions.</w:t>
      </w:r>
    </w:p>
    <w:p w:rsidR="001D2021" w:rsidRPr="003D2646" w:rsidRDefault="001D2021" w:rsidP="001D2021">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The impact of these attempts to increase transparency </w:t>
      </w:r>
      <w:r w:rsidR="00EE41CE" w:rsidRPr="003D2646">
        <w:rPr>
          <w:rFonts w:ascii="Times New Roman" w:eastAsia="Times New Roman" w:hAnsi="Times New Roman" w:cs="Times New Roman"/>
          <w:color w:val="0D0D0D" w:themeColor="text1" w:themeTint="F2"/>
          <w:sz w:val="24"/>
          <w:szCs w:val="24"/>
        </w:rPr>
        <w:t>has</w:t>
      </w:r>
      <w:r w:rsidRPr="003D2646">
        <w:rPr>
          <w:rFonts w:ascii="Times New Roman" w:eastAsia="Times New Roman" w:hAnsi="Times New Roman" w:cs="Times New Roman"/>
          <w:color w:val="0D0D0D" w:themeColor="text1" w:themeTint="F2"/>
          <w:sz w:val="24"/>
          <w:szCs w:val="24"/>
        </w:rPr>
        <w:t xml:space="preserve"> been dual, highlighting both the advantages and the problems for the ecology of the financial system</w:t>
      </w:r>
      <w:r w:rsidR="007D21EF" w:rsidRPr="003D2646">
        <w:rPr>
          <w:rFonts w:ascii="Times New Roman" w:eastAsia="Times New Roman" w:hAnsi="Times New Roman" w:cs="Times New Roman"/>
          <w:color w:val="0D0D0D" w:themeColor="text1" w:themeTint="F2"/>
          <w:sz w:val="24"/>
          <w:szCs w:val="24"/>
        </w:rPr>
        <w:t xml:space="preserve"> (Kuznetsov, 2022)</w:t>
      </w:r>
      <w:r w:rsidRPr="003D2646">
        <w:rPr>
          <w:rFonts w:ascii="Times New Roman" w:eastAsia="Times New Roman" w:hAnsi="Times New Roman" w:cs="Times New Roman"/>
          <w:color w:val="0D0D0D" w:themeColor="text1" w:themeTint="F2"/>
          <w:sz w:val="24"/>
          <w:szCs w:val="24"/>
        </w:rPr>
        <w:t>. On the other side, the statutory reporting requirements have resulted in a landscape of investments that is more informed. Investors now have access to more information on the activities of the market, which enables them to make more informed decisions and provides the opportunity to spot abnormalities more quickly. Because of the increased transparency, unethical business practices that were previously allowed to operate under the radar have been significantly reduced, which has contributed to a more ethical and responsible financial marketplace (Navid, 2022).</w:t>
      </w:r>
    </w:p>
    <w:p w:rsidR="001D2021" w:rsidRPr="003D2646" w:rsidRDefault="001D2021" w:rsidP="001D2021">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On the other hand, the severe reporting requirements have resulted in large increases in compliance expenses incurred by financial institutions, notably banks</w:t>
      </w:r>
      <w:r w:rsidR="00DF4CBB" w:rsidRPr="003D2646">
        <w:rPr>
          <w:rFonts w:ascii="Times New Roman" w:eastAsia="Times New Roman" w:hAnsi="Times New Roman" w:cs="Times New Roman"/>
          <w:color w:val="0D0D0D" w:themeColor="text1" w:themeTint="F2"/>
          <w:sz w:val="24"/>
          <w:szCs w:val="24"/>
        </w:rPr>
        <w:t xml:space="preserve"> (Zalewska, 2023)</w:t>
      </w:r>
      <w:r w:rsidRPr="003D2646">
        <w:rPr>
          <w:rFonts w:ascii="Times New Roman" w:eastAsia="Times New Roman" w:hAnsi="Times New Roman" w:cs="Times New Roman"/>
          <w:color w:val="0D0D0D" w:themeColor="text1" w:themeTint="F2"/>
          <w:sz w:val="24"/>
          <w:szCs w:val="24"/>
        </w:rPr>
        <w:t>. These charges have the potential to reduce market liquidity and impair the profitability of an enterprise. Because of the resources that were allocated to satisfying the reporting obligations, monies and efforts that might have been put towards the core operations of the firm were diverted. Additionally, the increased compliance cost might be a hardship for smaller participants in the market, reducing their capacity to successfully compete with bigger competitors in the industry. According to Gutiérrez-López and Abad-González's research from 2020, the associated cost constraints and limited market liquidity provide issues for institutions as they attempt to strike a balance between adhering to regulatory requirements and preserving a competitive advantage.</w:t>
      </w:r>
    </w:p>
    <w:p w:rsidR="001D2021" w:rsidRPr="003D2646" w:rsidRDefault="001D2021" w:rsidP="001D2021">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lastRenderedPageBreak/>
        <w:t>The push for more transparency in the global financial system has, in essence, resulted in the introduction of an evolving set of outcomes</w:t>
      </w:r>
      <w:r w:rsidR="00E96BE5" w:rsidRPr="003D2646">
        <w:rPr>
          <w:rFonts w:ascii="Times New Roman" w:eastAsia="Times New Roman" w:hAnsi="Times New Roman" w:cs="Times New Roman"/>
          <w:color w:val="0D0D0D" w:themeColor="text1" w:themeTint="F2"/>
          <w:sz w:val="24"/>
          <w:szCs w:val="24"/>
        </w:rPr>
        <w:t xml:space="preserve"> (Malakhova </w:t>
      </w:r>
      <w:r w:rsidR="00E96BE5" w:rsidRPr="003D2646">
        <w:rPr>
          <w:rFonts w:ascii="Times New Roman" w:eastAsia="Times New Roman" w:hAnsi="Times New Roman" w:cs="Times New Roman"/>
          <w:i/>
          <w:iCs/>
          <w:color w:val="0D0D0D" w:themeColor="text1" w:themeTint="F2"/>
          <w:sz w:val="24"/>
          <w:szCs w:val="24"/>
        </w:rPr>
        <w:t>et al.</w:t>
      </w:r>
      <w:r w:rsidR="00E96BE5" w:rsidRPr="003D2646">
        <w:rPr>
          <w:rFonts w:ascii="Times New Roman" w:eastAsia="Times New Roman" w:hAnsi="Times New Roman" w:cs="Times New Roman"/>
          <w:color w:val="0D0D0D" w:themeColor="text1" w:themeTint="F2"/>
          <w:sz w:val="24"/>
          <w:szCs w:val="24"/>
        </w:rPr>
        <w:t xml:space="preserve"> 202</w:t>
      </w:r>
      <w:r w:rsidR="005F2C62" w:rsidRPr="003D2646">
        <w:rPr>
          <w:rFonts w:ascii="Times New Roman" w:eastAsia="Times New Roman" w:hAnsi="Times New Roman" w:cs="Times New Roman"/>
          <w:color w:val="0D0D0D" w:themeColor="text1" w:themeTint="F2"/>
          <w:sz w:val="24"/>
          <w:szCs w:val="24"/>
        </w:rPr>
        <w:t>0</w:t>
      </w:r>
      <w:r w:rsidR="00E96BE5"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Although increased transparency has unquestionably helped create a more informed investing environment and put a stop to unethical practises, the concurrent growth in compliance expenses has made things more difficult for financial institutions due to the additional complexity it has created. Finding the optimal balance between operational effectiveness and transparency continues to be a difficult task for both government regulators and private sector organisations</w:t>
      </w:r>
      <w:r w:rsidR="005F2C62"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Acharya</w:t>
      </w:r>
      <w:r w:rsidR="005F2C62" w:rsidRPr="003D2646">
        <w:rPr>
          <w:rFonts w:ascii="Times New Roman" w:eastAsia="Times New Roman" w:hAnsi="Times New Roman" w:cs="Times New Roman"/>
          <w:color w:val="0D0D0D" w:themeColor="text1" w:themeTint="F2"/>
          <w:sz w:val="24"/>
          <w:szCs w:val="24"/>
        </w:rPr>
        <w:t xml:space="preserve"> </w:t>
      </w:r>
      <w:r w:rsidR="005F2C62" w:rsidRPr="003D2646">
        <w:rPr>
          <w:rFonts w:ascii="Times New Roman" w:eastAsia="Times New Roman" w:hAnsi="Times New Roman" w:cs="Times New Roman"/>
          <w:i/>
          <w:iCs/>
          <w:color w:val="0D0D0D" w:themeColor="text1" w:themeTint="F2"/>
          <w:sz w:val="24"/>
          <w:szCs w:val="24"/>
        </w:rPr>
        <w:t>et al.</w:t>
      </w:r>
      <w:r w:rsidR="005F2C62" w:rsidRPr="003D2646">
        <w:rPr>
          <w:rFonts w:ascii="Times New Roman" w:eastAsia="Times New Roman" w:hAnsi="Times New Roman" w:cs="Times New Roman"/>
          <w:color w:val="0D0D0D" w:themeColor="text1" w:themeTint="F2"/>
          <w:sz w:val="24"/>
          <w:szCs w:val="24"/>
        </w:rPr>
        <w:t xml:space="preserve"> 2022)</w:t>
      </w:r>
      <w:r w:rsidRPr="003D2646">
        <w:rPr>
          <w:rFonts w:ascii="Times New Roman" w:eastAsia="Times New Roman" w:hAnsi="Times New Roman" w:cs="Times New Roman"/>
          <w:color w:val="0D0D0D" w:themeColor="text1" w:themeTint="F2"/>
          <w:sz w:val="24"/>
          <w:szCs w:val="24"/>
        </w:rPr>
        <w:t>. To maintain a robust and healthy financial ecosystem, it will be necessary to perfect the implementation of transparency measures in order to maximise their intended advantages while minimising any unforeseen fallout. This will be necessary in order to keep pace with the ongoing changes in the financial landscape.</w:t>
      </w:r>
    </w:p>
    <w:p w:rsidR="0020402F" w:rsidRPr="003D2646" w:rsidRDefault="005275A9" w:rsidP="001D2021">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Changes in Banking Practices:</w:t>
      </w:r>
    </w:p>
    <w:p w:rsidR="0020402F" w:rsidRPr="003D2646" w:rsidRDefault="0020402F" w:rsidP="0020402F">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Significant changes in banking </w:t>
      </w:r>
      <w:r w:rsidR="00644ECC" w:rsidRPr="003D2646">
        <w:rPr>
          <w:rFonts w:ascii="Times New Roman" w:eastAsia="Times New Roman" w:hAnsi="Times New Roman" w:cs="Times New Roman"/>
          <w:color w:val="0D0D0D" w:themeColor="text1" w:themeTint="F2"/>
          <w:sz w:val="24"/>
          <w:szCs w:val="24"/>
        </w:rPr>
        <w:t>practice</w:t>
      </w:r>
      <w:r w:rsidRPr="003D2646">
        <w:rPr>
          <w:rFonts w:ascii="Times New Roman" w:eastAsia="Times New Roman" w:hAnsi="Times New Roman" w:cs="Times New Roman"/>
          <w:color w:val="0D0D0D" w:themeColor="text1" w:themeTint="F2"/>
          <w:sz w:val="24"/>
          <w:szCs w:val="24"/>
        </w:rPr>
        <w:t xml:space="preserve"> have been brought about as a direct result of the reforms, including a fresh emphasis on risk management and a reappraisal of business models. The focus of banks shifted from complicated, high-risk initiatives to more fundamental banking operations as part of a move towards a more conservative strategy</w:t>
      </w:r>
      <w:r w:rsidR="003517F1" w:rsidRPr="003D2646">
        <w:rPr>
          <w:rFonts w:ascii="Times New Roman" w:eastAsia="Times New Roman" w:hAnsi="Times New Roman" w:cs="Times New Roman"/>
          <w:color w:val="0D0D0D" w:themeColor="text1" w:themeTint="F2"/>
          <w:sz w:val="24"/>
          <w:szCs w:val="24"/>
        </w:rPr>
        <w:t xml:space="preserve"> (Matousek </w:t>
      </w:r>
      <w:r w:rsidR="003517F1" w:rsidRPr="003D2646">
        <w:rPr>
          <w:rFonts w:ascii="Times New Roman" w:eastAsia="Times New Roman" w:hAnsi="Times New Roman" w:cs="Times New Roman"/>
          <w:i/>
          <w:iCs/>
          <w:color w:val="0D0D0D" w:themeColor="text1" w:themeTint="F2"/>
          <w:sz w:val="24"/>
          <w:szCs w:val="24"/>
        </w:rPr>
        <w:t>et al.</w:t>
      </w:r>
      <w:r w:rsidR="003517F1" w:rsidRPr="003D2646">
        <w:rPr>
          <w:rFonts w:ascii="Times New Roman" w:eastAsia="Times New Roman" w:hAnsi="Times New Roman" w:cs="Times New Roman"/>
          <w:color w:val="0D0D0D" w:themeColor="text1" w:themeTint="F2"/>
          <w:sz w:val="24"/>
          <w:szCs w:val="24"/>
        </w:rPr>
        <w:t xml:space="preserve"> 2015)</w:t>
      </w:r>
      <w:r w:rsidRPr="003D2646">
        <w:rPr>
          <w:rFonts w:ascii="Times New Roman" w:eastAsia="Times New Roman" w:hAnsi="Times New Roman" w:cs="Times New Roman"/>
          <w:color w:val="0D0D0D" w:themeColor="text1" w:themeTint="F2"/>
          <w:sz w:val="24"/>
          <w:szCs w:val="24"/>
        </w:rPr>
        <w:t>. Trading in derivatives, which was historically known for its opaque nature, has recently seen a transition towards centralised clearing and reporting, which has helped to promote stability.</w:t>
      </w:r>
      <w:r w:rsidR="00C26ABD" w:rsidRPr="003D2646">
        <w:rPr>
          <w:rFonts w:ascii="Times New Roman" w:eastAsia="Times New Roman" w:hAnsi="Times New Roman" w:cs="Times New Roman"/>
          <w:color w:val="0D0D0D" w:themeColor="text1" w:themeTint="F2"/>
          <w:sz w:val="24"/>
          <w:szCs w:val="24"/>
        </w:rPr>
        <w:t xml:space="preserve"> </w:t>
      </w:r>
      <w:r w:rsidRPr="003D2646">
        <w:rPr>
          <w:rFonts w:ascii="Times New Roman" w:eastAsia="Times New Roman" w:hAnsi="Times New Roman" w:cs="Times New Roman"/>
          <w:color w:val="0D0D0D" w:themeColor="text1" w:themeTint="F2"/>
          <w:sz w:val="24"/>
          <w:szCs w:val="24"/>
        </w:rPr>
        <w:t>Nonetheless, unanticipated results developed as a result</w:t>
      </w:r>
      <w:r w:rsidR="00683D84" w:rsidRPr="003D2646">
        <w:rPr>
          <w:rFonts w:ascii="Times New Roman" w:eastAsia="Times New Roman" w:hAnsi="Times New Roman" w:cs="Times New Roman"/>
          <w:color w:val="0D0D0D" w:themeColor="text1" w:themeTint="F2"/>
          <w:sz w:val="24"/>
          <w:szCs w:val="24"/>
        </w:rPr>
        <w:t xml:space="preserve"> (Kokorin, </w:t>
      </w:r>
      <w:r w:rsidR="00BA1EFA" w:rsidRPr="003D2646">
        <w:rPr>
          <w:rFonts w:ascii="Times New Roman" w:eastAsia="Times New Roman" w:hAnsi="Times New Roman" w:cs="Times New Roman"/>
          <w:color w:val="0D0D0D" w:themeColor="text1" w:themeTint="F2"/>
          <w:sz w:val="24"/>
          <w:szCs w:val="24"/>
        </w:rPr>
        <w:t>2021</w:t>
      </w:r>
      <w:r w:rsidR="00683D84"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xml:space="preserve">. The process known as "de-risking" occurred as a result of stricter restrictions. This resulted in banks withdrawing from riskier markets and customer segments, which might </w:t>
      </w:r>
      <w:proofErr w:type="gramStart"/>
      <w:r w:rsidRPr="003D2646">
        <w:rPr>
          <w:rFonts w:ascii="Times New Roman" w:eastAsia="Times New Roman" w:hAnsi="Times New Roman" w:cs="Times New Roman"/>
          <w:color w:val="0D0D0D" w:themeColor="text1" w:themeTint="F2"/>
          <w:sz w:val="24"/>
          <w:szCs w:val="24"/>
        </w:rPr>
        <w:t>have an effect on</w:t>
      </w:r>
      <w:proofErr w:type="gramEnd"/>
      <w:r w:rsidRPr="003D2646">
        <w:rPr>
          <w:rFonts w:ascii="Times New Roman" w:eastAsia="Times New Roman" w:hAnsi="Times New Roman" w:cs="Times New Roman"/>
          <w:color w:val="0D0D0D" w:themeColor="text1" w:themeTint="F2"/>
          <w:sz w:val="24"/>
          <w:szCs w:val="24"/>
        </w:rPr>
        <w:t xml:space="preserve"> financial inclusion and economic development</w:t>
      </w:r>
      <w:r w:rsidR="00E216F0" w:rsidRPr="003D2646">
        <w:rPr>
          <w:rFonts w:ascii="Times New Roman" w:eastAsia="Times New Roman" w:hAnsi="Times New Roman" w:cs="Times New Roman"/>
          <w:color w:val="0D0D0D" w:themeColor="text1" w:themeTint="F2"/>
          <w:sz w:val="24"/>
          <w:szCs w:val="24"/>
        </w:rPr>
        <w:t xml:space="preserve"> (Goldstein and </w:t>
      </w:r>
      <w:proofErr w:type="spellStart"/>
      <w:r w:rsidR="00E216F0" w:rsidRPr="003D2646">
        <w:rPr>
          <w:rFonts w:ascii="Times New Roman" w:eastAsia="Times New Roman" w:hAnsi="Times New Roman" w:cs="Times New Roman"/>
          <w:color w:val="0D0D0D" w:themeColor="text1" w:themeTint="F2"/>
          <w:sz w:val="24"/>
          <w:szCs w:val="24"/>
        </w:rPr>
        <w:t>Véron</w:t>
      </w:r>
      <w:proofErr w:type="spellEnd"/>
      <w:r w:rsidR="00E216F0"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2011</w:t>
      </w:r>
      <w:r w:rsidR="00E216F0"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In addition, market liquidity in some asset classes was negatively impacted as a result of the decrease in the amount of proprietary trading and market-making activity</w:t>
      </w:r>
      <w:r w:rsidR="00A50027" w:rsidRPr="003D2646">
        <w:rPr>
          <w:rFonts w:ascii="Times New Roman" w:eastAsia="Times New Roman" w:hAnsi="Times New Roman" w:cs="Times New Roman"/>
          <w:color w:val="0D0D0D" w:themeColor="text1" w:themeTint="F2"/>
          <w:sz w:val="24"/>
          <w:szCs w:val="24"/>
        </w:rPr>
        <w:t xml:space="preserve"> (Tiwari </w:t>
      </w:r>
      <w:r w:rsidR="00A50027" w:rsidRPr="003D2646">
        <w:rPr>
          <w:rFonts w:ascii="Times New Roman" w:eastAsia="Times New Roman" w:hAnsi="Times New Roman" w:cs="Times New Roman"/>
          <w:i/>
          <w:iCs/>
          <w:color w:val="0D0D0D" w:themeColor="text1" w:themeTint="F2"/>
          <w:sz w:val="24"/>
          <w:szCs w:val="24"/>
        </w:rPr>
        <w:t>et al.</w:t>
      </w:r>
      <w:r w:rsidR="00A50027" w:rsidRPr="003D2646">
        <w:rPr>
          <w:rFonts w:ascii="Times New Roman" w:eastAsia="Times New Roman" w:hAnsi="Times New Roman" w:cs="Times New Roman"/>
          <w:color w:val="0D0D0D" w:themeColor="text1" w:themeTint="F2"/>
          <w:sz w:val="24"/>
          <w:szCs w:val="24"/>
        </w:rPr>
        <w:t xml:space="preserve"> 2019)</w:t>
      </w:r>
      <w:r w:rsidRPr="003D2646">
        <w:rPr>
          <w:rFonts w:ascii="Times New Roman" w:eastAsia="Times New Roman" w:hAnsi="Times New Roman" w:cs="Times New Roman"/>
          <w:color w:val="0D0D0D" w:themeColor="text1" w:themeTint="F2"/>
          <w:sz w:val="24"/>
          <w:szCs w:val="24"/>
        </w:rPr>
        <w:t>.</w:t>
      </w:r>
    </w:p>
    <w:p w:rsidR="005275A9" w:rsidRPr="003D2646" w:rsidRDefault="005275A9" w:rsidP="0020402F">
      <w:pPr>
        <w:spacing w:before="200" w:after="200" w:line="360" w:lineRule="auto"/>
        <w:jc w:val="both"/>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Structural Adjustments and Industry Evolution:</w:t>
      </w:r>
    </w:p>
    <w:p w:rsidR="0020402F" w:rsidRPr="003D2646" w:rsidRDefault="0020402F" w:rsidP="0020402F">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Alterations to the sector's fundamental architecture were another effect of the reforms' implementation. In order to adjust to the new regulatory climate, several institutions chose to either scale down their activities or reorganise them, while others welcomed innovation as a means of doing so. The development of financial technology and regulatory technology, for example, has </w:t>
      </w:r>
      <w:r w:rsidRPr="003D2646">
        <w:rPr>
          <w:rFonts w:ascii="Times New Roman" w:eastAsia="Times New Roman" w:hAnsi="Times New Roman" w:cs="Times New Roman"/>
          <w:color w:val="0D0D0D" w:themeColor="text1" w:themeTint="F2"/>
          <w:sz w:val="24"/>
          <w:szCs w:val="24"/>
        </w:rPr>
        <w:lastRenderedPageBreak/>
        <w:t>helped to solve compliance issues and ushered in more efficient banking procedures</w:t>
      </w:r>
      <w:r w:rsidR="007828EE" w:rsidRPr="003D2646">
        <w:rPr>
          <w:rFonts w:ascii="Times New Roman" w:eastAsia="Times New Roman" w:hAnsi="Times New Roman" w:cs="Times New Roman"/>
          <w:color w:val="0D0D0D" w:themeColor="text1" w:themeTint="F2"/>
          <w:sz w:val="24"/>
          <w:szCs w:val="24"/>
        </w:rPr>
        <w:t xml:space="preserve"> (Ladipo and Nestor, </w:t>
      </w:r>
      <w:r w:rsidR="00BA1EFA" w:rsidRPr="003D2646">
        <w:rPr>
          <w:rFonts w:ascii="Times New Roman" w:eastAsia="Times New Roman" w:hAnsi="Times New Roman" w:cs="Times New Roman"/>
          <w:color w:val="0D0D0D" w:themeColor="text1" w:themeTint="F2"/>
          <w:sz w:val="24"/>
          <w:szCs w:val="24"/>
        </w:rPr>
        <w:t>2009</w:t>
      </w:r>
      <w:r w:rsidR="007828EE"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However, the rapid pace of technological development raises worries about the safety of data as well as the readiness of regulatory bodies.</w:t>
      </w:r>
    </w:p>
    <w:p w:rsidR="0020402F" w:rsidRPr="003D2646" w:rsidRDefault="00D165BD" w:rsidP="00A063E8">
      <w:pPr>
        <w:pStyle w:val="Heading1"/>
        <w:rPr>
          <w:rFonts w:eastAsia="Times New Roman"/>
          <w:color w:val="0D0D0D" w:themeColor="text1" w:themeTint="F2"/>
        </w:rPr>
      </w:pPr>
      <w:bookmarkStart w:id="4" w:name="_Toc143240019"/>
      <w:r w:rsidRPr="003D2646">
        <w:rPr>
          <w:rFonts w:eastAsia="Times New Roman"/>
          <w:color w:val="0D0D0D" w:themeColor="text1" w:themeTint="F2"/>
        </w:rPr>
        <w:t>HSBC Holdings plc and Reform Impact:</w:t>
      </w:r>
      <w:bookmarkEnd w:id="4"/>
    </w:p>
    <w:p w:rsidR="0020402F" w:rsidRPr="003D2646" w:rsidRDefault="0020402F" w:rsidP="0020402F">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multinational banking behemoth HSBC Holdings plc successfully negotiated the reform environment by committing to ethical business practises</w:t>
      </w:r>
      <w:r w:rsidR="00D90581" w:rsidRPr="003D2646">
        <w:rPr>
          <w:rFonts w:ascii="Times New Roman" w:eastAsia="Times New Roman" w:hAnsi="Times New Roman" w:cs="Times New Roman"/>
          <w:color w:val="0D0D0D" w:themeColor="text1" w:themeTint="F2"/>
          <w:sz w:val="24"/>
          <w:szCs w:val="24"/>
        </w:rPr>
        <w:t xml:space="preserve"> (Alford, 2010)</w:t>
      </w:r>
      <w:r w:rsidRPr="003D2646">
        <w:rPr>
          <w:rFonts w:ascii="Times New Roman" w:eastAsia="Times New Roman" w:hAnsi="Times New Roman" w:cs="Times New Roman"/>
          <w:color w:val="0D0D0D" w:themeColor="text1" w:themeTint="F2"/>
          <w:sz w:val="24"/>
          <w:szCs w:val="24"/>
        </w:rPr>
        <w:t>. The emphasis placed on diversity and inclusion, which is backed up by concrete measures and open reporting, is in line with the goals of the reform programme, which are to increase openness and reduce systemic risks. The deployment of risk assessment processes by HSBC, in accordance with the criteria of the regulatory authorities, prepares the institution to successfully weather adverse financial conditions</w:t>
      </w:r>
      <w:r w:rsidR="00587B4F" w:rsidRPr="003D2646">
        <w:rPr>
          <w:rFonts w:ascii="Times New Roman" w:eastAsia="Times New Roman" w:hAnsi="Times New Roman" w:cs="Times New Roman"/>
          <w:color w:val="0D0D0D" w:themeColor="text1" w:themeTint="F2"/>
          <w:sz w:val="24"/>
          <w:szCs w:val="24"/>
        </w:rPr>
        <w:t xml:space="preserve"> (</w:t>
      </w:r>
      <w:proofErr w:type="spellStart"/>
      <w:r w:rsidR="00587B4F" w:rsidRPr="003D2646">
        <w:rPr>
          <w:rFonts w:ascii="Times New Roman" w:eastAsia="Times New Roman" w:hAnsi="Times New Roman" w:cs="Times New Roman"/>
          <w:color w:val="0D0D0D" w:themeColor="text1" w:themeTint="F2"/>
          <w:sz w:val="24"/>
          <w:szCs w:val="24"/>
        </w:rPr>
        <w:t>Pataccini</w:t>
      </w:r>
      <w:proofErr w:type="spellEnd"/>
      <w:r w:rsidR="00587B4F" w:rsidRPr="003D2646">
        <w:rPr>
          <w:rFonts w:ascii="Times New Roman" w:eastAsia="Times New Roman" w:hAnsi="Times New Roman" w:cs="Times New Roman"/>
          <w:color w:val="0D0D0D" w:themeColor="text1" w:themeTint="F2"/>
          <w:sz w:val="24"/>
          <w:szCs w:val="24"/>
        </w:rPr>
        <w:t>, 2023)</w:t>
      </w:r>
      <w:r w:rsidR="000E5C88" w:rsidRPr="003D2646">
        <w:rPr>
          <w:rFonts w:ascii="Times New Roman" w:eastAsia="Times New Roman" w:hAnsi="Times New Roman" w:cs="Times New Roman"/>
          <w:color w:val="0D0D0D" w:themeColor="text1" w:themeTint="F2"/>
          <w:sz w:val="24"/>
          <w:szCs w:val="24"/>
        </w:rPr>
        <w:t xml:space="preserve"> (HSBC, 2023)</w:t>
      </w:r>
      <w:r w:rsidRPr="003D2646">
        <w:rPr>
          <w:rFonts w:ascii="Times New Roman" w:eastAsia="Times New Roman" w:hAnsi="Times New Roman" w:cs="Times New Roman"/>
          <w:color w:val="0D0D0D" w:themeColor="text1" w:themeTint="F2"/>
          <w:sz w:val="24"/>
          <w:szCs w:val="24"/>
        </w:rPr>
        <w:t>.</w:t>
      </w:r>
      <w:r w:rsidR="007449D3" w:rsidRPr="003D2646">
        <w:rPr>
          <w:rFonts w:ascii="Times New Roman" w:eastAsia="Times New Roman" w:hAnsi="Times New Roman" w:cs="Times New Roman"/>
          <w:color w:val="0D0D0D" w:themeColor="text1" w:themeTint="F2"/>
          <w:sz w:val="24"/>
          <w:szCs w:val="24"/>
        </w:rPr>
        <w:t xml:space="preserve"> </w:t>
      </w:r>
      <w:r w:rsidRPr="003D2646">
        <w:rPr>
          <w:rFonts w:ascii="Times New Roman" w:eastAsia="Times New Roman" w:hAnsi="Times New Roman" w:cs="Times New Roman"/>
          <w:color w:val="0D0D0D" w:themeColor="text1" w:themeTint="F2"/>
          <w:sz w:val="24"/>
          <w:szCs w:val="24"/>
        </w:rPr>
        <w:t xml:space="preserve">However, a detailed evaluation of the effect that the changes would have on HSBC's business model is required. Changes in the institution's lending </w:t>
      </w:r>
      <w:r w:rsidR="00FE0027" w:rsidRPr="003D2646">
        <w:rPr>
          <w:rFonts w:ascii="Times New Roman" w:eastAsia="Times New Roman" w:hAnsi="Times New Roman" w:cs="Times New Roman"/>
          <w:color w:val="0D0D0D" w:themeColor="text1" w:themeTint="F2"/>
          <w:sz w:val="24"/>
          <w:szCs w:val="24"/>
        </w:rPr>
        <w:t>practices</w:t>
      </w:r>
      <w:r w:rsidRPr="003D2646">
        <w:rPr>
          <w:rFonts w:ascii="Times New Roman" w:eastAsia="Times New Roman" w:hAnsi="Times New Roman" w:cs="Times New Roman"/>
          <w:color w:val="0D0D0D" w:themeColor="text1" w:themeTint="F2"/>
          <w:sz w:val="24"/>
          <w:szCs w:val="24"/>
        </w:rPr>
        <w:t xml:space="preserve"> and investment portfolios may have occurred as a result of the institution's efforts to comply with severe capital requirements and transparency rules</w:t>
      </w:r>
      <w:r w:rsidR="00FD18F0" w:rsidRPr="003D2646">
        <w:rPr>
          <w:rFonts w:ascii="Times New Roman" w:eastAsia="Times New Roman" w:hAnsi="Times New Roman" w:cs="Times New Roman"/>
          <w:color w:val="0D0D0D" w:themeColor="text1" w:themeTint="F2"/>
          <w:sz w:val="24"/>
          <w:szCs w:val="24"/>
        </w:rPr>
        <w:t xml:space="preserve"> (Ladipo and Nestor, 2009)</w:t>
      </w:r>
      <w:r w:rsidRPr="003D2646">
        <w:rPr>
          <w:rFonts w:ascii="Times New Roman" w:eastAsia="Times New Roman" w:hAnsi="Times New Roman" w:cs="Times New Roman"/>
          <w:color w:val="0D0D0D" w:themeColor="text1" w:themeTint="F2"/>
          <w:sz w:val="24"/>
          <w:szCs w:val="24"/>
        </w:rPr>
        <w:t xml:space="preserve">. The focus placed on responsible lending is in line with the aims of the reform effort, but it may </w:t>
      </w:r>
      <w:proofErr w:type="gramStart"/>
      <w:r w:rsidRPr="003D2646">
        <w:rPr>
          <w:rFonts w:ascii="Times New Roman" w:eastAsia="Times New Roman" w:hAnsi="Times New Roman" w:cs="Times New Roman"/>
          <w:color w:val="0D0D0D" w:themeColor="text1" w:themeTint="F2"/>
          <w:sz w:val="24"/>
          <w:szCs w:val="24"/>
        </w:rPr>
        <w:t>have an effect on</w:t>
      </w:r>
      <w:proofErr w:type="gramEnd"/>
      <w:r w:rsidRPr="003D2646">
        <w:rPr>
          <w:rFonts w:ascii="Times New Roman" w:eastAsia="Times New Roman" w:hAnsi="Times New Roman" w:cs="Times New Roman"/>
          <w:color w:val="0D0D0D" w:themeColor="text1" w:themeTint="F2"/>
          <w:sz w:val="24"/>
          <w:szCs w:val="24"/>
        </w:rPr>
        <w:t xml:space="preserve"> profitability.</w:t>
      </w:r>
    </w:p>
    <w:p w:rsidR="0020402F" w:rsidRDefault="0020402F" w:rsidP="0020402F">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In conclusion, the changes that were implemented in response to the financial crisis that occurred in 2008 have had a mixed effect on the financial system as a whole and on individual banking institutions</w:t>
      </w:r>
      <w:r w:rsidR="00AC4F62"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De Bruyckere</w:t>
      </w:r>
      <w:r w:rsidR="00AC4F62" w:rsidRPr="003D2646">
        <w:rPr>
          <w:rFonts w:ascii="Times New Roman" w:eastAsia="Times New Roman" w:hAnsi="Times New Roman" w:cs="Times New Roman"/>
          <w:color w:val="0D0D0D" w:themeColor="text1" w:themeTint="F2"/>
          <w:sz w:val="24"/>
          <w:szCs w:val="24"/>
        </w:rPr>
        <w:t xml:space="preserve"> </w:t>
      </w:r>
      <w:r w:rsidR="00AC4F62" w:rsidRPr="003D2646">
        <w:rPr>
          <w:rFonts w:ascii="Times New Roman" w:eastAsia="Times New Roman" w:hAnsi="Times New Roman" w:cs="Times New Roman"/>
          <w:i/>
          <w:iCs/>
          <w:color w:val="0D0D0D" w:themeColor="text1" w:themeTint="F2"/>
          <w:sz w:val="24"/>
          <w:szCs w:val="24"/>
        </w:rPr>
        <w:t>et al.</w:t>
      </w:r>
      <w:r w:rsidR="00AC4F62" w:rsidRPr="003D2646">
        <w:rPr>
          <w:rFonts w:ascii="Times New Roman" w:eastAsia="Times New Roman" w:hAnsi="Times New Roman" w:cs="Times New Roman"/>
          <w:color w:val="0D0D0D" w:themeColor="text1" w:themeTint="F2"/>
          <w:sz w:val="24"/>
          <w:szCs w:val="24"/>
        </w:rPr>
        <w:t xml:space="preserve"> 2013)</w:t>
      </w:r>
      <w:r w:rsidRPr="003D2646">
        <w:rPr>
          <w:rFonts w:ascii="Times New Roman" w:eastAsia="Times New Roman" w:hAnsi="Times New Roman" w:cs="Times New Roman"/>
          <w:color w:val="0D0D0D" w:themeColor="text1" w:themeTint="F2"/>
          <w:sz w:val="24"/>
          <w:szCs w:val="24"/>
        </w:rPr>
        <w:t xml:space="preserve">. Unintended effects and issues have arisen </w:t>
      </w:r>
      <w:proofErr w:type="gramStart"/>
      <w:r w:rsidRPr="003D2646">
        <w:rPr>
          <w:rFonts w:ascii="Times New Roman" w:eastAsia="Times New Roman" w:hAnsi="Times New Roman" w:cs="Times New Roman"/>
          <w:color w:val="0D0D0D" w:themeColor="text1" w:themeTint="F2"/>
          <w:sz w:val="24"/>
          <w:szCs w:val="24"/>
        </w:rPr>
        <w:t>despite the fact that</w:t>
      </w:r>
      <w:proofErr w:type="gramEnd"/>
      <w:r w:rsidRPr="003D2646">
        <w:rPr>
          <w:rFonts w:ascii="Times New Roman" w:eastAsia="Times New Roman" w:hAnsi="Times New Roman" w:cs="Times New Roman"/>
          <w:color w:val="0D0D0D" w:themeColor="text1" w:themeTint="F2"/>
          <w:sz w:val="24"/>
          <w:szCs w:val="24"/>
        </w:rPr>
        <w:t xml:space="preserve"> risk assessment procedures and advancements </w:t>
      </w:r>
      <w:r w:rsidR="00D97928" w:rsidRPr="003D2646">
        <w:rPr>
          <w:rFonts w:ascii="Times New Roman" w:eastAsia="Times New Roman" w:hAnsi="Times New Roman" w:cs="Times New Roman"/>
          <w:color w:val="0D0D0D" w:themeColor="text1" w:themeTint="F2"/>
          <w:sz w:val="24"/>
          <w:szCs w:val="24"/>
        </w:rPr>
        <w:t>in</w:t>
      </w:r>
      <w:r w:rsidRPr="003D2646">
        <w:rPr>
          <w:rFonts w:ascii="Times New Roman" w:eastAsia="Times New Roman" w:hAnsi="Times New Roman" w:cs="Times New Roman"/>
          <w:color w:val="0D0D0D" w:themeColor="text1" w:themeTint="F2"/>
          <w:sz w:val="24"/>
          <w:szCs w:val="24"/>
        </w:rPr>
        <w:t xml:space="preserve"> transparency have led to increased stability. Changes in banking </w:t>
      </w:r>
      <w:r w:rsidR="00FE0027" w:rsidRPr="003D2646">
        <w:rPr>
          <w:rFonts w:ascii="Times New Roman" w:eastAsia="Times New Roman" w:hAnsi="Times New Roman" w:cs="Times New Roman"/>
          <w:color w:val="0D0D0D" w:themeColor="text1" w:themeTint="F2"/>
          <w:sz w:val="24"/>
          <w:szCs w:val="24"/>
        </w:rPr>
        <w:t>practice</w:t>
      </w:r>
      <w:r w:rsidRPr="003D2646">
        <w:rPr>
          <w:rFonts w:ascii="Times New Roman" w:eastAsia="Times New Roman" w:hAnsi="Times New Roman" w:cs="Times New Roman"/>
          <w:color w:val="0D0D0D" w:themeColor="text1" w:themeTint="F2"/>
          <w:sz w:val="24"/>
          <w:szCs w:val="24"/>
        </w:rPr>
        <w:t xml:space="preserve"> and structural modifications reflect the dynamic development of the </w:t>
      </w:r>
      <w:proofErr w:type="gramStart"/>
      <w:r w:rsidRPr="003D2646">
        <w:rPr>
          <w:rFonts w:ascii="Times New Roman" w:eastAsia="Times New Roman" w:hAnsi="Times New Roman" w:cs="Times New Roman"/>
          <w:color w:val="0D0D0D" w:themeColor="text1" w:themeTint="F2"/>
          <w:sz w:val="24"/>
          <w:szCs w:val="24"/>
        </w:rPr>
        <w:t>sector as a whole</w:t>
      </w:r>
      <w:proofErr w:type="gramEnd"/>
      <w:r w:rsidRPr="003D2646">
        <w:rPr>
          <w:rFonts w:ascii="Times New Roman" w:eastAsia="Times New Roman" w:hAnsi="Times New Roman" w:cs="Times New Roman"/>
          <w:color w:val="0D0D0D" w:themeColor="text1" w:themeTint="F2"/>
          <w:sz w:val="24"/>
          <w:szCs w:val="24"/>
        </w:rPr>
        <w:t>. Institutions such as HSBC Holdings plc are responding to both the demands of compliance and the imperatives of responsible business</w:t>
      </w:r>
      <w:r w:rsidR="00FD18F0" w:rsidRPr="003D2646">
        <w:rPr>
          <w:rFonts w:ascii="Times New Roman" w:eastAsia="Times New Roman" w:hAnsi="Times New Roman" w:cs="Times New Roman"/>
          <w:color w:val="0D0D0D" w:themeColor="text1" w:themeTint="F2"/>
          <w:sz w:val="24"/>
          <w:szCs w:val="24"/>
        </w:rPr>
        <w:t xml:space="preserve"> (Ladipo and Nestor, 2009)</w:t>
      </w:r>
      <w:r w:rsidR="000E5C88" w:rsidRPr="003D2646">
        <w:rPr>
          <w:rFonts w:ascii="Times New Roman" w:eastAsia="Times New Roman" w:hAnsi="Times New Roman" w:cs="Times New Roman"/>
          <w:color w:val="0D0D0D" w:themeColor="text1" w:themeTint="F2"/>
          <w:sz w:val="24"/>
          <w:szCs w:val="24"/>
        </w:rPr>
        <w:t xml:space="preserve"> (HSBC, 2023)</w:t>
      </w:r>
      <w:r w:rsidRPr="003D2646">
        <w:rPr>
          <w:rFonts w:ascii="Times New Roman" w:eastAsia="Times New Roman" w:hAnsi="Times New Roman" w:cs="Times New Roman"/>
          <w:color w:val="0D0D0D" w:themeColor="text1" w:themeTint="F2"/>
          <w:sz w:val="24"/>
          <w:szCs w:val="24"/>
        </w:rPr>
        <w:t>. Due to the dynamic character of the current financial environment, continuous evaluation and modification are required in order to guarantee that the reforms continue to improve the overall system's stability while simultaneously supporting sustainable development</w:t>
      </w:r>
      <w:r w:rsidR="002D0D06" w:rsidRPr="003D2646">
        <w:rPr>
          <w:rFonts w:ascii="Times New Roman" w:eastAsia="Times New Roman" w:hAnsi="Times New Roman" w:cs="Times New Roman"/>
          <w:color w:val="0D0D0D" w:themeColor="text1" w:themeTint="F2"/>
          <w:sz w:val="24"/>
          <w:szCs w:val="24"/>
        </w:rPr>
        <w:t xml:space="preserve"> (</w:t>
      </w:r>
      <w:proofErr w:type="spellStart"/>
      <w:r w:rsidR="002D0D06" w:rsidRPr="003D2646">
        <w:rPr>
          <w:rFonts w:ascii="Times New Roman" w:eastAsia="Times New Roman" w:hAnsi="Times New Roman" w:cs="Times New Roman"/>
          <w:color w:val="0D0D0D" w:themeColor="text1" w:themeTint="F2"/>
          <w:sz w:val="24"/>
          <w:szCs w:val="24"/>
        </w:rPr>
        <w:t>Agoraki</w:t>
      </w:r>
      <w:proofErr w:type="spellEnd"/>
      <w:r w:rsidR="002D0D06" w:rsidRPr="003D2646">
        <w:rPr>
          <w:rFonts w:ascii="Times New Roman" w:eastAsia="Times New Roman" w:hAnsi="Times New Roman" w:cs="Times New Roman"/>
          <w:color w:val="0D0D0D" w:themeColor="text1" w:themeTint="F2"/>
          <w:sz w:val="24"/>
          <w:szCs w:val="24"/>
        </w:rPr>
        <w:t xml:space="preserve"> </w:t>
      </w:r>
      <w:r w:rsidR="002D0D06" w:rsidRPr="003D2646">
        <w:rPr>
          <w:rFonts w:ascii="Times New Roman" w:eastAsia="Times New Roman" w:hAnsi="Times New Roman" w:cs="Times New Roman"/>
          <w:i/>
          <w:iCs/>
          <w:color w:val="0D0D0D" w:themeColor="text1" w:themeTint="F2"/>
          <w:sz w:val="24"/>
          <w:szCs w:val="24"/>
        </w:rPr>
        <w:t>et al.</w:t>
      </w:r>
      <w:r w:rsidR="002D0D06" w:rsidRPr="003D2646">
        <w:rPr>
          <w:rFonts w:ascii="Times New Roman" w:eastAsia="Times New Roman" w:hAnsi="Times New Roman" w:cs="Times New Roman"/>
          <w:color w:val="0D0D0D" w:themeColor="text1" w:themeTint="F2"/>
          <w:sz w:val="24"/>
          <w:szCs w:val="24"/>
        </w:rPr>
        <w:t xml:space="preserve"> 2023)</w:t>
      </w:r>
      <w:r w:rsidRPr="003D2646">
        <w:rPr>
          <w:rFonts w:ascii="Times New Roman" w:eastAsia="Times New Roman" w:hAnsi="Times New Roman" w:cs="Times New Roman"/>
          <w:color w:val="0D0D0D" w:themeColor="text1" w:themeTint="F2"/>
          <w:sz w:val="24"/>
          <w:szCs w:val="24"/>
        </w:rPr>
        <w:t>.</w:t>
      </w:r>
    </w:p>
    <w:p w:rsidR="00425F3F" w:rsidRDefault="00425F3F" w:rsidP="0020402F">
      <w:pPr>
        <w:spacing w:before="200" w:after="200" w:line="360" w:lineRule="auto"/>
        <w:jc w:val="both"/>
        <w:rPr>
          <w:rFonts w:ascii="Times New Roman" w:eastAsia="Times New Roman" w:hAnsi="Times New Roman" w:cs="Times New Roman"/>
          <w:color w:val="0D0D0D" w:themeColor="text1" w:themeTint="F2"/>
          <w:sz w:val="24"/>
          <w:szCs w:val="24"/>
        </w:rPr>
      </w:pPr>
    </w:p>
    <w:p w:rsidR="00425F3F" w:rsidRPr="003D2646" w:rsidRDefault="00425F3F" w:rsidP="0020402F">
      <w:pPr>
        <w:spacing w:before="200" w:after="200" w:line="360" w:lineRule="auto"/>
        <w:jc w:val="both"/>
        <w:rPr>
          <w:rFonts w:ascii="Times New Roman" w:eastAsia="Times New Roman" w:hAnsi="Times New Roman" w:cs="Times New Roman"/>
          <w:color w:val="0D0D0D" w:themeColor="text1" w:themeTint="F2"/>
          <w:sz w:val="24"/>
          <w:szCs w:val="24"/>
        </w:rPr>
      </w:pPr>
    </w:p>
    <w:p w:rsidR="00D07F57" w:rsidRPr="003D2646" w:rsidRDefault="00D07F57" w:rsidP="00A03049">
      <w:pPr>
        <w:spacing w:before="240" w:line="360" w:lineRule="auto"/>
        <w:jc w:val="both"/>
        <w:rPr>
          <w:rFonts w:ascii="Times New Roman" w:hAnsi="Times New Roman" w:cs="Times New Roman"/>
          <w:b/>
          <w:bCs/>
          <w:color w:val="0D0D0D" w:themeColor="text1" w:themeTint="F2"/>
          <w:sz w:val="24"/>
          <w:szCs w:val="24"/>
        </w:rPr>
      </w:pPr>
      <w:r w:rsidRPr="003D2646">
        <w:rPr>
          <w:rFonts w:ascii="Times New Roman" w:hAnsi="Times New Roman" w:cs="Times New Roman"/>
          <w:b/>
          <w:bCs/>
          <w:color w:val="0D0D0D" w:themeColor="text1" w:themeTint="F2"/>
          <w:sz w:val="24"/>
          <w:szCs w:val="24"/>
        </w:rPr>
        <w:lastRenderedPageBreak/>
        <w:t>Impact of Reforms on HSBC Holdings plc:</w:t>
      </w:r>
    </w:p>
    <w:p w:rsidR="00216267" w:rsidRPr="003D2646" w:rsidRDefault="00216267" w:rsidP="00216267">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post-2008 financial crisis reforms' influence on the business model of HSBC Holdings plc is a testimony to the complicated interaction that exists between regulatory modifications and the strategic development of an organisation</w:t>
      </w:r>
      <w:r w:rsidR="00E47F0E"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La Torre</w:t>
      </w:r>
      <w:r w:rsidR="00E47F0E" w:rsidRPr="003D2646">
        <w:rPr>
          <w:rFonts w:ascii="Times New Roman" w:eastAsia="Times New Roman" w:hAnsi="Times New Roman" w:cs="Times New Roman"/>
          <w:color w:val="0D0D0D" w:themeColor="text1" w:themeTint="F2"/>
          <w:sz w:val="24"/>
          <w:szCs w:val="24"/>
        </w:rPr>
        <w:t xml:space="preserve"> </w:t>
      </w:r>
      <w:r w:rsidR="00E47F0E" w:rsidRPr="003D2646">
        <w:rPr>
          <w:rFonts w:ascii="Times New Roman" w:eastAsia="Times New Roman" w:hAnsi="Times New Roman" w:cs="Times New Roman"/>
          <w:i/>
          <w:iCs/>
          <w:color w:val="0D0D0D" w:themeColor="text1" w:themeTint="F2"/>
          <w:sz w:val="24"/>
          <w:szCs w:val="24"/>
        </w:rPr>
        <w:t>et al.</w:t>
      </w:r>
      <w:r w:rsidR="00E47F0E" w:rsidRPr="003D2646">
        <w:rPr>
          <w:rFonts w:ascii="Times New Roman" w:eastAsia="Times New Roman" w:hAnsi="Times New Roman" w:cs="Times New Roman"/>
          <w:color w:val="0D0D0D" w:themeColor="text1" w:themeTint="F2"/>
          <w:sz w:val="24"/>
          <w:szCs w:val="24"/>
        </w:rPr>
        <w:t xml:space="preserve"> 2021)</w:t>
      </w:r>
      <w:r w:rsidR="000E5C88" w:rsidRPr="003D2646">
        <w:rPr>
          <w:rFonts w:ascii="Times New Roman" w:eastAsia="Times New Roman" w:hAnsi="Times New Roman" w:cs="Times New Roman"/>
          <w:color w:val="0D0D0D" w:themeColor="text1" w:themeTint="F2"/>
          <w:sz w:val="24"/>
          <w:szCs w:val="24"/>
        </w:rPr>
        <w:t xml:space="preserve"> (HSBC, 2023)</w:t>
      </w:r>
      <w:r w:rsidRPr="003D2646">
        <w:rPr>
          <w:rFonts w:ascii="Times New Roman" w:eastAsia="Times New Roman" w:hAnsi="Times New Roman" w:cs="Times New Roman"/>
          <w:color w:val="0D0D0D" w:themeColor="text1" w:themeTint="F2"/>
          <w:sz w:val="24"/>
          <w:szCs w:val="24"/>
        </w:rPr>
        <w:t>. An in-depth review of HSBC's business model reveals the extent to which it complies with these changes, as well as areas in which it does not, notably in risk management, capital allocation, and general business strategy.</w:t>
      </w:r>
    </w:p>
    <w:p w:rsidR="00216267" w:rsidRPr="003D2646" w:rsidRDefault="00216267" w:rsidP="00216267">
      <w:pPr>
        <w:spacing w:before="200" w:after="200" w:line="360" w:lineRule="auto"/>
        <w:jc w:val="both"/>
        <w:rPr>
          <w:rFonts w:ascii="Times New Roman" w:eastAsia="Times New Roman" w:hAnsi="Times New Roman" w:cs="Times New Roman"/>
          <w:b/>
          <w:bCs/>
          <w:i/>
          <w:iCs/>
          <w:color w:val="0D0D0D" w:themeColor="text1" w:themeTint="F2"/>
          <w:sz w:val="24"/>
          <w:szCs w:val="24"/>
        </w:rPr>
      </w:pPr>
      <w:r w:rsidRPr="003D2646">
        <w:rPr>
          <w:rFonts w:ascii="Times New Roman" w:eastAsia="Times New Roman" w:hAnsi="Times New Roman" w:cs="Times New Roman"/>
          <w:b/>
          <w:bCs/>
          <w:i/>
          <w:iCs/>
          <w:color w:val="0D0D0D" w:themeColor="text1" w:themeTint="F2"/>
          <w:sz w:val="24"/>
          <w:szCs w:val="24"/>
        </w:rPr>
        <w:t>Alignment with Post-Crisis Reforms:</w:t>
      </w:r>
    </w:p>
    <w:p w:rsidR="00216267" w:rsidRPr="003D2646" w:rsidRDefault="00216267" w:rsidP="00216267">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HSBC's dedication to responsible business practises resonates with the transparency and risk management aims of post-crisis reforms, hence this bank is in line with the changes that were made after the financial crisis</w:t>
      </w:r>
      <w:r w:rsidR="00D90581" w:rsidRPr="003D2646">
        <w:rPr>
          <w:rFonts w:ascii="Times New Roman" w:eastAsia="Times New Roman" w:hAnsi="Times New Roman" w:cs="Times New Roman"/>
          <w:color w:val="0D0D0D" w:themeColor="text1" w:themeTint="F2"/>
          <w:sz w:val="24"/>
          <w:szCs w:val="24"/>
        </w:rPr>
        <w:t xml:space="preserve"> (Alford, 2010)</w:t>
      </w:r>
      <w:r w:rsidRPr="003D2646">
        <w:rPr>
          <w:rFonts w:ascii="Times New Roman" w:eastAsia="Times New Roman" w:hAnsi="Times New Roman" w:cs="Times New Roman"/>
          <w:color w:val="0D0D0D" w:themeColor="text1" w:themeTint="F2"/>
          <w:sz w:val="24"/>
          <w:szCs w:val="24"/>
        </w:rPr>
        <w:t>. The focus that the institution places on diversity and inclusion reflects the aims of the regulating body, helping to cultivate an organisational culture that is inclusive and in line with the overarching values of stability and justice</w:t>
      </w:r>
      <w:r w:rsidR="00D0278E"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Brouwer</w:t>
      </w:r>
      <w:r w:rsidR="00D0278E" w:rsidRPr="003D2646">
        <w:rPr>
          <w:rFonts w:ascii="Times New Roman" w:eastAsia="Times New Roman" w:hAnsi="Times New Roman" w:cs="Times New Roman"/>
          <w:color w:val="0D0D0D" w:themeColor="text1" w:themeTint="F2"/>
          <w:sz w:val="24"/>
          <w:szCs w:val="24"/>
        </w:rPr>
        <w:t xml:space="preserve"> </w:t>
      </w:r>
      <w:r w:rsidR="00D0278E" w:rsidRPr="003D2646">
        <w:rPr>
          <w:rFonts w:ascii="Times New Roman" w:eastAsia="Times New Roman" w:hAnsi="Times New Roman" w:cs="Times New Roman"/>
          <w:i/>
          <w:iCs/>
          <w:color w:val="0D0D0D" w:themeColor="text1" w:themeTint="F2"/>
          <w:sz w:val="24"/>
          <w:szCs w:val="24"/>
        </w:rPr>
        <w:t>et al.</w:t>
      </w:r>
      <w:r w:rsidR="00D0278E" w:rsidRPr="003D2646">
        <w:rPr>
          <w:rFonts w:ascii="Times New Roman" w:eastAsia="Times New Roman" w:hAnsi="Times New Roman" w:cs="Times New Roman"/>
          <w:color w:val="0D0D0D" w:themeColor="text1" w:themeTint="F2"/>
          <w:sz w:val="24"/>
          <w:szCs w:val="24"/>
        </w:rPr>
        <w:t xml:space="preserve"> 2021)</w:t>
      </w:r>
      <w:r w:rsidRPr="003D2646">
        <w:rPr>
          <w:rFonts w:ascii="Times New Roman" w:eastAsia="Times New Roman" w:hAnsi="Times New Roman" w:cs="Times New Roman"/>
          <w:color w:val="0D0D0D" w:themeColor="text1" w:themeTint="F2"/>
          <w:sz w:val="24"/>
          <w:szCs w:val="24"/>
        </w:rPr>
        <w:t>.</w:t>
      </w:r>
      <w:r w:rsidR="00D90581" w:rsidRPr="003D2646">
        <w:rPr>
          <w:rFonts w:ascii="Times New Roman" w:eastAsia="Times New Roman" w:hAnsi="Times New Roman" w:cs="Times New Roman"/>
          <w:color w:val="0D0D0D" w:themeColor="text1" w:themeTint="F2"/>
          <w:sz w:val="24"/>
          <w:szCs w:val="24"/>
        </w:rPr>
        <w:t xml:space="preserve"> </w:t>
      </w:r>
      <w:r w:rsidRPr="003D2646">
        <w:rPr>
          <w:rFonts w:ascii="Times New Roman" w:eastAsia="Times New Roman" w:hAnsi="Times New Roman" w:cs="Times New Roman"/>
          <w:color w:val="0D0D0D" w:themeColor="text1" w:themeTint="F2"/>
          <w:sz w:val="24"/>
          <w:szCs w:val="24"/>
        </w:rPr>
        <w:t xml:space="preserve">In addition, the fact that HSBC has shown that it can adhere to more stringent capital standards shows its compatibility with the reforms' capital adequacy goals. Indicative of the institution's proactive strategy to absorbing possible losses and increasing its resilience in the case of unfavourable scenarios is the institution's emphasis on the maintenance of a strong </w:t>
      </w:r>
      <w:proofErr w:type="gramStart"/>
      <w:r w:rsidRPr="003D2646">
        <w:rPr>
          <w:rFonts w:ascii="Times New Roman" w:eastAsia="Times New Roman" w:hAnsi="Times New Roman" w:cs="Times New Roman"/>
          <w:color w:val="0D0D0D" w:themeColor="text1" w:themeTint="F2"/>
          <w:sz w:val="24"/>
          <w:szCs w:val="24"/>
        </w:rPr>
        <w:t>holdings</w:t>
      </w:r>
      <w:proofErr w:type="gramEnd"/>
      <w:r w:rsidRPr="003D2646">
        <w:rPr>
          <w:rFonts w:ascii="Times New Roman" w:eastAsia="Times New Roman" w:hAnsi="Times New Roman" w:cs="Times New Roman"/>
          <w:color w:val="0D0D0D" w:themeColor="text1" w:themeTint="F2"/>
          <w:sz w:val="24"/>
          <w:szCs w:val="24"/>
        </w:rPr>
        <w:t xml:space="preserve"> capital buffer</w:t>
      </w:r>
      <w:r w:rsidR="00D90581" w:rsidRPr="003D2646">
        <w:rPr>
          <w:rFonts w:ascii="Times New Roman" w:eastAsia="Times New Roman" w:hAnsi="Times New Roman" w:cs="Times New Roman"/>
          <w:color w:val="0D0D0D" w:themeColor="text1" w:themeTint="F2"/>
          <w:sz w:val="24"/>
          <w:szCs w:val="24"/>
        </w:rPr>
        <w:t xml:space="preserve"> (</w:t>
      </w:r>
      <w:proofErr w:type="spellStart"/>
      <w:r w:rsidR="00D90581" w:rsidRPr="003D2646">
        <w:rPr>
          <w:rFonts w:ascii="Times New Roman" w:eastAsia="Times New Roman" w:hAnsi="Times New Roman" w:cs="Times New Roman"/>
          <w:color w:val="0D0D0D" w:themeColor="text1" w:themeTint="F2"/>
          <w:sz w:val="24"/>
          <w:szCs w:val="24"/>
        </w:rPr>
        <w:t>Santillán</w:t>
      </w:r>
      <w:proofErr w:type="spellEnd"/>
      <w:r w:rsidR="00D90581" w:rsidRPr="003D2646">
        <w:rPr>
          <w:rFonts w:ascii="Times New Roman" w:eastAsia="Times New Roman" w:hAnsi="Times New Roman" w:cs="Times New Roman"/>
          <w:color w:val="0D0D0D" w:themeColor="text1" w:themeTint="F2"/>
          <w:sz w:val="24"/>
          <w:szCs w:val="24"/>
        </w:rPr>
        <w:t xml:space="preserve">-Salgado, </w:t>
      </w:r>
      <w:r w:rsidR="00BA1EFA" w:rsidRPr="003D2646">
        <w:rPr>
          <w:rFonts w:ascii="Times New Roman" w:eastAsia="Times New Roman" w:hAnsi="Times New Roman" w:cs="Times New Roman"/>
          <w:color w:val="0D0D0D" w:themeColor="text1" w:themeTint="F2"/>
          <w:sz w:val="24"/>
          <w:szCs w:val="24"/>
        </w:rPr>
        <w:t>2011</w:t>
      </w:r>
      <w:r w:rsidR="00D90581"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w:t>
      </w:r>
    </w:p>
    <w:p w:rsidR="002A6E77" w:rsidRPr="003D2646" w:rsidRDefault="00216267" w:rsidP="00216267">
      <w:pPr>
        <w:spacing w:before="200" w:after="200" w:line="360" w:lineRule="auto"/>
        <w:jc w:val="both"/>
        <w:rPr>
          <w:rFonts w:ascii="Times New Roman" w:eastAsia="Times New Roman" w:hAnsi="Times New Roman" w:cs="Times New Roman"/>
          <w:b/>
          <w:bCs/>
          <w:i/>
          <w:iCs/>
          <w:color w:val="0D0D0D" w:themeColor="text1" w:themeTint="F2"/>
          <w:sz w:val="24"/>
          <w:szCs w:val="24"/>
        </w:rPr>
      </w:pPr>
      <w:r w:rsidRPr="003D2646">
        <w:rPr>
          <w:rFonts w:ascii="Times New Roman" w:eastAsia="Times New Roman" w:hAnsi="Times New Roman" w:cs="Times New Roman"/>
          <w:b/>
          <w:bCs/>
          <w:i/>
          <w:iCs/>
          <w:color w:val="0D0D0D" w:themeColor="text1" w:themeTint="F2"/>
          <w:sz w:val="24"/>
          <w:szCs w:val="24"/>
        </w:rPr>
        <w:t xml:space="preserve">Risk Management and Compliance: </w:t>
      </w:r>
    </w:p>
    <w:p w:rsidR="00216267" w:rsidRPr="003D2646" w:rsidRDefault="00216267" w:rsidP="00216267">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connection of HSBC's risk management practises with post-crisis changes is readily apparent from these practises. The institution's involvement in stress testing, an important regulatory activity, demonstrates its attention to analysing and addressing any vulnerabilities by highlighting the institution's commitment to the process</w:t>
      </w:r>
      <w:r w:rsidR="00D54ABA" w:rsidRPr="003D2646">
        <w:rPr>
          <w:rFonts w:ascii="Times New Roman" w:eastAsia="Times New Roman" w:hAnsi="Times New Roman" w:cs="Times New Roman"/>
          <w:color w:val="0D0D0D" w:themeColor="text1" w:themeTint="F2"/>
          <w:sz w:val="24"/>
          <w:szCs w:val="24"/>
        </w:rPr>
        <w:t xml:space="preserve"> (La Torre </w:t>
      </w:r>
      <w:r w:rsidR="00D54ABA" w:rsidRPr="003D2646">
        <w:rPr>
          <w:rFonts w:ascii="Times New Roman" w:eastAsia="Times New Roman" w:hAnsi="Times New Roman" w:cs="Times New Roman"/>
          <w:i/>
          <w:iCs/>
          <w:color w:val="0D0D0D" w:themeColor="text1" w:themeTint="F2"/>
          <w:sz w:val="24"/>
          <w:szCs w:val="24"/>
        </w:rPr>
        <w:t>et al.</w:t>
      </w:r>
      <w:r w:rsidR="00D54ABA" w:rsidRPr="003D2646">
        <w:rPr>
          <w:rFonts w:ascii="Times New Roman" w:eastAsia="Times New Roman" w:hAnsi="Times New Roman" w:cs="Times New Roman"/>
          <w:color w:val="0D0D0D" w:themeColor="text1" w:themeTint="F2"/>
          <w:sz w:val="24"/>
          <w:szCs w:val="24"/>
        </w:rPr>
        <w:t xml:space="preserve"> 2021).</w:t>
      </w:r>
      <w:r w:rsidRPr="003D2646">
        <w:rPr>
          <w:rFonts w:ascii="Times New Roman" w:eastAsia="Times New Roman" w:hAnsi="Times New Roman" w:cs="Times New Roman"/>
          <w:color w:val="0D0D0D" w:themeColor="text1" w:themeTint="F2"/>
          <w:sz w:val="24"/>
          <w:szCs w:val="24"/>
        </w:rPr>
        <w:t xml:space="preserve"> Not only does HSBC satisfy the standards of the regulatory agencies, but it also improves its ability to conduct an internal risk assessment by putting its operations through a variety of stressful situations.</w:t>
      </w:r>
      <w:r w:rsidR="00EA53FB" w:rsidRPr="003D2646">
        <w:rPr>
          <w:rFonts w:ascii="Times New Roman" w:eastAsia="Times New Roman" w:hAnsi="Times New Roman" w:cs="Times New Roman"/>
          <w:color w:val="0D0D0D" w:themeColor="text1" w:themeTint="F2"/>
          <w:sz w:val="24"/>
          <w:szCs w:val="24"/>
        </w:rPr>
        <w:t xml:space="preserve"> </w:t>
      </w:r>
      <w:r w:rsidRPr="003D2646">
        <w:rPr>
          <w:rFonts w:ascii="Times New Roman" w:eastAsia="Times New Roman" w:hAnsi="Times New Roman" w:cs="Times New Roman"/>
          <w:color w:val="0D0D0D" w:themeColor="text1" w:themeTint="F2"/>
          <w:sz w:val="24"/>
          <w:szCs w:val="24"/>
        </w:rPr>
        <w:t>In addition, the fact that HSBC has implemented the risk assessment tools that the reforms have mandated has improved the company's capacity to recognise and respond to potential threats</w:t>
      </w:r>
      <w:r w:rsidR="00FD3E9A" w:rsidRPr="003D2646">
        <w:rPr>
          <w:rFonts w:ascii="Times New Roman" w:eastAsia="Times New Roman" w:hAnsi="Times New Roman" w:cs="Times New Roman"/>
          <w:color w:val="0D0D0D" w:themeColor="text1" w:themeTint="F2"/>
          <w:sz w:val="24"/>
          <w:szCs w:val="24"/>
        </w:rPr>
        <w:t xml:space="preserve"> (Alford, </w:t>
      </w:r>
      <w:r w:rsidR="00BA1EFA" w:rsidRPr="003D2646">
        <w:rPr>
          <w:rFonts w:ascii="Times New Roman" w:eastAsia="Times New Roman" w:hAnsi="Times New Roman" w:cs="Times New Roman"/>
          <w:color w:val="0D0D0D" w:themeColor="text1" w:themeTint="F2"/>
          <w:sz w:val="24"/>
          <w:szCs w:val="24"/>
        </w:rPr>
        <w:t>2010</w:t>
      </w:r>
      <w:r w:rsidR="00FD3E9A"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xml:space="preserve">. The extensive risk assessment system that the institution has implemented, together with its dedication </w:t>
      </w:r>
      <w:r w:rsidRPr="003D2646">
        <w:rPr>
          <w:rFonts w:ascii="Times New Roman" w:eastAsia="Times New Roman" w:hAnsi="Times New Roman" w:cs="Times New Roman"/>
          <w:color w:val="0D0D0D" w:themeColor="text1" w:themeTint="F2"/>
          <w:sz w:val="24"/>
          <w:szCs w:val="24"/>
        </w:rPr>
        <w:lastRenderedPageBreak/>
        <w:t>to ethical behaviour, places it in a favourable position within the newly restructured regulatory environment.</w:t>
      </w:r>
    </w:p>
    <w:p w:rsidR="00AB0BEF" w:rsidRPr="003D2646" w:rsidRDefault="00AB0BEF" w:rsidP="00216267">
      <w:pPr>
        <w:spacing w:before="200" w:after="200" w:line="360" w:lineRule="auto"/>
        <w:jc w:val="both"/>
        <w:rPr>
          <w:rFonts w:ascii="Times New Roman" w:eastAsia="Times New Roman" w:hAnsi="Times New Roman" w:cs="Times New Roman"/>
          <w:b/>
          <w:bCs/>
          <w:i/>
          <w:iCs/>
          <w:color w:val="0D0D0D" w:themeColor="text1" w:themeTint="F2"/>
          <w:sz w:val="24"/>
          <w:szCs w:val="24"/>
        </w:rPr>
      </w:pPr>
      <w:r w:rsidRPr="003D2646">
        <w:rPr>
          <w:rFonts w:ascii="Times New Roman" w:eastAsia="Times New Roman" w:hAnsi="Times New Roman" w:cs="Times New Roman"/>
          <w:b/>
          <w:bCs/>
          <w:i/>
          <w:iCs/>
          <w:color w:val="0D0D0D" w:themeColor="text1" w:themeTint="F2"/>
          <w:sz w:val="24"/>
          <w:szCs w:val="24"/>
        </w:rPr>
        <w:t>Capital Allocation and Strategic Adjustments:</w:t>
      </w:r>
    </w:p>
    <w:p w:rsidR="00412816" w:rsidRPr="003D2646" w:rsidRDefault="00412816" w:rsidP="00412816">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The strategic changes that HSBC has made in how it </w:t>
      </w:r>
      <w:r w:rsidR="0029262A" w:rsidRPr="003D2646">
        <w:rPr>
          <w:rFonts w:ascii="Times New Roman" w:eastAsia="Times New Roman" w:hAnsi="Times New Roman" w:cs="Times New Roman"/>
          <w:color w:val="0D0D0D" w:themeColor="text1" w:themeTint="F2"/>
          <w:sz w:val="24"/>
          <w:szCs w:val="24"/>
        </w:rPr>
        <w:t>allows</w:t>
      </w:r>
      <w:r w:rsidRPr="003D2646">
        <w:rPr>
          <w:rFonts w:ascii="Times New Roman" w:eastAsia="Times New Roman" w:hAnsi="Times New Roman" w:cs="Times New Roman"/>
          <w:color w:val="0D0D0D" w:themeColor="text1" w:themeTint="F2"/>
          <w:sz w:val="24"/>
          <w:szCs w:val="24"/>
        </w:rPr>
        <w:t xml:space="preserve"> its capital are an excellent example of a well-calibrated reaction to the current regulatory landscape. Not only does the institution's unshakable commitment to maintaining capital buffers and adhering to adequate common equity Tier 1 (CET1) capital ratios emphasise the institution's protection against bankruptcy, but it also emphasises the institution's responsible practises in resource management (La Torre et al., 2021). Nevertheless, strategic readjustments are required in order to achieve compliance with severe capital requirements. The amount to which HSBC </w:t>
      </w:r>
      <w:proofErr w:type="gramStart"/>
      <w:r w:rsidRPr="003D2646">
        <w:rPr>
          <w:rFonts w:ascii="Times New Roman" w:eastAsia="Times New Roman" w:hAnsi="Times New Roman" w:cs="Times New Roman"/>
          <w:color w:val="0D0D0D" w:themeColor="text1" w:themeTint="F2"/>
          <w:sz w:val="24"/>
          <w:szCs w:val="24"/>
        </w:rPr>
        <w:t>is able to</w:t>
      </w:r>
      <w:proofErr w:type="gramEnd"/>
      <w:r w:rsidRPr="003D2646">
        <w:rPr>
          <w:rFonts w:ascii="Times New Roman" w:eastAsia="Times New Roman" w:hAnsi="Times New Roman" w:cs="Times New Roman"/>
          <w:color w:val="0D0D0D" w:themeColor="text1" w:themeTint="F2"/>
          <w:sz w:val="24"/>
          <w:szCs w:val="24"/>
        </w:rPr>
        <w:t xml:space="preserve"> fulfil these stringent capital needs might have an effect on the lending methods and investment options that it chooses, despite the fact that HSBC's dedication to regulatory standards protects its financial stability. According to </w:t>
      </w:r>
      <w:proofErr w:type="spellStart"/>
      <w:r w:rsidRPr="003D2646">
        <w:rPr>
          <w:rFonts w:ascii="Times New Roman" w:eastAsia="Times New Roman" w:hAnsi="Times New Roman" w:cs="Times New Roman"/>
          <w:color w:val="0D0D0D" w:themeColor="text1" w:themeTint="F2"/>
          <w:sz w:val="24"/>
          <w:szCs w:val="24"/>
        </w:rPr>
        <w:t>Santillán</w:t>
      </w:r>
      <w:proofErr w:type="spellEnd"/>
      <w:r w:rsidRPr="003D2646">
        <w:rPr>
          <w:rFonts w:ascii="Times New Roman" w:eastAsia="Times New Roman" w:hAnsi="Times New Roman" w:cs="Times New Roman"/>
          <w:color w:val="0D0D0D" w:themeColor="text1" w:themeTint="F2"/>
          <w:sz w:val="24"/>
          <w:szCs w:val="24"/>
        </w:rPr>
        <w:t>-Salgado (2011), striking a balance between ensuring compliance with regulatory changes and maintaining profitability provides a complicated problem.</w:t>
      </w:r>
    </w:p>
    <w:p w:rsidR="00412816" w:rsidRPr="003D2646" w:rsidRDefault="00412816" w:rsidP="00412816">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Strategic considerations are required because of the intersection between regulatory requirements and the capacity to remain financially viable. The resiliency of HSBC may be improved by adjusting its strategy for allocating its capital in accordance with the changing environment</w:t>
      </w:r>
      <w:r w:rsidR="00BE5775" w:rsidRPr="003D2646">
        <w:rPr>
          <w:rFonts w:ascii="Times New Roman" w:eastAsia="Times New Roman" w:hAnsi="Times New Roman" w:cs="Times New Roman"/>
          <w:color w:val="0D0D0D" w:themeColor="text1" w:themeTint="F2"/>
          <w:sz w:val="24"/>
          <w:szCs w:val="24"/>
        </w:rPr>
        <w:t xml:space="preserve"> (HSBC, 2023)</w:t>
      </w:r>
      <w:r w:rsidRPr="003D2646">
        <w:rPr>
          <w:rFonts w:ascii="Times New Roman" w:eastAsia="Times New Roman" w:hAnsi="Times New Roman" w:cs="Times New Roman"/>
          <w:color w:val="0D0D0D" w:themeColor="text1" w:themeTint="F2"/>
          <w:sz w:val="24"/>
          <w:szCs w:val="24"/>
        </w:rPr>
        <w:t>. Utilising sophisticated analytics and risk assessment tools may make it easier to make educated decisions, which in turn enables the institution to maximise its use of available capital while maintaining compliance standards</w:t>
      </w:r>
      <w:r w:rsidR="00905CED" w:rsidRPr="003D2646">
        <w:rPr>
          <w:rFonts w:ascii="Times New Roman" w:eastAsia="Times New Roman" w:hAnsi="Times New Roman" w:cs="Times New Roman"/>
          <w:color w:val="0D0D0D" w:themeColor="text1" w:themeTint="F2"/>
          <w:sz w:val="24"/>
          <w:szCs w:val="24"/>
        </w:rPr>
        <w:t xml:space="preserve"> (La Torre </w:t>
      </w:r>
      <w:r w:rsidR="00905CED" w:rsidRPr="003D2646">
        <w:rPr>
          <w:rFonts w:ascii="Times New Roman" w:eastAsia="Times New Roman" w:hAnsi="Times New Roman" w:cs="Times New Roman"/>
          <w:i/>
          <w:iCs/>
          <w:color w:val="0D0D0D" w:themeColor="text1" w:themeTint="F2"/>
          <w:sz w:val="24"/>
          <w:szCs w:val="24"/>
        </w:rPr>
        <w:t>et al.</w:t>
      </w:r>
      <w:r w:rsidR="00905CED" w:rsidRPr="003D2646">
        <w:rPr>
          <w:rFonts w:ascii="Times New Roman" w:eastAsia="Times New Roman" w:hAnsi="Times New Roman" w:cs="Times New Roman"/>
          <w:color w:val="0D0D0D" w:themeColor="text1" w:themeTint="F2"/>
          <w:sz w:val="24"/>
          <w:szCs w:val="24"/>
        </w:rPr>
        <w:t xml:space="preserve"> 2021)</w:t>
      </w:r>
      <w:r w:rsidRPr="003D2646">
        <w:rPr>
          <w:rFonts w:ascii="Times New Roman" w:eastAsia="Times New Roman" w:hAnsi="Times New Roman" w:cs="Times New Roman"/>
          <w:color w:val="0D0D0D" w:themeColor="text1" w:themeTint="F2"/>
          <w:sz w:val="24"/>
          <w:szCs w:val="24"/>
        </w:rPr>
        <w:t>.</w:t>
      </w:r>
    </w:p>
    <w:p w:rsidR="00412816" w:rsidRPr="003D2646" w:rsidRDefault="00412816" w:rsidP="00412816">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Furthermore, </w:t>
      </w:r>
      <w:proofErr w:type="gramStart"/>
      <w:r w:rsidRPr="003D2646">
        <w:rPr>
          <w:rFonts w:ascii="Times New Roman" w:eastAsia="Times New Roman" w:hAnsi="Times New Roman" w:cs="Times New Roman"/>
          <w:color w:val="0D0D0D" w:themeColor="text1" w:themeTint="F2"/>
          <w:sz w:val="24"/>
          <w:szCs w:val="24"/>
        </w:rPr>
        <w:t>in order for</w:t>
      </w:r>
      <w:proofErr w:type="gramEnd"/>
      <w:r w:rsidRPr="003D2646">
        <w:rPr>
          <w:rFonts w:ascii="Times New Roman" w:eastAsia="Times New Roman" w:hAnsi="Times New Roman" w:cs="Times New Roman"/>
          <w:color w:val="0D0D0D" w:themeColor="text1" w:themeTint="F2"/>
          <w:sz w:val="24"/>
          <w:szCs w:val="24"/>
        </w:rPr>
        <w:t xml:space="preserve"> HSBC to keep its revenue streams while still complying to the regulations, it has to come up with unique solutions. Investigating other sources of income, such as environmentally responsible investments or business alliances, might help reduce the possible negative influence on a company's profitability</w:t>
      </w:r>
      <w:r w:rsidR="00905CED" w:rsidRPr="003D2646">
        <w:rPr>
          <w:rFonts w:ascii="Times New Roman" w:eastAsia="Times New Roman" w:hAnsi="Times New Roman" w:cs="Times New Roman"/>
          <w:color w:val="0D0D0D" w:themeColor="text1" w:themeTint="F2"/>
          <w:sz w:val="24"/>
          <w:szCs w:val="24"/>
        </w:rPr>
        <w:t xml:space="preserve"> (HSBC, 2023)</w:t>
      </w:r>
      <w:r w:rsidRPr="003D2646">
        <w:rPr>
          <w:rFonts w:ascii="Times New Roman" w:eastAsia="Times New Roman" w:hAnsi="Times New Roman" w:cs="Times New Roman"/>
          <w:color w:val="0D0D0D" w:themeColor="text1" w:themeTint="F2"/>
          <w:sz w:val="24"/>
          <w:szCs w:val="24"/>
        </w:rPr>
        <w:t>. Not only does strategic diversification protect HSBC from the risks associated with reform-induced income swings, but it also enables the company to become a proactive player in an evolving financial paradigm.</w:t>
      </w:r>
    </w:p>
    <w:p w:rsidR="00412816" w:rsidRPr="003D2646" w:rsidRDefault="00412816" w:rsidP="00412816">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HSBC's competence rests in the creation of a nuanced capital allocation plan that complies with regulatory obligations while simultaneously supporting sustainable development. This delicate balancing job is akin to a complex juggling act. HSBC </w:t>
      </w:r>
      <w:proofErr w:type="gramStart"/>
      <w:r w:rsidRPr="003D2646">
        <w:rPr>
          <w:rFonts w:ascii="Times New Roman" w:eastAsia="Times New Roman" w:hAnsi="Times New Roman" w:cs="Times New Roman"/>
          <w:color w:val="0D0D0D" w:themeColor="text1" w:themeTint="F2"/>
          <w:sz w:val="24"/>
          <w:szCs w:val="24"/>
        </w:rPr>
        <w:t>is able to</w:t>
      </w:r>
      <w:proofErr w:type="gramEnd"/>
      <w:r w:rsidRPr="003D2646">
        <w:rPr>
          <w:rFonts w:ascii="Times New Roman" w:eastAsia="Times New Roman" w:hAnsi="Times New Roman" w:cs="Times New Roman"/>
          <w:color w:val="0D0D0D" w:themeColor="text1" w:themeTint="F2"/>
          <w:sz w:val="24"/>
          <w:szCs w:val="24"/>
        </w:rPr>
        <w:t xml:space="preserve"> negotiate the hurdles given by </w:t>
      </w:r>
      <w:r w:rsidRPr="003D2646">
        <w:rPr>
          <w:rFonts w:ascii="Times New Roman" w:eastAsia="Times New Roman" w:hAnsi="Times New Roman" w:cs="Times New Roman"/>
          <w:color w:val="0D0D0D" w:themeColor="text1" w:themeTint="F2"/>
          <w:sz w:val="24"/>
          <w:szCs w:val="24"/>
        </w:rPr>
        <w:lastRenderedPageBreak/>
        <w:t>rigorous capital requirements because the company integrates regulatory compliance with creative business models in a fluid manner</w:t>
      </w:r>
      <w:r w:rsidR="00012466" w:rsidRPr="003D2646">
        <w:rPr>
          <w:rFonts w:ascii="Times New Roman" w:eastAsia="Times New Roman" w:hAnsi="Times New Roman" w:cs="Times New Roman"/>
          <w:color w:val="0D0D0D" w:themeColor="text1" w:themeTint="F2"/>
          <w:sz w:val="24"/>
          <w:szCs w:val="24"/>
        </w:rPr>
        <w:t xml:space="preserve"> (Bernier, 2022)</w:t>
      </w:r>
      <w:r w:rsidRPr="003D2646">
        <w:rPr>
          <w:rFonts w:ascii="Times New Roman" w:eastAsia="Times New Roman" w:hAnsi="Times New Roman" w:cs="Times New Roman"/>
          <w:color w:val="0D0D0D" w:themeColor="text1" w:themeTint="F2"/>
          <w:sz w:val="24"/>
          <w:szCs w:val="24"/>
        </w:rPr>
        <w:t>. This allows the company to ensure long-term survival and flexibility in a financial landscape that is always changing.</w:t>
      </w:r>
    </w:p>
    <w:p w:rsidR="005A13F7" w:rsidRPr="003D2646" w:rsidRDefault="005A13F7" w:rsidP="00412816">
      <w:pPr>
        <w:spacing w:before="200" w:after="200" w:line="360" w:lineRule="auto"/>
        <w:jc w:val="both"/>
        <w:rPr>
          <w:rFonts w:ascii="Times New Roman" w:eastAsia="Times New Roman" w:hAnsi="Times New Roman" w:cs="Times New Roman"/>
          <w:b/>
          <w:bCs/>
          <w:i/>
          <w:iCs/>
          <w:color w:val="0D0D0D" w:themeColor="text1" w:themeTint="F2"/>
          <w:sz w:val="24"/>
          <w:szCs w:val="24"/>
        </w:rPr>
      </w:pPr>
      <w:r w:rsidRPr="003D2646">
        <w:rPr>
          <w:rFonts w:ascii="Times New Roman" w:eastAsia="Times New Roman" w:hAnsi="Times New Roman" w:cs="Times New Roman"/>
          <w:b/>
          <w:bCs/>
          <w:i/>
          <w:iCs/>
          <w:color w:val="0D0D0D" w:themeColor="text1" w:themeTint="F2"/>
          <w:sz w:val="24"/>
          <w:szCs w:val="24"/>
        </w:rPr>
        <w:t>Business Strategies and Adaptation:</w:t>
      </w:r>
    </w:p>
    <w:p w:rsidR="00216267" w:rsidRPr="003D2646" w:rsidRDefault="00216267" w:rsidP="00216267">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answer that HSBC has provided to the changes comprises an expansion in the scope of the development of business strategies</w:t>
      </w:r>
      <w:r w:rsidR="00DC342D" w:rsidRPr="003D2646">
        <w:rPr>
          <w:rFonts w:ascii="Times New Roman" w:eastAsia="Times New Roman" w:hAnsi="Times New Roman" w:cs="Times New Roman"/>
          <w:color w:val="0D0D0D" w:themeColor="text1" w:themeTint="F2"/>
          <w:sz w:val="24"/>
          <w:szCs w:val="24"/>
        </w:rPr>
        <w:t xml:space="preserve"> (Jackson, </w:t>
      </w:r>
      <w:r w:rsidR="00BA1EFA" w:rsidRPr="003D2646">
        <w:rPr>
          <w:rFonts w:ascii="Times New Roman" w:eastAsia="Times New Roman" w:hAnsi="Times New Roman" w:cs="Times New Roman"/>
          <w:color w:val="0D0D0D" w:themeColor="text1" w:themeTint="F2"/>
          <w:sz w:val="24"/>
          <w:szCs w:val="24"/>
        </w:rPr>
        <w:t>2010</w:t>
      </w:r>
      <w:r w:rsidR="00DC342D"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The emphasis that the reforms place on responsible lending and lowered systemic risks are reflected in the organization's decision to prioritise low-risk, core banking operations above high-risk endeavours. HSBC's operations are brought into alignment with the spirit of the reforms, and the bank is positioned as a responsible global participant as a result of this strategic shift</w:t>
      </w:r>
      <w:r w:rsidR="00D0278E" w:rsidRPr="003D2646">
        <w:rPr>
          <w:rFonts w:ascii="Times New Roman" w:eastAsia="Times New Roman" w:hAnsi="Times New Roman" w:cs="Times New Roman"/>
          <w:color w:val="0D0D0D" w:themeColor="text1" w:themeTint="F2"/>
          <w:sz w:val="24"/>
          <w:szCs w:val="24"/>
        </w:rPr>
        <w:t xml:space="preserve"> (Chiu, </w:t>
      </w:r>
      <w:r w:rsidR="00BA1EFA" w:rsidRPr="003D2646">
        <w:rPr>
          <w:rFonts w:ascii="Times New Roman" w:eastAsia="Times New Roman" w:hAnsi="Times New Roman" w:cs="Times New Roman"/>
          <w:color w:val="0D0D0D" w:themeColor="text1" w:themeTint="F2"/>
          <w:sz w:val="24"/>
          <w:szCs w:val="24"/>
        </w:rPr>
        <w:t>2023</w:t>
      </w:r>
      <w:r w:rsidR="00D0278E"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w:t>
      </w:r>
      <w:r w:rsidR="005E37B9" w:rsidRPr="003D2646">
        <w:rPr>
          <w:rFonts w:ascii="Times New Roman" w:eastAsia="Times New Roman" w:hAnsi="Times New Roman" w:cs="Times New Roman"/>
          <w:color w:val="0D0D0D" w:themeColor="text1" w:themeTint="F2"/>
          <w:sz w:val="24"/>
          <w:szCs w:val="24"/>
        </w:rPr>
        <w:t xml:space="preserve"> </w:t>
      </w:r>
      <w:r w:rsidRPr="003D2646">
        <w:rPr>
          <w:rFonts w:ascii="Times New Roman" w:eastAsia="Times New Roman" w:hAnsi="Times New Roman" w:cs="Times New Roman"/>
          <w:color w:val="0D0D0D" w:themeColor="text1" w:themeTint="F2"/>
          <w:sz w:val="24"/>
          <w:szCs w:val="24"/>
        </w:rPr>
        <w:t>Despite this, the path to compliance that HSBC is on is not devoid of obstacles. Stricter laws might unintentionally result in de-risking, which is when an institution withdraws from potentially riskier markets or portions of the market</w:t>
      </w:r>
      <w:r w:rsidR="005E37B9" w:rsidRPr="003D2646">
        <w:rPr>
          <w:rFonts w:ascii="Times New Roman" w:eastAsia="Times New Roman" w:hAnsi="Times New Roman" w:cs="Times New Roman"/>
          <w:color w:val="0D0D0D" w:themeColor="text1" w:themeTint="F2"/>
          <w:sz w:val="24"/>
          <w:szCs w:val="24"/>
        </w:rPr>
        <w:t xml:space="preserve"> (Eubanks, 2010)</w:t>
      </w:r>
      <w:r w:rsidRPr="003D2646">
        <w:rPr>
          <w:rFonts w:ascii="Times New Roman" w:eastAsia="Times New Roman" w:hAnsi="Times New Roman" w:cs="Times New Roman"/>
          <w:color w:val="0D0D0D" w:themeColor="text1" w:themeTint="F2"/>
          <w:sz w:val="24"/>
          <w:szCs w:val="24"/>
        </w:rPr>
        <w:t xml:space="preserve">. As HSBC navigates the regulatory environment, one of the most important factors that it must </w:t>
      </w:r>
      <w:proofErr w:type="gramStart"/>
      <w:r w:rsidRPr="003D2646">
        <w:rPr>
          <w:rFonts w:ascii="Times New Roman" w:eastAsia="Times New Roman" w:hAnsi="Times New Roman" w:cs="Times New Roman"/>
          <w:color w:val="0D0D0D" w:themeColor="text1" w:themeTint="F2"/>
          <w:sz w:val="24"/>
          <w:szCs w:val="24"/>
        </w:rPr>
        <w:t>take into account</w:t>
      </w:r>
      <w:proofErr w:type="gramEnd"/>
      <w:r w:rsidRPr="003D2646">
        <w:rPr>
          <w:rFonts w:ascii="Times New Roman" w:eastAsia="Times New Roman" w:hAnsi="Times New Roman" w:cs="Times New Roman"/>
          <w:color w:val="0D0D0D" w:themeColor="text1" w:themeTint="F2"/>
          <w:sz w:val="24"/>
          <w:szCs w:val="24"/>
        </w:rPr>
        <w:t xml:space="preserve"> is the impact that de-risking will have on financial inclusion and the availability of banking services</w:t>
      </w:r>
      <w:r w:rsidR="008B2169" w:rsidRPr="003D2646">
        <w:rPr>
          <w:rFonts w:ascii="Times New Roman" w:eastAsia="Times New Roman" w:hAnsi="Times New Roman" w:cs="Times New Roman"/>
          <w:color w:val="0D0D0D" w:themeColor="text1" w:themeTint="F2"/>
          <w:sz w:val="24"/>
          <w:szCs w:val="24"/>
        </w:rPr>
        <w:t xml:space="preserve"> (HSBC, 2023)</w:t>
      </w:r>
      <w:r w:rsidRPr="003D2646">
        <w:rPr>
          <w:rFonts w:ascii="Times New Roman" w:eastAsia="Times New Roman" w:hAnsi="Times New Roman" w:cs="Times New Roman"/>
          <w:color w:val="0D0D0D" w:themeColor="text1" w:themeTint="F2"/>
          <w:sz w:val="24"/>
          <w:szCs w:val="24"/>
        </w:rPr>
        <w:t>.</w:t>
      </w:r>
    </w:p>
    <w:p w:rsidR="0020402F" w:rsidRPr="003D2646" w:rsidRDefault="00216267" w:rsidP="00216267">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path that HSBC Holdings plc has taken after the end of the 2008 financial crisis sheds light on the complex interplay that exists between regulatory changes and institutional adaptability</w:t>
      </w:r>
      <w:r w:rsidR="00CA6D54" w:rsidRPr="003D2646">
        <w:rPr>
          <w:rFonts w:ascii="Times New Roman" w:eastAsia="Times New Roman" w:hAnsi="Times New Roman" w:cs="Times New Roman"/>
          <w:color w:val="0D0D0D" w:themeColor="text1" w:themeTint="F2"/>
          <w:sz w:val="24"/>
          <w:szCs w:val="24"/>
        </w:rPr>
        <w:t xml:space="preserve"> (Bernier, 2022)</w:t>
      </w:r>
      <w:r w:rsidRPr="003D2646">
        <w:rPr>
          <w:rFonts w:ascii="Times New Roman" w:eastAsia="Times New Roman" w:hAnsi="Times New Roman" w:cs="Times New Roman"/>
          <w:color w:val="0D0D0D" w:themeColor="text1" w:themeTint="F2"/>
          <w:sz w:val="24"/>
          <w:szCs w:val="24"/>
        </w:rPr>
        <w:t xml:space="preserve">. The institution has shown that it is dedicated to maintaining stability and sustainability by aligning itself with the reforms via the implementation of responsible business </w:t>
      </w:r>
      <w:r w:rsidR="00415D3C" w:rsidRPr="003D2646">
        <w:rPr>
          <w:rFonts w:ascii="Times New Roman" w:eastAsia="Times New Roman" w:hAnsi="Times New Roman" w:cs="Times New Roman"/>
          <w:color w:val="0D0D0D" w:themeColor="text1" w:themeTint="F2"/>
          <w:sz w:val="24"/>
          <w:szCs w:val="24"/>
        </w:rPr>
        <w:t>practices</w:t>
      </w:r>
      <w:r w:rsidRPr="003D2646">
        <w:rPr>
          <w:rFonts w:ascii="Times New Roman" w:eastAsia="Times New Roman" w:hAnsi="Times New Roman" w:cs="Times New Roman"/>
          <w:color w:val="0D0D0D" w:themeColor="text1" w:themeTint="F2"/>
          <w:sz w:val="24"/>
          <w:szCs w:val="24"/>
        </w:rPr>
        <w:t>, upgrades to risk management, and strategic changes</w:t>
      </w:r>
      <w:r w:rsidR="003D2CB8" w:rsidRPr="003D2646">
        <w:rPr>
          <w:rFonts w:ascii="Times New Roman" w:eastAsia="Times New Roman" w:hAnsi="Times New Roman" w:cs="Times New Roman"/>
          <w:color w:val="0D0D0D" w:themeColor="text1" w:themeTint="F2"/>
          <w:sz w:val="24"/>
          <w:szCs w:val="24"/>
        </w:rPr>
        <w:t xml:space="preserve"> (Jackson, 2010)</w:t>
      </w:r>
      <w:r w:rsidRPr="003D2646">
        <w:rPr>
          <w:rFonts w:ascii="Times New Roman" w:eastAsia="Times New Roman" w:hAnsi="Times New Roman" w:cs="Times New Roman"/>
          <w:color w:val="0D0D0D" w:themeColor="text1" w:themeTint="F2"/>
          <w:sz w:val="24"/>
          <w:szCs w:val="24"/>
        </w:rPr>
        <w:t xml:space="preserve">. Compliance with capital requirements and comprehensive reporting </w:t>
      </w:r>
      <w:r w:rsidR="00415D3C" w:rsidRPr="003D2646">
        <w:rPr>
          <w:rFonts w:ascii="Times New Roman" w:eastAsia="Times New Roman" w:hAnsi="Times New Roman" w:cs="Times New Roman"/>
          <w:color w:val="0D0D0D" w:themeColor="text1" w:themeTint="F2"/>
          <w:sz w:val="24"/>
          <w:szCs w:val="24"/>
        </w:rPr>
        <w:t>illustrate</w:t>
      </w:r>
      <w:r w:rsidRPr="003D2646">
        <w:rPr>
          <w:rFonts w:ascii="Times New Roman" w:eastAsia="Times New Roman" w:hAnsi="Times New Roman" w:cs="Times New Roman"/>
          <w:color w:val="0D0D0D" w:themeColor="text1" w:themeTint="F2"/>
          <w:sz w:val="24"/>
          <w:szCs w:val="24"/>
        </w:rPr>
        <w:t xml:space="preserve"> HSBC's devotion to regulatory regulations, which allows the company to navigate the difficult balance between responsible lending and profitability. The institution's development within the context of the reformed regulatory environment illustrates both its resiliency and its proactive approach to tackling the challenges and possibilities presented by a changed financial ecosystem</w:t>
      </w:r>
      <w:r w:rsidR="0040778B" w:rsidRPr="003D2646">
        <w:rPr>
          <w:rFonts w:ascii="Times New Roman" w:eastAsia="Times New Roman" w:hAnsi="Times New Roman" w:cs="Times New Roman"/>
          <w:color w:val="0D0D0D" w:themeColor="text1" w:themeTint="F2"/>
          <w:sz w:val="24"/>
          <w:szCs w:val="24"/>
        </w:rPr>
        <w:t xml:space="preserve"> (Eubanks, </w:t>
      </w:r>
      <w:r w:rsidR="00BA1EFA" w:rsidRPr="003D2646">
        <w:rPr>
          <w:rFonts w:ascii="Times New Roman" w:eastAsia="Times New Roman" w:hAnsi="Times New Roman" w:cs="Times New Roman"/>
          <w:color w:val="0D0D0D" w:themeColor="text1" w:themeTint="F2"/>
          <w:sz w:val="24"/>
          <w:szCs w:val="24"/>
        </w:rPr>
        <w:t>2010</w:t>
      </w:r>
      <w:r w:rsidR="0040778B"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As it continues to transform, HSBC illustrates how a global banking institution can manage complicated changes while remaining loyal to its fundamental principles and the commercial goals it seeks to achieve.</w:t>
      </w:r>
    </w:p>
    <w:p w:rsidR="00415D3C" w:rsidRPr="003D2646" w:rsidRDefault="00415D3C" w:rsidP="00A063E8">
      <w:pPr>
        <w:pStyle w:val="Heading1"/>
        <w:rPr>
          <w:rFonts w:eastAsia="Times New Roman"/>
          <w:color w:val="0D0D0D" w:themeColor="text1" w:themeTint="F2"/>
        </w:rPr>
      </w:pPr>
      <w:bookmarkStart w:id="5" w:name="_Toc143240020"/>
      <w:r w:rsidRPr="003D2646">
        <w:rPr>
          <w:rFonts w:eastAsia="Times New Roman"/>
          <w:color w:val="0D0D0D" w:themeColor="text1" w:themeTint="F2"/>
        </w:rPr>
        <w:lastRenderedPageBreak/>
        <w:t>Structural Adjustments for HSBC Holdings plc:</w:t>
      </w:r>
      <w:bookmarkEnd w:id="5"/>
    </w:p>
    <w:p w:rsidR="00EA64AD" w:rsidRPr="003D2646" w:rsidRDefault="00EA64AD" w:rsidP="00EA64A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A comprehensive strategy that optimises risk management, capital utilisation, and strategic positioning in response to regulatory changes is required when proposing specific structural adjustments to be made to HSBC Holdings plc</w:t>
      </w:r>
      <w:r w:rsidR="003D2CB8" w:rsidRPr="003D2646">
        <w:rPr>
          <w:rFonts w:ascii="Times New Roman" w:eastAsia="Times New Roman" w:hAnsi="Times New Roman" w:cs="Times New Roman"/>
          <w:color w:val="0D0D0D" w:themeColor="text1" w:themeTint="F2"/>
          <w:sz w:val="24"/>
          <w:szCs w:val="24"/>
        </w:rPr>
        <w:t xml:space="preserve"> (Jackson, 2010)</w:t>
      </w:r>
      <w:r w:rsidRPr="003D2646">
        <w:rPr>
          <w:rFonts w:ascii="Times New Roman" w:eastAsia="Times New Roman" w:hAnsi="Times New Roman" w:cs="Times New Roman"/>
          <w:color w:val="0D0D0D" w:themeColor="text1" w:themeTint="F2"/>
          <w:sz w:val="24"/>
          <w:szCs w:val="24"/>
        </w:rPr>
        <w:t>. Using the results of the compliance assessment and the business model analysis, the following suggestions have been crafted to improve HSBC's alignment with post-crisis reforms and to guarantee that the company will continue to be successful within the constantly shifting financial landscape</w:t>
      </w:r>
      <w:r w:rsidR="00D52018" w:rsidRPr="003D2646">
        <w:rPr>
          <w:rFonts w:ascii="Times New Roman" w:eastAsia="Times New Roman" w:hAnsi="Times New Roman" w:cs="Times New Roman"/>
          <w:color w:val="0D0D0D" w:themeColor="text1" w:themeTint="F2"/>
          <w:sz w:val="24"/>
          <w:szCs w:val="24"/>
        </w:rPr>
        <w:t xml:space="preserve"> (</w:t>
      </w:r>
      <w:proofErr w:type="spellStart"/>
      <w:r w:rsidR="00D52018" w:rsidRPr="003D2646">
        <w:rPr>
          <w:rFonts w:ascii="Times New Roman" w:eastAsia="Times New Roman" w:hAnsi="Times New Roman" w:cs="Times New Roman"/>
          <w:color w:val="0D0D0D" w:themeColor="text1" w:themeTint="F2"/>
          <w:sz w:val="24"/>
          <w:szCs w:val="24"/>
        </w:rPr>
        <w:t>Lileikienė</w:t>
      </w:r>
      <w:proofErr w:type="spellEnd"/>
      <w:r w:rsidR="00D52018" w:rsidRPr="003D2646">
        <w:rPr>
          <w:rFonts w:ascii="Times New Roman" w:eastAsia="Times New Roman" w:hAnsi="Times New Roman" w:cs="Times New Roman"/>
          <w:color w:val="0D0D0D" w:themeColor="text1" w:themeTint="F2"/>
          <w:sz w:val="24"/>
          <w:szCs w:val="24"/>
        </w:rPr>
        <w:t xml:space="preserve"> </w:t>
      </w:r>
      <w:r w:rsidR="00D52018" w:rsidRPr="003D2646">
        <w:rPr>
          <w:rFonts w:ascii="Times New Roman" w:eastAsia="Times New Roman" w:hAnsi="Times New Roman" w:cs="Times New Roman"/>
          <w:i/>
          <w:iCs/>
          <w:color w:val="0D0D0D" w:themeColor="text1" w:themeTint="F2"/>
          <w:sz w:val="24"/>
          <w:szCs w:val="24"/>
        </w:rPr>
        <w:t>et al.</w:t>
      </w:r>
      <w:r w:rsidR="00D52018" w:rsidRPr="003D2646">
        <w:rPr>
          <w:rFonts w:ascii="Times New Roman" w:eastAsia="Times New Roman" w:hAnsi="Times New Roman" w:cs="Times New Roman"/>
          <w:color w:val="0D0D0D" w:themeColor="text1" w:themeTint="F2"/>
          <w:sz w:val="24"/>
          <w:szCs w:val="24"/>
        </w:rPr>
        <w:t xml:space="preserve"> 2021)</w:t>
      </w:r>
      <w:r w:rsidRPr="003D2646">
        <w:rPr>
          <w:rFonts w:ascii="Times New Roman" w:eastAsia="Times New Roman" w:hAnsi="Times New Roman" w:cs="Times New Roman"/>
          <w:color w:val="0D0D0D" w:themeColor="text1" w:themeTint="F2"/>
          <w:sz w:val="24"/>
          <w:szCs w:val="24"/>
        </w:rPr>
        <w:t>.</w:t>
      </w:r>
    </w:p>
    <w:p w:rsidR="00EA64AD" w:rsidRPr="003D2646" w:rsidRDefault="00EA64AD" w:rsidP="00EA64AD">
      <w:pPr>
        <w:spacing w:before="200" w:after="200" w:line="360" w:lineRule="auto"/>
        <w:jc w:val="both"/>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1. Enhanced Risk Management Framework:</w:t>
      </w:r>
    </w:p>
    <w:p w:rsidR="00EA64AD" w:rsidRPr="003D2646" w:rsidRDefault="00EA64AD" w:rsidP="00EA64A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By integrating risk management more deeply into its organisational DNA, HSBC can strengthen its commitment to responsible business practices</w:t>
      </w:r>
      <w:r w:rsidR="00831981" w:rsidRPr="003D2646">
        <w:rPr>
          <w:rFonts w:ascii="Times New Roman" w:eastAsia="Times New Roman" w:hAnsi="Times New Roman" w:cs="Times New Roman"/>
          <w:color w:val="0D0D0D" w:themeColor="text1" w:themeTint="F2"/>
          <w:sz w:val="24"/>
          <w:szCs w:val="24"/>
        </w:rPr>
        <w:t xml:space="preserve"> (HSBC, 2023)</w:t>
      </w:r>
      <w:r w:rsidRPr="003D2646">
        <w:rPr>
          <w:rFonts w:ascii="Times New Roman" w:eastAsia="Times New Roman" w:hAnsi="Times New Roman" w:cs="Times New Roman"/>
          <w:color w:val="0D0D0D" w:themeColor="text1" w:themeTint="F2"/>
          <w:sz w:val="24"/>
          <w:szCs w:val="24"/>
        </w:rPr>
        <w:t xml:space="preserve">. The organisation </w:t>
      </w:r>
      <w:proofErr w:type="gramStart"/>
      <w:r w:rsidRPr="003D2646">
        <w:rPr>
          <w:rFonts w:ascii="Times New Roman" w:eastAsia="Times New Roman" w:hAnsi="Times New Roman" w:cs="Times New Roman"/>
          <w:color w:val="0D0D0D" w:themeColor="text1" w:themeTint="F2"/>
          <w:sz w:val="24"/>
          <w:szCs w:val="24"/>
        </w:rPr>
        <w:t>need</w:t>
      </w:r>
      <w:proofErr w:type="gramEnd"/>
      <w:r w:rsidRPr="003D2646">
        <w:rPr>
          <w:rFonts w:ascii="Times New Roman" w:eastAsia="Times New Roman" w:hAnsi="Times New Roman" w:cs="Times New Roman"/>
          <w:color w:val="0D0D0D" w:themeColor="text1" w:themeTint="F2"/>
          <w:sz w:val="24"/>
          <w:szCs w:val="24"/>
        </w:rPr>
        <w:t xml:space="preserve"> to give some thought to enhancing its stress testing procedures so that they cover a wider range of potential outcomes, which should include newly emerging risks such as cyber-attacks and climate-related occurrences</w:t>
      </w:r>
      <w:r w:rsidR="00FC475E" w:rsidRPr="003D2646">
        <w:rPr>
          <w:rFonts w:ascii="Times New Roman" w:eastAsia="Times New Roman" w:hAnsi="Times New Roman" w:cs="Times New Roman"/>
          <w:color w:val="0D0D0D" w:themeColor="text1" w:themeTint="F2"/>
          <w:sz w:val="24"/>
          <w:szCs w:val="24"/>
        </w:rPr>
        <w:t xml:space="preserve"> (Hardie and Howarth, </w:t>
      </w:r>
      <w:r w:rsidR="00BA1EFA" w:rsidRPr="003D2646">
        <w:rPr>
          <w:rFonts w:ascii="Times New Roman" w:eastAsia="Times New Roman" w:hAnsi="Times New Roman" w:cs="Times New Roman"/>
          <w:color w:val="0D0D0D" w:themeColor="text1" w:themeTint="F2"/>
          <w:sz w:val="24"/>
          <w:szCs w:val="24"/>
        </w:rPr>
        <w:t>2009</w:t>
      </w:r>
      <w:r w:rsidR="00FC475E"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xml:space="preserve">. HSBC </w:t>
      </w:r>
      <w:proofErr w:type="gramStart"/>
      <w:r w:rsidRPr="003D2646">
        <w:rPr>
          <w:rFonts w:ascii="Times New Roman" w:eastAsia="Times New Roman" w:hAnsi="Times New Roman" w:cs="Times New Roman"/>
          <w:color w:val="0D0D0D" w:themeColor="text1" w:themeTint="F2"/>
          <w:sz w:val="24"/>
          <w:szCs w:val="24"/>
        </w:rPr>
        <w:t>is able to</w:t>
      </w:r>
      <w:proofErr w:type="gramEnd"/>
      <w:r w:rsidRPr="003D2646">
        <w:rPr>
          <w:rFonts w:ascii="Times New Roman" w:eastAsia="Times New Roman" w:hAnsi="Times New Roman" w:cs="Times New Roman"/>
          <w:color w:val="0D0D0D" w:themeColor="text1" w:themeTint="F2"/>
          <w:sz w:val="24"/>
          <w:szCs w:val="24"/>
        </w:rPr>
        <w:t xml:space="preserve"> proactively address possible difficulties and increase its resilience as a result of taking a more forward-looking approach to risk assessment</w:t>
      </w:r>
      <w:r w:rsidR="00555AC5"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Gutiérrez-</w:t>
      </w:r>
      <w:r w:rsidR="00555AC5" w:rsidRPr="003D2646">
        <w:rPr>
          <w:rFonts w:ascii="Times New Roman" w:eastAsia="Times New Roman" w:hAnsi="Times New Roman" w:cs="Times New Roman"/>
          <w:color w:val="0D0D0D" w:themeColor="text1" w:themeTint="F2"/>
          <w:sz w:val="24"/>
          <w:szCs w:val="24"/>
        </w:rPr>
        <w:t>López and Abad-</w:t>
      </w:r>
      <w:r w:rsidR="001D0864" w:rsidRPr="003D2646">
        <w:rPr>
          <w:rFonts w:ascii="Times New Roman" w:eastAsia="Times New Roman" w:hAnsi="Times New Roman" w:cs="Times New Roman"/>
          <w:color w:val="0D0D0D" w:themeColor="text1" w:themeTint="F2"/>
          <w:sz w:val="24"/>
          <w:szCs w:val="24"/>
        </w:rPr>
        <w:t>González, 2020</w:t>
      </w:r>
      <w:r w:rsidR="00555AC5"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This allows the company to better adapt to an environment that is always changing.</w:t>
      </w:r>
    </w:p>
    <w:p w:rsidR="00EA64AD" w:rsidRPr="003D2646" w:rsidRDefault="00EA64AD" w:rsidP="00EA64AD">
      <w:pPr>
        <w:spacing w:before="200" w:after="200" w:line="360" w:lineRule="auto"/>
        <w:jc w:val="both"/>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2. Dynamic Capital Allocation:</w:t>
      </w:r>
    </w:p>
    <w:p w:rsidR="00EA64AD" w:rsidRPr="003D2646" w:rsidRDefault="00EA64AD" w:rsidP="00EA64A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Adjustments to the structure should include methods for using capital that maximise both regulatory compliance and profitability</w:t>
      </w:r>
      <w:r w:rsidR="000F1F2B" w:rsidRPr="003D2646">
        <w:rPr>
          <w:rFonts w:ascii="Times New Roman" w:eastAsia="Times New Roman" w:hAnsi="Times New Roman" w:cs="Times New Roman"/>
          <w:color w:val="0D0D0D" w:themeColor="text1" w:themeTint="F2"/>
          <w:sz w:val="24"/>
          <w:szCs w:val="24"/>
        </w:rPr>
        <w:t xml:space="preserve"> (La Torre </w:t>
      </w:r>
      <w:r w:rsidR="000F1F2B" w:rsidRPr="003D2646">
        <w:rPr>
          <w:rFonts w:ascii="Times New Roman" w:eastAsia="Times New Roman" w:hAnsi="Times New Roman" w:cs="Times New Roman"/>
          <w:i/>
          <w:iCs/>
          <w:color w:val="0D0D0D" w:themeColor="text1" w:themeTint="F2"/>
          <w:sz w:val="24"/>
          <w:szCs w:val="24"/>
        </w:rPr>
        <w:t>et al.</w:t>
      </w:r>
      <w:r w:rsidR="000F1F2B" w:rsidRPr="003D2646">
        <w:rPr>
          <w:rFonts w:ascii="Times New Roman" w:eastAsia="Times New Roman" w:hAnsi="Times New Roman" w:cs="Times New Roman"/>
          <w:color w:val="0D0D0D" w:themeColor="text1" w:themeTint="F2"/>
          <w:sz w:val="24"/>
          <w:szCs w:val="24"/>
        </w:rPr>
        <w:t xml:space="preserve"> 2021)</w:t>
      </w:r>
      <w:r w:rsidRPr="003D2646">
        <w:rPr>
          <w:rFonts w:ascii="Times New Roman" w:eastAsia="Times New Roman" w:hAnsi="Times New Roman" w:cs="Times New Roman"/>
          <w:color w:val="0D0D0D" w:themeColor="text1" w:themeTint="F2"/>
          <w:sz w:val="24"/>
          <w:szCs w:val="24"/>
        </w:rPr>
        <w:t xml:space="preserve">. HSBC </w:t>
      </w:r>
      <w:proofErr w:type="gramStart"/>
      <w:r w:rsidRPr="003D2646">
        <w:rPr>
          <w:rFonts w:ascii="Times New Roman" w:eastAsia="Times New Roman" w:hAnsi="Times New Roman" w:cs="Times New Roman"/>
          <w:color w:val="0D0D0D" w:themeColor="text1" w:themeTint="F2"/>
          <w:sz w:val="24"/>
          <w:szCs w:val="24"/>
        </w:rPr>
        <w:t>has to</w:t>
      </w:r>
      <w:proofErr w:type="gramEnd"/>
      <w:r w:rsidRPr="003D2646">
        <w:rPr>
          <w:rFonts w:ascii="Times New Roman" w:eastAsia="Times New Roman" w:hAnsi="Times New Roman" w:cs="Times New Roman"/>
          <w:color w:val="0D0D0D" w:themeColor="text1" w:themeTint="F2"/>
          <w:sz w:val="24"/>
          <w:szCs w:val="24"/>
        </w:rPr>
        <w:t xml:space="preserve"> investigate methods to more dynamically deploy capital across its various business groups, taking into consideration risk-adjusted returns. The institution would be able to meet the demands of post-crisis reforms by adopting this strategy. At the same time, the institution would be able to meet the objective of producing sustainable income streams</w:t>
      </w:r>
      <w:r w:rsidR="00CC0EFB" w:rsidRPr="003D2646">
        <w:rPr>
          <w:rFonts w:ascii="Times New Roman" w:eastAsia="Times New Roman" w:hAnsi="Times New Roman" w:cs="Times New Roman"/>
          <w:color w:val="0D0D0D" w:themeColor="text1" w:themeTint="F2"/>
          <w:sz w:val="24"/>
          <w:szCs w:val="24"/>
        </w:rPr>
        <w:t xml:space="preserve"> (Hardie and Howarth, 2009)</w:t>
      </w:r>
      <w:r w:rsidRPr="003D2646">
        <w:rPr>
          <w:rFonts w:ascii="Times New Roman" w:eastAsia="Times New Roman" w:hAnsi="Times New Roman" w:cs="Times New Roman"/>
          <w:color w:val="0D0D0D" w:themeColor="text1" w:themeTint="F2"/>
          <w:sz w:val="24"/>
          <w:szCs w:val="24"/>
        </w:rPr>
        <w:t>. In addition, HSBC might use sophisticated analytics to fine-tune the judgements it makes on capital allocation, therefore improving both its efficiency and its strategic alignment.</w:t>
      </w:r>
    </w:p>
    <w:p w:rsidR="00EA64AD" w:rsidRPr="003D2646" w:rsidRDefault="00EA64AD" w:rsidP="00EA64AD">
      <w:pPr>
        <w:spacing w:before="200" w:after="200" w:line="360" w:lineRule="auto"/>
        <w:jc w:val="both"/>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3. Fintech Integration and Innovation:</w:t>
      </w:r>
    </w:p>
    <w:p w:rsidR="00EA64AD" w:rsidRPr="003D2646" w:rsidRDefault="00EA64AD" w:rsidP="00EA64A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development of FinTech and regtech gives an opportunity for HSBC to not only improve the quality of the client experience but also to expedite its compliance procedures</w:t>
      </w:r>
      <w:r w:rsidR="00CC0EFB" w:rsidRPr="003D2646">
        <w:rPr>
          <w:rFonts w:ascii="Times New Roman" w:eastAsia="Times New Roman" w:hAnsi="Times New Roman" w:cs="Times New Roman"/>
          <w:color w:val="0D0D0D" w:themeColor="text1" w:themeTint="F2"/>
          <w:sz w:val="24"/>
          <w:szCs w:val="24"/>
        </w:rPr>
        <w:t xml:space="preserve"> (Cerutti and </w:t>
      </w:r>
      <w:r w:rsidR="00CC0EFB" w:rsidRPr="003D2646">
        <w:rPr>
          <w:rFonts w:ascii="Times New Roman" w:eastAsia="Times New Roman" w:hAnsi="Times New Roman" w:cs="Times New Roman"/>
          <w:color w:val="0D0D0D" w:themeColor="text1" w:themeTint="F2"/>
          <w:sz w:val="24"/>
          <w:szCs w:val="24"/>
        </w:rPr>
        <w:lastRenderedPageBreak/>
        <w:t xml:space="preserve">Schmieder, </w:t>
      </w:r>
      <w:r w:rsidR="00BA1EFA" w:rsidRPr="003D2646">
        <w:rPr>
          <w:rFonts w:ascii="Times New Roman" w:eastAsia="Times New Roman" w:hAnsi="Times New Roman" w:cs="Times New Roman"/>
          <w:color w:val="0D0D0D" w:themeColor="text1" w:themeTint="F2"/>
          <w:sz w:val="24"/>
          <w:szCs w:val="24"/>
        </w:rPr>
        <w:t>2014</w:t>
      </w:r>
      <w:r w:rsidR="00CC0EFB"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Investing in innovative technologies has the potential to promote transparency, decrease operational risks, and boost the effectiveness of reporting processes. HSBC can improve its competitiveness while maintaining compliance with the ever-changing regulatory landscape if it makes use of solutions from the financial technology (FinTech) industry</w:t>
      </w:r>
      <w:r w:rsidR="00CC0EFB" w:rsidRPr="003D2646">
        <w:rPr>
          <w:rFonts w:ascii="Times New Roman" w:eastAsia="Times New Roman" w:hAnsi="Times New Roman" w:cs="Times New Roman"/>
          <w:color w:val="0D0D0D" w:themeColor="text1" w:themeTint="F2"/>
          <w:sz w:val="24"/>
          <w:szCs w:val="24"/>
        </w:rPr>
        <w:t xml:space="preserve"> (Hardie and Howarth, 2009)</w:t>
      </w:r>
      <w:r w:rsidRPr="003D2646">
        <w:rPr>
          <w:rFonts w:ascii="Times New Roman" w:eastAsia="Times New Roman" w:hAnsi="Times New Roman" w:cs="Times New Roman"/>
          <w:color w:val="0D0D0D" w:themeColor="text1" w:themeTint="F2"/>
          <w:sz w:val="24"/>
          <w:szCs w:val="24"/>
        </w:rPr>
        <w:t>.</w:t>
      </w:r>
    </w:p>
    <w:p w:rsidR="00EA64AD" w:rsidRPr="003D2646" w:rsidRDefault="00EA64AD" w:rsidP="00EA64AD">
      <w:pPr>
        <w:spacing w:before="200" w:after="200" w:line="360" w:lineRule="auto"/>
        <w:jc w:val="both"/>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4. Responsible Lending and Financial Inclusion:</w:t>
      </w:r>
    </w:p>
    <w:p w:rsidR="00EA64AD" w:rsidRPr="003D2646" w:rsidRDefault="00EA64AD" w:rsidP="00EA64A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Adjustments to the structure should be focused on broadening the scope of responsible lending </w:t>
      </w:r>
      <w:r w:rsidR="00137625" w:rsidRPr="003D2646">
        <w:rPr>
          <w:rFonts w:ascii="Times New Roman" w:eastAsia="Times New Roman" w:hAnsi="Times New Roman" w:cs="Times New Roman"/>
          <w:color w:val="0D0D0D" w:themeColor="text1" w:themeTint="F2"/>
          <w:sz w:val="24"/>
          <w:szCs w:val="24"/>
        </w:rPr>
        <w:t>practices</w:t>
      </w:r>
      <w:r w:rsidRPr="003D2646">
        <w:rPr>
          <w:rFonts w:ascii="Times New Roman" w:eastAsia="Times New Roman" w:hAnsi="Times New Roman" w:cs="Times New Roman"/>
          <w:color w:val="0D0D0D" w:themeColor="text1" w:themeTint="F2"/>
          <w:sz w:val="24"/>
          <w:szCs w:val="24"/>
        </w:rPr>
        <w:t xml:space="preserve"> at HSBC in order to guarantee access to financial services for a greater proportion of the population. While the institution must comply with rules, it must also proactively evaluate how the choices it makes on lending affect local people and economies</w:t>
      </w:r>
      <w:r w:rsidR="00B45BD3" w:rsidRPr="003D2646">
        <w:rPr>
          <w:rFonts w:ascii="Times New Roman" w:eastAsia="Times New Roman" w:hAnsi="Times New Roman" w:cs="Times New Roman"/>
          <w:color w:val="0D0D0D" w:themeColor="text1" w:themeTint="F2"/>
          <w:sz w:val="24"/>
          <w:szCs w:val="24"/>
        </w:rPr>
        <w:t xml:space="preserve"> (Cerutti and Schmieder, 2014)</w:t>
      </w:r>
      <w:r w:rsidRPr="003D2646">
        <w:rPr>
          <w:rFonts w:ascii="Times New Roman" w:eastAsia="Times New Roman" w:hAnsi="Times New Roman" w:cs="Times New Roman"/>
          <w:color w:val="0D0D0D" w:themeColor="text1" w:themeTint="F2"/>
          <w:sz w:val="24"/>
          <w:szCs w:val="24"/>
        </w:rPr>
        <w:t xml:space="preserve">. Through the promotion of financial inclusion, HSBC </w:t>
      </w:r>
      <w:proofErr w:type="gramStart"/>
      <w:r w:rsidRPr="003D2646">
        <w:rPr>
          <w:rFonts w:ascii="Times New Roman" w:eastAsia="Times New Roman" w:hAnsi="Times New Roman" w:cs="Times New Roman"/>
          <w:color w:val="0D0D0D" w:themeColor="text1" w:themeTint="F2"/>
          <w:sz w:val="24"/>
          <w:szCs w:val="24"/>
        </w:rPr>
        <w:t>is able to</w:t>
      </w:r>
      <w:proofErr w:type="gramEnd"/>
      <w:r w:rsidRPr="003D2646">
        <w:rPr>
          <w:rFonts w:ascii="Times New Roman" w:eastAsia="Times New Roman" w:hAnsi="Times New Roman" w:cs="Times New Roman"/>
          <w:color w:val="0D0D0D" w:themeColor="text1" w:themeTint="F2"/>
          <w:sz w:val="24"/>
          <w:szCs w:val="24"/>
        </w:rPr>
        <w:t xml:space="preserve"> align itself not only with the aims of the regulatory agencies but also with its commitment to ethical behaviour.</w:t>
      </w:r>
    </w:p>
    <w:p w:rsidR="00EA64AD" w:rsidRPr="003D2646" w:rsidRDefault="00EA64AD" w:rsidP="00EA64AD">
      <w:pPr>
        <w:spacing w:before="200" w:after="200" w:line="360" w:lineRule="auto"/>
        <w:jc w:val="both"/>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5. Strategic Partnerships and Diversification:</w:t>
      </w:r>
    </w:p>
    <w:p w:rsidR="00EA64AD" w:rsidRPr="003D2646" w:rsidRDefault="00EA64AD" w:rsidP="00EA64A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HSBC may further improve its resilience by investigating potential strategic alliances that are congruent with the responsible business goals it has set. Collaborations with climate-focused organisations, impact investing platforms, or sustainable infrastructure projects may diversify income sources while maintaining regulatory compliance</w:t>
      </w:r>
      <w:r w:rsidR="00543295" w:rsidRPr="003D2646">
        <w:rPr>
          <w:rFonts w:ascii="Times New Roman" w:eastAsia="Times New Roman" w:hAnsi="Times New Roman" w:cs="Times New Roman"/>
          <w:color w:val="0D0D0D" w:themeColor="text1" w:themeTint="F2"/>
          <w:sz w:val="24"/>
          <w:szCs w:val="24"/>
        </w:rPr>
        <w:t xml:space="preserve"> (Kirkpatrick, </w:t>
      </w:r>
      <w:r w:rsidR="00BA1EFA" w:rsidRPr="003D2646">
        <w:rPr>
          <w:rFonts w:ascii="Times New Roman" w:eastAsia="Times New Roman" w:hAnsi="Times New Roman" w:cs="Times New Roman"/>
          <w:color w:val="0D0D0D" w:themeColor="text1" w:themeTint="F2"/>
          <w:sz w:val="24"/>
          <w:szCs w:val="24"/>
        </w:rPr>
        <w:t>2009</w:t>
      </w:r>
      <w:r w:rsidR="00543295" w:rsidRPr="003D2646">
        <w:rPr>
          <w:rFonts w:ascii="Times New Roman" w:eastAsia="Times New Roman" w:hAnsi="Times New Roman" w:cs="Times New Roman"/>
          <w:color w:val="0D0D0D" w:themeColor="text1" w:themeTint="F2"/>
          <w:sz w:val="24"/>
          <w:szCs w:val="24"/>
        </w:rPr>
        <w:t>)</w:t>
      </w:r>
      <w:r w:rsidR="00AC395A"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Ercegovac</w:t>
      </w:r>
      <w:r w:rsidR="00AC395A" w:rsidRPr="003D2646">
        <w:rPr>
          <w:rFonts w:ascii="Times New Roman" w:eastAsia="Times New Roman" w:hAnsi="Times New Roman" w:cs="Times New Roman"/>
          <w:color w:val="0D0D0D" w:themeColor="text1" w:themeTint="F2"/>
          <w:sz w:val="24"/>
          <w:szCs w:val="24"/>
        </w:rPr>
        <w:t xml:space="preserve"> </w:t>
      </w:r>
      <w:r w:rsidR="00AC395A" w:rsidRPr="003D2646">
        <w:rPr>
          <w:rFonts w:ascii="Times New Roman" w:eastAsia="Times New Roman" w:hAnsi="Times New Roman" w:cs="Times New Roman"/>
          <w:i/>
          <w:iCs/>
          <w:color w:val="0D0D0D" w:themeColor="text1" w:themeTint="F2"/>
          <w:sz w:val="24"/>
          <w:szCs w:val="24"/>
        </w:rPr>
        <w:t>et al.</w:t>
      </w:r>
      <w:r w:rsidR="00AC395A" w:rsidRPr="003D2646">
        <w:rPr>
          <w:rFonts w:ascii="Times New Roman" w:eastAsia="Times New Roman" w:hAnsi="Times New Roman" w:cs="Times New Roman"/>
          <w:color w:val="0D0D0D" w:themeColor="text1" w:themeTint="F2"/>
          <w:sz w:val="24"/>
          <w:szCs w:val="24"/>
        </w:rPr>
        <w:t xml:space="preserve"> 2020)</w:t>
      </w:r>
      <w:r w:rsidRPr="003D2646">
        <w:rPr>
          <w:rFonts w:ascii="Times New Roman" w:eastAsia="Times New Roman" w:hAnsi="Times New Roman" w:cs="Times New Roman"/>
          <w:color w:val="0D0D0D" w:themeColor="text1" w:themeTint="F2"/>
          <w:sz w:val="24"/>
          <w:szCs w:val="24"/>
        </w:rPr>
        <w:t>. By forming these relationships, HSBC would further demonstrate its dedication to making a good impact on a variety of socioeconomic and environmental issues.</w:t>
      </w:r>
    </w:p>
    <w:p w:rsidR="00EA64AD" w:rsidRPr="003D2646" w:rsidRDefault="00EA64AD" w:rsidP="00EA64AD">
      <w:pPr>
        <w:spacing w:before="200" w:after="200" w:line="360" w:lineRule="auto"/>
        <w:jc w:val="both"/>
        <w:rPr>
          <w:rFonts w:ascii="Times New Roman" w:eastAsia="Times New Roman" w:hAnsi="Times New Roman" w:cs="Times New Roman"/>
          <w:b/>
          <w:bCs/>
          <w:color w:val="0D0D0D" w:themeColor="text1" w:themeTint="F2"/>
          <w:sz w:val="24"/>
          <w:szCs w:val="24"/>
        </w:rPr>
      </w:pPr>
      <w:r w:rsidRPr="003D2646">
        <w:rPr>
          <w:rFonts w:ascii="Times New Roman" w:eastAsia="Times New Roman" w:hAnsi="Times New Roman" w:cs="Times New Roman"/>
          <w:b/>
          <w:bCs/>
          <w:color w:val="0D0D0D" w:themeColor="text1" w:themeTint="F2"/>
          <w:sz w:val="24"/>
          <w:szCs w:val="24"/>
        </w:rPr>
        <w:t>6. Continuous Learning and Adaptation:</w:t>
      </w:r>
    </w:p>
    <w:p w:rsidR="00EA64AD" w:rsidRPr="003D2646" w:rsidRDefault="00EA64AD" w:rsidP="00EA64A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Modifications to the structure should be supported by a culture that emphasises lifelong education and adaption</w:t>
      </w:r>
      <w:r w:rsidR="00EF387A"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Adrian</w:t>
      </w:r>
      <w:r w:rsidR="00EF387A" w:rsidRPr="003D2646">
        <w:rPr>
          <w:rFonts w:ascii="Times New Roman" w:eastAsia="Times New Roman" w:hAnsi="Times New Roman" w:cs="Times New Roman"/>
          <w:color w:val="0D0D0D" w:themeColor="text1" w:themeTint="F2"/>
          <w:sz w:val="24"/>
          <w:szCs w:val="24"/>
        </w:rPr>
        <w:t xml:space="preserve"> </w:t>
      </w:r>
      <w:r w:rsidR="00EF387A" w:rsidRPr="003D2646">
        <w:rPr>
          <w:rFonts w:ascii="Times New Roman" w:eastAsia="Times New Roman" w:hAnsi="Times New Roman" w:cs="Times New Roman"/>
          <w:i/>
          <w:iCs/>
          <w:color w:val="0D0D0D" w:themeColor="text1" w:themeTint="F2"/>
          <w:sz w:val="24"/>
          <w:szCs w:val="24"/>
        </w:rPr>
        <w:t>et al.</w:t>
      </w:r>
      <w:r w:rsidR="00EF387A" w:rsidRPr="003D2646">
        <w:rPr>
          <w:rFonts w:ascii="Times New Roman" w:eastAsia="Times New Roman" w:hAnsi="Times New Roman" w:cs="Times New Roman"/>
          <w:color w:val="0D0D0D" w:themeColor="text1" w:themeTint="F2"/>
          <w:sz w:val="24"/>
          <w:szCs w:val="24"/>
        </w:rPr>
        <w:t xml:space="preserve"> 2018)</w:t>
      </w:r>
      <w:r w:rsidRPr="003D2646">
        <w:rPr>
          <w:rFonts w:ascii="Times New Roman" w:eastAsia="Times New Roman" w:hAnsi="Times New Roman" w:cs="Times New Roman"/>
          <w:color w:val="0D0D0D" w:themeColor="text1" w:themeTint="F2"/>
          <w:sz w:val="24"/>
          <w:szCs w:val="24"/>
        </w:rPr>
        <w:t xml:space="preserve">. To ensure that its employees are aware of regulatory changes, emerging risks, and industry best </w:t>
      </w:r>
      <w:r w:rsidR="00E04E01" w:rsidRPr="003D2646">
        <w:rPr>
          <w:rFonts w:ascii="Times New Roman" w:eastAsia="Times New Roman" w:hAnsi="Times New Roman" w:cs="Times New Roman"/>
          <w:color w:val="0D0D0D" w:themeColor="text1" w:themeTint="F2"/>
          <w:sz w:val="24"/>
          <w:szCs w:val="24"/>
        </w:rPr>
        <w:t>practices</w:t>
      </w:r>
      <w:r w:rsidRPr="003D2646">
        <w:rPr>
          <w:rFonts w:ascii="Times New Roman" w:eastAsia="Times New Roman" w:hAnsi="Times New Roman" w:cs="Times New Roman"/>
          <w:color w:val="0D0D0D" w:themeColor="text1" w:themeTint="F2"/>
          <w:sz w:val="24"/>
          <w:szCs w:val="24"/>
        </w:rPr>
        <w:t>, HSBC should engage in continual training and development for its team. With this approach, personnel would be given the tools they need to efficiently handle difficulties, and the environment would be cultivated to encourage creativity and flexibility</w:t>
      </w:r>
      <w:r w:rsidR="00B45BD3" w:rsidRPr="003D2646">
        <w:rPr>
          <w:rFonts w:ascii="Times New Roman" w:eastAsia="Times New Roman" w:hAnsi="Times New Roman" w:cs="Times New Roman"/>
          <w:color w:val="0D0D0D" w:themeColor="text1" w:themeTint="F2"/>
          <w:sz w:val="24"/>
          <w:szCs w:val="24"/>
        </w:rPr>
        <w:t xml:space="preserve"> (Cerutti and Schmieder, 2014)</w:t>
      </w:r>
      <w:r w:rsidR="00432D5D" w:rsidRPr="003D2646">
        <w:rPr>
          <w:rFonts w:ascii="Times New Roman" w:eastAsia="Times New Roman" w:hAnsi="Times New Roman" w:cs="Times New Roman"/>
          <w:color w:val="0D0D0D" w:themeColor="text1" w:themeTint="F2"/>
          <w:sz w:val="24"/>
          <w:szCs w:val="24"/>
        </w:rPr>
        <w:t xml:space="preserve"> (Ho, </w:t>
      </w:r>
      <w:r w:rsidR="00BA1EFA" w:rsidRPr="003D2646">
        <w:rPr>
          <w:rFonts w:ascii="Times New Roman" w:eastAsia="Times New Roman" w:hAnsi="Times New Roman" w:cs="Times New Roman"/>
          <w:color w:val="0D0D0D" w:themeColor="text1" w:themeTint="F2"/>
          <w:sz w:val="24"/>
          <w:szCs w:val="24"/>
        </w:rPr>
        <w:t>2016</w:t>
      </w:r>
      <w:r w:rsidR="00432D5D"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w:t>
      </w:r>
    </w:p>
    <w:p w:rsidR="00EA64AD" w:rsidRPr="003D2646" w:rsidRDefault="00EA64AD" w:rsidP="00EA64AD">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HSBC Holdings plc's structural modifications need to be directed by a forward-thinking strategy that blends compliance with responsible business practises and strategic agility</w:t>
      </w:r>
      <w:r w:rsidR="00D048A4" w:rsidRPr="003D2646">
        <w:rPr>
          <w:rFonts w:ascii="Times New Roman" w:eastAsia="Times New Roman" w:hAnsi="Times New Roman" w:cs="Times New Roman"/>
          <w:color w:val="0D0D0D" w:themeColor="text1" w:themeTint="F2"/>
          <w:sz w:val="24"/>
          <w:szCs w:val="24"/>
        </w:rPr>
        <w:t xml:space="preserve"> (Goodhart and </w:t>
      </w:r>
      <w:r w:rsidR="00D048A4" w:rsidRPr="003D2646">
        <w:rPr>
          <w:rFonts w:ascii="Times New Roman" w:eastAsia="Times New Roman" w:hAnsi="Times New Roman" w:cs="Times New Roman"/>
          <w:color w:val="0D0D0D" w:themeColor="text1" w:themeTint="F2"/>
          <w:sz w:val="24"/>
          <w:szCs w:val="24"/>
        </w:rPr>
        <w:lastRenderedPageBreak/>
        <w:t>Schoenmaker, 2016)</w:t>
      </w:r>
      <w:r w:rsidRPr="003D2646">
        <w:rPr>
          <w:rFonts w:ascii="Times New Roman" w:eastAsia="Times New Roman" w:hAnsi="Times New Roman" w:cs="Times New Roman"/>
          <w:color w:val="0D0D0D" w:themeColor="text1" w:themeTint="F2"/>
          <w:sz w:val="24"/>
          <w:szCs w:val="24"/>
        </w:rPr>
        <w:t xml:space="preserve">. The dedication of the institution to responsible lending </w:t>
      </w:r>
      <w:r w:rsidR="00E04E01" w:rsidRPr="003D2646">
        <w:rPr>
          <w:rFonts w:ascii="Times New Roman" w:eastAsia="Times New Roman" w:hAnsi="Times New Roman" w:cs="Times New Roman"/>
          <w:color w:val="0D0D0D" w:themeColor="text1" w:themeTint="F2"/>
          <w:sz w:val="24"/>
          <w:szCs w:val="24"/>
        </w:rPr>
        <w:t>practices</w:t>
      </w:r>
      <w:r w:rsidRPr="003D2646">
        <w:rPr>
          <w:rFonts w:ascii="Times New Roman" w:eastAsia="Times New Roman" w:hAnsi="Times New Roman" w:cs="Times New Roman"/>
          <w:color w:val="0D0D0D" w:themeColor="text1" w:themeTint="F2"/>
          <w:sz w:val="24"/>
          <w:szCs w:val="24"/>
        </w:rPr>
        <w:t>, risk management, and open reporting offers a strong platform on which to build the implementation of these suggestions</w:t>
      </w:r>
      <w:r w:rsidR="005130AF" w:rsidRPr="003D2646">
        <w:rPr>
          <w:rFonts w:ascii="Times New Roman" w:eastAsia="Times New Roman" w:hAnsi="Times New Roman" w:cs="Times New Roman"/>
          <w:color w:val="0D0D0D" w:themeColor="text1" w:themeTint="F2"/>
          <w:sz w:val="24"/>
          <w:szCs w:val="24"/>
        </w:rPr>
        <w:t xml:space="preserve"> (Kirkpatrick, 2009)</w:t>
      </w:r>
      <w:r w:rsidR="009F0A07" w:rsidRPr="003D2646">
        <w:rPr>
          <w:rFonts w:ascii="Times New Roman" w:eastAsia="Times New Roman" w:hAnsi="Times New Roman" w:cs="Times New Roman"/>
          <w:color w:val="0D0D0D" w:themeColor="text1" w:themeTint="F2"/>
          <w:sz w:val="24"/>
          <w:szCs w:val="24"/>
        </w:rPr>
        <w:t xml:space="preserve"> (Arner </w:t>
      </w:r>
      <w:r w:rsidR="009F0A07" w:rsidRPr="003D2646">
        <w:rPr>
          <w:rFonts w:ascii="Times New Roman" w:eastAsia="Times New Roman" w:hAnsi="Times New Roman" w:cs="Times New Roman"/>
          <w:i/>
          <w:iCs/>
          <w:color w:val="0D0D0D" w:themeColor="text1" w:themeTint="F2"/>
          <w:sz w:val="24"/>
          <w:szCs w:val="24"/>
        </w:rPr>
        <w:t>et al.</w:t>
      </w:r>
      <w:r w:rsidR="009F0A07" w:rsidRPr="003D2646">
        <w:rPr>
          <w:rFonts w:ascii="Times New Roman" w:eastAsia="Times New Roman" w:hAnsi="Times New Roman" w:cs="Times New Roman"/>
          <w:color w:val="0D0D0D" w:themeColor="text1" w:themeTint="F2"/>
          <w:sz w:val="24"/>
          <w:szCs w:val="24"/>
        </w:rPr>
        <w:t xml:space="preserve"> 2016)</w:t>
      </w:r>
      <w:r w:rsidRPr="003D2646">
        <w:rPr>
          <w:rFonts w:ascii="Times New Roman" w:eastAsia="Times New Roman" w:hAnsi="Times New Roman" w:cs="Times New Roman"/>
          <w:color w:val="0D0D0D" w:themeColor="text1" w:themeTint="F2"/>
          <w:sz w:val="24"/>
          <w:szCs w:val="24"/>
        </w:rPr>
        <w:t xml:space="preserve">. HSBC can navigate the ever-changing financial landscape while remaining steadfast in its commitment to stability, sustainability, and societal impact by improving risk assessment practises, optimising capital utilisation, embracing </w:t>
      </w:r>
      <w:r w:rsidR="001B2EE7" w:rsidRPr="003D2646">
        <w:rPr>
          <w:rFonts w:ascii="Times New Roman" w:eastAsia="Times New Roman" w:hAnsi="Times New Roman" w:cs="Times New Roman"/>
          <w:color w:val="0D0D0D" w:themeColor="text1" w:themeTint="F2"/>
          <w:sz w:val="24"/>
          <w:szCs w:val="24"/>
        </w:rPr>
        <w:t>FinTech</w:t>
      </w:r>
      <w:r w:rsidRPr="003D2646">
        <w:rPr>
          <w:rFonts w:ascii="Times New Roman" w:eastAsia="Times New Roman" w:hAnsi="Times New Roman" w:cs="Times New Roman"/>
          <w:color w:val="0D0D0D" w:themeColor="text1" w:themeTint="F2"/>
          <w:sz w:val="24"/>
          <w:szCs w:val="24"/>
        </w:rPr>
        <w:t xml:space="preserve"> innovation, and fostering partnerships aligned with its values</w:t>
      </w:r>
      <w:r w:rsidR="00F04027" w:rsidRPr="003D2646">
        <w:rPr>
          <w:rFonts w:ascii="Times New Roman" w:eastAsia="Times New Roman" w:hAnsi="Times New Roman" w:cs="Times New Roman"/>
          <w:color w:val="0D0D0D" w:themeColor="text1" w:themeTint="F2"/>
          <w:sz w:val="24"/>
          <w:szCs w:val="24"/>
        </w:rPr>
        <w:t xml:space="preserve"> (</w:t>
      </w:r>
      <w:r w:rsidR="00BA1EFA" w:rsidRPr="003D2646">
        <w:rPr>
          <w:rFonts w:ascii="Times New Roman" w:eastAsia="Times New Roman" w:hAnsi="Times New Roman" w:cs="Times New Roman"/>
          <w:color w:val="0D0D0D" w:themeColor="text1" w:themeTint="F2"/>
          <w:sz w:val="24"/>
          <w:szCs w:val="24"/>
        </w:rPr>
        <w:t>G</w:t>
      </w:r>
      <w:r w:rsidR="00F04027" w:rsidRPr="003D2646">
        <w:rPr>
          <w:rFonts w:ascii="Times New Roman" w:eastAsia="Times New Roman" w:hAnsi="Times New Roman" w:cs="Times New Roman"/>
          <w:color w:val="0D0D0D" w:themeColor="text1" w:themeTint="F2"/>
          <w:sz w:val="24"/>
          <w:szCs w:val="24"/>
        </w:rPr>
        <w:t>oodhart and Schoenmaker,</w:t>
      </w:r>
      <w:r w:rsidR="00BA1EFA" w:rsidRPr="003D2646">
        <w:rPr>
          <w:rFonts w:ascii="Times New Roman" w:eastAsia="Times New Roman" w:hAnsi="Times New Roman" w:cs="Times New Roman"/>
          <w:color w:val="0D0D0D" w:themeColor="text1" w:themeTint="F2"/>
          <w:sz w:val="24"/>
          <w:szCs w:val="24"/>
        </w:rPr>
        <w:t xml:space="preserve"> 2016</w:t>
      </w:r>
      <w:r w:rsidR="00F04027" w:rsidRPr="003D2646">
        <w:rPr>
          <w:rFonts w:ascii="Times New Roman" w:eastAsia="Times New Roman" w:hAnsi="Times New Roman" w:cs="Times New Roman"/>
          <w:color w:val="0D0D0D" w:themeColor="text1" w:themeTint="F2"/>
          <w:sz w:val="24"/>
          <w:szCs w:val="24"/>
        </w:rPr>
        <w:t>)</w:t>
      </w:r>
      <w:r w:rsidRPr="003D2646">
        <w:rPr>
          <w:rFonts w:ascii="Times New Roman" w:eastAsia="Times New Roman" w:hAnsi="Times New Roman" w:cs="Times New Roman"/>
          <w:color w:val="0D0D0D" w:themeColor="text1" w:themeTint="F2"/>
          <w:sz w:val="24"/>
          <w:szCs w:val="24"/>
        </w:rPr>
        <w:t>. HSBC's proactive approach to structural adjustments puts it as a forerunner in adapting to change while preserving its basic beliefs. As the regulatory landscape continues to develop, HSBC's proactive approach to structural adjustments positions it as a trailblazer.</w:t>
      </w:r>
    </w:p>
    <w:p w:rsidR="007634F4" w:rsidRPr="003D2646" w:rsidRDefault="007634F4" w:rsidP="00A063E8">
      <w:pPr>
        <w:pStyle w:val="Heading1"/>
        <w:rPr>
          <w:rFonts w:eastAsia="Times New Roman"/>
          <w:color w:val="0D0D0D" w:themeColor="text1" w:themeTint="F2"/>
        </w:rPr>
      </w:pPr>
      <w:bookmarkStart w:id="6" w:name="_Toc143240021"/>
      <w:r w:rsidRPr="003D2646">
        <w:rPr>
          <w:rFonts w:eastAsia="Times New Roman"/>
          <w:color w:val="0D0D0D" w:themeColor="text1" w:themeTint="F2"/>
        </w:rPr>
        <w:t>Conclusion:</w:t>
      </w:r>
      <w:bookmarkEnd w:id="6"/>
    </w:p>
    <w:p w:rsidR="007634F4" w:rsidRPr="003D2646" w:rsidRDefault="007634F4" w:rsidP="007634F4">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 xml:space="preserve">In conclusion, the aftermath of the financial crisis that occurred in 2008 was characterised by a major upheaval in the financial landscape, which was driven by important reforms. These changes, which were enacted by EU authorities as well as global participants, had the goal of fortifying the system against the weaknesses that had led to the crisis. Even if the effects of the reforms have been complex, it is indisputable that they have improved risk assessment, transparency, and responsible </w:t>
      </w:r>
      <w:r w:rsidR="000A215B" w:rsidRPr="003D2646">
        <w:rPr>
          <w:rFonts w:ascii="Times New Roman" w:eastAsia="Times New Roman" w:hAnsi="Times New Roman" w:cs="Times New Roman"/>
          <w:color w:val="0D0D0D" w:themeColor="text1" w:themeTint="F2"/>
          <w:sz w:val="24"/>
          <w:szCs w:val="24"/>
        </w:rPr>
        <w:t>practices</w:t>
      </w:r>
      <w:r w:rsidRPr="003D2646">
        <w:rPr>
          <w:rFonts w:ascii="Times New Roman" w:eastAsia="Times New Roman" w:hAnsi="Times New Roman" w:cs="Times New Roman"/>
          <w:color w:val="0D0D0D" w:themeColor="text1" w:themeTint="F2"/>
          <w:sz w:val="24"/>
          <w:szCs w:val="24"/>
        </w:rPr>
        <w:t xml:space="preserve"> across the sector.</w:t>
      </w:r>
    </w:p>
    <w:p w:rsidR="007634F4" w:rsidRPr="003D2646" w:rsidRDefault="007634F4" w:rsidP="007634F4">
      <w:pPr>
        <w:spacing w:before="200" w:after="200" w:line="360" w:lineRule="auto"/>
        <w:jc w:val="both"/>
        <w:rPr>
          <w:rFonts w:ascii="Times New Roman" w:eastAsia="Times New Roman" w:hAnsi="Times New Roman" w:cs="Times New Roman"/>
          <w:color w:val="0D0D0D" w:themeColor="text1" w:themeTint="F2"/>
          <w:sz w:val="24"/>
          <w:szCs w:val="24"/>
        </w:rPr>
      </w:pPr>
      <w:r w:rsidRPr="003D2646">
        <w:rPr>
          <w:rFonts w:ascii="Times New Roman" w:eastAsia="Times New Roman" w:hAnsi="Times New Roman" w:cs="Times New Roman"/>
          <w:color w:val="0D0D0D" w:themeColor="text1" w:themeTint="F2"/>
          <w:sz w:val="24"/>
          <w:szCs w:val="24"/>
        </w:rPr>
        <w:t>The path that HSBC Holdings plc has taken across this terrain shows the difficult balance that must be maintained between strategic adaptability and regulatory compliance. The institution's compliance with reforms, which it exhibits via public reporting, improvements in risk management, and diversification initiatives, proves that it is committed to maintaining stability and sustainability.</w:t>
      </w:r>
    </w:p>
    <w:p w:rsidR="00371DDC" w:rsidRPr="003D2646" w:rsidRDefault="007634F4" w:rsidP="009A4B9F">
      <w:pPr>
        <w:spacing w:before="200" w:after="200" w:line="360" w:lineRule="auto"/>
        <w:jc w:val="both"/>
        <w:rPr>
          <w:rFonts w:ascii="Times New Roman" w:hAnsi="Times New Roman" w:cs="Times New Roman"/>
          <w:b/>
          <w:color w:val="0D0D0D" w:themeColor="text1" w:themeTint="F2"/>
          <w:sz w:val="28"/>
        </w:rPr>
      </w:pPr>
      <w:r w:rsidRPr="003D2646">
        <w:rPr>
          <w:rFonts w:ascii="Times New Roman" w:eastAsia="Times New Roman" w:hAnsi="Times New Roman" w:cs="Times New Roman"/>
          <w:color w:val="0D0D0D" w:themeColor="text1" w:themeTint="F2"/>
          <w:sz w:val="24"/>
          <w:szCs w:val="24"/>
        </w:rPr>
        <w:t xml:space="preserve">When one </w:t>
      </w:r>
      <w:proofErr w:type="gramStart"/>
      <w:r w:rsidRPr="003D2646">
        <w:rPr>
          <w:rFonts w:ascii="Times New Roman" w:eastAsia="Times New Roman" w:hAnsi="Times New Roman" w:cs="Times New Roman"/>
          <w:color w:val="0D0D0D" w:themeColor="text1" w:themeTint="F2"/>
          <w:sz w:val="24"/>
          <w:szCs w:val="24"/>
        </w:rPr>
        <w:t>takes a look</w:t>
      </w:r>
      <w:proofErr w:type="gramEnd"/>
      <w:r w:rsidRPr="003D2646">
        <w:rPr>
          <w:rFonts w:ascii="Times New Roman" w:eastAsia="Times New Roman" w:hAnsi="Times New Roman" w:cs="Times New Roman"/>
          <w:color w:val="0D0D0D" w:themeColor="text1" w:themeTint="F2"/>
          <w:sz w:val="24"/>
          <w:szCs w:val="24"/>
        </w:rPr>
        <w:t xml:space="preserve"> into the future, it becomes clear that the dynamic character of the business is exemplified by the continuous development of the financial system as well as the possibility of further regulatory modifications. It will be essential to the development of a robust and responsive financial ecosystem for regulatory bodies, financial institutions, and international organisations to continue working together. As the environment continues to change, the lessons that were learnt from the crisis that occurred in 2008 and the reforms that were implemented as a result will serve as guideposts in order to ensure a more stable, transparent, and inclusive global financial system.</w:t>
      </w:r>
      <w:r w:rsidR="00371DDC" w:rsidRPr="003D2646">
        <w:rPr>
          <w:rFonts w:ascii="Times New Roman" w:hAnsi="Times New Roman" w:cs="Times New Roman"/>
          <w:b/>
          <w:color w:val="0D0D0D" w:themeColor="text1" w:themeTint="F2"/>
          <w:sz w:val="28"/>
        </w:rPr>
        <w:br w:type="page"/>
      </w:r>
    </w:p>
    <w:p w:rsidR="00D06125" w:rsidRPr="00425F3F" w:rsidRDefault="00A81AA4" w:rsidP="005569B3">
      <w:pPr>
        <w:pStyle w:val="Heading1"/>
        <w:rPr>
          <w:color w:val="000000" w:themeColor="text1"/>
        </w:rPr>
      </w:pPr>
      <w:bookmarkStart w:id="7" w:name="_Toc143240022"/>
      <w:r w:rsidRPr="00425F3F">
        <w:rPr>
          <w:color w:val="000000" w:themeColor="text1"/>
        </w:rPr>
        <w:lastRenderedPageBreak/>
        <w:t>References</w:t>
      </w:r>
      <w:bookmarkEnd w:id="7"/>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Acharya, V.V. and Steffen, S., 2013. </w:t>
      </w:r>
      <w:proofErr w:type="spellStart"/>
      <w:r w:rsidRPr="00425F3F">
        <w:rPr>
          <w:rFonts w:ascii="Times New Roman" w:hAnsi="Times New Roman" w:cs="Times New Roman"/>
          <w:color w:val="000000" w:themeColor="text1"/>
          <w:sz w:val="24"/>
          <w:szCs w:val="24"/>
        </w:rPr>
        <w:t>Analyzing</w:t>
      </w:r>
      <w:proofErr w:type="spellEnd"/>
      <w:r w:rsidRPr="00425F3F">
        <w:rPr>
          <w:rFonts w:ascii="Times New Roman" w:hAnsi="Times New Roman" w:cs="Times New Roman"/>
          <w:color w:val="000000" w:themeColor="text1"/>
          <w:sz w:val="24"/>
          <w:szCs w:val="24"/>
        </w:rPr>
        <w:t xml:space="preserve"> systemic risk of the European banking sector. </w:t>
      </w:r>
      <w:r w:rsidRPr="00425F3F">
        <w:rPr>
          <w:rFonts w:ascii="Times New Roman" w:hAnsi="Times New Roman" w:cs="Times New Roman"/>
          <w:i/>
          <w:iCs/>
          <w:color w:val="000000" w:themeColor="text1"/>
          <w:sz w:val="24"/>
          <w:szCs w:val="24"/>
        </w:rPr>
        <w:t>Handbook on systemic risk</w:t>
      </w:r>
      <w:r w:rsidRPr="00425F3F">
        <w:rPr>
          <w:rFonts w:ascii="Times New Roman" w:hAnsi="Times New Roman" w:cs="Times New Roman"/>
          <w:color w:val="000000" w:themeColor="text1"/>
          <w:sz w:val="24"/>
          <w:szCs w:val="24"/>
        </w:rPr>
        <w:t>, pp.247-282.</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Acharya, V.V., Gujral, I., Kulkarni, </w:t>
      </w:r>
      <w:proofErr w:type="gramStart"/>
      <w:r w:rsidRPr="00425F3F">
        <w:rPr>
          <w:rFonts w:ascii="Times New Roman" w:hAnsi="Times New Roman" w:cs="Times New Roman"/>
          <w:color w:val="000000" w:themeColor="text1"/>
          <w:sz w:val="24"/>
          <w:szCs w:val="24"/>
        </w:rPr>
        <w:t>N.</w:t>
      </w:r>
      <w:proofErr w:type="gramEnd"/>
      <w:r w:rsidRPr="00425F3F">
        <w:rPr>
          <w:rFonts w:ascii="Times New Roman" w:hAnsi="Times New Roman" w:cs="Times New Roman"/>
          <w:color w:val="000000" w:themeColor="text1"/>
          <w:sz w:val="24"/>
          <w:szCs w:val="24"/>
        </w:rPr>
        <w:t xml:space="preserve"> and Shin, H.S., 2022. Dividends and bank capital in the global financial crisis of 2007–2009. </w:t>
      </w:r>
      <w:r w:rsidRPr="00425F3F">
        <w:rPr>
          <w:rFonts w:ascii="Times New Roman" w:hAnsi="Times New Roman" w:cs="Times New Roman"/>
          <w:i/>
          <w:iCs/>
          <w:color w:val="000000" w:themeColor="text1"/>
          <w:sz w:val="24"/>
          <w:szCs w:val="24"/>
        </w:rPr>
        <w:t>Journal of Financial Crises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4</w:t>
      </w:r>
      <w:r w:rsidRPr="00425F3F">
        <w:rPr>
          <w:rFonts w:ascii="Times New Roman" w:hAnsi="Times New Roman" w:cs="Times New Roman"/>
          <w:color w:val="000000" w:themeColor="text1"/>
          <w:sz w:val="24"/>
          <w:szCs w:val="24"/>
        </w:rPr>
        <w:t>(2), pp.1-39.</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Adrian, T., Kiff, </w:t>
      </w:r>
      <w:proofErr w:type="gramStart"/>
      <w:r w:rsidRPr="00425F3F">
        <w:rPr>
          <w:rFonts w:ascii="Times New Roman" w:hAnsi="Times New Roman" w:cs="Times New Roman"/>
          <w:color w:val="000000" w:themeColor="text1"/>
          <w:sz w:val="24"/>
          <w:szCs w:val="24"/>
        </w:rPr>
        <w:t>J.</w:t>
      </w:r>
      <w:proofErr w:type="gramEnd"/>
      <w:r w:rsidRPr="00425F3F">
        <w:rPr>
          <w:rFonts w:ascii="Times New Roman" w:hAnsi="Times New Roman" w:cs="Times New Roman"/>
          <w:color w:val="000000" w:themeColor="text1"/>
          <w:sz w:val="24"/>
          <w:szCs w:val="24"/>
        </w:rPr>
        <w:t xml:space="preserve"> and Shin, H.S., 2018. Liquidity, leverage, and regulation 10 years after the global financial crisis. </w:t>
      </w:r>
      <w:r w:rsidRPr="00425F3F">
        <w:rPr>
          <w:rFonts w:ascii="Times New Roman" w:hAnsi="Times New Roman" w:cs="Times New Roman"/>
          <w:i/>
          <w:iCs/>
          <w:color w:val="000000" w:themeColor="text1"/>
          <w:sz w:val="24"/>
          <w:szCs w:val="24"/>
        </w:rPr>
        <w:t>Annual Review of Financial Economics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10</w:t>
      </w:r>
      <w:r w:rsidRPr="00425F3F">
        <w:rPr>
          <w:rFonts w:ascii="Times New Roman" w:hAnsi="Times New Roman" w:cs="Times New Roman"/>
          <w:color w:val="000000" w:themeColor="text1"/>
          <w:sz w:val="24"/>
          <w:szCs w:val="24"/>
        </w:rPr>
        <w:t>, pp.1-24.</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proofErr w:type="spellStart"/>
      <w:r w:rsidRPr="00425F3F">
        <w:rPr>
          <w:rFonts w:ascii="Times New Roman" w:hAnsi="Times New Roman" w:cs="Times New Roman"/>
          <w:color w:val="000000" w:themeColor="text1"/>
          <w:sz w:val="24"/>
          <w:szCs w:val="24"/>
        </w:rPr>
        <w:t>Agoraki</w:t>
      </w:r>
      <w:proofErr w:type="spellEnd"/>
      <w:r w:rsidRPr="00425F3F">
        <w:rPr>
          <w:rFonts w:ascii="Times New Roman" w:hAnsi="Times New Roman" w:cs="Times New Roman"/>
          <w:color w:val="000000" w:themeColor="text1"/>
          <w:sz w:val="24"/>
          <w:szCs w:val="24"/>
        </w:rPr>
        <w:t>, M.E.K., Kouretas, G.P. and De Simone, F.N., 2023. The performance of the euro area banking system: the pandemic in perspective. </w:t>
      </w:r>
      <w:r w:rsidRPr="00425F3F">
        <w:rPr>
          <w:rFonts w:ascii="Times New Roman" w:hAnsi="Times New Roman" w:cs="Times New Roman"/>
          <w:i/>
          <w:iCs/>
          <w:color w:val="000000" w:themeColor="text1"/>
          <w:sz w:val="24"/>
          <w:szCs w:val="24"/>
        </w:rPr>
        <w:t>Review of Quantitative Finance and Accounting</w:t>
      </w:r>
      <w:r w:rsidRPr="00425F3F">
        <w:rPr>
          <w:rFonts w:ascii="Times New Roman" w:hAnsi="Times New Roman" w:cs="Times New Roman"/>
          <w:color w:val="000000" w:themeColor="text1"/>
          <w:sz w:val="24"/>
          <w:szCs w:val="24"/>
        </w:rPr>
        <w:t>, pp.1-31.</w:t>
      </w:r>
    </w:p>
    <w:p w:rsidR="00DE0584" w:rsidRPr="00425F3F" w:rsidRDefault="00DE0584" w:rsidP="00277B5B">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Alexander, Kern. (2014). Stability and Sustainability in Banking Reform: Are Environmental Risks Missing in Basel III? </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Alford, D., 2010. Supervisory colleges: The global financial crisis and improving international supervisory coordination. </w:t>
      </w:r>
      <w:r w:rsidRPr="00425F3F">
        <w:rPr>
          <w:rFonts w:ascii="Times New Roman" w:hAnsi="Times New Roman" w:cs="Times New Roman"/>
          <w:i/>
          <w:iCs/>
          <w:color w:val="000000" w:themeColor="text1"/>
          <w:sz w:val="24"/>
          <w:szCs w:val="24"/>
        </w:rPr>
        <w:t>Emory Int'l L. Rev.</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24</w:t>
      </w:r>
      <w:r w:rsidRPr="00425F3F">
        <w:rPr>
          <w:rFonts w:ascii="Times New Roman" w:hAnsi="Times New Roman" w:cs="Times New Roman"/>
          <w:color w:val="000000" w:themeColor="text1"/>
          <w:sz w:val="24"/>
          <w:szCs w:val="24"/>
        </w:rPr>
        <w:t>, p.57.</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Angeloni, C. and Wolff, G.B., 2012. </w:t>
      </w:r>
      <w:r w:rsidRPr="00425F3F">
        <w:rPr>
          <w:rFonts w:ascii="Times New Roman" w:hAnsi="Times New Roman" w:cs="Times New Roman"/>
          <w:i/>
          <w:iCs/>
          <w:color w:val="000000" w:themeColor="text1"/>
          <w:sz w:val="24"/>
          <w:szCs w:val="24"/>
        </w:rPr>
        <w:t>Are banks affected by their holdings of government debt?</w:t>
      </w:r>
      <w:r w:rsidRPr="00425F3F">
        <w:rPr>
          <w:rFonts w:ascii="Times New Roman" w:hAnsi="Times New Roman" w:cs="Times New Roman"/>
          <w:color w:val="000000" w:themeColor="text1"/>
          <w:sz w:val="24"/>
          <w:szCs w:val="24"/>
        </w:rPr>
        <w:t> (No. 2012/07). Bruegel working paper.</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Arner, D.W., Barberis, J. and Buckey, R.P., 2016. FinTech, </w:t>
      </w:r>
      <w:proofErr w:type="spellStart"/>
      <w:r w:rsidRPr="00425F3F">
        <w:rPr>
          <w:rFonts w:ascii="Times New Roman" w:hAnsi="Times New Roman" w:cs="Times New Roman"/>
          <w:color w:val="000000" w:themeColor="text1"/>
          <w:sz w:val="24"/>
          <w:szCs w:val="24"/>
        </w:rPr>
        <w:t>RegTech</w:t>
      </w:r>
      <w:proofErr w:type="spellEnd"/>
      <w:r w:rsidRPr="00425F3F">
        <w:rPr>
          <w:rFonts w:ascii="Times New Roman" w:hAnsi="Times New Roman" w:cs="Times New Roman"/>
          <w:color w:val="000000" w:themeColor="text1"/>
          <w:sz w:val="24"/>
          <w:szCs w:val="24"/>
        </w:rPr>
        <w:t>, and the reconceptualization of financial regulation. </w:t>
      </w:r>
      <w:r w:rsidRPr="00425F3F">
        <w:rPr>
          <w:rFonts w:ascii="Times New Roman" w:hAnsi="Times New Roman" w:cs="Times New Roman"/>
          <w:i/>
          <w:iCs/>
          <w:color w:val="000000" w:themeColor="text1"/>
          <w:sz w:val="24"/>
          <w:szCs w:val="24"/>
        </w:rPr>
        <w:t>Nw. J. Int'l L. &amp; Bus.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37</w:t>
      </w:r>
      <w:r w:rsidRPr="00425F3F">
        <w:rPr>
          <w:rFonts w:ascii="Times New Roman" w:hAnsi="Times New Roman" w:cs="Times New Roman"/>
          <w:color w:val="000000" w:themeColor="text1"/>
          <w:sz w:val="24"/>
          <w:szCs w:val="24"/>
        </w:rPr>
        <w:t>, p.371.</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Barth, J.R., Prabha, A. and Yun, G., 2012. The Eurozone financial crisis: Role of interdependencies between bank and sovereign risk. </w:t>
      </w:r>
      <w:r w:rsidRPr="00425F3F">
        <w:rPr>
          <w:rFonts w:ascii="Times New Roman" w:hAnsi="Times New Roman" w:cs="Times New Roman"/>
          <w:i/>
          <w:iCs/>
          <w:color w:val="000000" w:themeColor="text1"/>
          <w:sz w:val="24"/>
          <w:szCs w:val="24"/>
        </w:rPr>
        <w:t>Journal of Financial Economic Policy</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4</w:t>
      </w:r>
      <w:r w:rsidRPr="00425F3F">
        <w:rPr>
          <w:rFonts w:ascii="Times New Roman" w:hAnsi="Times New Roman" w:cs="Times New Roman"/>
          <w:color w:val="000000" w:themeColor="text1"/>
          <w:sz w:val="24"/>
          <w:szCs w:val="24"/>
        </w:rPr>
        <w:t>(1), pp.76-97.</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Bernier, L., 2022. The 2008 economic crisis and the rebirth of public enterprises. </w:t>
      </w:r>
      <w:r w:rsidRPr="00425F3F">
        <w:rPr>
          <w:rFonts w:ascii="Times New Roman" w:hAnsi="Times New Roman" w:cs="Times New Roman"/>
          <w:i/>
          <w:iCs/>
          <w:color w:val="000000" w:themeColor="text1"/>
          <w:sz w:val="24"/>
          <w:szCs w:val="24"/>
        </w:rPr>
        <w:t>The Economy of the Collective Interest: 75 years of scientific research</w:t>
      </w:r>
      <w:r w:rsidRPr="00425F3F">
        <w:rPr>
          <w:rFonts w:ascii="Times New Roman" w:hAnsi="Times New Roman" w:cs="Times New Roman"/>
          <w:color w:val="000000" w:themeColor="text1"/>
          <w:sz w:val="24"/>
          <w:szCs w:val="24"/>
        </w:rPr>
        <w:t>, p.281.</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Bottineau, I., </w:t>
      </w:r>
      <w:proofErr w:type="spellStart"/>
      <w:r w:rsidRPr="00425F3F">
        <w:rPr>
          <w:rFonts w:ascii="Times New Roman" w:hAnsi="Times New Roman" w:cs="Times New Roman"/>
          <w:color w:val="000000" w:themeColor="text1"/>
          <w:sz w:val="24"/>
          <w:szCs w:val="24"/>
        </w:rPr>
        <w:t>Coffinet</w:t>
      </w:r>
      <w:proofErr w:type="spellEnd"/>
      <w:r w:rsidRPr="00425F3F">
        <w:rPr>
          <w:rFonts w:ascii="Times New Roman" w:hAnsi="Times New Roman" w:cs="Times New Roman"/>
          <w:color w:val="000000" w:themeColor="text1"/>
          <w:sz w:val="24"/>
          <w:szCs w:val="24"/>
        </w:rPr>
        <w:t>, J. and Le Meur, C., 2022. Large French banking groups are increasingly concentrating their international activities in the euro area. </w:t>
      </w:r>
      <w:r w:rsidRPr="00425F3F">
        <w:rPr>
          <w:rFonts w:ascii="Times New Roman" w:hAnsi="Times New Roman" w:cs="Times New Roman"/>
          <w:i/>
          <w:iCs/>
          <w:color w:val="000000" w:themeColor="text1"/>
          <w:sz w:val="24"/>
          <w:szCs w:val="24"/>
        </w:rPr>
        <w:t>Bulletin de la Banque de France</w:t>
      </w:r>
      <w:r w:rsidRPr="00425F3F">
        <w:rPr>
          <w:rFonts w:ascii="Times New Roman" w:hAnsi="Times New Roman" w:cs="Times New Roman"/>
          <w:color w:val="000000" w:themeColor="text1"/>
          <w:sz w:val="24"/>
          <w:szCs w:val="24"/>
        </w:rPr>
        <w:t>, (241).</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lastRenderedPageBreak/>
        <w:t xml:space="preserve">Brouwer, T., </w:t>
      </w:r>
      <w:proofErr w:type="spellStart"/>
      <w:r w:rsidRPr="00425F3F">
        <w:rPr>
          <w:rFonts w:ascii="Times New Roman" w:hAnsi="Times New Roman" w:cs="Times New Roman"/>
          <w:color w:val="000000" w:themeColor="text1"/>
          <w:sz w:val="24"/>
          <w:szCs w:val="24"/>
        </w:rPr>
        <w:t>Huttenhuis</w:t>
      </w:r>
      <w:proofErr w:type="spellEnd"/>
      <w:r w:rsidRPr="00425F3F">
        <w:rPr>
          <w:rFonts w:ascii="Times New Roman" w:hAnsi="Times New Roman" w:cs="Times New Roman"/>
          <w:color w:val="000000" w:themeColor="text1"/>
          <w:sz w:val="24"/>
          <w:szCs w:val="24"/>
        </w:rPr>
        <w:t xml:space="preserve">, J. and </w:t>
      </w:r>
      <w:proofErr w:type="spellStart"/>
      <w:r w:rsidRPr="00425F3F">
        <w:rPr>
          <w:rFonts w:ascii="Times New Roman" w:hAnsi="Times New Roman" w:cs="Times New Roman"/>
          <w:color w:val="000000" w:themeColor="text1"/>
          <w:sz w:val="24"/>
          <w:szCs w:val="24"/>
        </w:rPr>
        <w:t>ter</w:t>
      </w:r>
      <w:proofErr w:type="spellEnd"/>
      <w:r w:rsidRPr="00425F3F">
        <w:rPr>
          <w:rFonts w:ascii="Times New Roman" w:hAnsi="Times New Roman" w:cs="Times New Roman"/>
          <w:color w:val="000000" w:themeColor="text1"/>
          <w:sz w:val="24"/>
          <w:szCs w:val="24"/>
        </w:rPr>
        <w:t xml:space="preserve"> </w:t>
      </w:r>
      <w:proofErr w:type="spellStart"/>
      <w:r w:rsidRPr="00425F3F">
        <w:rPr>
          <w:rFonts w:ascii="Times New Roman" w:hAnsi="Times New Roman" w:cs="Times New Roman"/>
          <w:color w:val="000000" w:themeColor="text1"/>
          <w:sz w:val="24"/>
          <w:szCs w:val="24"/>
        </w:rPr>
        <w:t>Hoeven</w:t>
      </w:r>
      <w:proofErr w:type="spellEnd"/>
      <w:r w:rsidRPr="00425F3F">
        <w:rPr>
          <w:rFonts w:ascii="Times New Roman" w:hAnsi="Times New Roman" w:cs="Times New Roman"/>
          <w:color w:val="000000" w:themeColor="text1"/>
          <w:sz w:val="24"/>
          <w:szCs w:val="24"/>
        </w:rPr>
        <w:t>, R., 2021. Empirical results for expected credit losses of G-SIBs during COVID-19. The proof of the pudding is in the eating. </w:t>
      </w:r>
      <w:proofErr w:type="spellStart"/>
      <w:r w:rsidRPr="00425F3F">
        <w:rPr>
          <w:rFonts w:ascii="Times New Roman" w:hAnsi="Times New Roman" w:cs="Times New Roman"/>
          <w:i/>
          <w:iCs/>
          <w:color w:val="000000" w:themeColor="text1"/>
          <w:sz w:val="24"/>
          <w:szCs w:val="24"/>
        </w:rPr>
        <w:t>Maandblad</w:t>
      </w:r>
      <w:proofErr w:type="spellEnd"/>
      <w:r w:rsidRPr="00425F3F">
        <w:rPr>
          <w:rFonts w:ascii="Times New Roman" w:hAnsi="Times New Roman" w:cs="Times New Roman"/>
          <w:i/>
          <w:iCs/>
          <w:color w:val="000000" w:themeColor="text1"/>
          <w:sz w:val="24"/>
          <w:szCs w:val="24"/>
        </w:rPr>
        <w:t xml:space="preserve"> </w:t>
      </w:r>
      <w:proofErr w:type="spellStart"/>
      <w:r w:rsidRPr="00425F3F">
        <w:rPr>
          <w:rFonts w:ascii="Times New Roman" w:hAnsi="Times New Roman" w:cs="Times New Roman"/>
          <w:i/>
          <w:iCs/>
          <w:color w:val="000000" w:themeColor="text1"/>
          <w:sz w:val="24"/>
          <w:szCs w:val="24"/>
        </w:rPr>
        <w:t>voor</w:t>
      </w:r>
      <w:proofErr w:type="spellEnd"/>
      <w:r w:rsidRPr="00425F3F">
        <w:rPr>
          <w:rFonts w:ascii="Times New Roman" w:hAnsi="Times New Roman" w:cs="Times New Roman"/>
          <w:i/>
          <w:iCs/>
          <w:color w:val="000000" w:themeColor="text1"/>
          <w:sz w:val="24"/>
          <w:szCs w:val="24"/>
        </w:rPr>
        <w:t xml:space="preserve"> Accountancy </w:t>
      </w:r>
      <w:proofErr w:type="spellStart"/>
      <w:r w:rsidRPr="00425F3F">
        <w:rPr>
          <w:rFonts w:ascii="Times New Roman" w:hAnsi="Times New Roman" w:cs="Times New Roman"/>
          <w:i/>
          <w:iCs/>
          <w:color w:val="000000" w:themeColor="text1"/>
          <w:sz w:val="24"/>
          <w:szCs w:val="24"/>
        </w:rPr>
        <w:t>en</w:t>
      </w:r>
      <w:proofErr w:type="spellEnd"/>
      <w:r w:rsidRPr="00425F3F">
        <w:rPr>
          <w:rFonts w:ascii="Times New Roman" w:hAnsi="Times New Roman" w:cs="Times New Roman"/>
          <w:i/>
          <w:iCs/>
          <w:color w:val="000000" w:themeColor="text1"/>
          <w:sz w:val="24"/>
          <w:szCs w:val="24"/>
        </w:rPr>
        <w:t xml:space="preserve"> </w:t>
      </w:r>
      <w:proofErr w:type="spellStart"/>
      <w:r w:rsidRPr="00425F3F">
        <w:rPr>
          <w:rFonts w:ascii="Times New Roman" w:hAnsi="Times New Roman" w:cs="Times New Roman"/>
          <w:i/>
          <w:iCs/>
          <w:color w:val="000000" w:themeColor="text1"/>
          <w:sz w:val="24"/>
          <w:szCs w:val="24"/>
        </w:rPr>
        <w:t>Bedrijfseconomie</w:t>
      </w:r>
      <w:proofErr w:type="spellEnd"/>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95</w:t>
      </w:r>
      <w:r w:rsidRPr="00425F3F">
        <w:rPr>
          <w:rFonts w:ascii="Times New Roman" w:hAnsi="Times New Roman" w:cs="Times New Roman"/>
          <w:color w:val="000000" w:themeColor="text1"/>
          <w:sz w:val="24"/>
          <w:szCs w:val="24"/>
        </w:rPr>
        <w:t>(11/12), pp.381-396.</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Cerutti, E. and Schmieder, C., 2014. Ring fencing and consolidated banks’ stress tests. </w:t>
      </w:r>
      <w:r w:rsidRPr="00425F3F">
        <w:rPr>
          <w:rFonts w:ascii="Times New Roman" w:hAnsi="Times New Roman" w:cs="Times New Roman"/>
          <w:i/>
          <w:iCs/>
          <w:color w:val="000000" w:themeColor="text1"/>
          <w:sz w:val="24"/>
          <w:szCs w:val="24"/>
        </w:rPr>
        <w:t>Journal of Financial Stability</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11</w:t>
      </w:r>
      <w:r w:rsidRPr="00425F3F">
        <w:rPr>
          <w:rFonts w:ascii="Times New Roman" w:hAnsi="Times New Roman" w:cs="Times New Roman"/>
          <w:color w:val="000000" w:themeColor="text1"/>
          <w:sz w:val="24"/>
          <w:szCs w:val="24"/>
        </w:rPr>
        <w:t>, pp.1-12.</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Chiu, I.H.Y., 2023. Prospects for international financial deglobalisation and its potential impact on international financial regulation. </w:t>
      </w:r>
      <w:r w:rsidRPr="00425F3F">
        <w:rPr>
          <w:rFonts w:ascii="Times New Roman" w:hAnsi="Times New Roman" w:cs="Times New Roman"/>
          <w:i/>
          <w:iCs/>
          <w:color w:val="000000" w:themeColor="text1"/>
          <w:sz w:val="24"/>
          <w:szCs w:val="24"/>
        </w:rPr>
        <w:t>Law and Financial Markets Review</w:t>
      </w:r>
      <w:r w:rsidRPr="00425F3F">
        <w:rPr>
          <w:rFonts w:ascii="Times New Roman" w:hAnsi="Times New Roman" w:cs="Times New Roman"/>
          <w:color w:val="000000" w:themeColor="text1"/>
          <w:sz w:val="24"/>
          <w:szCs w:val="24"/>
        </w:rPr>
        <w:t>, pp.1-19.</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De Bruyckere, V., Gerhardt, M., Schepens, G. and Vander </w:t>
      </w:r>
      <w:proofErr w:type="spellStart"/>
      <w:r w:rsidRPr="00425F3F">
        <w:rPr>
          <w:rFonts w:ascii="Times New Roman" w:hAnsi="Times New Roman" w:cs="Times New Roman"/>
          <w:color w:val="000000" w:themeColor="text1"/>
          <w:sz w:val="24"/>
          <w:szCs w:val="24"/>
        </w:rPr>
        <w:t>Vennet</w:t>
      </w:r>
      <w:proofErr w:type="spellEnd"/>
      <w:r w:rsidRPr="00425F3F">
        <w:rPr>
          <w:rFonts w:ascii="Times New Roman" w:hAnsi="Times New Roman" w:cs="Times New Roman"/>
          <w:color w:val="000000" w:themeColor="text1"/>
          <w:sz w:val="24"/>
          <w:szCs w:val="24"/>
        </w:rPr>
        <w:t>, R., 2013. Bank/sovereign risk spillovers in the European debt crisis. </w:t>
      </w:r>
      <w:r w:rsidRPr="00425F3F">
        <w:rPr>
          <w:rFonts w:ascii="Times New Roman" w:hAnsi="Times New Roman" w:cs="Times New Roman"/>
          <w:i/>
          <w:iCs/>
          <w:color w:val="000000" w:themeColor="text1"/>
          <w:sz w:val="24"/>
          <w:szCs w:val="24"/>
        </w:rPr>
        <w:t>Journal of Banking &amp; Finance</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37</w:t>
      </w:r>
      <w:r w:rsidRPr="00425F3F">
        <w:rPr>
          <w:rFonts w:ascii="Times New Roman" w:hAnsi="Times New Roman" w:cs="Times New Roman"/>
          <w:color w:val="000000" w:themeColor="text1"/>
          <w:sz w:val="24"/>
          <w:szCs w:val="24"/>
        </w:rPr>
        <w:t>(12), pp.4793-4809.</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proofErr w:type="spellStart"/>
      <w:r w:rsidRPr="00425F3F">
        <w:rPr>
          <w:rFonts w:ascii="Times New Roman" w:hAnsi="Times New Roman" w:cs="Times New Roman"/>
          <w:color w:val="000000" w:themeColor="text1"/>
          <w:sz w:val="24"/>
          <w:szCs w:val="24"/>
        </w:rPr>
        <w:t>Derbali</w:t>
      </w:r>
      <w:proofErr w:type="spellEnd"/>
      <w:r w:rsidRPr="00425F3F">
        <w:rPr>
          <w:rFonts w:ascii="Times New Roman" w:hAnsi="Times New Roman" w:cs="Times New Roman"/>
          <w:color w:val="000000" w:themeColor="text1"/>
          <w:sz w:val="24"/>
          <w:szCs w:val="24"/>
        </w:rPr>
        <w:t xml:space="preserve">, A. and </w:t>
      </w:r>
      <w:proofErr w:type="spellStart"/>
      <w:r w:rsidRPr="00425F3F">
        <w:rPr>
          <w:rFonts w:ascii="Times New Roman" w:hAnsi="Times New Roman" w:cs="Times New Roman"/>
          <w:color w:val="000000" w:themeColor="text1"/>
          <w:sz w:val="24"/>
          <w:szCs w:val="24"/>
        </w:rPr>
        <w:t>Hallara</w:t>
      </w:r>
      <w:proofErr w:type="spellEnd"/>
      <w:r w:rsidRPr="00425F3F">
        <w:rPr>
          <w:rFonts w:ascii="Times New Roman" w:hAnsi="Times New Roman" w:cs="Times New Roman"/>
          <w:color w:val="000000" w:themeColor="text1"/>
          <w:sz w:val="24"/>
          <w:szCs w:val="24"/>
        </w:rPr>
        <w:t>, S., 2016. Systemic risk of European financial institutions: Estimation and ranking by the Marginal Expected Shortfall. </w:t>
      </w:r>
      <w:r w:rsidRPr="00425F3F">
        <w:rPr>
          <w:rFonts w:ascii="Times New Roman" w:hAnsi="Times New Roman" w:cs="Times New Roman"/>
          <w:i/>
          <w:iCs/>
          <w:color w:val="000000" w:themeColor="text1"/>
          <w:sz w:val="24"/>
          <w:szCs w:val="24"/>
        </w:rPr>
        <w:t>Research in International Business and Finance</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37</w:t>
      </w:r>
      <w:r w:rsidRPr="00425F3F">
        <w:rPr>
          <w:rFonts w:ascii="Times New Roman" w:hAnsi="Times New Roman" w:cs="Times New Roman"/>
          <w:color w:val="000000" w:themeColor="text1"/>
          <w:sz w:val="24"/>
          <w:szCs w:val="24"/>
        </w:rPr>
        <w:t>, pp.113-134.</w:t>
      </w:r>
    </w:p>
    <w:p w:rsidR="00DE0584" w:rsidRPr="00425F3F" w:rsidRDefault="00DE0584" w:rsidP="00277B5B">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EIMF, 2023. </w:t>
      </w:r>
      <w:r w:rsidRPr="00425F3F">
        <w:rPr>
          <w:rFonts w:ascii="Times New Roman" w:hAnsi="Times New Roman" w:cs="Times New Roman"/>
          <w:i/>
          <w:iCs/>
          <w:color w:val="000000" w:themeColor="text1"/>
          <w:sz w:val="24"/>
          <w:szCs w:val="24"/>
        </w:rPr>
        <w:t>EMIR.</w:t>
      </w:r>
      <w:r w:rsidRPr="00425F3F">
        <w:rPr>
          <w:rFonts w:ascii="Times New Roman" w:hAnsi="Times New Roman" w:cs="Times New Roman"/>
          <w:color w:val="000000" w:themeColor="text1"/>
          <w:sz w:val="24"/>
          <w:szCs w:val="24"/>
        </w:rPr>
        <w:t xml:space="preserve"> Available at: </w:t>
      </w:r>
      <w:hyperlink r:id="rId17" w:history="1">
        <w:r w:rsidRPr="00425F3F">
          <w:rPr>
            <w:rStyle w:val="Hyperlink"/>
            <w:rFonts w:ascii="Times New Roman" w:hAnsi="Times New Roman" w:cs="Times New Roman"/>
            <w:color w:val="000000" w:themeColor="text1"/>
            <w:sz w:val="24"/>
            <w:szCs w:val="24"/>
          </w:rPr>
          <w:t>https://eimf.eu/emir/</w:t>
        </w:r>
      </w:hyperlink>
      <w:r w:rsidRPr="00425F3F">
        <w:rPr>
          <w:rFonts w:ascii="Times New Roman" w:hAnsi="Times New Roman" w:cs="Times New Roman"/>
          <w:color w:val="000000" w:themeColor="text1"/>
          <w:sz w:val="24"/>
          <w:szCs w:val="24"/>
        </w:rPr>
        <w:t xml:space="preserve"> [Accessed on: 18.08.2023]</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Ercegovac, R., </w:t>
      </w:r>
      <w:proofErr w:type="spellStart"/>
      <w:r w:rsidRPr="00425F3F">
        <w:rPr>
          <w:rFonts w:ascii="Times New Roman" w:hAnsi="Times New Roman" w:cs="Times New Roman"/>
          <w:color w:val="000000" w:themeColor="text1"/>
          <w:sz w:val="24"/>
          <w:szCs w:val="24"/>
        </w:rPr>
        <w:t>Klinac</w:t>
      </w:r>
      <w:proofErr w:type="spellEnd"/>
      <w:r w:rsidRPr="00425F3F">
        <w:rPr>
          <w:rFonts w:ascii="Times New Roman" w:hAnsi="Times New Roman" w:cs="Times New Roman"/>
          <w:color w:val="000000" w:themeColor="text1"/>
          <w:sz w:val="24"/>
          <w:szCs w:val="24"/>
        </w:rPr>
        <w:t xml:space="preserve">, I. and </w:t>
      </w:r>
      <w:proofErr w:type="spellStart"/>
      <w:r w:rsidRPr="00425F3F">
        <w:rPr>
          <w:rFonts w:ascii="Times New Roman" w:hAnsi="Times New Roman" w:cs="Times New Roman"/>
          <w:color w:val="000000" w:themeColor="text1"/>
          <w:sz w:val="24"/>
          <w:szCs w:val="24"/>
        </w:rPr>
        <w:t>Zdrilić</w:t>
      </w:r>
      <w:proofErr w:type="spellEnd"/>
      <w:r w:rsidRPr="00425F3F">
        <w:rPr>
          <w:rFonts w:ascii="Times New Roman" w:hAnsi="Times New Roman" w:cs="Times New Roman"/>
          <w:color w:val="000000" w:themeColor="text1"/>
          <w:sz w:val="24"/>
          <w:szCs w:val="24"/>
        </w:rPr>
        <w:t>, I., 2020. Bank specific determinants of EU banks profitability after 2007 financial crisis. </w:t>
      </w:r>
      <w:r w:rsidRPr="00425F3F">
        <w:rPr>
          <w:rFonts w:ascii="Times New Roman" w:hAnsi="Times New Roman" w:cs="Times New Roman"/>
          <w:i/>
          <w:iCs/>
          <w:color w:val="000000" w:themeColor="text1"/>
          <w:sz w:val="24"/>
          <w:szCs w:val="24"/>
        </w:rPr>
        <w:t>Management: Journal of Contemporary Management Issues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25</w:t>
      </w:r>
      <w:r w:rsidRPr="00425F3F">
        <w:rPr>
          <w:rFonts w:ascii="Times New Roman" w:hAnsi="Times New Roman" w:cs="Times New Roman"/>
          <w:color w:val="000000" w:themeColor="text1"/>
          <w:sz w:val="24"/>
          <w:szCs w:val="24"/>
        </w:rPr>
        <w:t>(1), pp.89-102.</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Ercegovac, R., </w:t>
      </w:r>
      <w:proofErr w:type="spellStart"/>
      <w:r w:rsidRPr="00425F3F">
        <w:rPr>
          <w:rFonts w:ascii="Times New Roman" w:hAnsi="Times New Roman" w:cs="Times New Roman"/>
          <w:color w:val="000000" w:themeColor="text1"/>
          <w:sz w:val="24"/>
          <w:szCs w:val="24"/>
        </w:rPr>
        <w:t>Klinac</w:t>
      </w:r>
      <w:proofErr w:type="spellEnd"/>
      <w:r w:rsidRPr="00425F3F">
        <w:rPr>
          <w:rFonts w:ascii="Times New Roman" w:hAnsi="Times New Roman" w:cs="Times New Roman"/>
          <w:color w:val="000000" w:themeColor="text1"/>
          <w:sz w:val="24"/>
          <w:szCs w:val="24"/>
        </w:rPr>
        <w:t xml:space="preserve">, I. and </w:t>
      </w:r>
      <w:proofErr w:type="spellStart"/>
      <w:r w:rsidRPr="00425F3F">
        <w:rPr>
          <w:rFonts w:ascii="Times New Roman" w:hAnsi="Times New Roman" w:cs="Times New Roman"/>
          <w:color w:val="000000" w:themeColor="text1"/>
          <w:sz w:val="24"/>
          <w:szCs w:val="24"/>
        </w:rPr>
        <w:t>Zdrilić</w:t>
      </w:r>
      <w:proofErr w:type="spellEnd"/>
      <w:r w:rsidRPr="00425F3F">
        <w:rPr>
          <w:rFonts w:ascii="Times New Roman" w:hAnsi="Times New Roman" w:cs="Times New Roman"/>
          <w:color w:val="000000" w:themeColor="text1"/>
          <w:sz w:val="24"/>
          <w:szCs w:val="24"/>
        </w:rPr>
        <w:t>, I., 2020. Bank specific determinants of EU banks profitability after 2007 financial crisis. </w:t>
      </w:r>
      <w:r w:rsidRPr="00425F3F">
        <w:rPr>
          <w:rFonts w:ascii="Times New Roman" w:hAnsi="Times New Roman" w:cs="Times New Roman"/>
          <w:i/>
          <w:iCs/>
          <w:color w:val="000000" w:themeColor="text1"/>
          <w:sz w:val="24"/>
          <w:szCs w:val="24"/>
        </w:rPr>
        <w:t>Management: Journal of Contemporary Management Issues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25</w:t>
      </w:r>
      <w:r w:rsidRPr="00425F3F">
        <w:rPr>
          <w:rFonts w:ascii="Times New Roman" w:hAnsi="Times New Roman" w:cs="Times New Roman"/>
          <w:color w:val="000000" w:themeColor="text1"/>
          <w:sz w:val="24"/>
          <w:szCs w:val="24"/>
        </w:rPr>
        <w:t>(1), pp.89-102.</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Ercegovac, R., </w:t>
      </w:r>
      <w:proofErr w:type="spellStart"/>
      <w:r w:rsidRPr="00425F3F">
        <w:rPr>
          <w:rFonts w:ascii="Times New Roman" w:hAnsi="Times New Roman" w:cs="Times New Roman"/>
          <w:color w:val="000000" w:themeColor="text1"/>
          <w:sz w:val="24"/>
          <w:szCs w:val="24"/>
        </w:rPr>
        <w:t>Tolj</w:t>
      </w:r>
      <w:proofErr w:type="spellEnd"/>
      <w:r w:rsidRPr="00425F3F">
        <w:rPr>
          <w:rFonts w:ascii="Times New Roman" w:hAnsi="Times New Roman" w:cs="Times New Roman"/>
          <w:color w:val="000000" w:themeColor="text1"/>
          <w:sz w:val="24"/>
          <w:szCs w:val="24"/>
        </w:rPr>
        <w:t xml:space="preserve">, A. and </w:t>
      </w:r>
      <w:proofErr w:type="spellStart"/>
      <w:r w:rsidRPr="00425F3F">
        <w:rPr>
          <w:rFonts w:ascii="Times New Roman" w:hAnsi="Times New Roman" w:cs="Times New Roman"/>
          <w:color w:val="000000" w:themeColor="text1"/>
          <w:sz w:val="24"/>
          <w:szCs w:val="24"/>
        </w:rPr>
        <w:t>Piplica</w:t>
      </w:r>
      <w:proofErr w:type="spellEnd"/>
      <w:r w:rsidRPr="00425F3F">
        <w:rPr>
          <w:rFonts w:ascii="Times New Roman" w:hAnsi="Times New Roman" w:cs="Times New Roman"/>
          <w:color w:val="000000" w:themeColor="text1"/>
          <w:sz w:val="24"/>
          <w:szCs w:val="24"/>
        </w:rPr>
        <w:t>, D., 2022. The pass-through effect of unconventional monetary policy to net interest income structure of European banks. </w:t>
      </w:r>
      <w:proofErr w:type="spellStart"/>
      <w:r w:rsidRPr="00425F3F">
        <w:rPr>
          <w:rFonts w:ascii="Times New Roman" w:hAnsi="Times New Roman" w:cs="Times New Roman"/>
          <w:i/>
          <w:iCs/>
          <w:color w:val="000000" w:themeColor="text1"/>
          <w:sz w:val="24"/>
          <w:szCs w:val="24"/>
        </w:rPr>
        <w:t>Ekonomski</w:t>
      </w:r>
      <w:proofErr w:type="spellEnd"/>
      <w:r w:rsidRPr="00425F3F">
        <w:rPr>
          <w:rFonts w:ascii="Times New Roman" w:hAnsi="Times New Roman" w:cs="Times New Roman"/>
          <w:i/>
          <w:iCs/>
          <w:color w:val="000000" w:themeColor="text1"/>
          <w:sz w:val="24"/>
          <w:szCs w:val="24"/>
        </w:rPr>
        <w:t xml:space="preserve"> </w:t>
      </w:r>
      <w:proofErr w:type="spellStart"/>
      <w:r w:rsidRPr="00425F3F">
        <w:rPr>
          <w:rFonts w:ascii="Times New Roman" w:hAnsi="Times New Roman" w:cs="Times New Roman"/>
          <w:i/>
          <w:iCs/>
          <w:color w:val="000000" w:themeColor="text1"/>
          <w:sz w:val="24"/>
          <w:szCs w:val="24"/>
        </w:rPr>
        <w:t>vjesnik</w:t>
      </w:r>
      <w:proofErr w:type="spellEnd"/>
      <w:r w:rsidRPr="00425F3F">
        <w:rPr>
          <w:rFonts w:ascii="Times New Roman" w:hAnsi="Times New Roman" w:cs="Times New Roman"/>
          <w:i/>
          <w:iCs/>
          <w:color w:val="000000" w:themeColor="text1"/>
          <w:sz w:val="24"/>
          <w:szCs w:val="24"/>
        </w:rPr>
        <w:t>: Review of Contemporary Entrepreneurship, Business, and Economic Issues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35</w:t>
      </w:r>
      <w:r w:rsidRPr="00425F3F">
        <w:rPr>
          <w:rFonts w:ascii="Times New Roman" w:hAnsi="Times New Roman" w:cs="Times New Roman"/>
          <w:color w:val="000000" w:themeColor="text1"/>
          <w:sz w:val="24"/>
          <w:szCs w:val="24"/>
        </w:rPr>
        <w:t>(1), pp.45-54.</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Erkens, D.H., Hung, M. and Matos, P., 2012. Corporate governance in the 2007–2008 financial crisis: Evidence from financial institutions worldwide. </w:t>
      </w:r>
      <w:r w:rsidRPr="00425F3F">
        <w:rPr>
          <w:rFonts w:ascii="Times New Roman" w:hAnsi="Times New Roman" w:cs="Times New Roman"/>
          <w:i/>
          <w:iCs/>
          <w:color w:val="000000" w:themeColor="text1"/>
          <w:sz w:val="24"/>
          <w:szCs w:val="24"/>
        </w:rPr>
        <w:t>Journal of corporate finance</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18</w:t>
      </w:r>
      <w:r w:rsidRPr="00425F3F">
        <w:rPr>
          <w:rFonts w:ascii="Times New Roman" w:hAnsi="Times New Roman" w:cs="Times New Roman"/>
          <w:color w:val="000000" w:themeColor="text1"/>
          <w:sz w:val="24"/>
          <w:szCs w:val="24"/>
        </w:rPr>
        <w:t>(2), pp.389-411.</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lastRenderedPageBreak/>
        <w:t>Eubanks, W.W., 2010. </w:t>
      </w:r>
      <w:r w:rsidRPr="00425F3F">
        <w:rPr>
          <w:rFonts w:ascii="Times New Roman" w:hAnsi="Times New Roman" w:cs="Times New Roman"/>
          <w:i/>
          <w:iCs/>
          <w:color w:val="000000" w:themeColor="text1"/>
          <w:sz w:val="24"/>
          <w:szCs w:val="24"/>
        </w:rPr>
        <w:t>The European Union's response to the 2007-2009 financial crisis</w:t>
      </w:r>
      <w:r w:rsidRPr="00425F3F">
        <w:rPr>
          <w:rFonts w:ascii="Times New Roman" w:hAnsi="Times New Roman" w:cs="Times New Roman"/>
          <w:color w:val="000000" w:themeColor="text1"/>
          <w:sz w:val="24"/>
          <w:szCs w:val="24"/>
        </w:rPr>
        <w:t> (Vol. 1). Congressional Research Service.</w:t>
      </w:r>
    </w:p>
    <w:p w:rsidR="00DE0584" w:rsidRPr="00425F3F" w:rsidRDefault="00DE0584" w:rsidP="00277B5B">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European Parliament, 2011. </w:t>
      </w:r>
      <w:r w:rsidRPr="00425F3F">
        <w:rPr>
          <w:rFonts w:ascii="Times New Roman" w:hAnsi="Times New Roman" w:cs="Times New Roman"/>
          <w:i/>
          <w:iCs/>
          <w:color w:val="000000" w:themeColor="text1"/>
          <w:sz w:val="24"/>
          <w:szCs w:val="24"/>
        </w:rPr>
        <w:t>Directorate-General for Internal Policies</w:t>
      </w:r>
      <w:r w:rsidRPr="00425F3F">
        <w:rPr>
          <w:rFonts w:ascii="Times New Roman" w:hAnsi="Times New Roman" w:cs="Times New Roman"/>
          <w:color w:val="000000" w:themeColor="text1"/>
          <w:sz w:val="24"/>
          <w:szCs w:val="24"/>
        </w:rPr>
        <w:t xml:space="preserve">. Available at: </w:t>
      </w:r>
      <w:hyperlink r:id="rId18" w:history="1">
        <w:r w:rsidRPr="00425F3F">
          <w:rPr>
            <w:rStyle w:val="Hyperlink"/>
            <w:rFonts w:ascii="Times New Roman" w:hAnsi="Times New Roman" w:cs="Times New Roman"/>
            <w:color w:val="000000" w:themeColor="text1"/>
            <w:sz w:val="24"/>
            <w:szCs w:val="24"/>
          </w:rPr>
          <w:t>https://www.europarl.europa.eu/RegData/etudes/etudes/join/2011/464423/IPOL-ECON_ET%282011%29464423_EN.pdf</w:t>
        </w:r>
      </w:hyperlink>
      <w:r w:rsidRPr="00425F3F">
        <w:rPr>
          <w:rFonts w:ascii="Times New Roman" w:hAnsi="Times New Roman" w:cs="Times New Roman"/>
          <w:color w:val="000000" w:themeColor="text1"/>
          <w:sz w:val="24"/>
          <w:szCs w:val="24"/>
        </w:rPr>
        <w:t xml:space="preserve"> [Accessed on: 18.08.2023]</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Frame, I., 2022. The ends and means of banking: the Royal Bank of Scotland after the 2008 crisis. </w:t>
      </w:r>
      <w:r w:rsidRPr="00425F3F">
        <w:rPr>
          <w:rFonts w:ascii="Times New Roman" w:hAnsi="Times New Roman" w:cs="Times New Roman"/>
          <w:i/>
          <w:iCs/>
          <w:color w:val="000000" w:themeColor="text1"/>
          <w:sz w:val="24"/>
          <w:szCs w:val="24"/>
        </w:rPr>
        <w:t>Journal of Corporate Law Studies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22</w:t>
      </w:r>
      <w:r w:rsidRPr="00425F3F">
        <w:rPr>
          <w:rFonts w:ascii="Times New Roman" w:hAnsi="Times New Roman" w:cs="Times New Roman"/>
          <w:color w:val="000000" w:themeColor="text1"/>
          <w:sz w:val="24"/>
          <w:szCs w:val="24"/>
        </w:rPr>
        <w:t>(2), pp.931-970.</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Giglio, F., 2021. Fintech: A literature review. </w:t>
      </w:r>
      <w:r w:rsidRPr="00425F3F">
        <w:rPr>
          <w:rFonts w:ascii="Times New Roman" w:hAnsi="Times New Roman" w:cs="Times New Roman"/>
          <w:i/>
          <w:iCs/>
          <w:color w:val="000000" w:themeColor="text1"/>
          <w:sz w:val="24"/>
          <w:szCs w:val="24"/>
        </w:rPr>
        <w:t>European Research Studies Journal</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24</w:t>
      </w:r>
      <w:r w:rsidRPr="00425F3F">
        <w:rPr>
          <w:rFonts w:ascii="Times New Roman" w:hAnsi="Times New Roman" w:cs="Times New Roman"/>
          <w:color w:val="000000" w:themeColor="text1"/>
          <w:sz w:val="24"/>
          <w:szCs w:val="24"/>
        </w:rPr>
        <w:t>(2B), pp.600-627.</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Goldstein, M. and </w:t>
      </w:r>
      <w:proofErr w:type="spellStart"/>
      <w:r w:rsidRPr="00425F3F">
        <w:rPr>
          <w:rFonts w:ascii="Times New Roman" w:hAnsi="Times New Roman" w:cs="Times New Roman"/>
          <w:color w:val="000000" w:themeColor="text1"/>
          <w:sz w:val="24"/>
          <w:szCs w:val="24"/>
        </w:rPr>
        <w:t>Véron</w:t>
      </w:r>
      <w:proofErr w:type="spellEnd"/>
      <w:r w:rsidRPr="00425F3F">
        <w:rPr>
          <w:rFonts w:ascii="Times New Roman" w:hAnsi="Times New Roman" w:cs="Times New Roman"/>
          <w:color w:val="000000" w:themeColor="text1"/>
          <w:sz w:val="24"/>
          <w:szCs w:val="24"/>
        </w:rPr>
        <w:t>, N., 2011. Too big to fail: the transatlantic debate. </w:t>
      </w:r>
      <w:r w:rsidRPr="00425F3F">
        <w:rPr>
          <w:rFonts w:ascii="Times New Roman" w:hAnsi="Times New Roman" w:cs="Times New Roman"/>
          <w:i/>
          <w:iCs/>
          <w:color w:val="000000" w:themeColor="text1"/>
          <w:sz w:val="24"/>
          <w:szCs w:val="24"/>
        </w:rPr>
        <w:t>Peterson Institute for International Economics Working Paper</w:t>
      </w:r>
      <w:r w:rsidRPr="00425F3F">
        <w:rPr>
          <w:rFonts w:ascii="Times New Roman" w:hAnsi="Times New Roman" w:cs="Times New Roman"/>
          <w:color w:val="000000" w:themeColor="text1"/>
          <w:sz w:val="24"/>
          <w:szCs w:val="24"/>
        </w:rPr>
        <w:t>, (11-2).</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Goodhart, C. and Schoenmaker, D., 2016. The global investment banks are now all becoming American: does that matter for </w:t>
      </w:r>
      <w:proofErr w:type="gramStart"/>
      <w:r w:rsidRPr="00425F3F">
        <w:rPr>
          <w:rFonts w:ascii="Times New Roman" w:hAnsi="Times New Roman" w:cs="Times New Roman"/>
          <w:color w:val="000000" w:themeColor="text1"/>
          <w:sz w:val="24"/>
          <w:szCs w:val="24"/>
        </w:rPr>
        <w:t>Europeans?.</w:t>
      </w:r>
      <w:proofErr w:type="gramEnd"/>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Journal of Financial Regulation</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w:t>
      </w:r>
      <w:r w:rsidRPr="00425F3F">
        <w:rPr>
          <w:rFonts w:ascii="Times New Roman" w:hAnsi="Times New Roman" w:cs="Times New Roman"/>
          <w:color w:val="000000" w:themeColor="text1"/>
          <w:sz w:val="24"/>
          <w:szCs w:val="24"/>
        </w:rPr>
        <w:t>(2), pp.163-181.</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Gutiérrez-López, C. and Abad-González, J., 2020. Sustainability in the banking sector: A predictive model for the European banking union in the aftermath of the financial crisis. </w:t>
      </w:r>
      <w:r w:rsidRPr="00425F3F">
        <w:rPr>
          <w:rFonts w:ascii="Times New Roman" w:hAnsi="Times New Roman" w:cs="Times New Roman"/>
          <w:i/>
          <w:iCs/>
          <w:color w:val="000000" w:themeColor="text1"/>
          <w:sz w:val="24"/>
          <w:szCs w:val="24"/>
        </w:rPr>
        <w:t>Sustainability</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12</w:t>
      </w:r>
      <w:r w:rsidRPr="00425F3F">
        <w:rPr>
          <w:rFonts w:ascii="Times New Roman" w:hAnsi="Times New Roman" w:cs="Times New Roman"/>
          <w:color w:val="000000" w:themeColor="text1"/>
          <w:sz w:val="24"/>
          <w:szCs w:val="24"/>
        </w:rPr>
        <w:t>(6), p.2566.</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Gutiérrez-López, C. and Abad-González, J., 2020. Sustainability in the banking sector: A predictive model for the European banking union in the aftermath of the financial crisis. </w:t>
      </w:r>
      <w:r w:rsidRPr="00425F3F">
        <w:rPr>
          <w:rFonts w:ascii="Times New Roman" w:hAnsi="Times New Roman" w:cs="Times New Roman"/>
          <w:i/>
          <w:iCs/>
          <w:color w:val="000000" w:themeColor="text1"/>
          <w:sz w:val="24"/>
          <w:szCs w:val="24"/>
        </w:rPr>
        <w:t>Sustainability</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12</w:t>
      </w:r>
      <w:r w:rsidRPr="00425F3F">
        <w:rPr>
          <w:rFonts w:ascii="Times New Roman" w:hAnsi="Times New Roman" w:cs="Times New Roman"/>
          <w:color w:val="000000" w:themeColor="text1"/>
          <w:sz w:val="24"/>
          <w:szCs w:val="24"/>
        </w:rPr>
        <w:t>(6), p.2566.</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Hardie, I. and Howarth, D., 2009. Die Krise but not La Crise? The financial crisis and the transformation of German and French banking systems. </w:t>
      </w:r>
      <w:r w:rsidRPr="00425F3F">
        <w:rPr>
          <w:rFonts w:ascii="Times New Roman" w:hAnsi="Times New Roman" w:cs="Times New Roman"/>
          <w:i/>
          <w:iCs/>
          <w:color w:val="000000" w:themeColor="text1"/>
          <w:sz w:val="24"/>
          <w:szCs w:val="24"/>
        </w:rPr>
        <w:t>JCMS: Journal of Common Market Studies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47</w:t>
      </w:r>
      <w:r w:rsidRPr="00425F3F">
        <w:rPr>
          <w:rFonts w:ascii="Times New Roman" w:hAnsi="Times New Roman" w:cs="Times New Roman"/>
          <w:color w:val="000000" w:themeColor="text1"/>
          <w:sz w:val="24"/>
          <w:szCs w:val="24"/>
        </w:rPr>
        <w:t>(5), pp.1017-1039.</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Ho, H., 2016. A case study of true and fair view override in financial reporting. </w:t>
      </w:r>
      <w:r w:rsidRPr="00425F3F">
        <w:rPr>
          <w:rFonts w:ascii="Times New Roman" w:hAnsi="Times New Roman" w:cs="Times New Roman"/>
          <w:i/>
          <w:iCs/>
          <w:color w:val="000000" w:themeColor="text1"/>
          <w:sz w:val="24"/>
          <w:szCs w:val="24"/>
        </w:rPr>
        <w:t>Nang Yan Business Journal</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5</w:t>
      </w:r>
      <w:r w:rsidRPr="00425F3F">
        <w:rPr>
          <w:rFonts w:ascii="Times New Roman" w:hAnsi="Times New Roman" w:cs="Times New Roman"/>
          <w:color w:val="000000" w:themeColor="text1"/>
          <w:sz w:val="24"/>
          <w:szCs w:val="24"/>
        </w:rPr>
        <w:t>(1), pp.13-19.</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lastRenderedPageBreak/>
        <w:t xml:space="preserve">HSBC, 2023. </w:t>
      </w:r>
      <w:r w:rsidRPr="00425F3F">
        <w:rPr>
          <w:rFonts w:ascii="Times New Roman" w:hAnsi="Times New Roman" w:cs="Times New Roman"/>
          <w:i/>
          <w:iCs/>
          <w:color w:val="000000" w:themeColor="text1"/>
          <w:sz w:val="24"/>
          <w:szCs w:val="24"/>
        </w:rPr>
        <w:t>Annual Report 2023.</w:t>
      </w:r>
      <w:r w:rsidRPr="00425F3F">
        <w:rPr>
          <w:rFonts w:ascii="Times New Roman" w:hAnsi="Times New Roman" w:cs="Times New Roman"/>
          <w:color w:val="000000" w:themeColor="text1"/>
          <w:sz w:val="24"/>
          <w:szCs w:val="24"/>
        </w:rPr>
        <w:t xml:space="preserve"> Available at: </w:t>
      </w:r>
      <w:hyperlink r:id="rId19" w:history="1">
        <w:r w:rsidRPr="00425F3F">
          <w:rPr>
            <w:rStyle w:val="Hyperlink"/>
            <w:rFonts w:ascii="Times New Roman" w:hAnsi="Times New Roman" w:cs="Times New Roman"/>
            <w:color w:val="000000" w:themeColor="text1"/>
            <w:sz w:val="24"/>
            <w:szCs w:val="24"/>
          </w:rPr>
          <w:t>https://www.hsbc.com/investors/results-and-announcements/annual-report</w:t>
        </w:r>
      </w:hyperlink>
      <w:r w:rsidRPr="00425F3F">
        <w:rPr>
          <w:rFonts w:ascii="Times New Roman" w:hAnsi="Times New Roman" w:cs="Times New Roman"/>
          <w:color w:val="000000" w:themeColor="text1"/>
          <w:sz w:val="24"/>
          <w:szCs w:val="24"/>
        </w:rPr>
        <w:t xml:space="preserve"> [Accessed on: 17.08.2023]</w:t>
      </w:r>
    </w:p>
    <w:p w:rsidR="00DE0584" w:rsidRPr="00425F3F" w:rsidRDefault="00DE0584" w:rsidP="00277B5B">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HSBC, 2023. </w:t>
      </w:r>
      <w:r w:rsidRPr="00425F3F">
        <w:rPr>
          <w:rFonts w:ascii="Times New Roman" w:hAnsi="Times New Roman" w:cs="Times New Roman"/>
          <w:i/>
          <w:iCs/>
          <w:color w:val="000000" w:themeColor="text1"/>
          <w:sz w:val="24"/>
          <w:szCs w:val="24"/>
        </w:rPr>
        <w:t>Highlights</w:t>
      </w:r>
      <w:r w:rsidRPr="00425F3F">
        <w:rPr>
          <w:rFonts w:ascii="Times New Roman" w:hAnsi="Times New Roman" w:cs="Times New Roman"/>
          <w:color w:val="000000" w:themeColor="text1"/>
          <w:sz w:val="24"/>
          <w:szCs w:val="24"/>
        </w:rPr>
        <w:t xml:space="preserve">. Available at: </w:t>
      </w:r>
      <w:hyperlink r:id="rId20" w:history="1">
        <w:r w:rsidRPr="00425F3F">
          <w:rPr>
            <w:rStyle w:val="Hyperlink"/>
            <w:rFonts w:ascii="Times New Roman" w:hAnsi="Times New Roman" w:cs="Times New Roman"/>
            <w:color w:val="000000" w:themeColor="text1"/>
            <w:sz w:val="24"/>
            <w:szCs w:val="24"/>
          </w:rPr>
          <w:t>https://www.hsbc.com/</w:t>
        </w:r>
      </w:hyperlink>
      <w:r w:rsidRPr="00425F3F">
        <w:rPr>
          <w:rFonts w:ascii="Times New Roman" w:hAnsi="Times New Roman" w:cs="Times New Roman"/>
          <w:color w:val="000000" w:themeColor="text1"/>
          <w:sz w:val="24"/>
          <w:szCs w:val="24"/>
        </w:rPr>
        <w:t xml:space="preserve"> [Accessed on: 18.08.2023]</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Jackson, J.K., 2010. </w:t>
      </w:r>
      <w:r w:rsidRPr="00425F3F">
        <w:rPr>
          <w:rFonts w:ascii="Times New Roman" w:hAnsi="Times New Roman" w:cs="Times New Roman"/>
          <w:i/>
          <w:iCs/>
          <w:color w:val="000000" w:themeColor="text1"/>
          <w:sz w:val="24"/>
          <w:szCs w:val="24"/>
        </w:rPr>
        <w:t>Financial crisis: Impact on and response by the European Union</w:t>
      </w:r>
      <w:r w:rsidRPr="00425F3F">
        <w:rPr>
          <w:rFonts w:ascii="Times New Roman" w:hAnsi="Times New Roman" w:cs="Times New Roman"/>
          <w:color w:val="000000" w:themeColor="text1"/>
          <w:sz w:val="24"/>
          <w:szCs w:val="24"/>
        </w:rPr>
        <w:t>. Diane Publishing.</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James, S. and Quaglia, L., 2021. Brexit and the political economy of euro-denominated clearing. </w:t>
      </w:r>
      <w:r w:rsidRPr="00425F3F">
        <w:rPr>
          <w:rFonts w:ascii="Times New Roman" w:hAnsi="Times New Roman" w:cs="Times New Roman"/>
          <w:i/>
          <w:iCs/>
          <w:color w:val="000000" w:themeColor="text1"/>
          <w:sz w:val="24"/>
          <w:szCs w:val="24"/>
        </w:rPr>
        <w:t>Review of International Political Economy</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28</w:t>
      </w:r>
      <w:r w:rsidRPr="00425F3F">
        <w:rPr>
          <w:rFonts w:ascii="Times New Roman" w:hAnsi="Times New Roman" w:cs="Times New Roman"/>
          <w:color w:val="000000" w:themeColor="text1"/>
          <w:sz w:val="24"/>
          <w:szCs w:val="24"/>
        </w:rPr>
        <w:t>(3), pp.505-527.</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James, S., Kassim, H. and Warren, T., 2022. From Big Bang to Brexit: The City of London and the discursive power of finance. </w:t>
      </w:r>
      <w:r w:rsidRPr="00425F3F">
        <w:rPr>
          <w:rFonts w:ascii="Times New Roman" w:hAnsi="Times New Roman" w:cs="Times New Roman"/>
          <w:i/>
          <w:iCs/>
          <w:color w:val="000000" w:themeColor="text1"/>
          <w:sz w:val="24"/>
          <w:szCs w:val="24"/>
        </w:rPr>
        <w:t>Political Studies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70</w:t>
      </w:r>
      <w:r w:rsidRPr="00425F3F">
        <w:rPr>
          <w:rFonts w:ascii="Times New Roman" w:hAnsi="Times New Roman" w:cs="Times New Roman"/>
          <w:color w:val="000000" w:themeColor="text1"/>
          <w:sz w:val="24"/>
          <w:szCs w:val="24"/>
        </w:rPr>
        <w:t>(3), pp.719-738.</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Johannes, R., Dedy, D. and Muksin, A., 2018. The Preparation of Banking Industry in Implementing IFRS 9 Financial Instruments (A Case Study of HSBC Holdings Plc Listed on London Stock Exchange of Year 2015–2017). </w:t>
      </w:r>
      <w:r w:rsidRPr="00425F3F">
        <w:rPr>
          <w:rFonts w:ascii="Times New Roman" w:hAnsi="Times New Roman" w:cs="Times New Roman"/>
          <w:i/>
          <w:iCs/>
          <w:color w:val="000000" w:themeColor="text1"/>
          <w:sz w:val="24"/>
          <w:szCs w:val="24"/>
        </w:rPr>
        <w:t>International Journal of Economics and Financial Issues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8</w:t>
      </w:r>
      <w:r w:rsidRPr="00425F3F">
        <w:rPr>
          <w:rFonts w:ascii="Times New Roman" w:hAnsi="Times New Roman" w:cs="Times New Roman"/>
          <w:color w:val="000000" w:themeColor="text1"/>
          <w:sz w:val="24"/>
          <w:szCs w:val="24"/>
        </w:rPr>
        <w:t>(6), pp.124-136.</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Kirkpatrick, G., 2009. The corporate governance lessons from the financial crisis. </w:t>
      </w:r>
      <w:r w:rsidRPr="00425F3F">
        <w:rPr>
          <w:rFonts w:ascii="Times New Roman" w:hAnsi="Times New Roman" w:cs="Times New Roman"/>
          <w:i/>
          <w:iCs/>
          <w:color w:val="000000" w:themeColor="text1"/>
          <w:sz w:val="24"/>
          <w:szCs w:val="24"/>
        </w:rPr>
        <w:t>OECD Journal: Financial market trends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2009</w:t>
      </w:r>
      <w:r w:rsidRPr="00425F3F">
        <w:rPr>
          <w:rFonts w:ascii="Times New Roman" w:hAnsi="Times New Roman" w:cs="Times New Roman"/>
          <w:color w:val="000000" w:themeColor="text1"/>
          <w:sz w:val="24"/>
          <w:szCs w:val="24"/>
        </w:rPr>
        <w:t>(1), pp.61-87.</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Kokorin, I., 2021. The rise of ‘group </w:t>
      </w:r>
      <w:proofErr w:type="spellStart"/>
      <w:r w:rsidRPr="00425F3F">
        <w:rPr>
          <w:rFonts w:ascii="Times New Roman" w:hAnsi="Times New Roman" w:cs="Times New Roman"/>
          <w:color w:val="000000" w:themeColor="text1"/>
          <w:sz w:val="24"/>
          <w:szCs w:val="24"/>
        </w:rPr>
        <w:t>solution’in</w:t>
      </w:r>
      <w:proofErr w:type="spellEnd"/>
      <w:r w:rsidRPr="00425F3F">
        <w:rPr>
          <w:rFonts w:ascii="Times New Roman" w:hAnsi="Times New Roman" w:cs="Times New Roman"/>
          <w:color w:val="000000" w:themeColor="text1"/>
          <w:sz w:val="24"/>
          <w:szCs w:val="24"/>
        </w:rPr>
        <w:t xml:space="preserve"> insolvency law and bank resolution. </w:t>
      </w:r>
      <w:r w:rsidRPr="00425F3F">
        <w:rPr>
          <w:rFonts w:ascii="Times New Roman" w:hAnsi="Times New Roman" w:cs="Times New Roman"/>
          <w:i/>
          <w:iCs/>
          <w:color w:val="000000" w:themeColor="text1"/>
          <w:sz w:val="24"/>
          <w:szCs w:val="24"/>
        </w:rPr>
        <w:t>European Business Organization Law Review</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22</w:t>
      </w:r>
      <w:r w:rsidRPr="00425F3F">
        <w:rPr>
          <w:rFonts w:ascii="Times New Roman" w:hAnsi="Times New Roman" w:cs="Times New Roman"/>
          <w:color w:val="000000" w:themeColor="text1"/>
          <w:sz w:val="24"/>
          <w:szCs w:val="24"/>
        </w:rPr>
        <w:t>, pp.781-811.</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Kuznetsov, A.V., 2022. Imperatives for transformation of the international monetary system in the conditions of multipolarity. </w:t>
      </w:r>
      <w:r w:rsidRPr="00425F3F">
        <w:rPr>
          <w:rFonts w:ascii="Times New Roman" w:hAnsi="Times New Roman" w:cs="Times New Roman"/>
          <w:i/>
          <w:iCs/>
          <w:color w:val="000000" w:themeColor="text1"/>
          <w:sz w:val="24"/>
          <w:szCs w:val="24"/>
        </w:rPr>
        <w:t>Finance: Theory and Practice</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26</w:t>
      </w:r>
      <w:r w:rsidRPr="00425F3F">
        <w:rPr>
          <w:rFonts w:ascii="Times New Roman" w:hAnsi="Times New Roman" w:cs="Times New Roman"/>
          <w:color w:val="000000" w:themeColor="text1"/>
          <w:sz w:val="24"/>
          <w:szCs w:val="24"/>
        </w:rPr>
        <w:t>(2), pp.190-203.</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La Torre, M., Leo, </w:t>
      </w:r>
      <w:proofErr w:type="gramStart"/>
      <w:r w:rsidRPr="00425F3F">
        <w:rPr>
          <w:rFonts w:ascii="Times New Roman" w:hAnsi="Times New Roman" w:cs="Times New Roman"/>
          <w:color w:val="000000" w:themeColor="text1"/>
          <w:sz w:val="24"/>
          <w:szCs w:val="24"/>
        </w:rPr>
        <w:t>S.</w:t>
      </w:r>
      <w:proofErr w:type="gramEnd"/>
      <w:r w:rsidRPr="00425F3F">
        <w:rPr>
          <w:rFonts w:ascii="Times New Roman" w:hAnsi="Times New Roman" w:cs="Times New Roman"/>
          <w:color w:val="000000" w:themeColor="text1"/>
          <w:sz w:val="24"/>
          <w:szCs w:val="24"/>
        </w:rPr>
        <w:t xml:space="preserve"> and Panetta, I.C., 2021. Banks and environmental, social and governance drivers: Follow the market or the </w:t>
      </w:r>
      <w:proofErr w:type="gramStart"/>
      <w:r w:rsidRPr="00425F3F">
        <w:rPr>
          <w:rFonts w:ascii="Times New Roman" w:hAnsi="Times New Roman" w:cs="Times New Roman"/>
          <w:color w:val="000000" w:themeColor="text1"/>
          <w:sz w:val="24"/>
          <w:szCs w:val="24"/>
        </w:rPr>
        <w:t>authorities?.</w:t>
      </w:r>
      <w:proofErr w:type="gramEnd"/>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Corporate Social Responsibility and Environmental Management</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28</w:t>
      </w:r>
      <w:r w:rsidRPr="00425F3F">
        <w:rPr>
          <w:rFonts w:ascii="Times New Roman" w:hAnsi="Times New Roman" w:cs="Times New Roman"/>
          <w:color w:val="000000" w:themeColor="text1"/>
          <w:sz w:val="24"/>
          <w:szCs w:val="24"/>
        </w:rPr>
        <w:t>(6), pp.1620-1634.</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La Torre, M., Leo, </w:t>
      </w:r>
      <w:proofErr w:type="gramStart"/>
      <w:r w:rsidRPr="00425F3F">
        <w:rPr>
          <w:rFonts w:ascii="Times New Roman" w:hAnsi="Times New Roman" w:cs="Times New Roman"/>
          <w:color w:val="000000" w:themeColor="text1"/>
          <w:sz w:val="24"/>
          <w:szCs w:val="24"/>
        </w:rPr>
        <w:t>S.</w:t>
      </w:r>
      <w:proofErr w:type="gramEnd"/>
      <w:r w:rsidRPr="00425F3F">
        <w:rPr>
          <w:rFonts w:ascii="Times New Roman" w:hAnsi="Times New Roman" w:cs="Times New Roman"/>
          <w:color w:val="000000" w:themeColor="text1"/>
          <w:sz w:val="24"/>
          <w:szCs w:val="24"/>
        </w:rPr>
        <w:t xml:space="preserve"> and Panetta, I.C., 2021. Banks and environmental, social and governance drivers: Follow the market or the </w:t>
      </w:r>
      <w:proofErr w:type="gramStart"/>
      <w:r w:rsidRPr="00425F3F">
        <w:rPr>
          <w:rFonts w:ascii="Times New Roman" w:hAnsi="Times New Roman" w:cs="Times New Roman"/>
          <w:color w:val="000000" w:themeColor="text1"/>
          <w:sz w:val="24"/>
          <w:szCs w:val="24"/>
        </w:rPr>
        <w:t>authorities?.</w:t>
      </w:r>
      <w:proofErr w:type="gramEnd"/>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Corporate Social Responsibility and Environmental Management</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28</w:t>
      </w:r>
      <w:r w:rsidRPr="00425F3F">
        <w:rPr>
          <w:rFonts w:ascii="Times New Roman" w:hAnsi="Times New Roman" w:cs="Times New Roman"/>
          <w:color w:val="000000" w:themeColor="text1"/>
          <w:sz w:val="24"/>
          <w:szCs w:val="24"/>
        </w:rPr>
        <w:t>(6), pp.1620-1634.</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lastRenderedPageBreak/>
        <w:t>Ladipo, D. and Nestor, S., 2009. Bank boards and the financial crisis. </w:t>
      </w:r>
      <w:r w:rsidRPr="00425F3F">
        <w:rPr>
          <w:rFonts w:ascii="Times New Roman" w:hAnsi="Times New Roman" w:cs="Times New Roman"/>
          <w:i/>
          <w:iCs/>
          <w:color w:val="000000" w:themeColor="text1"/>
          <w:sz w:val="24"/>
          <w:szCs w:val="24"/>
        </w:rPr>
        <w:t>A corporate governance study of the 25 largest European banks</w:t>
      </w:r>
      <w:r w:rsidRPr="00425F3F">
        <w:rPr>
          <w:rFonts w:ascii="Times New Roman" w:hAnsi="Times New Roman" w:cs="Times New Roman"/>
          <w:color w:val="000000" w:themeColor="text1"/>
          <w:sz w:val="24"/>
          <w:szCs w:val="24"/>
        </w:rPr>
        <w:t>.</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proofErr w:type="spellStart"/>
      <w:r w:rsidRPr="00425F3F">
        <w:rPr>
          <w:rFonts w:ascii="Times New Roman" w:hAnsi="Times New Roman" w:cs="Times New Roman"/>
          <w:color w:val="000000" w:themeColor="text1"/>
          <w:sz w:val="24"/>
          <w:szCs w:val="24"/>
        </w:rPr>
        <w:t>Lileikienė</w:t>
      </w:r>
      <w:proofErr w:type="spellEnd"/>
      <w:r w:rsidRPr="00425F3F">
        <w:rPr>
          <w:rFonts w:ascii="Times New Roman" w:hAnsi="Times New Roman" w:cs="Times New Roman"/>
          <w:color w:val="000000" w:themeColor="text1"/>
          <w:sz w:val="24"/>
          <w:szCs w:val="24"/>
        </w:rPr>
        <w:t xml:space="preserve">, A., Obi, P. and </w:t>
      </w:r>
      <w:proofErr w:type="spellStart"/>
      <w:r w:rsidRPr="00425F3F">
        <w:rPr>
          <w:rFonts w:ascii="Times New Roman" w:hAnsi="Times New Roman" w:cs="Times New Roman"/>
          <w:color w:val="000000" w:themeColor="text1"/>
          <w:sz w:val="24"/>
          <w:szCs w:val="24"/>
        </w:rPr>
        <w:t>Valackienė</w:t>
      </w:r>
      <w:proofErr w:type="spellEnd"/>
      <w:r w:rsidRPr="00425F3F">
        <w:rPr>
          <w:rFonts w:ascii="Times New Roman" w:hAnsi="Times New Roman" w:cs="Times New Roman"/>
          <w:color w:val="000000" w:themeColor="text1"/>
          <w:sz w:val="24"/>
          <w:szCs w:val="24"/>
        </w:rPr>
        <w:t>, A., 2021. An examination of the safety and profitability of EU and US banks since Basel III. </w:t>
      </w:r>
      <w:r w:rsidRPr="00425F3F">
        <w:rPr>
          <w:rFonts w:ascii="Times New Roman" w:hAnsi="Times New Roman" w:cs="Times New Roman"/>
          <w:i/>
          <w:iCs/>
          <w:color w:val="000000" w:themeColor="text1"/>
          <w:sz w:val="24"/>
          <w:szCs w:val="24"/>
        </w:rPr>
        <w:t>Journal of Management</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37</w:t>
      </w:r>
      <w:r w:rsidRPr="00425F3F">
        <w:rPr>
          <w:rFonts w:ascii="Times New Roman" w:hAnsi="Times New Roman" w:cs="Times New Roman"/>
          <w:color w:val="000000" w:themeColor="text1"/>
          <w:sz w:val="24"/>
          <w:szCs w:val="24"/>
        </w:rPr>
        <w:t>(2).</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Malakhova, T.S., Kapustin, P.P., </w:t>
      </w:r>
      <w:proofErr w:type="spellStart"/>
      <w:r w:rsidRPr="00425F3F">
        <w:rPr>
          <w:rFonts w:ascii="Times New Roman" w:hAnsi="Times New Roman" w:cs="Times New Roman"/>
          <w:color w:val="000000" w:themeColor="text1"/>
          <w:sz w:val="24"/>
          <w:szCs w:val="24"/>
        </w:rPr>
        <w:t>Morusov</w:t>
      </w:r>
      <w:proofErr w:type="spellEnd"/>
      <w:r w:rsidRPr="00425F3F">
        <w:rPr>
          <w:rFonts w:ascii="Times New Roman" w:hAnsi="Times New Roman" w:cs="Times New Roman"/>
          <w:color w:val="000000" w:themeColor="text1"/>
          <w:sz w:val="24"/>
          <w:szCs w:val="24"/>
        </w:rPr>
        <w:t xml:space="preserve">, S.A. and </w:t>
      </w:r>
      <w:proofErr w:type="spellStart"/>
      <w:r w:rsidRPr="00425F3F">
        <w:rPr>
          <w:rFonts w:ascii="Times New Roman" w:hAnsi="Times New Roman" w:cs="Times New Roman"/>
          <w:color w:val="000000" w:themeColor="text1"/>
          <w:sz w:val="24"/>
          <w:szCs w:val="24"/>
        </w:rPr>
        <w:t>Udovik</w:t>
      </w:r>
      <w:proofErr w:type="spellEnd"/>
      <w:r w:rsidRPr="00425F3F">
        <w:rPr>
          <w:rFonts w:ascii="Times New Roman" w:hAnsi="Times New Roman" w:cs="Times New Roman"/>
          <w:color w:val="000000" w:themeColor="text1"/>
          <w:sz w:val="24"/>
          <w:szCs w:val="24"/>
        </w:rPr>
        <w:t>, E.E., 2020. European practice in ensuring sustainable development: Problems and contradictions. </w:t>
      </w:r>
      <w:r w:rsidRPr="00425F3F">
        <w:rPr>
          <w:rFonts w:ascii="Times New Roman" w:hAnsi="Times New Roman" w:cs="Times New Roman"/>
          <w:i/>
          <w:iCs/>
          <w:color w:val="000000" w:themeColor="text1"/>
          <w:sz w:val="24"/>
          <w:szCs w:val="24"/>
        </w:rPr>
        <w:t xml:space="preserve">Int. J. Econ. Bus. </w:t>
      </w:r>
      <w:proofErr w:type="spellStart"/>
      <w:r w:rsidRPr="00425F3F">
        <w:rPr>
          <w:rFonts w:ascii="Times New Roman" w:hAnsi="Times New Roman" w:cs="Times New Roman"/>
          <w:i/>
          <w:iCs/>
          <w:color w:val="000000" w:themeColor="text1"/>
          <w:sz w:val="24"/>
          <w:szCs w:val="24"/>
        </w:rPr>
        <w:t>Adm</w:t>
      </w:r>
      <w:proofErr w:type="spellEnd"/>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8</w:t>
      </w:r>
      <w:r w:rsidRPr="00425F3F">
        <w:rPr>
          <w:rFonts w:ascii="Times New Roman" w:hAnsi="Times New Roman" w:cs="Times New Roman"/>
          <w:color w:val="000000" w:themeColor="text1"/>
          <w:sz w:val="24"/>
          <w:szCs w:val="24"/>
        </w:rPr>
        <w:t>, pp.14-23.</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Mallard, G. and Sun, J., 2022. Viral Governance: How Unilateral US Sanctions Changed the Rules of Financial Capitalism. </w:t>
      </w:r>
      <w:r w:rsidRPr="00425F3F">
        <w:rPr>
          <w:rFonts w:ascii="Times New Roman" w:hAnsi="Times New Roman" w:cs="Times New Roman"/>
          <w:i/>
          <w:iCs/>
          <w:color w:val="000000" w:themeColor="text1"/>
          <w:sz w:val="24"/>
          <w:szCs w:val="24"/>
        </w:rPr>
        <w:t>American Journal of Sociology</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128</w:t>
      </w:r>
      <w:r w:rsidRPr="00425F3F">
        <w:rPr>
          <w:rFonts w:ascii="Times New Roman" w:hAnsi="Times New Roman" w:cs="Times New Roman"/>
          <w:color w:val="000000" w:themeColor="text1"/>
          <w:sz w:val="24"/>
          <w:szCs w:val="24"/>
        </w:rPr>
        <w:t>(1), pp.144-188.</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Martínez, M.A. and Gil, J., 2022. Grassroots struggles challenging housing financialization in Spain. </w:t>
      </w:r>
      <w:r w:rsidRPr="00425F3F">
        <w:rPr>
          <w:rFonts w:ascii="Times New Roman" w:hAnsi="Times New Roman" w:cs="Times New Roman"/>
          <w:i/>
          <w:iCs/>
          <w:color w:val="000000" w:themeColor="text1"/>
          <w:sz w:val="24"/>
          <w:szCs w:val="24"/>
        </w:rPr>
        <w:t>Housing Studies</w:t>
      </w:r>
      <w:r w:rsidRPr="00425F3F">
        <w:rPr>
          <w:rFonts w:ascii="Times New Roman" w:hAnsi="Times New Roman" w:cs="Times New Roman"/>
          <w:color w:val="000000" w:themeColor="text1"/>
          <w:sz w:val="24"/>
          <w:szCs w:val="24"/>
        </w:rPr>
        <w:t>, pp.1-21.</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Matousek, R., Rughoo, A., Sarantis, N. and Assaf, A.G., 2015. Bank performance and convergence during the financial crisis: Evidence from the ‘</w:t>
      </w:r>
      <w:proofErr w:type="spellStart"/>
      <w:r w:rsidRPr="00425F3F">
        <w:rPr>
          <w:rFonts w:ascii="Times New Roman" w:hAnsi="Times New Roman" w:cs="Times New Roman"/>
          <w:color w:val="000000" w:themeColor="text1"/>
          <w:sz w:val="24"/>
          <w:szCs w:val="24"/>
        </w:rPr>
        <w:t>old’European</w:t>
      </w:r>
      <w:proofErr w:type="spellEnd"/>
      <w:r w:rsidRPr="00425F3F">
        <w:rPr>
          <w:rFonts w:ascii="Times New Roman" w:hAnsi="Times New Roman" w:cs="Times New Roman"/>
          <w:color w:val="000000" w:themeColor="text1"/>
          <w:sz w:val="24"/>
          <w:szCs w:val="24"/>
        </w:rPr>
        <w:t xml:space="preserve"> Union and Eurozone. </w:t>
      </w:r>
      <w:r w:rsidRPr="00425F3F">
        <w:rPr>
          <w:rFonts w:ascii="Times New Roman" w:hAnsi="Times New Roman" w:cs="Times New Roman"/>
          <w:i/>
          <w:iCs/>
          <w:color w:val="000000" w:themeColor="text1"/>
          <w:sz w:val="24"/>
          <w:szCs w:val="24"/>
        </w:rPr>
        <w:t>Journal of Banking &amp; Finance</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52</w:t>
      </w:r>
      <w:r w:rsidRPr="00425F3F">
        <w:rPr>
          <w:rFonts w:ascii="Times New Roman" w:hAnsi="Times New Roman" w:cs="Times New Roman"/>
          <w:color w:val="000000" w:themeColor="text1"/>
          <w:sz w:val="24"/>
          <w:szCs w:val="24"/>
        </w:rPr>
        <w:t>, pp.208-216.</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Navid, K., 2022. How Many Single Rulebooks? The EU’s Patchwork Approach to Ensuring Regulatory Consistency in the Area of Investment Management. </w:t>
      </w:r>
      <w:r w:rsidRPr="00425F3F">
        <w:rPr>
          <w:rFonts w:ascii="Times New Roman" w:hAnsi="Times New Roman" w:cs="Times New Roman"/>
          <w:i/>
          <w:iCs/>
          <w:color w:val="000000" w:themeColor="text1"/>
          <w:sz w:val="24"/>
          <w:szCs w:val="24"/>
        </w:rPr>
        <w:t>European Business Organization Law Review</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23</w:t>
      </w:r>
      <w:r w:rsidRPr="00425F3F">
        <w:rPr>
          <w:rFonts w:ascii="Times New Roman" w:hAnsi="Times New Roman" w:cs="Times New Roman"/>
          <w:color w:val="000000" w:themeColor="text1"/>
          <w:sz w:val="24"/>
          <w:szCs w:val="24"/>
        </w:rPr>
        <w:t>(2), pp.347-390.</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proofErr w:type="spellStart"/>
      <w:r w:rsidRPr="00425F3F">
        <w:rPr>
          <w:rFonts w:ascii="Times New Roman" w:hAnsi="Times New Roman" w:cs="Times New Roman"/>
          <w:color w:val="000000" w:themeColor="text1"/>
          <w:sz w:val="24"/>
          <w:szCs w:val="24"/>
        </w:rPr>
        <w:t>Pataccini</w:t>
      </w:r>
      <w:proofErr w:type="spellEnd"/>
      <w:r w:rsidRPr="00425F3F">
        <w:rPr>
          <w:rFonts w:ascii="Times New Roman" w:hAnsi="Times New Roman" w:cs="Times New Roman"/>
          <w:color w:val="000000" w:themeColor="text1"/>
          <w:sz w:val="24"/>
          <w:szCs w:val="24"/>
        </w:rPr>
        <w:t>, L., 2023. The (un) usual suspects? Exploring the links between illicit financial flows, Russian money laundering and dependent financialization in the Baltic states. </w:t>
      </w:r>
      <w:r w:rsidRPr="00425F3F">
        <w:rPr>
          <w:rFonts w:ascii="Times New Roman" w:hAnsi="Times New Roman" w:cs="Times New Roman"/>
          <w:i/>
          <w:iCs/>
          <w:color w:val="000000" w:themeColor="text1"/>
          <w:sz w:val="24"/>
          <w:szCs w:val="24"/>
        </w:rPr>
        <w:t>Competition &amp; Change</w:t>
      </w:r>
      <w:r w:rsidRPr="00425F3F">
        <w:rPr>
          <w:rFonts w:ascii="Times New Roman" w:hAnsi="Times New Roman" w:cs="Times New Roman"/>
          <w:color w:val="000000" w:themeColor="text1"/>
          <w:sz w:val="24"/>
          <w:szCs w:val="24"/>
        </w:rPr>
        <w:t>, p.10245294231177352.</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 xml:space="preserve">Paulet, E. and </w:t>
      </w:r>
      <w:proofErr w:type="spellStart"/>
      <w:r w:rsidRPr="00425F3F">
        <w:rPr>
          <w:rFonts w:ascii="Times New Roman" w:hAnsi="Times New Roman" w:cs="Times New Roman"/>
          <w:color w:val="000000" w:themeColor="text1"/>
          <w:sz w:val="24"/>
          <w:szCs w:val="24"/>
        </w:rPr>
        <w:t>Mavoori</w:t>
      </w:r>
      <w:proofErr w:type="spellEnd"/>
      <w:r w:rsidRPr="00425F3F">
        <w:rPr>
          <w:rFonts w:ascii="Times New Roman" w:hAnsi="Times New Roman" w:cs="Times New Roman"/>
          <w:color w:val="000000" w:themeColor="text1"/>
          <w:sz w:val="24"/>
          <w:szCs w:val="24"/>
        </w:rPr>
        <w:t xml:space="preserve">, H., 2019. Globalization, </w:t>
      </w:r>
      <w:proofErr w:type="gramStart"/>
      <w:r w:rsidRPr="00425F3F">
        <w:rPr>
          <w:rFonts w:ascii="Times New Roman" w:hAnsi="Times New Roman" w:cs="Times New Roman"/>
          <w:color w:val="000000" w:themeColor="text1"/>
          <w:sz w:val="24"/>
          <w:szCs w:val="24"/>
        </w:rPr>
        <w:t>regulation</w:t>
      </w:r>
      <w:proofErr w:type="gramEnd"/>
      <w:r w:rsidRPr="00425F3F">
        <w:rPr>
          <w:rFonts w:ascii="Times New Roman" w:hAnsi="Times New Roman" w:cs="Times New Roman"/>
          <w:color w:val="000000" w:themeColor="text1"/>
          <w:sz w:val="24"/>
          <w:szCs w:val="24"/>
        </w:rPr>
        <w:t xml:space="preserve"> and profitability of banks: a comparative analysis of Europe, United States, India and China. </w:t>
      </w:r>
      <w:r w:rsidRPr="00425F3F">
        <w:rPr>
          <w:rFonts w:ascii="Times New Roman" w:hAnsi="Times New Roman" w:cs="Times New Roman"/>
          <w:i/>
          <w:iCs/>
          <w:color w:val="000000" w:themeColor="text1"/>
          <w:sz w:val="24"/>
          <w:szCs w:val="24"/>
        </w:rPr>
        <w:t>The European Journal of Comparative Economics</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16</w:t>
      </w:r>
      <w:r w:rsidRPr="00425F3F">
        <w:rPr>
          <w:rFonts w:ascii="Times New Roman" w:hAnsi="Times New Roman" w:cs="Times New Roman"/>
          <w:color w:val="000000" w:themeColor="text1"/>
          <w:sz w:val="24"/>
          <w:szCs w:val="24"/>
        </w:rPr>
        <w:t>(2), pp.127-170.</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proofErr w:type="spellStart"/>
      <w:r w:rsidRPr="00425F3F">
        <w:rPr>
          <w:rFonts w:ascii="Times New Roman" w:hAnsi="Times New Roman" w:cs="Times New Roman"/>
          <w:color w:val="000000" w:themeColor="text1"/>
          <w:sz w:val="24"/>
          <w:szCs w:val="24"/>
        </w:rPr>
        <w:t>Santillán</w:t>
      </w:r>
      <w:proofErr w:type="spellEnd"/>
      <w:r w:rsidRPr="00425F3F">
        <w:rPr>
          <w:rFonts w:ascii="Times New Roman" w:hAnsi="Times New Roman" w:cs="Times New Roman"/>
          <w:color w:val="000000" w:themeColor="text1"/>
          <w:sz w:val="24"/>
          <w:szCs w:val="24"/>
        </w:rPr>
        <w:t>-Salgado, R.J., 2011. Banking concentration in the European Union during the last fifteen years. </w:t>
      </w:r>
      <w:proofErr w:type="spellStart"/>
      <w:r w:rsidRPr="00425F3F">
        <w:rPr>
          <w:rFonts w:ascii="Times New Roman" w:hAnsi="Times New Roman" w:cs="Times New Roman"/>
          <w:i/>
          <w:iCs/>
          <w:color w:val="000000" w:themeColor="text1"/>
          <w:sz w:val="24"/>
          <w:szCs w:val="24"/>
        </w:rPr>
        <w:t>Panoeconomicus</w:t>
      </w:r>
      <w:proofErr w:type="spellEnd"/>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2</w:t>
      </w:r>
      <w:r w:rsidRPr="00425F3F">
        <w:rPr>
          <w:rFonts w:ascii="Times New Roman" w:hAnsi="Times New Roman" w:cs="Times New Roman"/>
          <w:color w:val="000000" w:themeColor="text1"/>
          <w:sz w:val="24"/>
          <w:szCs w:val="24"/>
        </w:rPr>
        <w:t>, pp.245-266.</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lastRenderedPageBreak/>
        <w:t>Simona, M.U.T.U., 2015. Exposure to Systemic Risk of the European Too-Big-to-Fail Banks During Crisis. </w:t>
      </w:r>
      <w:r w:rsidRPr="00425F3F">
        <w:rPr>
          <w:rFonts w:ascii="Times New Roman" w:hAnsi="Times New Roman" w:cs="Times New Roman"/>
          <w:i/>
          <w:iCs/>
          <w:color w:val="000000" w:themeColor="text1"/>
          <w:sz w:val="24"/>
          <w:szCs w:val="24"/>
        </w:rPr>
        <w:t>Review of Economic and Business Studies</w:t>
      </w:r>
      <w:r w:rsidRPr="00425F3F">
        <w:rPr>
          <w:rFonts w:ascii="Times New Roman" w:hAnsi="Times New Roman" w:cs="Times New Roman"/>
          <w:color w:val="000000" w:themeColor="text1"/>
          <w:sz w:val="24"/>
          <w:szCs w:val="24"/>
        </w:rPr>
        <w:t>, p.103.</w:t>
      </w:r>
    </w:p>
    <w:p w:rsidR="00DE0584" w:rsidRPr="00425F3F" w:rsidRDefault="00DE0584" w:rsidP="00954573">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Tiwari, A., Patro, A. and Mohil, S., 2019. Credit insurance under different policy regimes and associated risk of crisis. In </w:t>
      </w:r>
      <w:r w:rsidRPr="00425F3F">
        <w:rPr>
          <w:rFonts w:ascii="Times New Roman" w:hAnsi="Times New Roman" w:cs="Times New Roman"/>
          <w:i/>
          <w:iCs/>
          <w:color w:val="000000" w:themeColor="text1"/>
          <w:sz w:val="24"/>
          <w:szCs w:val="24"/>
        </w:rPr>
        <w:t>The impacts of monetary policy in the 21st century: Perspectives from emerging economies</w:t>
      </w:r>
      <w:r w:rsidRPr="00425F3F">
        <w:rPr>
          <w:rFonts w:ascii="Times New Roman" w:hAnsi="Times New Roman" w:cs="Times New Roman"/>
          <w:color w:val="000000" w:themeColor="text1"/>
          <w:sz w:val="24"/>
          <w:szCs w:val="24"/>
        </w:rPr>
        <w:t> (pp. 361-374). Emerald Publishing Limited.</w:t>
      </w:r>
    </w:p>
    <w:p w:rsidR="00DE0584" w:rsidRPr="00425F3F" w:rsidRDefault="00DE0584" w:rsidP="003A4D7D">
      <w:pPr>
        <w:spacing w:before="240" w:line="360" w:lineRule="auto"/>
        <w:jc w:val="both"/>
        <w:rPr>
          <w:rFonts w:ascii="Times New Roman" w:hAnsi="Times New Roman" w:cs="Times New Roman"/>
          <w:color w:val="000000" w:themeColor="text1"/>
          <w:sz w:val="24"/>
          <w:szCs w:val="24"/>
        </w:rPr>
      </w:pPr>
      <w:r w:rsidRPr="00425F3F">
        <w:rPr>
          <w:rFonts w:ascii="Times New Roman" w:hAnsi="Times New Roman" w:cs="Times New Roman"/>
          <w:color w:val="000000" w:themeColor="text1"/>
          <w:sz w:val="24"/>
          <w:szCs w:val="24"/>
        </w:rPr>
        <w:t>Zalewska, A., 2023. Bankers' remuneration reforms and new challenges. </w:t>
      </w:r>
      <w:r w:rsidRPr="00425F3F">
        <w:rPr>
          <w:rFonts w:ascii="Times New Roman" w:hAnsi="Times New Roman" w:cs="Times New Roman"/>
          <w:i/>
          <w:iCs/>
          <w:color w:val="000000" w:themeColor="text1"/>
          <w:sz w:val="24"/>
          <w:szCs w:val="24"/>
        </w:rPr>
        <w:t>Corporate Governance: An International Review</w:t>
      </w:r>
      <w:r w:rsidRPr="00425F3F">
        <w:rPr>
          <w:rFonts w:ascii="Times New Roman" w:hAnsi="Times New Roman" w:cs="Times New Roman"/>
          <w:color w:val="000000" w:themeColor="text1"/>
          <w:sz w:val="24"/>
          <w:szCs w:val="24"/>
        </w:rPr>
        <w:t>, </w:t>
      </w:r>
      <w:r w:rsidRPr="00425F3F">
        <w:rPr>
          <w:rFonts w:ascii="Times New Roman" w:hAnsi="Times New Roman" w:cs="Times New Roman"/>
          <w:i/>
          <w:iCs/>
          <w:color w:val="000000" w:themeColor="text1"/>
          <w:sz w:val="24"/>
          <w:szCs w:val="24"/>
        </w:rPr>
        <w:t>31</w:t>
      </w:r>
      <w:r w:rsidRPr="00425F3F">
        <w:rPr>
          <w:rFonts w:ascii="Times New Roman" w:hAnsi="Times New Roman" w:cs="Times New Roman"/>
          <w:color w:val="000000" w:themeColor="text1"/>
          <w:sz w:val="24"/>
          <w:szCs w:val="24"/>
        </w:rPr>
        <w:t>(1), pp.161-177.</w:t>
      </w:r>
    </w:p>
    <w:p w:rsidR="00277B5B" w:rsidRPr="00425F3F" w:rsidRDefault="00277B5B" w:rsidP="003A4D7D">
      <w:pPr>
        <w:spacing w:before="240" w:line="360" w:lineRule="auto"/>
        <w:jc w:val="both"/>
        <w:rPr>
          <w:rFonts w:ascii="Times New Roman" w:hAnsi="Times New Roman" w:cs="Times New Roman"/>
          <w:b/>
          <w:color w:val="000000" w:themeColor="text1"/>
          <w:sz w:val="28"/>
        </w:rPr>
      </w:pPr>
    </w:p>
    <w:sectPr w:rsidR="00277B5B" w:rsidRPr="00425F3F" w:rsidSect="0014254D">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1371" w:rsidRDefault="00361371" w:rsidP="0014254D">
      <w:pPr>
        <w:spacing w:after="0" w:line="240" w:lineRule="auto"/>
      </w:pPr>
      <w:r>
        <w:separator/>
      </w:r>
    </w:p>
  </w:endnote>
  <w:endnote w:type="continuationSeparator" w:id="0">
    <w:p w:rsidR="00361371" w:rsidRDefault="00361371" w:rsidP="00142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960814"/>
      <w:docPartObj>
        <w:docPartGallery w:val="Page Numbers (Bottom of Page)"/>
        <w:docPartUnique/>
      </w:docPartObj>
    </w:sdtPr>
    <w:sdtEndPr>
      <w:rPr>
        <w:rFonts w:ascii="Times New Roman" w:hAnsi="Times New Roman" w:cs="Times New Roman"/>
        <w:color w:val="7F7F7F" w:themeColor="background1" w:themeShade="7F"/>
        <w:spacing w:val="60"/>
        <w:sz w:val="20"/>
      </w:rPr>
    </w:sdtEndPr>
    <w:sdtContent>
      <w:p w:rsidR="0014254D" w:rsidRPr="0014254D" w:rsidRDefault="0014254D">
        <w:pPr>
          <w:pStyle w:val="Footer"/>
          <w:pBdr>
            <w:top w:val="single" w:sz="4" w:space="1" w:color="D9D9D9" w:themeColor="background1" w:themeShade="D9"/>
          </w:pBdr>
          <w:jc w:val="right"/>
          <w:rPr>
            <w:rFonts w:ascii="Times New Roman" w:hAnsi="Times New Roman" w:cs="Times New Roman"/>
            <w:sz w:val="20"/>
          </w:rPr>
        </w:pPr>
        <w:r w:rsidRPr="0014254D">
          <w:rPr>
            <w:rFonts w:ascii="Times New Roman" w:hAnsi="Times New Roman" w:cs="Times New Roman"/>
            <w:sz w:val="20"/>
          </w:rPr>
          <w:fldChar w:fldCharType="begin"/>
        </w:r>
        <w:r w:rsidRPr="0014254D">
          <w:rPr>
            <w:rFonts w:ascii="Times New Roman" w:hAnsi="Times New Roman" w:cs="Times New Roman"/>
            <w:sz w:val="20"/>
          </w:rPr>
          <w:instrText xml:space="preserve"> PAGE   \* MERGEFORMAT </w:instrText>
        </w:r>
        <w:r w:rsidRPr="0014254D">
          <w:rPr>
            <w:rFonts w:ascii="Times New Roman" w:hAnsi="Times New Roman" w:cs="Times New Roman"/>
            <w:sz w:val="20"/>
          </w:rPr>
          <w:fldChar w:fldCharType="separate"/>
        </w:r>
        <w:r w:rsidR="00DE0584">
          <w:rPr>
            <w:rFonts w:ascii="Times New Roman" w:hAnsi="Times New Roman" w:cs="Times New Roman"/>
            <w:noProof/>
            <w:sz w:val="20"/>
          </w:rPr>
          <w:t>19</w:t>
        </w:r>
        <w:r w:rsidRPr="0014254D">
          <w:rPr>
            <w:rFonts w:ascii="Times New Roman" w:hAnsi="Times New Roman" w:cs="Times New Roman"/>
            <w:noProof/>
            <w:sz w:val="20"/>
          </w:rPr>
          <w:fldChar w:fldCharType="end"/>
        </w:r>
        <w:r w:rsidRPr="0014254D">
          <w:rPr>
            <w:rFonts w:ascii="Times New Roman" w:hAnsi="Times New Roman" w:cs="Times New Roman"/>
            <w:sz w:val="20"/>
          </w:rPr>
          <w:t xml:space="preserve"> | </w:t>
        </w:r>
      </w:p>
    </w:sdtContent>
  </w:sdt>
  <w:p w:rsidR="0014254D" w:rsidRDefault="00142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1371" w:rsidRDefault="00361371" w:rsidP="0014254D">
      <w:pPr>
        <w:spacing w:after="0" w:line="240" w:lineRule="auto"/>
      </w:pPr>
      <w:r>
        <w:separator/>
      </w:r>
    </w:p>
  </w:footnote>
  <w:footnote w:type="continuationSeparator" w:id="0">
    <w:p w:rsidR="00361371" w:rsidRDefault="00361371" w:rsidP="00142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2591A"/>
    <w:multiLevelType w:val="multilevel"/>
    <w:tmpl w:val="21D407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1D17C66"/>
    <w:multiLevelType w:val="multilevel"/>
    <w:tmpl w:val="54187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DC542B5"/>
    <w:multiLevelType w:val="hybridMultilevel"/>
    <w:tmpl w:val="B36A9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2006413">
    <w:abstractNumId w:val="2"/>
  </w:num>
  <w:num w:numId="2" w16cid:durableId="1980961280">
    <w:abstractNumId w:val="0"/>
  </w:num>
  <w:num w:numId="3" w16cid:durableId="311909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468"/>
    <w:rsid w:val="00012466"/>
    <w:rsid w:val="000143E0"/>
    <w:rsid w:val="00022716"/>
    <w:rsid w:val="0004315F"/>
    <w:rsid w:val="00051588"/>
    <w:rsid w:val="00051987"/>
    <w:rsid w:val="00062CC5"/>
    <w:rsid w:val="00063240"/>
    <w:rsid w:val="00080702"/>
    <w:rsid w:val="0009188E"/>
    <w:rsid w:val="000A215B"/>
    <w:rsid w:val="000B1489"/>
    <w:rsid w:val="000B68EA"/>
    <w:rsid w:val="000B6B41"/>
    <w:rsid w:val="000C477C"/>
    <w:rsid w:val="000E3B36"/>
    <w:rsid w:val="000E5C88"/>
    <w:rsid w:val="000F1F2B"/>
    <w:rsid w:val="000F3F6C"/>
    <w:rsid w:val="000F7191"/>
    <w:rsid w:val="00104CCD"/>
    <w:rsid w:val="00122BFF"/>
    <w:rsid w:val="00122D55"/>
    <w:rsid w:val="00137625"/>
    <w:rsid w:val="0014254D"/>
    <w:rsid w:val="001562E9"/>
    <w:rsid w:val="00165CA7"/>
    <w:rsid w:val="001714EA"/>
    <w:rsid w:val="001743CB"/>
    <w:rsid w:val="0019607A"/>
    <w:rsid w:val="001B2EE7"/>
    <w:rsid w:val="001B7E6F"/>
    <w:rsid w:val="001C2743"/>
    <w:rsid w:val="001D0864"/>
    <w:rsid w:val="001D2021"/>
    <w:rsid w:val="001D57AC"/>
    <w:rsid w:val="0020402F"/>
    <w:rsid w:val="00204305"/>
    <w:rsid w:val="00216267"/>
    <w:rsid w:val="002271D7"/>
    <w:rsid w:val="002346AA"/>
    <w:rsid w:val="00252363"/>
    <w:rsid w:val="00265BC9"/>
    <w:rsid w:val="00277B5B"/>
    <w:rsid w:val="00282B6B"/>
    <w:rsid w:val="0029262A"/>
    <w:rsid w:val="002A6E77"/>
    <w:rsid w:val="002B27D8"/>
    <w:rsid w:val="002D0D06"/>
    <w:rsid w:val="002D39C2"/>
    <w:rsid w:val="002D4B50"/>
    <w:rsid w:val="00321047"/>
    <w:rsid w:val="003517F1"/>
    <w:rsid w:val="00355B91"/>
    <w:rsid w:val="00361371"/>
    <w:rsid w:val="00371DDC"/>
    <w:rsid w:val="00385017"/>
    <w:rsid w:val="003A199B"/>
    <w:rsid w:val="003A4D7D"/>
    <w:rsid w:val="003D2646"/>
    <w:rsid w:val="003D2CB8"/>
    <w:rsid w:val="003E1BD0"/>
    <w:rsid w:val="003F6CEA"/>
    <w:rsid w:val="00402E4E"/>
    <w:rsid w:val="0040778B"/>
    <w:rsid w:val="00412816"/>
    <w:rsid w:val="00415D3C"/>
    <w:rsid w:val="0042164D"/>
    <w:rsid w:val="00425F3F"/>
    <w:rsid w:val="00432D5D"/>
    <w:rsid w:val="00437766"/>
    <w:rsid w:val="00445D29"/>
    <w:rsid w:val="00453389"/>
    <w:rsid w:val="00460393"/>
    <w:rsid w:val="00465F96"/>
    <w:rsid w:val="0046715B"/>
    <w:rsid w:val="00477805"/>
    <w:rsid w:val="00481911"/>
    <w:rsid w:val="00493757"/>
    <w:rsid w:val="00496FC3"/>
    <w:rsid w:val="004C1869"/>
    <w:rsid w:val="004F36C3"/>
    <w:rsid w:val="004F3796"/>
    <w:rsid w:val="0050421C"/>
    <w:rsid w:val="00504C65"/>
    <w:rsid w:val="00510D63"/>
    <w:rsid w:val="0051299C"/>
    <w:rsid w:val="005130AF"/>
    <w:rsid w:val="00517AA6"/>
    <w:rsid w:val="005275A9"/>
    <w:rsid w:val="00533552"/>
    <w:rsid w:val="00536B48"/>
    <w:rsid w:val="00543295"/>
    <w:rsid w:val="00555AC5"/>
    <w:rsid w:val="005569B3"/>
    <w:rsid w:val="00587B4F"/>
    <w:rsid w:val="0059591E"/>
    <w:rsid w:val="005A13F7"/>
    <w:rsid w:val="005E37B9"/>
    <w:rsid w:val="005F2C62"/>
    <w:rsid w:val="0062086D"/>
    <w:rsid w:val="006237EC"/>
    <w:rsid w:val="00644ECC"/>
    <w:rsid w:val="0065494F"/>
    <w:rsid w:val="00683D84"/>
    <w:rsid w:val="00685BC6"/>
    <w:rsid w:val="0068671E"/>
    <w:rsid w:val="00686724"/>
    <w:rsid w:val="006C334E"/>
    <w:rsid w:val="006F136B"/>
    <w:rsid w:val="00716FB0"/>
    <w:rsid w:val="00721813"/>
    <w:rsid w:val="007449D3"/>
    <w:rsid w:val="007476D0"/>
    <w:rsid w:val="007634F4"/>
    <w:rsid w:val="0077405D"/>
    <w:rsid w:val="007828EE"/>
    <w:rsid w:val="007A05B8"/>
    <w:rsid w:val="007C298C"/>
    <w:rsid w:val="007C3587"/>
    <w:rsid w:val="007D21EF"/>
    <w:rsid w:val="007D4725"/>
    <w:rsid w:val="007F29EC"/>
    <w:rsid w:val="008073F7"/>
    <w:rsid w:val="00822E6B"/>
    <w:rsid w:val="00826E94"/>
    <w:rsid w:val="00831981"/>
    <w:rsid w:val="00850B6E"/>
    <w:rsid w:val="00857618"/>
    <w:rsid w:val="008850DD"/>
    <w:rsid w:val="00886441"/>
    <w:rsid w:val="00894ECA"/>
    <w:rsid w:val="008B2169"/>
    <w:rsid w:val="00905CED"/>
    <w:rsid w:val="009106EA"/>
    <w:rsid w:val="00952451"/>
    <w:rsid w:val="00954573"/>
    <w:rsid w:val="00992698"/>
    <w:rsid w:val="009A4B9F"/>
    <w:rsid w:val="009B1585"/>
    <w:rsid w:val="009D19CB"/>
    <w:rsid w:val="009F0A07"/>
    <w:rsid w:val="009F7738"/>
    <w:rsid w:val="00A03049"/>
    <w:rsid w:val="00A063E8"/>
    <w:rsid w:val="00A14D67"/>
    <w:rsid w:val="00A24AFC"/>
    <w:rsid w:val="00A50027"/>
    <w:rsid w:val="00A81AA4"/>
    <w:rsid w:val="00AA2495"/>
    <w:rsid w:val="00AB0BEF"/>
    <w:rsid w:val="00AC395A"/>
    <w:rsid w:val="00AC407D"/>
    <w:rsid w:val="00AC4F62"/>
    <w:rsid w:val="00AC6AB2"/>
    <w:rsid w:val="00AE0297"/>
    <w:rsid w:val="00AE142B"/>
    <w:rsid w:val="00AE3C1B"/>
    <w:rsid w:val="00AF29EC"/>
    <w:rsid w:val="00AF7512"/>
    <w:rsid w:val="00B35468"/>
    <w:rsid w:val="00B43A4E"/>
    <w:rsid w:val="00B45BD3"/>
    <w:rsid w:val="00B50266"/>
    <w:rsid w:val="00B556C3"/>
    <w:rsid w:val="00BA1EFA"/>
    <w:rsid w:val="00BB6B71"/>
    <w:rsid w:val="00BC42DF"/>
    <w:rsid w:val="00BE2A9C"/>
    <w:rsid w:val="00BE433A"/>
    <w:rsid w:val="00BE4B1C"/>
    <w:rsid w:val="00BE5775"/>
    <w:rsid w:val="00BF1886"/>
    <w:rsid w:val="00C12EAE"/>
    <w:rsid w:val="00C26ABD"/>
    <w:rsid w:val="00C27A39"/>
    <w:rsid w:val="00C34531"/>
    <w:rsid w:val="00C63EA3"/>
    <w:rsid w:val="00C94DBE"/>
    <w:rsid w:val="00CA6D54"/>
    <w:rsid w:val="00CC0EFB"/>
    <w:rsid w:val="00CD2309"/>
    <w:rsid w:val="00CD409F"/>
    <w:rsid w:val="00D0278E"/>
    <w:rsid w:val="00D048A4"/>
    <w:rsid w:val="00D06125"/>
    <w:rsid w:val="00D07F57"/>
    <w:rsid w:val="00D14969"/>
    <w:rsid w:val="00D165BD"/>
    <w:rsid w:val="00D41E5E"/>
    <w:rsid w:val="00D52018"/>
    <w:rsid w:val="00D54ABA"/>
    <w:rsid w:val="00D90581"/>
    <w:rsid w:val="00D97928"/>
    <w:rsid w:val="00DA22D1"/>
    <w:rsid w:val="00DB60CA"/>
    <w:rsid w:val="00DC342D"/>
    <w:rsid w:val="00DE0584"/>
    <w:rsid w:val="00DE5F04"/>
    <w:rsid w:val="00DF4CBB"/>
    <w:rsid w:val="00E04E01"/>
    <w:rsid w:val="00E12188"/>
    <w:rsid w:val="00E216F0"/>
    <w:rsid w:val="00E455BA"/>
    <w:rsid w:val="00E47F0E"/>
    <w:rsid w:val="00E56CC4"/>
    <w:rsid w:val="00E65130"/>
    <w:rsid w:val="00E74CC2"/>
    <w:rsid w:val="00E76FF0"/>
    <w:rsid w:val="00E96BE5"/>
    <w:rsid w:val="00EA47C3"/>
    <w:rsid w:val="00EA53FB"/>
    <w:rsid w:val="00EA64AD"/>
    <w:rsid w:val="00EC7063"/>
    <w:rsid w:val="00ED2CE7"/>
    <w:rsid w:val="00EE41CE"/>
    <w:rsid w:val="00EE594C"/>
    <w:rsid w:val="00EE620B"/>
    <w:rsid w:val="00EE6270"/>
    <w:rsid w:val="00EF387A"/>
    <w:rsid w:val="00F04027"/>
    <w:rsid w:val="00F06565"/>
    <w:rsid w:val="00F67F13"/>
    <w:rsid w:val="00FB42FB"/>
    <w:rsid w:val="00FB466E"/>
    <w:rsid w:val="00FC0053"/>
    <w:rsid w:val="00FC475E"/>
    <w:rsid w:val="00FC6DE4"/>
    <w:rsid w:val="00FD18F0"/>
    <w:rsid w:val="00FD3E9A"/>
    <w:rsid w:val="00FE002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04C5B"/>
  <w15:chartTrackingRefBased/>
  <w15:docId w15:val="{9BBAFA6F-BCF7-4E8F-B537-5308F6C4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5569B3"/>
    <w:pPr>
      <w:keepNext/>
      <w:keepLines/>
      <w:spacing w:before="360" w:after="120" w:line="360" w:lineRule="auto"/>
      <w:jc w:val="both"/>
      <w:outlineLvl w:val="0"/>
    </w:pPr>
    <w:rPr>
      <w:rFonts w:ascii="Times New Roman" w:eastAsiaTheme="majorEastAsia" w:hAnsi="Times New Roman" w:cstheme="majorBidi"/>
      <w:b/>
      <w:color w:val="1F4E79" w:themeColor="accent1" w:themeShade="80"/>
      <w:sz w:val="28"/>
      <w:szCs w:val="32"/>
    </w:rPr>
  </w:style>
  <w:style w:type="paragraph" w:styleId="Heading2">
    <w:name w:val="heading 2"/>
    <w:basedOn w:val="Normal"/>
    <w:next w:val="Normal"/>
    <w:link w:val="Heading2Char"/>
    <w:autoRedefine/>
    <w:uiPriority w:val="9"/>
    <w:unhideWhenUsed/>
    <w:qFormat/>
    <w:rsid w:val="00A03049"/>
    <w:pPr>
      <w:keepNext/>
      <w:keepLines/>
      <w:spacing w:before="40" w:after="0" w:line="360" w:lineRule="auto"/>
      <w:jc w:val="both"/>
      <w:outlineLvl w:val="1"/>
    </w:pPr>
    <w:rPr>
      <w:rFonts w:ascii="Times New Roman" w:eastAsia="Times New Roman" w:hAnsi="Times New Roman" w:cstheme="majorBidi"/>
      <w:b/>
      <w:color w:val="0D0D0D" w:themeColor="text1" w:themeTint="F2"/>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25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254D"/>
  </w:style>
  <w:style w:type="paragraph" w:styleId="Footer">
    <w:name w:val="footer"/>
    <w:basedOn w:val="Normal"/>
    <w:link w:val="FooterChar"/>
    <w:uiPriority w:val="99"/>
    <w:unhideWhenUsed/>
    <w:rsid w:val="001425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254D"/>
  </w:style>
  <w:style w:type="paragraph" w:styleId="ListParagraph">
    <w:name w:val="List Paragraph"/>
    <w:basedOn w:val="Normal"/>
    <w:uiPriority w:val="34"/>
    <w:qFormat/>
    <w:rsid w:val="00371DDC"/>
    <w:pPr>
      <w:ind w:left="720"/>
      <w:contextualSpacing/>
    </w:pPr>
  </w:style>
  <w:style w:type="character" w:customStyle="1" w:styleId="Heading1Char">
    <w:name w:val="Heading 1 Char"/>
    <w:basedOn w:val="DefaultParagraphFont"/>
    <w:link w:val="Heading1"/>
    <w:uiPriority w:val="9"/>
    <w:rsid w:val="005569B3"/>
    <w:rPr>
      <w:rFonts w:ascii="Times New Roman" w:eastAsiaTheme="majorEastAsia" w:hAnsi="Times New Roman" w:cstheme="majorBidi"/>
      <w:b/>
      <w:color w:val="1F4E79" w:themeColor="accent1" w:themeShade="80"/>
      <w:sz w:val="28"/>
      <w:szCs w:val="32"/>
    </w:rPr>
  </w:style>
  <w:style w:type="paragraph" w:styleId="TOCHeading">
    <w:name w:val="TOC Heading"/>
    <w:basedOn w:val="Heading1"/>
    <w:next w:val="Normal"/>
    <w:uiPriority w:val="39"/>
    <w:unhideWhenUsed/>
    <w:qFormat/>
    <w:rsid w:val="005569B3"/>
    <w:pPr>
      <w:outlineLvl w:val="9"/>
    </w:pPr>
  </w:style>
  <w:style w:type="character" w:customStyle="1" w:styleId="Heading2Char">
    <w:name w:val="Heading 2 Char"/>
    <w:basedOn w:val="DefaultParagraphFont"/>
    <w:link w:val="Heading2"/>
    <w:uiPriority w:val="9"/>
    <w:rsid w:val="00A03049"/>
    <w:rPr>
      <w:rFonts w:ascii="Times New Roman" w:eastAsia="Times New Roman" w:hAnsi="Times New Roman" w:cstheme="majorBidi"/>
      <w:b/>
      <w:color w:val="0D0D0D" w:themeColor="text1" w:themeTint="F2"/>
      <w:sz w:val="26"/>
      <w:szCs w:val="26"/>
      <w:u w:val="single"/>
      <w:lang w:val="en-GB"/>
    </w:rPr>
  </w:style>
  <w:style w:type="paragraph" w:styleId="TOC1">
    <w:name w:val="toc 1"/>
    <w:basedOn w:val="Normal"/>
    <w:next w:val="Normal"/>
    <w:autoRedefine/>
    <w:uiPriority w:val="39"/>
    <w:unhideWhenUsed/>
    <w:rsid w:val="0065494F"/>
    <w:pPr>
      <w:spacing w:after="100"/>
    </w:pPr>
  </w:style>
  <w:style w:type="paragraph" w:styleId="TOC2">
    <w:name w:val="toc 2"/>
    <w:basedOn w:val="Normal"/>
    <w:next w:val="Normal"/>
    <w:autoRedefine/>
    <w:uiPriority w:val="39"/>
    <w:unhideWhenUsed/>
    <w:rsid w:val="0065494F"/>
    <w:pPr>
      <w:spacing w:after="100"/>
      <w:ind w:left="220"/>
    </w:pPr>
  </w:style>
  <w:style w:type="character" w:styleId="Hyperlink">
    <w:name w:val="Hyperlink"/>
    <w:basedOn w:val="DefaultParagraphFont"/>
    <w:uiPriority w:val="99"/>
    <w:unhideWhenUsed/>
    <w:rsid w:val="006549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hyperlink" Target="https://www.europarl.europa.eu/RegData/etudes/etudes/join/2011/464423/IPOL-ECON_ET%282011%29464423_EN.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hyperlink" Target="https://eimf.eu/emir/"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hsbc.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hsbc.com/investors/results-and-announcements/annual-repor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09F2C9-69C4-4A96-BCF5-3AD3BAA2FEE7}" type="doc">
      <dgm:prSet loTypeId="urn:microsoft.com/office/officeart/2005/8/layout/hierarchy2" loCatId="hierarchy" qsTypeId="urn:microsoft.com/office/officeart/2005/8/quickstyle/simple1" qsCatId="simple" csTypeId="urn:microsoft.com/office/officeart/2005/8/colors/colorful5" csCatId="colorful" phldr="1"/>
      <dgm:spPr/>
      <dgm:t>
        <a:bodyPr/>
        <a:lstStyle/>
        <a:p>
          <a:endParaRPr lang="en-US"/>
        </a:p>
      </dgm:t>
    </dgm:pt>
    <dgm:pt modelId="{F957F7A6-3125-4A20-8BF5-78C87DA203E1}">
      <dgm:prSet phldrT="[Text]"/>
      <dgm:spPr/>
      <dgm:t>
        <a:bodyPr/>
        <a:lstStyle/>
        <a:p>
          <a:r>
            <a:rPr lang="en-GB" b="1" i="1">
              <a:solidFill>
                <a:schemeClr val="tx1">
                  <a:lumMod val="95000"/>
                  <a:lumOff val="5000"/>
                </a:schemeClr>
              </a:solidFill>
            </a:rPr>
            <a:t>International Monetary Fund (IMF) </a:t>
          </a:r>
          <a:endParaRPr lang="en-US" b="1" i="1">
            <a:solidFill>
              <a:schemeClr val="tx1">
                <a:lumMod val="95000"/>
                <a:lumOff val="5000"/>
              </a:schemeClr>
            </a:solidFill>
          </a:endParaRPr>
        </a:p>
      </dgm:t>
    </dgm:pt>
    <dgm:pt modelId="{F3806E2F-9B56-4163-BEAA-81B8438E8527}" type="parTrans" cxnId="{764C44CF-5B32-4844-8A8F-FF5AC1105838}">
      <dgm:prSet/>
      <dgm:spPr/>
      <dgm:t>
        <a:bodyPr/>
        <a:lstStyle/>
        <a:p>
          <a:endParaRPr lang="en-US"/>
        </a:p>
      </dgm:t>
    </dgm:pt>
    <dgm:pt modelId="{B5A40163-E2E8-4EFF-9E24-378822D9AD0D}" type="sibTrans" cxnId="{764C44CF-5B32-4844-8A8F-FF5AC1105838}">
      <dgm:prSet/>
      <dgm:spPr/>
      <dgm:t>
        <a:bodyPr/>
        <a:lstStyle/>
        <a:p>
          <a:endParaRPr lang="en-US"/>
        </a:p>
      </dgm:t>
    </dgm:pt>
    <dgm:pt modelId="{74C891EB-1D23-4908-B567-FB7517BD1540}">
      <dgm:prSet phldrT="[Text]"/>
      <dgm:spPr/>
      <dgm:t>
        <a:bodyPr/>
        <a:lstStyle/>
        <a:p>
          <a:r>
            <a:rPr lang="en-GB" b="1" i="1">
              <a:solidFill>
                <a:schemeClr val="tx1">
                  <a:lumMod val="95000"/>
                  <a:lumOff val="5000"/>
                </a:schemeClr>
              </a:solidFill>
            </a:rPr>
            <a:t>Precautionary and Liquidity Line (PLL)</a:t>
          </a:r>
          <a:endParaRPr lang="en-US" b="1" i="1">
            <a:solidFill>
              <a:schemeClr val="tx1">
                <a:lumMod val="95000"/>
                <a:lumOff val="5000"/>
              </a:schemeClr>
            </a:solidFill>
          </a:endParaRPr>
        </a:p>
      </dgm:t>
    </dgm:pt>
    <dgm:pt modelId="{3863CCA0-C2B1-4776-A452-62026946ACFE}" type="parTrans" cxnId="{B7BE07FA-B0F0-40B6-890E-D127FB8DAFE4}">
      <dgm:prSet/>
      <dgm:spPr/>
      <dgm:t>
        <a:bodyPr/>
        <a:lstStyle/>
        <a:p>
          <a:endParaRPr lang="en-US"/>
        </a:p>
      </dgm:t>
    </dgm:pt>
    <dgm:pt modelId="{5B82FAA7-FED0-4BD9-B5C6-4338D5B1790F}" type="sibTrans" cxnId="{B7BE07FA-B0F0-40B6-890E-D127FB8DAFE4}">
      <dgm:prSet/>
      <dgm:spPr/>
      <dgm:t>
        <a:bodyPr/>
        <a:lstStyle/>
        <a:p>
          <a:endParaRPr lang="en-US"/>
        </a:p>
      </dgm:t>
    </dgm:pt>
    <dgm:pt modelId="{F7353F21-40CF-4C64-B3E0-2983B8427C67}">
      <dgm:prSet phldrT="[Text]"/>
      <dgm:spPr/>
      <dgm:t>
        <a:bodyPr/>
        <a:lstStyle/>
        <a:p>
          <a:r>
            <a:rPr lang="en-GB" b="1" i="1">
              <a:solidFill>
                <a:schemeClr val="tx1">
                  <a:lumMod val="95000"/>
                  <a:lumOff val="5000"/>
                </a:schemeClr>
              </a:solidFill>
            </a:rPr>
            <a:t>Flexible Lending Line (FCL) </a:t>
          </a:r>
          <a:endParaRPr lang="en-US" b="1" i="1">
            <a:solidFill>
              <a:schemeClr val="tx1">
                <a:lumMod val="95000"/>
                <a:lumOff val="5000"/>
              </a:schemeClr>
            </a:solidFill>
          </a:endParaRPr>
        </a:p>
      </dgm:t>
    </dgm:pt>
    <dgm:pt modelId="{469FA4A8-4AAF-4FC2-BC76-770117D1ABF5}" type="parTrans" cxnId="{FED6B34D-33F1-4714-BA79-C9375DB2E428}">
      <dgm:prSet/>
      <dgm:spPr/>
      <dgm:t>
        <a:bodyPr/>
        <a:lstStyle/>
        <a:p>
          <a:endParaRPr lang="en-US"/>
        </a:p>
      </dgm:t>
    </dgm:pt>
    <dgm:pt modelId="{A2AABC41-F1C7-4981-913A-19695DE5520B}" type="sibTrans" cxnId="{FED6B34D-33F1-4714-BA79-C9375DB2E428}">
      <dgm:prSet/>
      <dgm:spPr/>
    </dgm:pt>
    <dgm:pt modelId="{99A3F5D1-BD8E-4BBA-A109-757BBBA6B834}" type="pres">
      <dgm:prSet presAssocID="{1809F2C9-69C4-4A96-BCF5-3AD3BAA2FEE7}" presName="diagram" presStyleCnt="0">
        <dgm:presLayoutVars>
          <dgm:chPref val="1"/>
          <dgm:dir/>
          <dgm:animOne val="branch"/>
          <dgm:animLvl val="lvl"/>
          <dgm:resizeHandles val="exact"/>
        </dgm:presLayoutVars>
      </dgm:prSet>
      <dgm:spPr/>
    </dgm:pt>
    <dgm:pt modelId="{A21EDA03-1AF9-4FEA-8983-DE4A4AABAC69}" type="pres">
      <dgm:prSet presAssocID="{F957F7A6-3125-4A20-8BF5-78C87DA203E1}" presName="root1" presStyleCnt="0"/>
      <dgm:spPr/>
    </dgm:pt>
    <dgm:pt modelId="{07DA4D59-6515-4060-8FBF-BE4E7A555287}" type="pres">
      <dgm:prSet presAssocID="{F957F7A6-3125-4A20-8BF5-78C87DA203E1}" presName="LevelOneTextNode" presStyleLbl="node0" presStyleIdx="0" presStyleCnt="1">
        <dgm:presLayoutVars>
          <dgm:chPref val="3"/>
        </dgm:presLayoutVars>
      </dgm:prSet>
      <dgm:spPr/>
    </dgm:pt>
    <dgm:pt modelId="{3E4F0E51-640F-4D3A-AEE1-6D269C970318}" type="pres">
      <dgm:prSet presAssocID="{F957F7A6-3125-4A20-8BF5-78C87DA203E1}" presName="level2hierChild" presStyleCnt="0"/>
      <dgm:spPr/>
    </dgm:pt>
    <dgm:pt modelId="{835F7954-5F77-44DF-BA78-0A78FE2D975B}" type="pres">
      <dgm:prSet presAssocID="{469FA4A8-4AAF-4FC2-BC76-770117D1ABF5}" presName="conn2-1" presStyleLbl="parChTrans1D2" presStyleIdx="0" presStyleCnt="2"/>
      <dgm:spPr/>
    </dgm:pt>
    <dgm:pt modelId="{358F8E04-11DE-4588-A2C6-B1D6DD6BECED}" type="pres">
      <dgm:prSet presAssocID="{469FA4A8-4AAF-4FC2-BC76-770117D1ABF5}" presName="connTx" presStyleLbl="parChTrans1D2" presStyleIdx="0" presStyleCnt="2"/>
      <dgm:spPr/>
    </dgm:pt>
    <dgm:pt modelId="{127354E9-DDF1-45BA-A750-80F447B720D5}" type="pres">
      <dgm:prSet presAssocID="{F7353F21-40CF-4C64-B3E0-2983B8427C67}" presName="root2" presStyleCnt="0"/>
      <dgm:spPr/>
    </dgm:pt>
    <dgm:pt modelId="{035E3BBB-B005-42C0-96E2-F4E57F9E7EC6}" type="pres">
      <dgm:prSet presAssocID="{F7353F21-40CF-4C64-B3E0-2983B8427C67}" presName="LevelTwoTextNode" presStyleLbl="node2" presStyleIdx="0" presStyleCnt="2">
        <dgm:presLayoutVars>
          <dgm:chPref val="3"/>
        </dgm:presLayoutVars>
      </dgm:prSet>
      <dgm:spPr/>
    </dgm:pt>
    <dgm:pt modelId="{5A33DCFB-081A-412D-9984-40EB968BD1DA}" type="pres">
      <dgm:prSet presAssocID="{F7353F21-40CF-4C64-B3E0-2983B8427C67}" presName="level3hierChild" presStyleCnt="0"/>
      <dgm:spPr/>
    </dgm:pt>
    <dgm:pt modelId="{39107DD1-803B-4B89-BCB3-DBC82E129109}" type="pres">
      <dgm:prSet presAssocID="{3863CCA0-C2B1-4776-A452-62026946ACFE}" presName="conn2-1" presStyleLbl="parChTrans1D2" presStyleIdx="1" presStyleCnt="2"/>
      <dgm:spPr/>
    </dgm:pt>
    <dgm:pt modelId="{3BE59C63-7E8F-4207-A82A-E78197BA4895}" type="pres">
      <dgm:prSet presAssocID="{3863CCA0-C2B1-4776-A452-62026946ACFE}" presName="connTx" presStyleLbl="parChTrans1D2" presStyleIdx="1" presStyleCnt="2"/>
      <dgm:spPr/>
    </dgm:pt>
    <dgm:pt modelId="{80985EDA-0AE7-4526-A18C-82C404C8AC15}" type="pres">
      <dgm:prSet presAssocID="{74C891EB-1D23-4908-B567-FB7517BD1540}" presName="root2" presStyleCnt="0"/>
      <dgm:spPr/>
    </dgm:pt>
    <dgm:pt modelId="{09C5E27E-AD39-4CBE-9CCA-D7CA68B4D525}" type="pres">
      <dgm:prSet presAssocID="{74C891EB-1D23-4908-B567-FB7517BD1540}" presName="LevelTwoTextNode" presStyleLbl="node2" presStyleIdx="1" presStyleCnt="2">
        <dgm:presLayoutVars>
          <dgm:chPref val="3"/>
        </dgm:presLayoutVars>
      </dgm:prSet>
      <dgm:spPr/>
    </dgm:pt>
    <dgm:pt modelId="{846E6B2D-5C97-4772-A220-9634138190EC}" type="pres">
      <dgm:prSet presAssocID="{74C891EB-1D23-4908-B567-FB7517BD1540}" presName="level3hierChild" presStyleCnt="0"/>
      <dgm:spPr/>
    </dgm:pt>
  </dgm:ptLst>
  <dgm:cxnLst>
    <dgm:cxn modelId="{02D6D015-C874-462D-864F-DE100C81504A}" type="presOf" srcId="{74C891EB-1D23-4908-B567-FB7517BD1540}" destId="{09C5E27E-AD39-4CBE-9CCA-D7CA68B4D525}" srcOrd="0" destOrd="0" presId="urn:microsoft.com/office/officeart/2005/8/layout/hierarchy2"/>
    <dgm:cxn modelId="{67A96544-5FB0-4CEA-85F8-DDCF3158F7C5}" type="presOf" srcId="{F7353F21-40CF-4C64-B3E0-2983B8427C67}" destId="{035E3BBB-B005-42C0-96E2-F4E57F9E7EC6}" srcOrd="0" destOrd="0" presId="urn:microsoft.com/office/officeart/2005/8/layout/hierarchy2"/>
    <dgm:cxn modelId="{DDA7B865-9E09-4439-82DC-A60DF71DCB2E}" type="presOf" srcId="{1809F2C9-69C4-4A96-BCF5-3AD3BAA2FEE7}" destId="{99A3F5D1-BD8E-4BBA-A109-757BBBA6B834}" srcOrd="0" destOrd="0" presId="urn:microsoft.com/office/officeart/2005/8/layout/hierarchy2"/>
    <dgm:cxn modelId="{FED6B34D-33F1-4714-BA79-C9375DB2E428}" srcId="{F957F7A6-3125-4A20-8BF5-78C87DA203E1}" destId="{F7353F21-40CF-4C64-B3E0-2983B8427C67}" srcOrd="0" destOrd="0" parTransId="{469FA4A8-4AAF-4FC2-BC76-770117D1ABF5}" sibTransId="{A2AABC41-F1C7-4981-913A-19695DE5520B}"/>
    <dgm:cxn modelId="{23888477-FA07-4E49-AE64-C56270EAD676}" type="presOf" srcId="{469FA4A8-4AAF-4FC2-BC76-770117D1ABF5}" destId="{835F7954-5F77-44DF-BA78-0A78FE2D975B}" srcOrd="0" destOrd="0" presId="urn:microsoft.com/office/officeart/2005/8/layout/hierarchy2"/>
    <dgm:cxn modelId="{7498638A-ED8D-4236-BCE8-5390C18E4DB6}" type="presOf" srcId="{3863CCA0-C2B1-4776-A452-62026946ACFE}" destId="{39107DD1-803B-4B89-BCB3-DBC82E129109}" srcOrd="0" destOrd="0" presId="urn:microsoft.com/office/officeart/2005/8/layout/hierarchy2"/>
    <dgm:cxn modelId="{29C7C88B-400D-4692-9C46-63A36468DC17}" type="presOf" srcId="{3863CCA0-C2B1-4776-A452-62026946ACFE}" destId="{3BE59C63-7E8F-4207-A82A-E78197BA4895}" srcOrd="1" destOrd="0" presId="urn:microsoft.com/office/officeart/2005/8/layout/hierarchy2"/>
    <dgm:cxn modelId="{F2B5759A-4AE6-4544-ABCD-C028AC9ACCC4}" type="presOf" srcId="{469FA4A8-4AAF-4FC2-BC76-770117D1ABF5}" destId="{358F8E04-11DE-4588-A2C6-B1D6DD6BECED}" srcOrd="1" destOrd="0" presId="urn:microsoft.com/office/officeart/2005/8/layout/hierarchy2"/>
    <dgm:cxn modelId="{764C44CF-5B32-4844-8A8F-FF5AC1105838}" srcId="{1809F2C9-69C4-4A96-BCF5-3AD3BAA2FEE7}" destId="{F957F7A6-3125-4A20-8BF5-78C87DA203E1}" srcOrd="0" destOrd="0" parTransId="{F3806E2F-9B56-4163-BEAA-81B8438E8527}" sibTransId="{B5A40163-E2E8-4EFF-9E24-378822D9AD0D}"/>
    <dgm:cxn modelId="{8A8B6FD1-ECBC-49DD-A23F-ED5A04159013}" type="presOf" srcId="{F957F7A6-3125-4A20-8BF5-78C87DA203E1}" destId="{07DA4D59-6515-4060-8FBF-BE4E7A555287}" srcOrd="0" destOrd="0" presId="urn:microsoft.com/office/officeart/2005/8/layout/hierarchy2"/>
    <dgm:cxn modelId="{B7BE07FA-B0F0-40B6-890E-D127FB8DAFE4}" srcId="{F957F7A6-3125-4A20-8BF5-78C87DA203E1}" destId="{74C891EB-1D23-4908-B567-FB7517BD1540}" srcOrd="1" destOrd="0" parTransId="{3863CCA0-C2B1-4776-A452-62026946ACFE}" sibTransId="{5B82FAA7-FED0-4BD9-B5C6-4338D5B1790F}"/>
    <dgm:cxn modelId="{5963826B-1489-4E46-992E-31927F3E2DC6}" type="presParOf" srcId="{99A3F5D1-BD8E-4BBA-A109-757BBBA6B834}" destId="{A21EDA03-1AF9-4FEA-8983-DE4A4AABAC69}" srcOrd="0" destOrd="0" presId="urn:microsoft.com/office/officeart/2005/8/layout/hierarchy2"/>
    <dgm:cxn modelId="{BF424F94-EE17-441F-A9BC-52DEB58FD6ED}" type="presParOf" srcId="{A21EDA03-1AF9-4FEA-8983-DE4A4AABAC69}" destId="{07DA4D59-6515-4060-8FBF-BE4E7A555287}" srcOrd="0" destOrd="0" presId="urn:microsoft.com/office/officeart/2005/8/layout/hierarchy2"/>
    <dgm:cxn modelId="{6308D10D-0C40-477B-B07B-1FFC9528051B}" type="presParOf" srcId="{A21EDA03-1AF9-4FEA-8983-DE4A4AABAC69}" destId="{3E4F0E51-640F-4D3A-AEE1-6D269C970318}" srcOrd="1" destOrd="0" presId="urn:microsoft.com/office/officeart/2005/8/layout/hierarchy2"/>
    <dgm:cxn modelId="{AAF16721-3240-44A0-B78B-8B74FB98EDCB}" type="presParOf" srcId="{3E4F0E51-640F-4D3A-AEE1-6D269C970318}" destId="{835F7954-5F77-44DF-BA78-0A78FE2D975B}" srcOrd="0" destOrd="0" presId="urn:microsoft.com/office/officeart/2005/8/layout/hierarchy2"/>
    <dgm:cxn modelId="{D06434B0-880B-40AC-8A80-6B3B646119D5}" type="presParOf" srcId="{835F7954-5F77-44DF-BA78-0A78FE2D975B}" destId="{358F8E04-11DE-4588-A2C6-B1D6DD6BECED}" srcOrd="0" destOrd="0" presId="urn:microsoft.com/office/officeart/2005/8/layout/hierarchy2"/>
    <dgm:cxn modelId="{4D267AA6-438A-49A4-9E82-5D7AC3FFDFB1}" type="presParOf" srcId="{3E4F0E51-640F-4D3A-AEE1-6D269C970318}" destId="{127354E9-DDF1-45BA-A750-80F447B720D5}" srcOrd="1" destOrd="0" presId="urn:microsoft.com/office/officeart/2005/8/layout/hierarchy2"/>
    <dgm:cxn modelId="{2AA41DDC-CF2C-473F-B9BE-D37764F1436D}" type="presParOf" srcId="{127354E9-DDF1-45BA-A750-80F447B720D5}" destId="{035E3BBB-B005-42C0-96E2-F4E57F9E7EC6}" srcOrd="0" destOrd="0" presId="urn:microsoft.com/office/officeart/2005/8/layout/hierarchy2"/>
    <dgm:cxn modelId="{70E60A53-7421-4F84-9BF9-96F883CE5BB7}" type="presParOf" srcId="{127354E9-DDF1-45BA-A750-80F447B720D5}" destId="{5A33DCFB-081A-412D-9984-40EB968BD1DA}" srcOrd="1" destOrd="0" presId="urn:microsoft.com/office/officeart/2005/8/layout/hierarchy2"/>
    <dgm:cxn modelId="{06245961-3C83-4D54-932B-1502AC577F24}" type="presParOf" srcId="{3E4F0E51-640F-4D3A-AEE1-6D269C970318}" destId="{39107DD1-803B-4B89-BCB3-DBC82E129109}" srcOrd="2" destOrd="0" presId="urn:microsoft.com/office/officeart/2005/8/layout/hierarchy2"/>
    <dgm:cxn modelId="{A72EE5A8-3B94-421C-838D-616FB75EE7D6}" type="presParOf" srcId="{39107DD1-803B-4B89-BCB3-DBC82E129109}" destId="{3BE59C63-7E8F-4207-A82A-E78197BA4895}" srcOrd="0" destOrd="0" presId="urn:microsoft.com/office/officeart/2005/8/layout/hierarchy2"/>
    <dgm:cxn modelId="{FCE41835-B026-41F3-9C56-AB03BBDD5CEB}" type="presParOf" srcId="{3E4F0E51-640F-4D3A-AEE1-6D269C970318}" destId="{80985EDA-0AE7-4526-A18C-82C404C8AC15}" srcOrd="3" destOrd="0" presId="urn:microsoft.com/office/officeart/2005/8/layout/hierarchy2"/>
    <dgm:cxn modelId="{82ECC3E7-1922-429C-BB51-D4E5990CC4F3}" type="presParOf" srcId="{80985EDA-0AE7-4526-A18C-82C404C8AC15}" destId="{09C5E27E-AD39-4CBE-9CCA-D7CA68B4D525}" srcOrd="0" destOrd="0" presId="urn:microsoft.com/office/officeart/2005/8/layout/hierarchy2"/>
    <dgm:cxn modelId="{62519888-46A3-48EA-BB21-D29B22E6823E}" type="presParOf" srcId="{80985EDA-0AE7-4526-A18C-82C404C8AC15}" destId="{846E6B2D-5C97-4772-A220-9634138190EC}" srcOrd="1" destOrd="0" presId="urn:microsoft.com/office/officeart/2005/8/layout/hierarchy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DA4D59-6515-4060-8FBF-BE4E7A555287}">
      <dsp:nvSpPr>
        <dsp:cNvPr id="0" name=""/>
        <dsp:cNvSpPr/>
      </dsp:nvSpPr>
      <dsp:spPr>
        <a:xfrm>
          <a:off x="1607" y="1029034"/>
          <a:ext cx="2284660" cy="114233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GB" sz="2400" b="1" i="1" kern="1200">
              <a:solidFill>
                <a:schemeClr val="tx1">
                  <a:lumMod val="95000"/>
                  <a:lumOff val="5000"/>
                </a:schemeClr>
              </a:solidFill>
            </a:rPr>
            <a:t>International Monetary Fund (IMF) </a:t>
          </a:r>
          <a:endParaRPr lang="en-US" sz="2400" b="1" i="1" kern="1200">
            <a:solidFill>
              <a:schemeClr val="tx1">
                <a:lumMod val="95000"/>
                <a:lumOff val="5000"/>
              </a:schemeClr>
            </a:solidFill>
          </a:endParaRPr>
        </a:p>
      </dsp:txBody>
      <dsp:txXfrm>
        <a:off x="35065" y="1062492"/>
        <a:ext cx="2217744" cy="1075414"/>
      </dsp:txXfrm>
    </dsp:sp>
    <dsp:sp modelId="{835F7954-5F77-44DF-BA78-0A78FE2D975B}">
      <dsp:nvSpPr>
        <dsp:cNvPr id="0" name=""/>
        <dsp:cNvSpPr/>
      </dsp:nvSpPr>
      <dsp:spPr>
        <a:xfrm rot="19457599">
          <a:off x="2180486" y="1239656"/>
          <a:ext cx="1125427" cy="64248"/>
        </a:xfrm>
        <a:custGeom>
          <a:avLst/>
          <a:gdLst/>
          <a:ahLst/>
          <a:cxnLst/>
          <a:rect l="0" t="0" r="0" b="0"/>
          <a:pathLst>
            <a:path>
              <a:moveTo>
                <a:pt x="0" y="32124"/>
              </a:moveTo>
              <a:lnTo>
                <a:pt x="1125427" y="3212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5064" y="1243644"/>
        <a:ext cx="56271" cy="56271"/>
      </dsp:txXfrm>
    </dsp:sp>
    <dsp:sp modelId="{035E3BBB-B005-42C0-96E2-F4E57F9E7EC6}">
      <dsp:nvSpPr>
        <dsp:cNvPr id="0" name=""/>
        <dsp:cNvSpPr/>
      </dsp:nvSpPr>
      <dsp:spPr>
        <a:xfrm>
          <a:off x="3200132" y="372194"/>
          <a:ext cx="2284660" cy="114233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GB" sz="2400" b="1" i="1" kern="1200">
              <a:solidFill>
                <a:schemeClr val="tx1">
                  <a:lumMod val="95000"/>
                  <a:lumOff val="5000"/>
                </a:schemeClr>
              </a:solidFill>
            </a:rPr>
            <a:t>Flexible Lending Line (FCL) </a:t>
          </a:r>
          <a:endParaRPr lang="en-US" sz="2400" b="1" i="1" kern="1200">
            <a:solidFill>
              <a:schemeClr val="tx1">
                <a:lumMod val="95000"/>
                <a:lumOff val="5000"/>
              </a:schemeClr>
            </a:solidFill>
          </a:endParaRPr>
        </a:p>
      </dsp:txBody>
      <dsp:txXfrm>
        <a:off x="3233590" y="405652"/>
        <a:ext cx="2217744" cy="1075414"/>
      </dsp:txXfrm>
    </dsp:sp>
    <dsp:sp modelId="{39107DD1-803B-4B89-BCB3-DBC82E129109}">
      <dsp:nvSpPr>
        <dsp:cNvPr id="0" name=""/>
        <dsp:cNvSpPr/>
      </dsp:nvSpPr>
      <dsp:spPr>
        <a:xfrm rot="2142401">
          <a:off x="2180486" y="1896495"/>
          <a:ext cx="1125427" cy="64248"/>
        </a:xfrm>
        <a:custGeom>
          <a:avLst/>
          <a:gdLst/>
          <a:ahLst/>
          <a:cxnLst/>
          <a:rect l="0" t="0" r="0" b="0"/>
          <a:pathLst>
            <a:path>
              <a:moveTo>
                <a:pt x="0" y="32124"/>
              </a:moveTo>
              <a:lnTo>
                <a:pt x="1125427" y="3212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5064" y="1900484"/>
        <a:ext cx="56271" cy="56271"/>
      </dsp:txXfrm>
    </dsp:sp>
    <dsp:sp modelId="{09C5E27E-AD39-4CBE-9CCA-D7CA68B4D525}">
      <dsp:nvSpPr>
        <dsp:cNvPr id="0" name=""/>
        <dsp:cNvSpPr/>
      </dsp:nvSpPr>
      <dsp:spPr>
        <a:xfrm>
          <a:off x="3200132" y="1685874"/>
          <a:ext cx="2284660" cy="114233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en-GB" sz="2400" b="1" i="1" kern="1200">
              <a:solidFill>
                <a:schemeClr val="tx1">
                  <a:lumMod val="95000"/>
                  <a:lumOff val="5000"/>
                </a:schemeClr>
              </a:solidFill>
            </a:rPr>
            <a:t>Precautionary and Liquidity Line (PLL)</a:t>
          </a:r>
          <a:endParaRPr lang="en-US" sz="2400" b="1" i="1" kern="1200">
            <a:solidFill>
              <a:schemeClr val="tx1">
                <a:lumMod val="95000"/>
                <a:lumOff val="5000"/>
              </a:schemeClr>
            </a:solidFill>
          </a:endParaRPr>
        </a:p>
      </dsp:txBody>
      <dsp:txXfrm>
        <a:off x="3233590" y="1719332"/>
        <a:ext cx="2217744" cy="107541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25</Pages>
  <Words>6892</Words>
  <Characters>39288</Characters>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2023-08-18T03:28:00Z</dcterms:created>
  <dcterms:modified xsi:type="dcterms:W3CDTF">2023-08-21T04:29:00Z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927ed8288922bebb5072ff27df88aed3c33a227718434321dcb076a6a2b03333</vt:lpwstr>
  </property>
</Properties>
</file>