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b/>
          <w:bCs/>
          <w:sz w:val="36"/>
          <w:szCs w:val="36"/>
          <w:u w:val="single"/>
          <w:lang w:val="en-GB"/>
        </w:rPr>
      </w:pPr>
      <w:r>
        <w:rPr>
          <w:b/>
          <w:bCs/>
          <w:sz w:val="36"/>
          <w:szCs w:val="36"/>
          <w:u w:val="single"/>
          <w:lang w:val="en-GB"/>
        </w:rPr>
        <w:t>How reliable are Tacitus</w:t>
      </w:r>
      <w:r>
        <w:rPr>
          <w:rFonts w:hint="default"/>
          <w:b/>
          <w:bCs/>
          <w:sz w:val="36"/>
          <w:szCs w:val="36"/>
          <w:u w:val="single"/>
          <w:lang w:val="en-GB"/>
        </w:rPr>
        <w:t>’ works as a source on Britain between AD43 and AD120? What inconsistencies and biases can you detect? Do you have any complimentary literary, epigraphic and archaeological support to verify Tacitus’ accounts?</w:t>
      </w:r>
    </w:p>
    <w:p>
      <w:pPr>
        <w:rPr>
          <w:rFonts w:hint="default"/>
          <w:b/>
          <w:bCs/>
          <w:sz w:val="36"/>
          <w:szCs w:val="36"/>
          <w:u w:val="single"/>
          <w:lang w:val="en-GB"/>
        </w:rPr>
      </w:pPr>
    </w:p>
    <w:p>
      <w:pPr>
        <w:rPr>
          <w:rFonts w:hint="default"/>
          <w:b/>
          <w:bCs/>
          <w:sz w:val="28"/>
          <w:szCs w:val="28"/>
          <w:u w:val="single"/>
          <w:lang w:val="en-GB"/>
        </w:rPr>
      </w:pPr>
    </w:p>
    <w:p>
      <w:pPr>
        <w:rPr>
          <w:rFonts w:hint="default"/>
          <w:b w:val="0"/>
          <w:bCs w:val="0"/>
          <w:sz w:val="28"/>
          <w:szCs w:val="28"/>
          <w:u w:val="none"/>
          <w:lang w:val="en-GB"/>
        </w:rPr>
      </w:pPr>
      <w:r>
        <w:rPr>
          <w:rFonts w:hint="default"/>
          <w:b w:val="0"/>
          <w:bCs w:val="0"/>
          <w:sz w:val="28"/>
          <w:szCs w:val="28"/>
          <w:u w:val="none"/>
          <w:lang w:val="en-GB"/>
        </w:rPr>
        <w:t>In this essay I will be discussing how reliable Tacitus is as a literary source and whether he is effected by bias or if there is any other evidence that supports what he is saying about Roman Britain between AD43 and AD120.</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Some of Tacitus’ work does not always match up to other sources. For example his work on the Boudiccan Revolt in his Annals is not the same as Cassius Dio who also wrote about the Boudiccan Revolt.In Tacitus’ Annals he talk about the Boudiccan revolt which happened in AD60. In this section of he Annals he talk about the reasoning for the revolt. Tacitus says that the reason for the Iceni revolt which was led by Boudicca was because “the Romans went and pillaged the Iceni territory after it had been partially left to the Emperor after the death of their King Prasutagus.”</w:t>
      </w:r>
      <w:r>
        <w:rPr>
          <w:rStyle w:val="4"/>
          <w:rFonts w:hint="default"/>
          <w:b w:val="0"/>
          <w:bCs w:val="0"/>
          <w:sz w:val="28"/>
          <w:szCs w:val="28"/>
          <w:u w:val="none"/>
          <w:lang w:val="en-GB"/>
        </w:rPr>
        <w:footnoteReference w:id="0"/>
      </w:r>
      <w:r>
        <w:rPr>
          <w:rFonts w:hint="default"/>
          <w:b w:val="0"/>
          <w:bCs w:val="0"/>
          <w:sz w:val="28"/>
          <w:szCs w:val="28"/>
          <w:u w:val="none"/>
          <w:lang w:val="en-GB"/>
        </w:rPr>
        <w:t xml:space="preserve"> Cassius Dio claims the reason for Boudicca to revolt from Roman rule was: “Seneca in hope of receiving a good rate of interest, had lent to the islanders 40,000,00 sesterces that they did not want, and afterwards called in this loan all at once and resorted to severe measures in exacting it.”</w:t>
      </w:r>
      <w:r>
        <w:rPr>
          <w:rStyle w:val="4"/>
          <w:rFonts w:hint="default"/>
          <w:b w:val="0"/>
          <w:bCs w:val="0"/>
          <w:sz w:val="28"/>
          <w:szCs w:val="28"/>
          <w:u w:val="none"/>
          <w:lang w:val="en-GB"/>
        </w:rPr>
        <w:footnoteReference w:id="1"/>
      </w:r>
      <w:r>
        <w:rPr>
          <w:rFonts w:hint="default"/>
          <w:b w:val="0"/>
          <w:bCs w:val="0"/>
          <w:sz w:val="28"/>
          <w:szCs w:val="28"/>
          <w:u w:val="none"/>
          <w:lang w:val="en-GB"/>
        </w:rPr>
        <w:t xml:space="preserve"> Unfortunately there is no way we can tell which reason these writers claim is why the Iceni tribe and the other tribes revolted from the Romans.</w:t>
      </w:r>
    </w:p>
    <w:p>
      <w:pPr>
        <w:rPr>
          <w:rFonts w:hint="default"/>
          <w:b w:val="0"/>
          <w:bCs w:val="0"/>
          <w:sz w:val="28"/>
          <w:szCs w:val="28"/>
          <w:u w:val="none"/>
          <w:lang w:val="en-GB"/>
        </w:rPr>
      </w:pPr>
      <w:r>
        <w:rPr>
          <w:rFonts w:hint="default"/>
          <w:b w:val="0"/>
          <w:bCs w:val="0"/>
          <w:sz w:val="28"/>
          <w:szCs w:val="28"/>
          <w:u w:val="none"/>
          <w:lang w:val="en-GB"/>
        </w:rPr>
        <w:t>Another difference between Tacitus and Cassius Dio is how Boudicca died after her defeat. Tacitus claims; “Boudicca put an end to her life with poison.”</w:t>
      </w:r>
      <w:r>
        <w:rPr>
          <w:rStyle w:val="4"/>
          <w:rFonts w:hint="default"/>
          <w:b w:val="0"/>
          <w:bCs w:val="0"/>
          <w:sz w:val="28"/>
          <w:szCs w:val="28"/>
          <w:u w:val="none"/>
          <w:lang w:val="en-GB"/>
        </w:rPr>
        <w:footnoteReference w:id="2"/>
      </w:r>
      <w:r>
        <w:rPr>
          <w:rFonts w:hint="default"/>
          <w:b w:val="0"/>
          <w:bCs w:val="0"/>
          <w:sz w:val="28"/>
          <w:szCs w:val="28"/>
          <w:u w:val="none"/>
          <w:lang w:val="en-GB"/>
        </w:rPr>
        <w:t xml:space="preserve"> Whereas Cassius Dio claims; “Buduica fell sick and died.”</w:t>
      </w:r>
      <w:r>
        <w:rPr>
          <w:rStyle w:val="4"/>
          <w:rFonts w:hint="default"/>
          <w:b w:val="0"/>
          <w:bCs w:val="0"/>
          <w:sz w:val="28"/>
          <w:szCs w:val="28"/>
          <w:u w:val="none"/>
          <w:lang w:val="en-GB"/>
        </w:rPr>
        <w:footnoteReference w:id="3"/>
      </w:r>
      <w:r>
        <w:rPr>
          <w:rFonts w:hint="default"/>
          <w:b w:val="0"/>
          <w:bCs w:val="0"/>
          <w:sz w:val="28"/>
          <w:szCs w:val="28"/>
          <w:u w:val="none"/>
          <w:lang w:val="en-GB"/>
        </w:rPr>
        <w:t xml:space="preserve"> Like with the point before there is no way to tell which writer is correct with how Boudicca died, but we can presume she most likely died shortly after her defeat to the Romans. </w:t>
      </w:r>
    </w:p>
    <w:p>
      <w:pPr>
        <w:rPr>
          <w:rFonts w:hint="default"/>
          <w:b w:val="0"/>
          <w:bCs w:val="0"/>
          <w:sz w:val="28"/>
          <w:szCs w:val="28"/>
          <w:u w:val="none"/>
          <w:lang w:val="en-GB"/>
        </w:rPr>
      </w:pPr>
      <w:r>
        <w:rPr>
          <w:rFonts w:hint="default"/>
          <w:b w:val="0"/>
          <w:bCs w:val="0"/>
          <w:sz w:val="28"/>
          <w:szCs w:val="28"/>
          <w:u w:val="none"/>
          <w:lang w:val="en-GB"/>
        </w:rPr>
        <w:t>The fact that the sources Tacitus and Cassius Dio are so inconsistent with each other means that Tacitus as a source is not that reliable to use when trying to learn about the history of Britain under Roman rule.</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Tacitus tells us about a speech which Boudicca gives to her comrades to inspire them before the battle against the Romans. Tacitus claims Boudicca said; “It is not as a woman descended from noble ancestry, but as one of the people that I am avenging lost freedom.”</w:t>
      </w:r>
      <w:r>
        <w:rPr>
          <w:rStyle w:val="4"/>
          <w:rFonts w:hint="default"/>
          <w:b w:val="0"/>
          <w:bCs w:val="0"/>
          <w:sz w:val="28"/>
          <w:szCs w:val="28"/>
          <w:u w:val="none"/>
          <w:lang w:val="en-GB"/>
        </w:rPr>
        <w:footnoteReference w:id="4"/>
      </w:r>
      <w:r>
        <w:rPr>
          <w:rFonts w:hint="default"/>
          <w:b w:val="0"/>
          <w:bCs w:val="0"/>
          <w:sz w:val="28"/>
          <w:szCs w:val="28"/>
          <w:u w:val="none"/>
          <w:lang w:val="en-GB"/>
        </w:rPr>
        <w:t xml:space="preserve"> It is plausible that Boudicca did actually give a speech to rally her men before the battle, but Tacitus was in Rome which means he was not present during the revolt so there is no way for him to know what was actually said in her speech or if she actually even gave a speech before the battle. This means the speech Tacitus claims Boudicca gave to her men was made up. Tacitus would have made the speech up to make Rome seem great as they defeated an army which had so much determination to rebel against Roman rule. It could have also been made up for an entertainment value as the speeches made the final battle more intense for the readers to read. Tacitus also tells us about a speech given by Suetonius before the final battle against Boudicca. The same applies to Suetonius’ speech that Tacitus was not present at the speech so he does not know what was said in the real speech or even if there was a speech given. However, it could be argued that Suetonius’ speech could be more accurate in what was said than Boudicca’s because Tacitus was writing within living memory of the events of the revolt (which happened in AD60/61) which means he could have had a first hand report of what was said in Suetonius’ speech by a solider who was there. Tacitus would not have been able to get a first hand account of Boudiccas speech as she was a Briton and it he tells us “eighty thousand”</w:t>
      </w:r>
      <w:r>
        <w:rPr>
          <w:rStyle w:val="4"/>
          <w:rFonts w:hint="default"/>
          <w:b w:val="0"/>
          <w:bCs w:val="0"/>
          <w:sz w:val="28"/>
          <w:szCs w:val="28"/>
          <w:u w:val="none"/>
          <w:lang w:val="en-GB"/>
        </w:rPr>
        <w:footnoteReference w:id="5"/>
      </w:r>
      <w:r>
        <w:rPr>
          <w:rFonts w:hint="default"/>
          <w:b w:val="0"/>
          <w:bCs w:val="0"/>
          <w:sz w:val="28"/>
          <w:szCs w:val="28"/>
          <w:u w:val="none"/>
          <w:lang w:val="en-GB"/>
        </w:rPr>
        <w:t xml:space="preserve"> Britons were killed in the battle.This would then make Tacitus as a source more reliable as he got a first hand account of the speech.Tacitus only writes about speeches given by the leaders of each side in the battle which ended with Roman victory. This is proven because when Boudicca took Camulodunmum, Londinium and defeated the ninth legion in battle there was no speeches given by Tacitus. This makes Tacitus a less reliable source for Roman Britain because he made things up in his account of the events of the Boudiccan revolt which mean we might have to question the entire piece of writing. He is also effected by bias as he is trying to make Rome appear great and powerful. </w:t>
      </w:r>
    </w:p>
    <w:p>
      <w:pPr>
        <w:rPr>
          <w:rFonts w:hint="default"/>
          <w:b w:val="0"/>
          <w:bCs w:val="0"/>
          <w:sz w:val="28"/>
          <w:szCs w:val="28"/>
          <w:u w:val="none"/>
          <w:lang w:val="en-GB"/>
        </w:rPr>
      </w:pPr>
      <w:r>
        <w:rPr>
          <w:rFonts w:hint="default"/>
          <w:b w:val="0"/>
          <w:bCs w:val="0"/>
          <w:sz w:val="28"/>
          <w:szCs w:val="28"/>
          <w:u w:val="none"/>
          <w:lang w:val="en-GB"/>
        </w:rPr>
        <w:t>There has been a silver Iceni coin found which has been attributed to Boudicca. The coin has a horse face on it</w:t>
      </w:r>
      <w:r>
        <w:rPr>
          <w:rStyle w:val="4"/>
          <w:rFonts w:hint="default"/>
          <w:b w:val="0"/>
          <w:bCs w:val="0"/>
          <w:sz w:val="28"/>
          <w:szCs w:val="28"/>
          <w:u w:val="none"/>
          <w:lang w:val="en-GB"/>
        </w:rPr>
        <w:footnoteReference w:id="6"/>
      </w:r>
      <w:r>
        <w:rPr>
          <w:rFonts w:hint="default"/>
          <w:b w:val="0"/>
          <w:bCs w:val="0"/>
          <w:sz w:val="28"/>
          <w:szCs w:val="28"/>
          <w:u w:val="none"/>
          <w:lang w:val="en-GB"/>
        </w:rPr>
        <w:t>. This makes Tacitus a more reliable source because it shows Boudicca existed as people respected her enough to craft coins in her honour. Which mean Tacitus did not make the character or Boudicca up. However, as the coin is only attirbuted to Boudicca we can not say for certain it is a coin with Boudicca on it. Therefore, the fact we can not be certain of whether this is actually a coin to Boudicca makes us questions the reliability of Tacitus as a source. A reason we can not be certain that the coin is a coin to Boudicca could be because it would have been a reminder to the Romans that they sustained big losses to a woman so they might not have wanted the coin to be around so they may have done something to remove the coin from society.</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Another one of Tacitus’ works where he talk about Roman Britain is his Life of Agricola. Tacitus talks about the time Agricola spent as the Governor of Britain which was during the reign of the Emperor Domitian. Tacitus’ Life of Agricola is a eulogy which immediately raises questions about the reliability of this work when looking at understanding Roman Britain. Tacitus tell us that Agricola “thus by his valour in obeying orders and by his modesty of speech he escaped jealousy without losing distinction.”</w:t>
      </w:r>
      <w:r>
        <w:rPr>
          <w:rStyle w:val="4"/>
          <w:rFonts w:hint="default"/>
          <w:b w:val="0"/>
          <w:bCs w:val="0"/>
          <w:sz w:val="28"/>
          <w:szCs w:val="28"/>
          <w:u w:val="none"/>
          <w:lang w:val="en-GB"/>
        </w:rPr>
        <w:footnoteReference w:id="7"/>
      </w:r>
      <w:r>
        <w:rPr>
          <w:rFonts w:hint="default"/>
          <w:b w:val="0"/>
          <w:bCs w:val="0"/>
          <w:sz w:val="28"/>
          <w:szCs w:val="28"/>
          <w:u w:val="none"/>
          <w:lang w:val="en-GB"/>
        </w:rPr>
        <w:t xml:space="preserve"> From this we can learn about how the people viewed Agricola as a person. However, we have to remember that Tacitus was also the adopted son of Agricola and this writing was a eulogy. This means Tacitus’ life of Agricola is effected by bias so Tacitus would want to emphasise Agricola’s good characteristics as a person so we can not be sure that Agricola was as good as Tacitus claims. Tacitus may also want to glorify Agricola’ time as governor of Britain as he was there during the reign of the Emperor Domitian and, as Domitian was not a very popular Emperor Tacitus may want to undermine him by making Agricola seem like a really great person.</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Tacitus’ Life of Agricola is a good source for helping us learn about how the Britons were romanising. He says; “A liking sprang up for our style of dress, and the “toga” became fashionable.”</w:t>
      </w:r>
      <w:r>
        <w:rPr>
          <w:rStyle w:val="4"/>
          <w:rFonts w:hint="default"/>
          <w:b w:val="0"/>
          <w:bCs w:val="0"/>
          <w:sz w:val="28"/>
          <w:szCs w:val="28"/>
          <w:u w:val="none"/>
          <w:lang w:val="en-GB"/>
        </w:rPr>
        <w:footnoteReference w:id="8"/>
      </w:r>
      <w:r>
        <w:rPr>
          <w:rFonts w:hint="default"/>
          <w:b w:val="0"/>
          <w:bCs w:val="0"/>
          <w:sz w:val="28"/>
          <w:szCs w:val="28"/>
          <w:u w:val="none"/>
          <w:lang w:val="en-GB"/>
        </w:rPr>
        <w:t xml:space="preserve"> In this same passage Tacitus also tells us that “He likewise provided liberal education for sons of the chiefs.”</w:t>
      </w:r>
      <w:r>
        <w:rPr>
          <w:rStyle w:val="4"/>
          <w:rFonts w:hint="default"/>
          <w:b w:val="0"/>
          <w:bCs w:val="0"/>
          <w:sz w:val="28"/>
          <w:szCs w:val="28"/>
          <w:u w:val="none"/>
          <w:lang w:val="en-GB"/>
        </w:rPr>
        <w:footnoteReference w:id="9"/>
      </w:r>
      <w:r>
        <w:rPr>
          <w:rFonts w:hint="default"/>
          <w:b w:val="0"/>
          <w:bCs w:val="0"/>
          <w:sz w:val="28"/>
          <w:szCs w:val="28"/>
          <w:u w:val="none"/>
          <w:lang w:val="en-GB"/>
        </w:rPr>
        <w:t xml:space="preserve"> These quotes show that the Britons were becoming more Roman in their way of life. When looking at the Romanisation of the Britons Tacitus can be a reliable source as he knew Agricola and he would have been able to get first hand information about the Britons and their way of life from Agricola himself.</w:t>
      </w:r>
    </w:p>
    <w:p>
      <w:pPr>
        <w:rPr>
          <w:rFonts w:hint="default"/>
          <w:b w:val="0"/>
          <w:bCs w:val="0"/>
          <w:sz w:val="28"/>
          <w:szCs w:val="28"/>
          <w:u w:val="none"/>
          <w:lang w:val="en-GB"/>
        </w:rPr>
      </w:pPr>
      <w:r>
        <w:rPr>
          <w:rFonts w:hint="default"/>
          <w:b w:val="0"/>
          <w:bCs w:val="0"/>
          <w:sz w:val="28"/>
          <w:szCs w:val="28"/>
          <w:u w:val="none"/>
          <w:lang w:val="en-GB"/>
        </w:rPr>
        <w:t>Tacitus also tells us about how Agricola went around fortifying places around Britain. He says; “Agricola then began to defend with a line of forts,and, as all the country to the south was now occupied, the enemy were pushed into what might be called another island.”</w:t>
      </w:r>
      <w:r>
        <w:rPr>
          <w:rStyle w:val="4"/>
          <w:rFonts w:hint="default"/>
          <w:b w:val="0"/>
          <w:bCs w:val="0"/>
          <w:sz w:val="28"/>
          <w:szCs w:val="28"/>
          <w:u w:val="none"/>
          <w:lang w:val="en-GB"/>
        </w:rPr>
        <w:footnoteReference w:id="10"/>
      </w:r>
      <w:r>
        <w:rPr>
          <w:rFonts w:hint="default"/>
          <w:b w:val="0"/>
          <w:bCs w:val="0"/>
          <w:sz w:val="28"/>
          <w:szCs w:val="28"/>
          <w:u w:val="none"/>
          <w:lang w:val="en-GB"/>
        </w:rPr>
        <w:t xml:space="preserve"> There was a lead pipe</w:t>
      </w:r>
      <w:r>
        <w:rPr>
          <w:rStyle w:val="4"/>
          <w:rFonts w:hint="default"/>
          <w:b w:val="0"/>
          <w:bCs w:val="0"/>
          <w:sz w:val="28"/>
          <w:szCs w:val="28"/>
          <w:u w:val="none"/>
          <w:lang w:val="en-GB"/>
        </w:rPr>
        <w:footnoteReference w:id="11"/>
      </w:r>
      <w:r>
        <w:rPr>
          <w:rFonts w:hint="default"/>
          <w:b w:val="0"/>
          <w:bCs w:val="0"/>
          <w:sz w:val="28"/>
          <w:szCs w:val="28"/>
          <w:u w:val="none"/>
          <w:lang w:val="en-GB"/>
        </w:rPr>
        <w:t xml:space="preserve"> found from a fort in Chester which supports what Tacitus says about Agricola fortifying the area. This makes Tacitus a more reliable source when looking at Roman Britain.</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Overall, there is a lot of problems with the reliability of Tacitus’ works as his writings did not match up completely with other writers and he was also not present during the Boudiccan revolt so he can not know the precise details of the events that happened and his writing about Agricola was a eulogy which means he may have been susceptible to bias. However, there is some archaeological evidence which backs some of the point he made about life in Roman Britain. This means we will definitely have to look at other ancient sources to help out understanding of Roman Britain.</w:t>
      </w:r>
      <w:bookmarkStart w:id="0" w:name="_GoBack"/>
      <w:bookmarkEnd w:id="0"/>
    </w:p>
    <w:p>
      <w:pPr>
        <w:rPr>
          <w:rFonts w:hint="default"/>
          <w:b w:val="0"/>
          <w:bCs w:val="0"/>
          <w:sz w:val="28"/>
          <w:szCs w:val="28"/>
          <w:u w:val="non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28"/>
          <w:szCs w:val="28"/>
          <w:u w:val="single"/>
          <w:lang w:val="en-GB"/>
        </w:rPr>
      </w:pPr>
    </w:p>
    <w:p>
      <w:pPr>
        <w:rPr>
          <w:rFonts w:hint="default"/>
          <w:b/>
          <w:bCs/>
          <w:sz w:val="36"/>
          <w:szCs w:val="36"/>
          <w:u w:val="single"/>
          <w:lang w:val="en-GB"/>
        </w:rPr>
      </w:pPr>
    </w:p>
    <w:p>
      <w:pPr>
        <w:rPr>
          <w:rFonts w:hint="default"/>
          <w:b/>
          <w:bCs/>
          <w:sz w:val="36"/>
          <w:szCs w:val="36"/>
          <w:u w:val="single"/>
          <w:lang w:val="en-GB"/>
        </w:rPr>
      </w:pPr>
    </w:p>
    <w:p>
      <w:pPr>
        <w:rPr>
          <w:rFonts w:hint="default"/>
          <w:b/>
          <w:bCs/>
          <w:sz w:val="36"/>
          <w:szCs w:val="36"/>
          <w:u w:val="single"/>
          <w:lang w:val="en-GB"/>
        </w:rPr>
      </w:pPr>
      <w:r>
        <w:rPr>
          <w:rFonts w:hint="default"/>
          <w:b/>
          <w:bCs/>
          <w:sz w:val="36"/>
          <w:szCs w:val="36"/>
          <w:u w:val="single"/>
          <w:lang w:val="en-GB"/>
        </w:rPr>
        <w:t>Bibliography</w:t>
      </w:r>
    </w:p>
    <w:p>
      <w:pPr>
        <w:rPr>
          <w:rFonts w:hint="default"/>
          <w:b/>
          <w:bCs/>
          <w:sz w:val="36"/>
          <w:szCs w:val="36"/>
          <w:u w:val="single"/>
          <w:lang w:val="en-GB"/>
        </w:rPr>
      </w:pPr>
    </w:p>
    <w:p>
      <w:pPr>
        <w:rPr>
          <w:rFonts w:hint="default"/>
          <w:b/>
          <w:bCs/>
          <w:sz w:val="36"/>
          <w:szCs w:val="36"/>
          <w:u w:val="single"/>
          <w:lang w:val="en-GB"/>
        </w:rPr>
      </w:pPr>
    </w:p>
    <w:p>
      <w:pPr>
        <w:rPr>
          <w:rFonts w:hint="default"/>
          <w:b w:val="0"/>
          <w:bCs w:val="0"/>
          <w:sz w:val="32"/>
          <w:szCs w:val="32"/>
          <w:u w:val="none"/>
          <w:lang w:val="en-GB"/>
        </w:rPr>
      </w:pPr>
      <w:r>
        <w:rPr>
          <w:rFonts w:hint="default"/>
          <w:b w:val="0"/>
          <w:bCs w:val="0"/>
          <w:sz w:val="32"/>
          <w:szCs w:val="32"/>
          <w:u w:val="none"/>
          <w:lang w:val="en-GB"/>
        </w:rPr>
        <w:t>Ancient Sources:</w:t>
      </w:r>
    </w:p>
    <w:p>
      <w:pPr>
        <w:numPr>
          <w:ilvl w:val="0"/>
          <w:numId w:val="1"/>
        </w:numPr>
        <w:rPr>
          <w:rFonts w:hint="default"/>
          <w:b w:val="0"/>
          <w:bCs w:val="0"/>
          <w:sz w:val="28"/>
          <w:szCs w:val="28"/>
          <w:u w:val="none"/>
          <w:lang w:val="en-GB"/>
        </w:rPr>
      </w:pPr>
      <w:r>
        <w:rPr>
          <w:rFonts w:hint="default"/>
          <w:b w:val="0"/>
          <w:bCs w:val="0"/>
          <w:sz w:val="28"/>
          <w:szCs w:val="28"/>
          <w:u w:val="none"/>
          <w:lang w:val="en-GB"/>
        </w:rPr>
        <w:t>Tacitus, The Annals. Alfred John Church &amp; William Jackson Brodribb (trans). 1942. New York Random House.</w:t>
      </w:r>
    </w:p>
    <w:p>
      <w:pPr>
        <w:numPr>
          <w:ilvl w:val="0"/>
          <w:numId w:val="1"/>
        </w:numPr>
        <w:rPr>
          <w:rFonts w:hint="default"/>
          <w:b w:val="0"/>
          <w:bCs w:val="0"/>
          <w:sz w:val="28"/>
          <w:szCs w:val="28"/>
          <w:u w:val="none"/>
          <w:lang w:val="en-GB"/>
        </w:rPr>
      </w:pPr>
      <w:r>
        <w:rPr>
          <w:rFonts w:hint="default"/>
          <w:b w:val="0"/>
          <w:bCs w:val="0"/>
          <w:sz w:val="28"/>
          <w:szCs w:val="28"/>
          <w:u w:val="none"/>
          <w:lang w:val="en-GB"/>
        </w:rPr>
        <w:t xml:space="preserve">Cassius Dio, Roman History, Herbert B Foster (trans), 1906. Lehigh University </w:t>
      </w:r>
    </w:p>
    <w:p>
      <w:pPr>
        <w:numPr>
          <w:ilvl w:val="0"/>
          <w:numId w:val="1"/>
        </w:numPr>
        <w:rPr>
          <w:rFonts w:hint="default"/>
          <w:b w:val="0"/>
          <w:bCs w:val="0"/>
          <w:sz w:val="28"/>
          <w:szCs w:val="28"/>
          <w:u w:val="none"/>
          <w:lang w:val="en-GB"/>
        </w:rPr>
      </w:pPr>
      <w:r>
        <w:rPr>
          <w:rFonts w:hint="default"/>
          <w:b w:val="0"/>
          <w:bCs w:val="0"/>
          <w:sz w:val="28"/>
          <w:szCs w:val="28"/>
          <w:u w:val="none"/>
          <w:lang w:val="en-GB"/>
        </w:rPr>
        <w:t>Tacitus, Life of Cnaeus Juilius Agricola. Sara Bryant (trans) 1942. New York Random House.</w:t>
      </w:r>
    </w:p>
    <w:p>
      <w:pPr>
        <w:numPr>
          <w:ilvl w:val="0"/>
          <w:numId w:val="0"/>
        </w:numPr>
        <w:rPr>
          <w:rFonts w:hint="default"/>
          <w:b w:val="0"/>
          <w:bCs w:val="0"/>
          <w:sz w:val="28"/>
          <w:szCs w:val="28"/>
          <w:u w:val="none"/>
          <w:lang w:val="en-GB"/>
        </w:rPr>
      </w:pPr>
    </w:p>
    <w:p>
      <w:pPr>
        <w:numPr>
          <w:ilvl w:val="0"/>
          <w:numId w:val="0"/>
        </w:numPr>
        <w:rPr>
          <w:rFonts w:hint="default"/>
          <w:b w:val="0"/>
          <w:bCs w:val="0"/>
          <w:sz w:val="28"/>
          <w:szCs w:val="28"/>
          <w:u w:val="none"/>
          <w:lang w:val="en-GB"/>
        </w:rPr>
      </w:pPr>
    </w:p>
    <w:p>
      <w:pPr>
        <w:numPr>
          <w:ilvl w:val="0"/>
          <w:numId w:val="0"/>
        </w:numPr>
        <w:rPr>
          <w:rFonts w:hint="default"/>
          <w:b w:val="0"/>
          <w:bCs w:val="0"/>
          <w:sz w:val="32"/>
          <w:szCs w:val="32"/>
          <w:u w:val="none"/>
          <w:lang w:val="en-GB"/>
        </w:rPr>
      </w:pPr>
      <w:r>
        <w:rPr>
          <w:rFonts w:hint="default"/>
          <w:b w:val="0"/>
          <w:bCs w:val="0"/>
          <w:sz w:val="32"/>
          <w:szCs w:val="32"/>
          <w:u w:val="none"/>
          <w:lang w:val="en-GB"/>
        </w:rPr>
        <w:t>Archaeological:</w:t>
      </w:r>
    </w:p>
    <w:p>
      <w:pPr>
        <w:numPr>
          <w:ilvl w:val="0"/>
          <w:numId w:val="2"/>
        </w:numPr>
        <w:rPr>
          <w:rFonts w:hint="default"/>
          <w:b w:val="0"/>
          <w:bCs w:val="0"/>
          <w:sz w:val="28"/>
          <w:szCs w:val="28"/>
          <w:u w:val="none"/>
          <w:lang w:val="en-GB"/>
        </w:rPr>
      </w:pPr>
      <w:r>
        <w:rPr>
          <w:rFonts w:hint="default"/>
          <w:b w:val="0"/>
          <w:bCs w:val="0"/>
          <w:sz w:val="28"/>
          <w:szCs w:val="28"/>
          <w:u w:val="none"/>
          <w:lang w:val="en-GB"/>
        </w:rPr>
        <w:t>Portable Antiquity Scheme (PAS). (https://finds.org.uk/database/artefacts/record/id/95174).     Accessed: 11/11/2017.</w:t>
      </w:r>
    </w:p>
    <w:p>
      <w:pPr>
        <w:numPr>
          <w:ilvl w:val="0"/>
          <w:numId w:val="2"/>
        </w:numPr>
        <w:rPr>
          <w:rFonts w:hint="default"/>
          <w:b w:val="0"/>
          <w:bCs w:val="0"/>
          <w:sz w:val="28"/>
          <w:szCs w:val="28"/>
          <w:u w:val="none"/>
          <w:lang w:val="en-GB"/>
        </w:rPr>
      </w:pPr>
      <w:r>
        <w:rPr>
          <w:rFonts w:hint="default"/>
          <w:b w:val="0"/>
          <w:bCs w:val="0"/>
          <w:sz w:val="28"/>
          <w:szCs w:val="28"/>
          <w:u w:val="none"/>
          <w:lang w:val="en-GB"/>
        </w:rPr>
        <w:t xml:space="preserve">Roman Legionary forces&amp;settlement Chester,Chesire. last modified 27/1/2016. http://roman-britain.co.uk/places/deva.htm (accessed 12/11/2017) </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2"/>
        <w:snapToGrid w:val="0"/>
      </w:pPr>
      <w:r>
        <w:rPr>
          <w:rStyle w:val="4"/>
        </w:rPr>
        <w:footnoteRef/>
      </w:r>
      <w:r>
        <w:t xml:space="preserve"> </w:t>
      </w:r>
      <w:r>
        <w:rPr>
          <w:lang w:val="en-GB"/>
        </w:rPr>
        <w:t>Tac. Ann. 14.31</w:t>
      </w:r>
    </w:p>
  </w:footnote>
  <w:footnote w:id="1">
    <w:p>
      <w:pPr>
        <w:pStyle w:val="2"/>
        <w:snapToGrid w:val="0"/>
      </w:pPr>
      <w:r>
        <w:rPr>
          <w:rStyle w:val="4"/>
        </w:rPr>
        <w:footnoteRef/>
      </w:r>
      <w:r>
        <w:t xml:space="preserve"> </w:t>
      </w:r>
      <w:r>
        <w:rPr>
          <w:lang w:val="en-GB"/>
        </w:rPr>
        <w:t xml:space="preserve">Cass. Dio. 62,2 </w:t>
      </w:r>
    </w:p>
  </w:footnote>
  <w:footnote w:id="2">
    <w:p>
      <w:pPr>
        <w:pStyle w:val="2"/>
        <w:snapToGrid w:val="0"/>
      </w:pPr>
      <w:r>
        <w:rPr>
          <w:rStyle w:val="4"/>
        </w:rPr>
        <w:footnoteRef/>
      </w:r>
      <w:r>
        <w:t xml:space="preserve"> </w:t>
      </w:r>
      <w:r>
        <w:rPr>
          <w:lang w:val="en-GB"/>
        </w:rPr>
        <w:t>Tac. Ann. 14.38</w:t>
      </w:r>
    </w:p>
  </w:footnote>
  <w:footnote w:id="3">
    <w:p>
      <w:pPr>
        <w:pStyle w:val="2"/>
        <w:snapToGrid w:val="0"/>
      </w:pPr>
      <w:r>
        <w:rPr>
          <w:rStyle w:val="4"/>
        </w:rPr>
        <w:footnoteRef/>
      </w:r>
      <w:r>
        <w:t xml:space="preserve"> </w:t>
      </w:r>
      <w:r>
        <w:rPr>
          <w:lang w:val="en-GB"/>
        </w:rPr>
        <w:t>Cass. Dio.62.12</w:t>
      </w:r>
    </w:p>
  </w:footnote>
  <w:footnote w:id="4">
    <w:p>
      <w:pPr>
        <w:pStyle w:val="2"/>
        <w:snapToGrid w:val="0"/>
      </w:pPr>
      <w:r>
        <w:rPr>
          <w:rStyle w:val="4"/>
        </w:rPr>
        <w:footnoteRef/>
      </w:r>
      <w:r>
        <w:t xml:space="preserve"> </w:t>
      </w:r>
      <w:r>
        <w:rPr>
          <w:lang w:val="en-GB"/>
        </w:rPr>
        <w:t>Tac. Ann 14.35</w:t>
      </w:r>
    </w:p>
  </w:footnote>
  <w:footnote w:id="5">
    <w:p>
      <w:pPr>
        <w:pStyle w:val="2"/>
        <w:snapToGrid w:val="0"/>
      </w:pPr>
      <w:r>
        <w:rPr>
          <w:rStyle w:val="4"/>
        </w:rPr>
        <w:footnoteRef/>
      </w:r>
      <w:r>
        <w:t xml:space="preserve"> </w:t>
      </w:r>
      <w:r>
        <w:rPr>
          <w:lang w:val="en-GB"/>
        </w:rPr>
        <w:t>Tac. Ann 14.37</w:t>
      </w:r>
    </w:p>
  </w:footnote>
  <w:footnote w:id="6">
    <w:p>
      <w:pPr>
        <w:pStyle w:val="2"/>
        <w:snapToGrid w:val="0"/>
      </w:pPr>
      <w:r>
        <w:rPr>
          <w:rStyle w:val="4"/>
        </w:rPr>
        <w:footnoteRef/>
      </w:r>
      <w:r>
        <w:t xml:space="preserve"> </w:t>
      </w:r>
      <w:r>
        <w:rPr>
          <w:lang w:val="en-GB"/>
        </w:rPr>
        <w:t>PAS CAM-0B9C00 (</w:t>
      </w:r>
      <w:r>
        <w:rPr>
          <w:rFonts w:hint="default"/>
          <w:lang w:val="en-GB"/>
        </w:rPr>
        <w:t>https://finds.org.uk/database/artefacts/record/id/95174)</w:t>
      </w:r>
    </w:p>
  </w:footnote>
  <w:footnote w:id="7">
    <w:p>
      <w:pPr>
        <w:pStyle w:val="2"/>
        <w:snapToGrid w:val="0"/>
      </w:pPr>
      <w:r>
        <w:rPr>
          <w:rStyle w:val="4"/>
        </w:rPr>
        <w:footnoteRef/>
      </w:r>
      <w:r>
        <w:t xml:space="preserve"> </w:t>
      </w:r>
      <w:r>
        <w:rPr>
          <w:lang w:val="en-GB"/>
        </w:rPr>
        <w:t>Tac.Ag. 8</w:t>
      </w:r>
    </w:p>
  </w:footnote>
  <w:footnote w:id="8">
    <w:p>
      <w:pPr>
        <w:pStyle w:val="2"/>
        <w:snapToGrid w:val="0"/>
      </w:pPr>
      <w:r>
        <w:rPr>
          <w:rStyle w:val="4"/>
        </w:rPr>
        <w:footnoteRef/>
      </w:r>
      <w:r>
        <w:t xml:space="preserve"> </w:t>
      </w:r>
      <w:r>
        <w:rPr>
          <w:lang w:val="en-GB"/>
        </w:rPr>
        <w:t>Tac. Ag. 21</w:t>
      </w:r>
    </w:p>
  </w:footnote>
  <w:footnote w:id="9">
    <w:p>
      <w:pPr>
        <w:pStyle w:val="2"/>
        <w:snapToGrid w:val="0"/>
      </w:pPr>
      <w:r>
        <w:rPr>
          <w:rStyle w:val="4"/>
        </w:rPr>
        <w:footnoteRef/>
      </w:r>
      <w:r>
        <w:t xml:space="preserve"> </w:t>
      </w:r>
      <w:r>
        <w:rPr>
          <w:lang w:val="en-GB"/>
        </w:rPr>
        <w:t>Tac. Ag 21</w:t>
      </w:r>
    </w:p>
  </w:footnote>
  <w:footnote w:id="10">
    <w:p>
      <w:pPr>
        <w:pStyle w:val="2"/>
        <w:snapToGrid w:val="0"/>
      </w:pPr>
      <w:r>
        <w:rPr>
          <w:rStyle w:val="4"/>
        </w:rPr>
        <w:footnoteRef/>
      </w:r>
      <w:r>
        <w:t xml:space="preserve"> </w:t>
      </w:r>
      <w:r>
        <w:rPr>
          <w:lang w:val="en-GB"/>
        </w:rPr>
        <w:t>Tac. Ag. 23</w:t>
      </w:r>
    </w:p>
  </w:footnote>
  <w:footnote w:id="11">
    <w:p>
      <w:pPr>
        <w:pStyle w:val="2"/>
        <w:snapToGrid w:val="0"/>
      </w:pPr>
      <w:r>
        <w:rPr>
          <w:rStyle w:val="4"/>
        </w:rPr>
        <w:footnoteRef/>
      </w:r>
      <w:r>
        <w:t xml:space="preserve"> </w:t>
      </w:r>
      <w:r>
        <w:rPr>
          <w:lang w:val="en-GB"/>
        </w:rPr>
        <w:t>Roman Legionary forces &amp; settlement Chester, Chesire.  last modified 27/1/2016</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0748BF"/>
    <w:multiLevelType w:val="singleLevel"/>
    <w:tmpl w:val="5A0748BF"/>
    <w:lvl w:ilvl="0" w:tentative="0">
      <w:start w:val="1"/>
      <w:numFmt w:val="decimal"/>
      <w:suff w:val="space"/>
      <w:lvlText w:val="%1."/>
      <w:lvlJc w:val="left"/>
    </w:lvl>
  </w:abstractNum>
  <w:abstractNum w:abstractNumId="1">
    <w:nsid w:val="5A08BB19"/>
    <w:multiLevelType w:val="singleLevel"/>
    <w:tmpl w:val="5A08BB19"/>
    <w:lvl w:ilvl="0" w:tentative="0">
      <w:start w:val="1"/>
      <w:numFmt w:val="decimal"/>
      <w:suff w:val="nothing"/>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08F403F"/>
    <w:rsid w:val="014A1872"/>
    <w:rsid w:val="092E2B58"/>
    <w:rsid w:val="0B641299"/>
    <w:rsid w:val="11C11EA7"/>
    <w:rsid w:val="1E8B10BE"/>
    <w:rsid w:val="236455AC"/>
    <w:rsid w:val="25B944C7"/>
    <w:rsid w:val="2C511D11"/>
    <w:rsid w:val="2E3D36CD"/>
    <w:rsid w:val="2FC55347"/>
    <w:rsid w:val="38AC691D"/>
    <w:rsid w:val="3BEF5AB1"/>
    <w:rsid w:val="408F403F"/>
    <w:rsid w:val="432F2382"/>
    <w:rsid w:val="510163C1"/>
    <w:rsid w:val="5AE2048F"/>
    <w:rsid w:val="5E837BE0"/>
    <w:rsid w:val="76C373B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qFormat/>
    <w:uiPriority w:val="0"/>
  </w:style>
  <w:style w:type="table" w:default="1" w:styleId="5">
    <w:name w:val="Normal Table"/>
    <w:semiHidden/>
    <w:qFormat/>
    <w:uiPriority w:val="0"/>
    <w:tblPr>
      <w:tblLayout w:type="fixed"/>
      <w:tblCellMar>
        <w:top w:w="0" w:type="dxa"/>
        <w:left w:w="108" w:type="dxa"/>
        <w:bottom w:w="0" w:type="dxa"/>
        <w:right w:w="108" w:type="dxa"/>
      </w:tblCellMar>
    </w:tblPr>
  </w:style>
  <w:style w:type="paragraph" w:styleId="2">
    <w:name w:val="footnote text"/>
    <w:basedOn w:val="1"/>
    <w:uiPriority w:val="0"/>
    <w:pPr>
      <w:snapToGrid w:val="0"/>
      <w:jc w:val="left"/>
    </w:pPr>
    <w:rPr>
      <w:sz w:val="18"/>
      <w:szCs w:val="18"/>
    </w:rPr>
  </w:style>
  <w:style w:type="character" w:styleId="4">
    <w:name w:val="footnote reference"/>
    <w:basedOn w:val="3"/>
    <w:qFormat/>
    <w:uiPriority w:val="0"/>
    <w:rPr>
      <w:vertAlign w:val="superscript"/>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2017-11-08T16:51:00Z</dcterms:created>
  <dc:creator>nweir</dc:creator>
  <cp:lastModifiedBy>nweir</cp:lastModifiedBy>
  <dcterms:modified xsi:type="dcterms:W3CDTF">2017-11-12T21:39:32Z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2057-10.2.0.5978</vt:lpwstr>
  </property>
</Properties>
</file>