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2621E" w:rsidR="00283DFA" w:rsidP="581AC2FF" w:rsidRDefault="00283DFA" w14:paraId="107BE998" w14:textId="0EA978C6">
      <w:pPr>
        <w:pStyle w:val="Normal"/>
        <w:spacing w:line="240" w:lineRule="auto"/>
        <w:jc w:val="center"/>
        <w:rPr>
          <w:rFonts w:ascii="Times New Roman" w:hAnsi="Times New Roman" w:cs="Times New Roman"/>
          <w:sz w:val="24"/>
          <w:szCs w:val="24"/>
        </w:rPr>
      </w:pPr>
    </w:p>
    <w:p w:rsidRPr="0052621E" w:rsidR="00283DFA" w:rsidP="00152DE0" w:rsidRDefault="00283DFA" w14:paraId="7CBD20F7" w14:textId="3B9A8770">
      <w:pPr>
        <w:spacing w:line="240" w:lineRule="auto"/>
        <w:jc w:val="center"/>
      </w:pPr>
    </w:p>
    <w:p w:rsidRPr="0052621E" w:rsidR="00283DFA" w:rsidP="00152DE0" w:rsidRDefault="00283DFA" w14:paraId="7EA69F22" w14:textId="31097CAC">
      <w:pPr>
        <w:spacing w:line="240" w:lineRule="auto"/>
        <w:jc w:val="center"/>
        <w:rPr>
          <w:rFonts w:ascii="Times New Roman" w:hAnsi="Times New Roman" w:cs="Times New Roman"/>
          <w:sz w:val="24"/>
          <w:szCs w:val="24"/>
        </w:rPr>
      </w:pPr>
      <w:r>
        <w:drawing>
          <wp:inline wp14:editId="2A2D7047" wp14:anchorId="4C4D5DC6">
            <wp:extent cx="5943600" cy="3590925"/>
            <wp:effectExtent l="0" t="0" r="0" b="0"/>
            <wp:docPr id="597362143" name="" title=""/>
            <wp:cNvGraphicFramePr>
              <a:graphicFrameLocks noChangeAspect="1"/>
            </wp:cNvGraphicFramePr>
            <a:graphic>
              <a:graphicData uri="http://schemas.openxmlformats.org/drawingml/2006/picture">
                <pic:pic>
                  <pic:nvPicPr>
                    <pic:cNvPr id="0" name=""/>
                    <pic:cNvPicPr/>
                  </pic:nvPicPr>
                  <pic:blipFill>
                    <a:blip r:embed="Rff8a4d73ca4f4f18">
                      <a:extLst>
                        <a:ext xmlns:a="http://schemas.openxmlformats.org/drawingml/2006/main" uri="{28A0092B-C50C-407E-A947-70E740481C1C}">
                          <a14:useLocalDpi val="0"/>
                        </a:ext>
                      </a:extLst>
                    </a:blip>
                    <a:stretch>
                      <a:fillRect/>
                    </a:stretch>
                  </pic:blipFill>
                  <pic:spPr>
                    <a:xfrm>
                      <a:off x="0" y="0"/>
                      <a:ext cx="5943600" cy="3590925"/>
                    </a:xfrm>
                    <a:prstGeom prst="rect">
                      <a:avLst/>
                    </a:prstGeom>
                  </pic:spPr>
                </pic:pic>
              </a:graphicData>
            </a:graphic>
          </wp:inline>
        </w:drawing>
      </w:r>
    </w:p>
    <w:p w:rsidRPr="0052621E" w:rsidR="0061032C" w:rsidP="00152DE0" w:rsidRDefault="0061032C" w14:paraId="5933E1D9" w14:textId="77777777">
      <w:pPr>
        <w:spacing w:line="240" w:lineRule="auto"/>
        <w:jc w:val="center"/>
        <w:rPr>
          <w:rFonts w:ascii="Times New Roman" w:hAnsi="Times New Roman" w:cs="Times New Roman"/>
          <w:sz w:val="24"/>
          <w:szCs w:val="24"/>
        </w:rPr>
      </w:pPr>
    </w:p>
    <w:p w:rsidRPr="0052621E" w:rsidR="0061032C" w:rsidP="00152DE0" w:rsidRDefault="0061032C" w14:paraId="366C1D78" w14:textId="77777777">
      <w:pPr>
        <w:spacing w:line="240" w:lineRule="auto"/>
        <w:jc w:val="center"/>
        <w:rPr>
          <w:rFonts w:ascii="Times New Roman" w:hAnsi="Times New Roman" w:cs="Times New Roman"/>
          <w:sz w:val="24"/>
          <w:szCs w:val="24"/>
        </w:rPr>
      </w:pPr>
    </w:p>
    <w:p w:rsidR="581AC2FF" w:rsidP="581AC2FF" w:rsidRDefault="581AC2FF" w14:paraId="704147F5" w14:textId="23D31F52">
      <w:pPr>
        <w:pStyle w:val="Header"/>
        <w:suppressLineNumbers w:val="0"/>
        <w:bidi w:val="0"/>
        <w:spacing w:before="0" w:beforeAutospacing="off" w:after="0" w:afterAutospacing="off" w:line="240" w:lineRule="auto"/>
        <w:ind w:left="0" w:right="0"/>
        <w:contextualSpacing/>
        <w:jc w:val="center"/>
      </w:pPr>
      <w:r w:rsidRPr="581AC2FF" w:rsidR="581AC2FF">
        <w:rPr>
          <w:rFonts w:ascii="Calibri" w:hAnsi="Calibri" w:eastAsia="Calibri" w:cs="Calibri" w:asciiTheme="minorAscii" w:hAnsiTheme="minorAscii" w:eastAsiaTheme="minorAscii" w:cstheme="minorAscii"/>
          <w:b w:val="1"/>
          <w:bCs w:val="1"/>
          <w:sz w:val="40"/>
          <w:szCs w:val="40"/>
        </w:rPr>
        <w:t>Civil Legal Aid</w:t>
      </w:r>
    </w:p>
    <w:p w:rsidRPr="004401B5" w:rsidR="00C021D9" w:rsidP="581AC2FF" w:rsidRDefault="001820FC" w14:paraId="3E785CA5" w14:textId="43FDC53F">
      <w:pPr>
        <w:pStyle w:val="Header"/>
        <w:spacing w:line="480" w:lineRule="auto"/>
        <w:contextualSpacing/>
        <w:jc w:val="center"/>
        <w:rPr>
          <w:rFonts w:ascii="Times New Roman" w:hAnsi="Times New Roman" w:cs="Times New Roman"/>
          <w:b w:val="1"/>
          <w:bCs w:val="1"/>
          <w:sz w:val="24"/>
          <w:szCs w:val="24"/>
        </w:rPr>
      </w:pPr>
    </w:p>
    <w:p w:rsidRPr="004401B5" w:rsidR="00C021D9" w:rsidP="581AC2FF" w:rsidRDefault="001820FC" w14:paraId="217B564D" w14:textId="0262B7FA">
      <w:pPr>
        <w:pStyle w:val="Header"/>
        <w:spacing w:line="480" w:lineRule="auto"/>
        <w:ind w:left="3600" w:firstLine="0"/>
        <w:contextualSpacing/>
        <w:jc w:val="left"/>
        <w:rPr>
          <w:rFonts w:ascii="Calibri" w:hAnsi="Calibri" w:eastAsia="Calibri" w:cs="Calibri" w:asciiTheme="minorAscii" w:hAnsiTheme="minorAscii" w:eastAsiaTheme="minorAscii" w:cstheme="minorAscii"/>
          <w:b w:val="0"/>
          <w:bCs w:val="0"/>
          <w:sz w:val="24"/>
          <w:szCs w:val="24"/>
        </w:rPr>
      </w:pPr>
    </w:p>
    <w:p w:rsidR="581AC2FF" w:rsidP="581AC2FF" w:rsidRDefault="581AC2FF" w14:paraId="30527ACA" w14:textId="007F039F">
      <w:pPr>
        <w:pStyle w:val="Header"/>
        <w:spacing w:line="480" w:lineRule="auto"/>
        <w:ind w:left="5040" w:firstLine="0"/>
        <w:contextualSpacing/>
        <w:jc w:val="left"/>
        <w:rPr>
          <w:rFonts w:ascii="Calibri" w:hAnsi="Calibri" w:eastAsia="Calibri" w:cs="Calibri" w:asciiTheme="minorAscii" w:hAnsiTheme="minorAscii" w:eastAsiaTheme="minorAscii" w:cstheme="minorAscii"/>
          <w:b w:val="0"/>
          <w:bCs w:val="0"/>
          <w:sz w:val="24"/>
          <w:szCs w:val="24"/>
        </w:rPr>
      </w:pPr>
    </w:p>
    <w:p w:rsidR="581AC2FF" w:rsidP="581AC2FF" w:rsidRDefault="581AC2FF" w14:paraId="47683302" w14:textId="41D087BB">
      <w:pPr>
        <w:pStyle w:val="Header"/>
        <w:spacing w:line="480" w:lineRule="auto"/>
        <w:ind w:left="576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397A79F5" w14:textId="56470454">
      <w:pPr>
        <w:pStyle w:val="Header"/>
        <w:spacing w:line="480" w:lineRule="auto"/>
        <w:ind w:left="6480" w:firstLine="72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451F3EC" w14:textId="0A5A20A7">
      <w:pPr>
        <w:pStyle w:val="Header"/>
        <w:spacing w:line="480" w:lineRule="auto"/>
        <w:ind w:left="6480" w:firstLine="72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Catalin Teodorescu</w:t>
      </w:r>
    </w:p>
    <w:p w:rsidRPr="004401B5" w:rsidR="00C021D9" w:rsidP="14F27F53" w:rsidRDefault="001820FC" w14:paraId="662FDCC6" w14:textId="1E477BC0">
      <w:pPr>
        <w:pStyle w:val="Header"/>
        <w:spacing w:line="480" w:lineRule="auto"/>
        <w:ind w:left="6480" w:firstLine="72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2313940</w:t>
      </w:r>
    </w:p>
    <w:p w:rsidRPr="004401B5" w:rsidR="00C021D9" w:rsidP="14F27F53" w:rsidRDefault="001820FC" w14:paraId="10105954" w14:textId="1136975C">
      <w:pPr>
        <w:pStyle w:val="Header"/>
        <w:spacing w:line="480" w:lineRule="auto"/>
        <w:ind w:left="720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0116B3AC" w14:textId="28E55DFF">
      <w:pPr>
        <w:pStyle w:val="Header"/>
        <w:spacing w:line="480" w:lineRule="auto"/>
        <w:ind w:left="720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1D09B9CA" w14:textId="04CFEB0D">
      <w:pPr>
        <w:pStyle w:val="Header"/>
        <w:spacing w:line="480" w:lineRule="auto"/>
        <w:ind w:left="720" w:firstLine="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Contents Page</w:t>
      </w:r>
    </w:p>
    <w:p w:rsidRPr="004401B5" w:rsidR="00C021D9" w:rsidP="14F27F53" w:rsidRDefault="001820FC" w14:paraId="4C3F5F53" w14:textId="06C236D9">
      <w:pPr>
        <w:pStyle w:val="Header"/>
        <w:spacing w:line="480" w:lineRule="auto"/>
        <w:ind w:left="0" w:firstLine="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Introduction . . .. Page 3</w:t>
      </w:r>
      <w:r>
        <w:tab/>
      </w:r>
    </w:p>
    <w:p w:rsidRPr="004401B5" w:rsidR="00C021D9" w:rsidP="14F27F53" w:rsidRDefault="001820FC" w14:paraId="5F62A00A" w14:textId="1268310C">
      <w:pPr>
        <w:pStyle w:val="Header"/>
        <w:spacing w:line="480" w:lineRule="auto"/>
        <w:ind w:left="0" w:firstLine="0"/>
        <w:contextualSpacing/>
        <w:jc w:val="left"/>
        <w:rPr>
          <w:rFonts w:ascii="Calibri" w:hAnsi="Calibri" w:eastAsia="Calibri" w:cs="Calibri" w:asciiTheme="minorAscii" w:hAnsiTheme="minorAscii" w:eastAsiaTheme="minorAscii" w:cstheme="minorAscii"/>
          <w:b w:val="0"/>
          <w:bCs w:val="0"/>
          <w:sz w:val="24"/>
          <w:szCs w:val="24"/>
        </w:rPr>
      </w:pPr>
      <w:r w:rsidRPr="14F27F53" w:rsidR="14F27F53">
        <w:rPr>
          <w:rFonts w:ascii="Calibri" w:hAnsi="Calibri" w:eastAsia="Calibri" w:cs="Calibri" w:asciiTheme="minorAscii" w:hAnsiTheme="minorAscii" w:eastAsiaTheme="minorAscii" w:cstheme="minorAscii"/>
          <w:b w:val="0"/>
          <w:bCs w:val="0"/>
          <w:sz w:val="24"/>
          <w:szCs w:val="24"/>
        </w:rPr>
        <w:t>Main Body . . . . . Page 4</w:t>
      </w:r>
      <w:r>
        <w:tab/>
      </w:r>
    </w:p>
    <w:p w:rsidRPr="004401B5" w:rsidR="00C021D9" w:rsidP="14F27F53" w:rsidRDefault="001820FC" w14:paraId="6FF63E0F" w14:textId="63EEF097">
      <w:pPr>
        <w:pStyle w:val="Header"/>
        <w:spacing w:line="480" w:lineRule="auto"/>
        <w:ind w:left="0" w:firstLine="0"/>
        <w:contextualSpacing/>
        <w:jc w:val="left"/>
      </w:pPr>
      <w:r w:rsidRPr="14F27F53" w:rsidR="14F27F53">
        <w:rPr>
          <w:rFonts w:ascii="Calibri" w:hAnsi="Calibri" w:eastAsia="Calibri" w:cs="Calibri" w:asciiTheme="minorAscii" w:hAnsiTheme="minorAscii" w:eastAsiaTheme="minorAscii" w:cstheme="minorAscii"/>
          <w:b w:val="0"/>
          <w:bCs w:val="0"/>
          <w:sz w:val="24"/>
          <w:szCs w:val="24"/>
        </w:rPr>
        <w:t xml:space="preserve">Conclusion </w:t>
      </w:r>
      <w:r w:rsidRPr="14F27F53" w:rsidR="14F27F53">
        <w:rPr>
          <w:rFonts w:ascii="Calibri" w:hAnsi="Calibri" w:eastAsia="Calibri" w:cs="Calibri" w:asciiTheme="minorAscii" w:hAnsiTheme="minorAscii" w:eastAsiaTheme="minorAscii" w:cstheme="minorAscii"/>
          <w:b w:val="0"/>
          <w:bCs w:val="0"/>
          <w:sz w:val="24"/>
          <w:szCs w:val="24"/>
        </w:rPr>
        <w:t>. . . .</w:t>
      </w:r>
      <w:r w:rsidRPr="14F27F53" w:rsidR="14F27F53">
        <w:rPr>
          <w:rFonts w:ascii="Calibri" w:hAnsi="Calibri" w:eastAsia="Calibri" w:cs="Calibri" w:asciiTheme="minorAscii" w:hAnsiTheme="minorAscii" w:eastAsiaTheme="minorAscii" w:cstheme="minorAscii"/>
          <w:b w:val="0"/>
          <w:bCs w:val="0"/>
          <w:sz w:val="24"/>
          <w:szCs w:val="24"/>
        </w:rPr>
        <w:t xml:space="preserve"> . Page 8</w:t>
      </w:r>
    </w:p>
    <w:p w:rsidRPr="004401B5" w:rsidR="00C021D9" w:rsidP="14F27F53" w:rsidRDefault="001820FC" w14:paraId="10E5A6CB" w14:textId="31A3EF6A">
      <w:pPr>
        <w:pStyle w:val="Header"/>
        <w:suppressLineNumbers w:val="0"/>
        <w:bidi w:val="0"/>
        <w:spacing w:before="0" w:beforeAutospacing="off" w:after="0" w:afterAutospacing="off" w:line="480" w:lineRule="auto"/>
        <w:ind w:left="0" w:right="0"/>
        <w:contextualSpacing/>
        <w:jc w:val="left"/>
      </w:pPr>
      <w:r w:rsidRPr="14F27F53" w:rsidR="14F27F53">
        <w:rPr>
          <w:rFonts w:ascii="Calibri" w:hAnsi="Calibri" w:eastAsia="Calibri" w:cs="Calibri" w:asciiTheme="minorAscii" w:hAnsiTheme="minorAscii" w:eastAsiaTheme="minorAscii" w:cstheme="minorAscii"/>
          <w:b w:val="0"/>
          <w:bCs w:val="0"/>
          <w:sz w:val="24"/>
          <w:szCs w:val="24"/>
        </w:rPr>
        <w:t>Reference List . . .Page 9</w:t>
      </w:r>
    </w:p>
    <w:p w:rsidRPr="004401B5" w:rsidR="00C021D9" w:rsidP="14F27F53" w:rsidRDefault="001820FC" w14:paraId="1B85FAFB" w14:textId="5E44B6BD">
      <w:pPr>
        <w:pStyle w:val="Header"/>
        <w:spacing w:line="480" w:lineRule="auto"/>
        <w:ind w:left="7200" w:firstLine="0"/>
        <w:contextualSpacing/>
        <w:jc w:val="left"/>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687D60B" w14:textId="099D0949">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6AEA4D35" w14:textId="2B8FA63D">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51D49A2" w14:textId="5B882A17">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7BA881FB" w14:textId="4F6EAFAB">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167701D1" w14:textId="463A1FC3">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72B9195C" w14:textId="67E47E7A">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441DBDF4" w14:textId="0D0183AB">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4775BCD6" w14:textId="700970F5">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79655E9F" w14:textId="0D32A4C8">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67EB0323" w14:textId="227473DC">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6D43F114" w14:textId="7F9DB5C6">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529AB202" w14:textId="35E1ED53">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4EA5901" w14:textId="0DC80FB0">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3EBB8356" w14:textId="062369B2">
      <w:pPr>
        <w:pStyle w:val="Header"/>
        <w:spacing w:line="480" w:lineRule="auto"/>
        <w:ind w:left="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2FB16AC9" w14:textId="4DD57F47">
      <w:pPr>
        <w:pStyle w:val="Header"/>
        <w:spacing w:line="480" w:lineRule="auto"/>
        <w:ind w:left="6480" w:firstLine="0"/>
        <w:contextualSpacing/>
        <w:jc w:val="center"/>
        <w:rPr>
          <w:rFonts w:ascii="Calibri" w:hAnsi="Calibri" w:eastAsia="Calibri" w:cs="Calibri" w:asciiTheme="minorAscii" w:hAnsiTheme="minorAscii" w:eastAsiaTheme="minorAscii" w:cstheme="minorAscii"/>
          <w:b w:val="0"/>
          <w:bCs w:val="0"/>
          <w:sz w:val="24"/>
          <w:szCs w:val="24"/>
        </w:rPr>
      </w:pPr>
    </w:p>
    <w:p w:rsidRPr="004401B5" w:rsidR="00C021D9" w:rsidP="14F27F53" w:rsidRDefault="001820FC" w14:paraId="1891D969" w14:textId="1B04D59E">
      <w:pPr>
        <w:pStyle w:val="Header"/>
        <w:spacing w:line="480" w:lineRule="auto"/>
        <w:contextualSpacing/>
        <w:jc w:val="center"/>
        <w:rPr>
          <w:rFonts w:ascii="Times New Roman" w:hAnsi="Times New Roman" w:cs="Times New Roman"/>
          <w:b w:val="1"/>
          <w:bCs w:val="1"/>
          <w:sz w:val="24"/>
          <w:szCs w:val="24"/>
        </w:rPr>
      </w:pPr>
    </w:p>
    <w:p w:rsidRPr="004401B5" w:rsidR="00C021D9" w:rsidP="14F27F53" w:rsidRDefault="001820FC" w14:paraId="4F4207E1" w14:textId="3304ECE7">
      <w:pPr>
        <w:pStyle w:val="Header"/>
        <w:spacing w:line="480" w:lineRule="auto"/>
        <w:contextualSpacing/>
        <w:jc w:val="center"/>
        <w:rPr>
          <w:rFonts w:ascii="Times New Roman" w:hAnsi="Times New Roman" w:cs="Times New Roman"/>
          <w:b w:val="1"/>
          <w:bCs w:val="1"/>
          <w:sz w:val="24"/>
          <w:szCs w:val="24"/>
        </w:rPr>
      </w:pPr>
    </w:p>
    <w:p w:rsidRPr="004401B5" w:rsidR="00C021D9" w:rsidP="14F27F53" w:rsidRDefault="001820FC" w14:paraId="1267B87B" w14:textId="72E09DFF">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r w:rsidRPr="581AC2FF" w:rsidR="581AC2FF">
        <w:rPr>
          <w:rFonts w:ascii="Calibri" w:hAnsi="Calibri" w:eastAsia="Calibri" w:cs="Calibri" w:asciiTheme="minorAscii" w:hAnsiTheme="minorAscii" w:eastAsiaTheme="minorAscii" w:cstheme="minorAscii"/>
          <w:b w:val="1"/>
          <w:bCs w:val="1"/>
          <w:sz w:val="24"/>
          <w:szCs w:val="24"/>
        </w:rPr>
        <w:t>Introduction</w:t>
      </w:r>
    </w:p>
    <w:p w:rsidR="14F27F53" w:rsidP="581AC2FF" w:rsidRDefault="14F27F53" w14:paraId="3DFC6BDC" w14:textId="2055D157">
      <w:pPr>
        <w:pStyle w:val="Header"/>
        <w:spacing w:line="480" w:lineRule="auto"/>
        <w:contextualSpacing/>
        <w:jc w:val="left"/>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Civil legal aid is a system created off public funding that helps people to meet the costs of court representation and legal advice, including having a legal representative in a tribunal or a family mediation process (Ministry of Justice, 2017). The services are provided in Wales and England by the Legal Aid Agency. The provision of this aid is processed differently from that of criminal aid, which means the eligibility criteria applied are not the same.</w:t>
      </w:r>
    </w:p>
    <w:p w:rsidR="14F27F53" w:rsidP="14F27F53" w:rsidRDefault="14F27F53" w14:paraId="6D7FFF9C" w14:textId="50A41818">
      <w:pPr>
        <w:pStyle w:val="Header"/>
        <w:spacing w:line="480" w:lineRule="auto"/>
        <w:contextualSpacing/>
        <w:jc w:val="left"/>
        <w:rPr>
          <w:rFonts w:ascii="Calibri" w:hAnsi="Calibri" w:eastAsia="Calibri" w:cs="Calibri" w:asciiTheme="minorAscii" w:hAnsiTheme="minorAscii" w:eastAsiaTheme="minorAscii" w:cstheme="minorAscii"/>
          <w:b w:val="1"/>
          <w:bCs w:val="1"/>
          <w:sz w:val="24"/>
          <w:szCs w:val="24"/>
        </w:rPr>
      </w:pPr>
    </w:p>
    <w:p w:rsidR="14F27F53" w:rsidP="14F27F53" w:rsidRDefault="14F27F53" w14:paraId="0974DAA8" w14:textId="1E347C58">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p>
    <w:p w:rsidR="14F27F53" w:rsidP="14F27F53" w:rsidRDefault="14F27F53" w14:paraId="31F8158E" w14:textId="13D7CF9E">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p>
    <w:p w:rsidR="581AC2FF" w:rsidP="581AC2FF" w:rsidRDefault="581AC2FF" w14:paraId="0AD3FAA5" w14:textId="101934F9">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r w:rsidRPr="581AC2FF" w:rsidR="581AC2FF">
        <w:rPr>
          <w:rFonts w:ascii="Calibri" w:hAnsi="Calibri" w:eastAsia="Calibri" w:cs="Calibri" w:asciiTheme="minorAscii" w:hAnsiTheme="minorAscii" w:eastAsiaTheme="minorAscii" w:cstheme="minorAscii"/>
          <w:b w:val="1"/>
          <w:bCs w:val="1"/>
          <w:sz w:val="24"/>
          <w:szCs w:val="24"/>
        </w:rPr>
        <w:t>Cases Eligible for Civil Aid</w:t>
      </w:r>
    </w:p>
    <w:p w:rsidR="581AC2FF" w:rsidP="581AC2FF" w:rsidRDefault="581AC2FF" w14:paraId="25876292" w14:textId="79991976">
      <w:pPr>
        <w:pStyle w:val="Header"/>
        <w:spacing w:line="480" w:lineRule="auto"/>
        <w:ind w:firstLine="720"/>
        <w:contextualSpacing/>
        <w:jc w:val="both"/>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For a party to be eligible for the funding, the case that one's needs to be represented in </w:t>
      </w:r>
      <w:r w:rsidRPr="581AC2FF" w:rsidR="581AC2FF">
        <w:rPr>
          <w:rFonts w:ascii="Calibri" w:hAnsi="Calibri" w:eastAsia="Calibri" w:cs="Calibri" w:asciiTheme="minorAscii" w:hAnsiTheme="minorAscii" w:eastAsiaTheme="minorAscii" w:cstheme="minorAscii"/>
          <w:b w:val="0"/>
          <w:bCs w:val="0"/>
          <w:sz w:val="24"/>
          <w:szCs w:val="24"/>
        </w:rPr>
        <w:t>must</w:t>
      </w:r>
      <w:r w:rsidRPr="581AC2FF" w:rsidR="581AC2FF">
        <w:rPr>
          <w:rFonts w:ascii="Calibri" w:hAnsi="Calibri" w:eastAsia="Calibri" w:cs="Calibri" w:asciiTheme="minorAscii" w:hAnsiTheme="minorAscii" w:eastAsiaTheme="minorAscii" w:cstheme="minorAscii"/>
          <w:b w:val="0"/>
          <w:bCs w:val="0"/>
          <w:sz w:val="24"/>
          <w:szCs w:val="24"/>
        </w:rPr>
        <w:t xml:space="preserve"> be a part of the civil disputes that have been listed in ‘Schedule 1 Part 1’ of the ‘Legal Aid, Sentencing and Punishment of Offenders Act 2012’ (Moore &amp; Newbury, 2017). Some of the cases that have been listed include matters dealing with the supervision and care for children, special education cases, abuse of children or vulnerable adults, mental health cases, appeals that are tied to welfare benefits, domestic violence matters, family disputes that require mediation, and immigration cases.</w:t>
      </w:r>
    </w:p>
    <w:p w:rsidR="581AC2FF" w:rsidP="581AC2FF" w:rsidRDefault="581AC2FF" w14:paraId="1D536486" w14:textId="7065ED71">
      <w:pPr>
        <w:pStyle w:val="Header"/>
        <w:spacing w:line="480" w:lineRule="auto"/>
        <w:ind w:firstLine="720"/>
        <w:contextualSpacing/>
        <w:jc w:val="both"/>
        <w:rPr>
          <w:rFonts w:ascii="Calibri" w:hAnsi="Calibri" w:eastAsia="Calibri" w:cs="Calibri" w:asciiTheme="minorAscii" w:hAnsiTheme="minorAscii" w:eastAsiaTheme="minorAscii" w:cstheme="minorAscii"/>
          <w:b w:val="1"/>
          <w:bCs w:val="1"/>
          <w:sz w:val="24"/>
          <w:szCs w:val="24"/>
        </w:rPr>
      </w:pPr>
    </w:p>
    <w:p w:rsidR="581AC2FF" w:rsidP="581AC2FF" w:rsidRDefault="581AC2FF" w14:paraId="4D936F80" w14:textId="7F044DD6">
      <w:pPr>
        <w:pStyle w:val="Header"/>
        <w:spacing w:line="480" w:lineRule="auto"/>
        <w:ind w:firstLine="720"/>
        <w:contextualSpacing/>
        <w:jc w:val="both"/>
        <w:rPr>
          <w:rFonts w:ascii="Calibri" w:hAnsi="Calibri" w:eastAsia="Calibri" w:cs="Calibri" w:asciiTheme="minorAscii" w:hAnsiTheme="minorAscii" w:eastAsiaTheme="minorAscii" w:cstheme="minorAscii"/>
          <w:b w:val="1"/>
          <w:bCs w:val="1"/>
          <w:sz w:val="24"/>
          <w:szCs w:val="24"/>
        </w:rPr>
      </w:pPr>
    </w:p>
    <w:p w:rsidR="581AC2FF" w:rsidP="581AC2FF" w:rsidRDefault="581AC2FF" w14:paraId="1AC7D958" w14:textId="26F7024F">
      <w:pPr>
        <w:pStyle w:val="Header"/>
        <w:suppressLineNumbers w:val="0"/>
        <w:bidi w:val="0"/>
        <w:spacing w:before="0" w:beforeAutospacing="off" w:after="0" w:afterAutospacing="off" w:line="480" w:lineRule="auto"/>
        <w:ind w:left="0" w:right="0" w:firstLine="720"/>
        <w:contextualSpacing/>
        <w:jc w:val="both"/>
        <w:rPr>
          <w:rFonts w:ascii="Calibri" w:hAnsi="Calibri" w:eastAsia="Calibri" w:cs="Calibri" w:asciiTheme="minorAscii" w:hAnsiTheme="minorAscii" w:eastAsiaTheme="minorAscii" w:cstheme="minorAscii"/>
          <w:b w:val="1"/>
          <w:bCs w:val="1"/>
          <w:sz w:val="24"/>
          <w:szCs w:val="24"/>
        </w:rPr>
      </w:pPr>
      <w:r w:rsidRPr="581AC2FF" w:rsidR="581AC2FF">
        <w:rPr>
          <w:rFonts w:ascii="Calibri" w:hAnsi="Calibri" w:eastAsia="Calibri" w:cs="Calibri" w:asciiTheme="minorAscii" w:hAnsiTheme="minorAscii" w:eastAsiaTheme="minorAscii" w:cstheme="minorAscii"/>
          <w:b w:val="1"/>
          <w:bCs w:val="1"/>
          <w:sz w:val="24"/>
          <w:szCs w:val="24"/>
        </w:rPr>
        <w:t>Eligibility</w:t>
      </w:r>
    </w:p>
    <w:p w:rsidRPr="00DE5B3F" w:rsidR="002E485C" w:rsidP="581AC2FF" w:rsidRDefault="001820FC" w14:paraId="362EFC67" w14:textId="1ABD7EC9">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An applicant goes through an assessment of their financial means before they can be considered eligible for civil aid funding. This means the gross and disposal incomes will be assessed, together with the capital that </w:t>
      </w:r>
      <w:r w:rsidRPr="581AC2FF" w:rsidR="581AC2FF">
        <w:rPr>
          <w:rFonts w:ascii="Calibri" w:hAnsi="Calibri" w:eastAsia="Calibri" w:cs="Calibri" w:asciiTheme="minorAscii" w:hAnsiTheme="minorAscii" w:eastAsiaTheme="minorAscii" w:cstheme="minorAscii"/>
          <w:b w:val="0"/>
          <w:bCs w:val="0"/>
          <w:sz w:val="24"/>
          <w:szCs w:val="24"/>
        </w:rPr>
        <w:t>one's</w:t>
      </w:r>
      <w:r w:rsidRPr="581AC2FF" w:rsidR="581AC2FF">
        <w:rPr>
          <w:rFonts w:ascii="Calibri" w:hAnsi="Calibri" w:eastAsia="Calibri" w:cs="Calibri" w:asciiTheme="minorAscii" w:hAnsiTheme="minorAscii" w:eastAsiaTheme="minorAscii" w:cstheme="minorAscii"/>
          <w:b w:val="0"/>
          <w:bCs w:val="0"/>
          <w:sz w:val="24"/>
          <w:szCs w:val="24"/>
        </w:rPr>
        <w:t xml:space="preserve"> </w:t>
      </w:r>
      <w:r w:rsidRPr="581AC2FF" w:rsidR="581AC2FF">
        <w:rPr>
          <w:rFonts w:ascii="Calibri" w:hAnsi="Calibri" w:eastAsia="Calibri" w:cs="Calibri" w:asciiTheme="minorAscii" w:hAnsiTheme="minorAscii" w:eastAsiaTheme="minorAscii" w:cstheme="minorAscii"/>
          <w:b w:val="0"/>
          <w:bCs w:val="0"/>
          <w:sz w:val="24"/>
          <w:szCs w:val="24"/>
        </w:rPr>
        <w:t>holds</w:t>
      </w:r>
      <w:r w:rsidRPr="581AC2FF" w:rsidR="581AC2FF">
        <w:rPr>
          <w:rFonts w:ascii="Calibri" w:hAnsi="Calibri" w:eastAsia="Calibri" w:cs="Calibri" w:asciiTheme="minorAscii" w:hAnsiTheme="minorAscii" w:eastAsiaTheme="minorAscii" w:cstheme="minorAscii"/>
          <w:b w:val="0"/>
          <w:bCs w:val="0"/>
          <w:sz w:val="24"/>
          <w:szCs w:val="24"/>
        </w:rPr>
        <w:t xml:space="preserve">, which are clearly articulated in Regulations 7 and 8 of the ‘Legal Aid (Financial Resources and Payment for Services) Regulations 2013(Gilmore &amp; Glennon, 2020). However, during a dispute between partners for a share of marital property or when they are working for their separation, the means or financial sources of the partner will not be included in the assessment. </w:t>
      </w:r>
    </w:p>
    <w:p w:rsidRPr="00DE5B3F" w:rsidR="002E485C" w:rsidP="581AC2FF" w:rsidRDefault="001820FC" w14:paraId="79F0A928" w14:textId="783C5D65">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Also, the merit and details of their cases </w:t>
      </w:r>
      <w:r w:rsidRPr="581AC2FF" w:rsidR="581AC2FF">
        <w:rPr>
          <w:rFonts w:ascii="Calibri" w:hAnsi="Calibri" w:eastAsia="Calibri" w:cs="Calibri" w:asciiTheme="minorAscii" w:hAnsiTheme="minorAscii" w:eastAsiaTheme="minorAscii" w:cstheme="minorAscii"/>
          <w:b w:val="0"/>
          <w:bCs w:val="0"/>
          <w:sz w:val="24"/>
          <w:szCs w:val="24"/>
        </w:rPr>
        <w:t>are</w:t>
      </w:r>
      <w:r w:rsidRPr="581AC2FF" w:rsidR="581AC2FF">
        <w:rPr>
          <w:rFonts w:ascii="Calibri" w:hAnsi="Calibri" w:eastAsia="Calibri" w:cs="Calibri" w:asciiTheme="minorAscii" w:hAnsiTheme="minorAscii" w:eastAsiaTheme="minorAscii" w:cstheme="minorAscii"/>
          <w:b w:val="0"/>
          <w:bCs w:val="0"/>
          <w:sz w:val="24"/>
          <w:szCs w:val="24"/>
        </w:rPr>
        <w:t xml:space="preserve"> usually examined to </w:t>
      </w:r>
      <w:r w:rsidRPr="581AC2FF" w:rsidR="581AC2FF">
        <w:rPr>
          <w:rFonts w:ascii="Calibri" w:hAnsi="Calibri" w:eastAsia="Calibri" w:cs="Calibri" w:asciiTheme="minorAscii" w:hAnsiTheme="minorAscii" w:eastAsiaTheme="minorAscii" w:cstheme="minorAscii"/>
          <w:b w:val="0"/>
          <w:bCs w:val="0"/>
          <w:sz w:val="24"/>
          <w:szCs w:val="24"/>
        </w:rPr>
        <w:t>identify</w:t>
      </w:r>
      <w:r w:rsidRPr="581AC2FF" w:rsidR="581AC2FF">
        <w:rPr>
          <w:rFonts w:ascii="Calibri" w:hAnsi="Calibri" w:eastAsia="Calibri" w:cs="Calibri" w:asciiTheme="minorAscii" w:hAnsiTheme="minorAscii" w:eastAsiaTheme="minorAscii" w:cstheme="minorAscii"/>
          <w:b w:val="0"/>
          <w:bCs w:val="0"/>
          <w:sz w:val="24"/>
          <w:szCs w:val="24"/>
        </w:rPr>
        <w:t xml:space="preserve"> whether it falls in the categories of cases that have been listed above. Additionally, if the threshold for contributions is exceeded, and individual is expected to contribute to the legal cost by a percentage that is equivalent to the amount exceeded (Cairns, 2013). The following services are exempt from legal contributions, and they include: services for seeking legal help, family disputes, and mediation cases over familial disputes. </w:t>
      </w:r>
    </w:p>
    <w:p w:rsidRPr="00DE5B3F" w:rsidR="002E485C" w:rsidP="581AC2FF" w:rsidRDefault="001820FC" w14:paraId="5A2AFD81" w14:textId="194B9D23">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Any individual receiving universal credit, income-related support allowance, job-seeker's allowance and guarantee credit for pensionable individuals receive automatic civil legal aid. Similarly, any immigrant who receives support from the National Asylum Support Service is eligible automatically for civil legal aid (Wilding, 2021). Also, trapped capital can be considered a hindrance to getting civil legal </w:t>
      </w:r>
      <w:r w:rsidRPr="581AC2FF" w:rsidR="581AC2FF">
        <w:rPr>
          <w:rFonts w:ascii="Calibri" w:hAnsi="Calibri" w:eastAsia="Calibri" w:cs="Calibri" w:asciiTheme="minorAscii" w:hAnsiTheme="minorAscii" w:eastAsiaTheme="minorAscii" w:cstheme="minorAscii"/>
          <w:b w:val="0"/>
          <w:bCs w:val="0"/>
          <w:sz w:val="24"/>
          <w:szCs w:val="24"/>
        </w:rPr>
        <w:t>assistance</w:t>
      </w:r>
      <w:r w:rsidRPr="581AC2FF" w:rsidR="581AC2FF">
        <w:rPr>
          <w:rFonts w:ascii="Calibri" w:hAnsi="Calibri" w:eastAsia="Calibri" w:cs="Calibri" w:asciiTheme="minorAscii" w:hAnsiTheme="minorAscii" w:eastAsiaTheme="minorAscii" w:cstheme="minorAscii"/>
          <w:b w:val="0"/>
          <w:bCs w:val="0"/>
          <w:sz w:val="24"/>
          <w:szCs w:val="24"/>
        </w:rPr>
        <w:t>. This is because if a person holds capital that is difficult to sell such as a house, once the asset has been listed in a means assessment, a person might fail to be eligible for civil legal aid because they will be thought to have sufficient capital to fund themselves through the legislation process.</w:t>
      </w:r>
    </w:p>
    <w:p w:rsidRPr="00DE5B3F" w:rsidR="002E485C" w:rsidP="581AC2FF" w:rsidRDefault="001820FC" w14:paraId="4EE20633" w14:textId="779B777F">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The merit of the case is also a critical eligibility criterion that the officials evaluate when assessing whether civil legal aid is necessary for an individual. First, the case </w:t>
      </w:r>
      <w:r w:rsidRPr="581AC2FF" w:rsidR="581AC2FF">
        <w:rPr>
          <w:rFonts w:ascii="Calibri" w:hAnsi="Calibri" w:eastAsia="Calibri" w:cs="Calibri" w:asciiTheme="minorAscii" w:hAnsiTheme="minorAscii" w:eastAsiaTheme="minorAscii" w:cstheme="minorAscii"/>
          <w:b w:val="0"/>
          <w:bCs w:val="0"/>
          <w:sz w:val="24"/>
          <w:szCs w:val="24"/>
        </w:rPr>
        <w:t>must</w:t>
      </w:r>
      <w:r w:rsidRPr="581AC2FF" w:rsidR="581AC2FF">
        <w:rPr>
          <w:rFonts w:ascii="Calibri" w:hAnsi="Calibri" w:eastAsia="Calibri" w:cs="Calibri" w:asciiTheme="minorAscii" w:hAnsiTheme="minorAscii" w:eastAsiaTheme="minorAscii" w:cstheme="minorAscii"/>
          <w:b w:val="0"/>
          <w:bCs w:val="0"/>
          <w:sz w:val="24"/>
          <w:szCs w:val="24"/>
        </w:rPr>
        <w:t xml:space="preserve"> have a high probability of ending in a win following its proceeding in trial (Ministry of Justice, 2017). Additionally, the potential benefit of the successful outcome should be higher than the cost </w:t>
      </w:r>
      <w:r w:rsidRPr="581AC2FF" w:rsidR="581AC2FF">
        <w:rPr>
          <w:rFonts w:ascii="Calibri" w:hAnsi="Calibri" w:eastAsia="Calibri" w:cs="Calibri" w:asciiTheme="minorAscii" w:hAnsiTheme="minorAscii" w:eastAsiaTheme="minorAscii" w:cstheme="minorAscii"/>
          <w:b w:val="0"/>
          <w:bCs w:val="0"/>
          <w:sz w:val="24"/>
          <w:szCs w:val="24"/>
        </w:rPr>
        <w:t>required</w:t>
      </w:r>
      <w:r w:rsidRPr="581AC2FF" w:rsidR="581AC2FF">
        <w:rPr>
          <w:rFonts w:ascii="Calibri" w:hAnsi="Calibri" w:eastAsia="Calibri" w:cs="Calibri" w:asciiTheme="minorAscii" w:hAnsiTheme="minorAscii" w:eastAsiaTheme="minorAscii" w:cstheme="minorAscii"/>
          <w:b w:val="0"/>
          <w:bCs w:val="0"/>
          <w:sz w:val="24"/>
          <w:szCs w:val="24"/>
        </w:rPr>
        <w:t xml:space="preserve"> to pursue the legal matter in court. Finally, there should be benefits attached to the party that is seeking redress of the issue in the court of law.</w:t>
      </w:r>
    </w:p>
    <w:p w:rsidRPr="00DE5B3F" w:rsidR="002E485C" w:rsidP="14F27F53" w:rsidRDefault="001820FC" w14:paraId="7627D3C7" w14:textId="7B33B702">
      <w:pPr>
        <w:pStyle w:val="Header"/>
        <w:spacing w:line="480" w:lineRule="auto"/>
        <w:ind w:firstLine="720"/>
        <w:contextualSpacing/>
        <w:rPr>
          <w:rFonts w:ascii="Calibri" w:hAnsi="Calibri" w:eastAsia="Calibri" w:cs="Calibri" w:asciiTheme="minorAscii" w:hAnsiTheme="minorAscii" w:eastAsiaTheme="minorAscii" w:cstheme="minorAscii"/>
          <w:b w:val="1"/>
          <w:bCs w:val="1"/>
          <w:sz w:val="24"/>
          <w:szCs w:val="24"/>
        </w:rPr>
      </w:pPr>
    </w:p>
    <w:p w:rsidRPr="00DE5B3F" w:rsidR="002E485C" w:rsidP="581AC2FF" w:rsidRDefault="001820FC" w14:paraId="38815FAF" w14:textId="1C69BA34">
      <w:pPr>
        <w:pStyle w:val="Header"/>
        <w:spacing w:line="480" w:lineRule="auto"/>
        <w:ind w:firstLine="720"/>
        <w:contextualSpacing/>
        <w:rPr>
          <w:rFonts w:ascii="Calibri" w:hAnsi="Calibri" w:eastAsia="Calibri" w:cs="Calibri" w:asciiTheme="minorAscii" w:hAnsiTheme="minorAscii" w:eastAsiaTheme="minorAscii" w:cstheme="minorAscii"/>
          <w:b w:val="1"/>
          <w:bCs w:val="1"/>
          <w:sz w:val="24"/>
          <w:szCs w:val="24"/>
        </w:rPr>
      </w:pPr>
      <w:r w:rsidRPr="581AC2FF" w:rsidR="581AC2FF">
        <w:rPr>
          <w:rFonts w:ascii="Calibri" w:hAnsi="Calibri" w:eastAsia="Calibri" w:cs="Calibri" w:asciiTheme="minorAscii" w:hAnsiTheme="minorAscii" w:eastAsiaTheme="minorAscii" w:cstheme="minorAscii"/>
          <w:b w:val="1"/>
          <w:bCs w:val="1"/>
          <w:sz w:val="24"/>
          <w:szCs w:val="24"/>
        </w:rPr>
        <w:t>Legal Aid Sentencing and Punishment of Offenders Act (LASPO) 2012 Changes</w:t>
      </w:r>
    </w:p>
    <w:p w:rsidRPr="00DE5B3F" w:rsidR="002E485C" w:rsidP="581AC2FF" w:rsidRDefault="001820FC" w14:paraId="51D0C66F" w14:textId="0E5A7BCD">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LASPO introduced changes that made it difficult for many people to access civil legal aid. Large areas were cut from being covered by the civil legal aid in a bid to reduce the </w:t>
      </w:r>
      <w:r w:rsidRPr="581AC2FF" w:rsidR="581AC2FF">
        <w:rPr>
          <w:rFonts w:ascii="Calibri" w:hAnsi="Calibri" w:eastAsia="Calibri" w:cs="Calibri" w:asciiTheme="minorAscii" w:hAnsiTheme="minorAscii" w:eastAsiaTheme="minorAscii" w:cstheme="minorAscii"/>
          <w:b w:val="0"/>
          <w:bCs w:val="0"/>
          <w:sz w:val="24"/>
          <w:szCs w:val="24"/>
        </w:rPr>
        <w:t>number</w:t>
      </w:r>
      <w:r w:rsidRPr="581AC2FF" w:rsidR="581AC2FF">
        <w:rPr>
          <w:rFonts w:ascii="Calibri" w:hAnsi="Calibri" w:eastAsia="Calibri" w:cs="Calibri" w:asciiTheme="minorAscii" w:hAnsiTheme="minorAscii" w:eastAsiaTheme="minorAscii" w:cstheme="minorAscii"/>
          <w:b w:val="0"/>
          <w:bCs w:val="0"/>
          <w:sz w:val="24"/>
          <w:szCs w:val="24"/>
        </w:rPr>
        <w:t xml:space="preserve"> of people applying for it and </w:t>
      </w:r>
      <w:r w:rsidRPr="581AC2FF" w:rsidR="581AC2FF">
        <w:rPr>
          <w:rFonts w:ascii="Calibri" w:hAnsi="Calibri" w:eastAsia="Calibri" w:cs="Calibri" w:asciiTheme="minorAscii" w:hAnsiTheme="minorAscii" w:eastAsiaTheme="minorAscii" w:cstheme="minorAscii"/>
          <w:b w:val="0"/>
          <w:bCs w:val="0"/>
          <w:sz w:val="24"/>
          <w:szCs w:val="24"/>
        </w:rPr>
        <w:t>reducing</w:t>
      </w:r>
      <w:r w:rsidRPr="581AC2FF" w:rsidR="581AC2FF">
        <w:rPr>
          <w:rFonts w:ascii="Calibri" w:hAnsi="Calibri" w:eastAsia="Calibri" w:cs="Calibri" w:asciiTheme="minorAscii" w:hAnsiTheme="minorAscii" w:eastAsiaTheme="minorAscii" w:cstheme="minorAscii"/>
          <w:b w:val="0"/>
          <w:bCs w:val="0"/>
          <w:sz w:val="24"/>
          <w:szCs w:val="24"/>
        </w:rPr>
        <w:t xml:space="preserve"> the amount of revenue that the government sets aside for the use in this situation (Cairns, 2013). The law was introduced by the Conservative-Liberal Democrat Coalition government that </w:t>
      </w:r>
      <w:r w:rsidRPr="581AC2FF" w:rsidR="581AC2FF">
        <w:rPr>
          <w:rFonts w:ascii="Calibri" w:hAnsi="Calibri" w:eastAsia="Calibri" w:cs="Calibri" w:asciiTheme="minorAscii" w:hAnsiTheme="minorAscii" w:eastAsiaTheme="minorAscii" w:cstheme="minorAscii"/>
          <w:b w:val="0"/>
          <w:bCs w:val="0"/>
          <w:sz w:val="24"/>
          <w:szCs w:val="24"/>
        </w:rPr>
        <w:t>sought</w:t>
      </w:r>
      <w:r w:rsidRPr="581AC2FF" w:rsidR="581AC2FF">
        <w:rPr>
          <w:rFonts w:ascii="Calibri" w:hAnsi="Calibri" w:eastAsia="Calibri" w:cs="Calibri" w:asciiTheme="minorAscii" w:hAnsiTheme="minorAscii" w:eastAsiaTheme="minorAscii" w:cstheme="minorAscii"/>
          <w:b w:val="0"/>
          <w:bCs w:val="0"/>
          <w:sz w:val="24"/>
          <w:szCs w:val="24"/>
        </w:rPr>
        <w:t xml:space="preserve"> to reduce public spending and reduce the budget deficit that the country was facing at the time. </w:t>
      </w:r>
    </w:p>
    <w:p w:rsidRPr="00DE5B3F" w:rsidR="002E485C" w:rsidP="581AC2FF" w:rsidRDefault="001820FC" w14:paraId="22BDF1C9" w14:textId="0F8F6599">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The first changes were made to the scope of legal aid, where </w:t>
      </w:r>
      <w:r w:rsidRPr="581AC2FF" w:rsidR="581AC2FF">
        <w:rPr>
          <w:rFonts w:ascii="Calibri" w:hAnsi="Calibri" w:eastAsia="Calibri" w:cs="Calibri" w:asciiTheme="minorAscii" w:hAnsiTheme="minorAscii" w:eastAsiaTheme="minorAscii" w:cstheme="minorAscii"/>
          <w:b w:val="0"/>
          <w:bCs w:val="0"/>
          <w:sz w:val="24"/>
          <w:szCs w:val="24"/>
        </w:rPr>
        <w:t>a number of</w:t>
      </w:r>
      <w:r w:rsidRPr="581AC2FF" w:rsidR="581AC2FF">
        <w:rPr>
          <w:rFonts w:ascii="Calibri" w:hAnsi="Calibri" w:eastAsia="Calibri" w:cs="Calibri" w:asciiTheme="minorAscii" w:hAnsiTheme="minorAscii" w:eastAsiaTheme="minorAscii" w:cstheme="minorAscii"/>
          <w:b w:val="0"/>
          <w:bCs w:val="0"/>
          <w:sz w:val="24"/>
          <w:szCs w:val="24"/>
        </w:rPr>
        <w:t xml:space="preserve"> cases were removed to help reduce the cost incurred in the provision of civil legal </w:t>
      </w:r>
      <w:r w:rsidRPr="581AC2FF" w:rsidR="581AC2FF">
        <w:rPr>
          <w:rFonts w:ascii="Calibri" w:hAnsi="Calibri" w:eastAsia="Calibri" w:cs="Calibri" w:asciiTheme="minorAscii" w:hAnsiTheme="minorAscii" w:eastAsiaTheme="minorAscii" w:cstheme="minorAscii"/>
          <w:b w:val="0"/>
          <w:bCs w:val="0"/>
          <w:sz w:val="24"/>
          <w:szCs w:val="24"/>
        </w:rPr>
        <w:t>assistance</w:t>
      </w:r>
      <w:r w:rsidRPr="581AC2FF" w:rsidR="581AC2FF">
        <w:rPr>
          <w:rFonts w:ascii="Calibri" w:hAnsi="Calibri" w:eastAsia="Calibri" w:cs="Calibri" w:asciiTheme="minorAscii" w:hAnsiTheme="minorAscii" w:eastAsiaTheme="minorAscii" w:cstheme="minorAscii"/>
          <w:b w:val="0"/>
          <w:bCs w:val="0"/>
          <w:sz w:val="24"/>
          <w:szCs w:val="24"/>
        </w:rPr>
        <w:t xml:space="preserve">. The areas affected by the changes were private family cases, immigration law issues, clinical negligence cases, welfare benefits </w:t>
      </w:r>
      <w:r w:rsidRPr="581AC2FF" w:rsidR="581AC2FF">
        <w:rPr>
          <w:rFonts w:ascii="Calibri" w:hAnsi="Calibri" w:eastAsia="Calibri" w:cs="Calibri" w:asciiTheme="minorAscii" w:hAnsiTheme="minorAscii" w:eastAsiaTheme="minorAscii" w:cstheme="minorAscii"/>
          <w:b w:val="0"/>
          <w:bCs w:val="0"/>
          <w:sz w:val="24"/>
          <w:szCs w:val="24"/>
        </w:rPr>
        <w:t>matter</w:t>
      </w:r>
      <w:r w:rsidRPr="581AC2FF" w:rsidR="581AC2FF">
        <w:rPr>
          <w:rFonts w:ascii="Calibri" w:hAnsi="Calibri" w:eastAsia="Calibri" w:cs="Calibri" w:asciiTheme="minorAscii" w:hAnsiTheme="minorAscii" w:eastAsiaTheme="minorAscii" w:cstheme="minorAscii"/>
          <w:b w:val="0"/>
          <w:bCs w:val="0"/>
          <w:sz w:val="24"/>
          <w:szCs w:val="24"/>
        </w:rPr>
        <w:t xml:space="preserve">, housing and debt cases; further reforms were introduced in the financial means test where automatic eligibility for those that received means-tested benefits was removed (Wilding, 2021). The limit on the maximum income was also reduced, including the capital that one needs to have to seek civil legal aid. </w:t>
      </w:r>
    </w:p>
    <w:p w:rsidRPr="00DE5B3F" w:rsidR="002E485C" w:rsidP="581AC2FF" w:rsidRDefault="001820FC" w14:paraId="15556E7C" w14:textId="1CA6E4AD">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Additionally, prior to the introduction of LASPO, legal aid was provided by advice organizations and private entities that had legal aid contracts with the government. The reductions in the scope provided by the government through the civil legal aid meant that the organizations also experienced a dip in the fundings they received from the government, making it difficult for them to provide specialist help (The Law Society, 2024). The overall impact was that the people suffered because they could not access legal services or advice as they used to before.</w:t>
      </w:r>
    </w:p>
    <w:p w:rsidRPr="00DE5B3F" w:rsidR="002E485C" w:rsidP="14F27F53" w:rsidRDefault="001820FC" w14:paraId="63DCA93C" w14:textId="59386BE4">
      <w:pPr>
        <w:pStyle w:val="Header"/>
        <w:spacing w:line="480" w:lineRule="auto"/>
        <w:ind w:firstLine="720"/>
        <w:contextualSpacing/>
        <w:rPr>
          <w:rFonts w:ascii="Calibri" w:hAnsi="Calibri" w:eastAsia="Calibri" w:cs="Calibri" w:asciiTheme="minorAscii" w:hAnsiTheme="minorAscii" w:eastAsiaTheme="minorAscii" w:cstheme="minorAscii"/>
          <w:b w:val="1"/>
          <w:bCs w:val="1"/>
          <w:sz w:val="24"/>
          <w:szCs w:val="24"/>
        </w:rPr>
      </w:pPr>
    </w:p>
    <w:p w:rsidR="004924D6" w:rsidP="581AC2FF" w:rsidRDefault="004924D6" w14:paraId="7257D435" w14:textId="181847E8">
      <w:pPr>
        <w:pStyle w:val="Header"/>
        <w:spacing w:line="480" w:lineRule="auto"/>
        <w:ind w:firstLine="720"/>
        <w:contextualSpacing/>
        <w:rPr>
          <w:rFonts w:ascii="Calibri" w:hAnsi="Calibri" w:eastAsia="Calibri" w:cs="Calibri" w:asciiTheme="minorAscii" w:hAnsiTheme="minorAscii" w:eastAsiaTheme="minorAscii" w:cstheme="minorAscii"/>
          <w:b w:val="1"/>
          <w:bCs w:val="1"/>
          <w:sz w:val="24"/>
          <w:szCs w:val="24"/>
        </w:rPr>
      </w:pPr>
      <w:r w:rsidRPr="581AC2FF" w:rsidR="581AC2FF">
        <w:rPr>
          <w:rFonts w:ascii="Calibri" w:hAnsi="Calibri" w:eastAsia="Calibri" w:cs="Calibri" w:asciiTheme="minorAscii" w:hAnsiTheme="minorAscii" w:eastAsiaTheme="minorAscii" w:cstheme="minorAscii"/>
          <w:b w:val="1"/>
          <w:bCs w:val="1"/>
          <w:sz w:val="24"/>
          <w:szCs w:val="24"/>
        </w:rPr>
        <w:t>Effects of LAPSO (2012)</w:t>
      </w:r>
    </w:p>
    <w:p w:rsidR="004924D6" w:rsidP="581AC2FF" w:rsidRDefault="004924D6" w14:paraId="5EFEE059" w14:textId="204946C4">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According to Gilmore and Glennon (2020) private family law cases that include divorce and child contact cases were removed from the cover </w:t>
      </w:r>
      <w:r w:rsidRPr="581AC2FF" w:rsidR="581AC2FF">
        <w:rPr>
          <w:rFonts w:ascii="Calibri" w:hAnsi="Calibri" w:eastAsia="Calibri" w:cs="Calibri" w:asciiTheme="minorAscii" w:hAnsiTheme="minorAscii" w:eastAsiaTheme="minorAscii" w:cstheme="minorAscii"/>
          <w:b w:val="0"/>
          <w:bCs w:val="0"/>
          <w:sz w:val="24"/>
          <w:szCs w:val="24"/>
        </w:rPr>
        <w:t>in an attempt to</w:t>
      </w:r>
      <w:r w:rsidRPr="581AC2FF" w:rsidR="581AC2FF">
        <w:rPr>
          <w:rFonts w:ascii="Calibri" w:hAnsi="Calibri" w:eastAsia="Calibri" w:cs="Calibri" w:asciiTheme="minorAscii" w:hAnsiTheme="minorAscii" w:eastAsiaTheme="minorAscii" w:cstheme="minorAscii"/>
          <w:b w:val="0"/>
          <w:bCs w:val="0"/>
          <w:sz w:val="24"/>
          <w:szCs w:val="24"/>
        </w:rPr>
        <w:t xml:space="preserve"> encourage people to resolve their family problems out of court. However, despite the changes, the number of family cases has not significantly dropped since the introduction of the reforms, as they have only reduced by 2% (Organ &amp; Sigafoos, 2018). However, the number of people seeking legal redress in family court proceedings without representation has increased from 42% in 2012-2013 prior to the introduction of the reforms to 64% in 2017(Organ &amp; Sigafoos, 2018). Opportunities for free legal advice on family issues have become few and are unable to meet the existing demand. Similarly, the number of organizations providing legal </w:t>
      </w:r>
      <w:r w:rsidRPr="581AC2FF" w:rsidR="581AC2FF">
        <w:rPr>
          <w:rFonts w:ascii="Calibri" w:hAnsi="Calibri" w:eastAsia="Calibri" w:cs="Calibri" w:asciiTheme="minorAscii" w:hAnsiTheme="minorAscii" w:eastAsiaTheme="minorAscii" w:cstheme="minorAscii"/>
          <w:b w:val="0"/>
          <w:bCs w:val="0"/>
          <w:sz w:val="24"/>
          <w:szCs w:val="24"/>
        </w:rPr>
        <w:t>advice</w:t>
      </w:r>
      <w:r w:rsidRPr="581AC2FF" w:rsidR="581AC2FF">
        <w:rPr>
          <w:rFonts w:ascii="Calibri" w:hAnsi="Calibri" w:eastAsia="Calibri" w:cs="Calibri" w:asciiTheme="minorAscii" w:hAnsiTheme="minorAscii" w:eastAsiaTheme="minorAscii" w:cstheme="minorAscii"/>
          <w:b w:val="0"/>
          <w:bCs w:val="0"/>
          <w:sz w:val="24"/>
          <w:szCs w:val="24"/>
        </w:rPr>
        <w:t xml:space="preserve"> dropped by 59% from 2012 (The Law Society, 2024). The Child Law Advice Services receives about 15,500 calls relating to family matters, with about 9,500 of the callers being people who would have been eligible for civil legal aid prior to the implementation of LAPSO.</w:t>
      </w:r>
    </w:p>
    <w:p w:rsidR="004924D6" w:rsidP="581AC2FF" w:rsidRDefault="004924D6" w14:paraId="1C4FE3C3" w14:textId="2C67E75F">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Additionally, all employment law issues </w:t>
      </w:r>
      <w:r w:rsidRPr="581AC2FF" w:rsidR="581AC2FF">
        <w:rPr>
          <w:rFonts w:ascii="Calibri" w:hAnsi="Calibri" w:eastAsia="Calibri" w:cs="Calibri" w:asciiTheme="minorAscii" w:hAnsiTheme="minorAscii" w:eastAsiaTheme="minorAscii" w:cstheme="minorAscii"/>
          <w:b w:val="0"/>
          <w:bCs w:val="0"/>
          <w:sz w:val="24"/>
          <w:szCs w:val="24"/>
        </w:rPr>
        <w:t>with the exception of</w:t>
      </w:r>
      <w:r w:rsidRPr="581AC2FF" w:rsidR="581AC2FF">
        <w:rPr>
          <w:rFonts w:ascii="Calibri" w:hAnsi="Calibri" w:eastAsia="Calibri" w:cs="Calibri" w:asciiTheme="minorAscii" w:hAnsiTheme="minorAscii" w:eastAsiaTheme="minorAscii" w:cstheme="minorAscii"/>
          <w:b w:val="0"/>
          <w:bCs w:val="0"/>
          <w:sz w:val="24"/>
          <w:szCs w:val="24"/>
        </w:rPr>
        <w:t xml:space="preserve"> matters related to discrimination were taken out of the scope of the civil legal aid. There has been a shortfall of causes related to employment matters, but the reason is because more people are unaware that some of the issues they deal with at work is as a result of a lack of initial legal advice that they cannot access at present due to the changes introduced through LAPSO (Robins &amp; Newman, 2021). The reforms also removed the cover for cases involving welfare benefits, which </w:t>
      </w:r>
      <w:r w:rsidRPr="581AC2FF" w:rsidR="581AC2FF">
        <w:rPr>
          <w:rFonts w:ascii="Calibri" w:hAnsi="Calibri" w:eastAsia="Calibri" w:cs="Calibri" w:asciiTheme="minorAscii" w:hAnsiTheme="minorAscii" w:eastAsiaTheme="minorAscii" w:cstheme="minorAscii"/>
          <w:b w:val="0"/>
          <w:bCs w:val="0"/>
          <w:sz w:val="24"/>
          <w:szCs w:val="24"/>
        </w:rPr>
        <w:t>immediately</w:t>
      </w:r>
      <w:r w:rsidRPr="581AC2FF" w:rsidR="581AC2FF">
        <w:rPr>
          <w:rFonts w:ascii="Calibri" w:hAnsi="Calibri" w:eastAsia="Calibri" w:cs="Calibri" w:asciiTheme="minorAscii" w:hAnsiTheme="minorAscii" w:eastAsiaTheme="minorAscii" w:cstheme="minorAscii"/>
          <w:b w:val="0"/>
          <w:bCs w:val="0"/>
          <w:sz w:val="24"/>
          <w:szCs w:val="24"/>
        </w:rPr>
        <w:t xml:space="preserve"> led to a drop in the number of cases presented for civil legal aid by 85% (The Law Society, 2024). The people who were most affected by the removal of </w:t>
      </w:r>
      <w:r w:rsidRPr="581AC2FF" w:rsidR="581AC2FF">
        <w:rPr>
          <w:rFonts w:ascii="Calibri" w:hAnsi="Calibri" w:eastAsia="Calibri" w:cs="Calibri" w:asciiTheme="minorAscii" w:hAnsiTheme="minorAscii" w:eastAsiaTheme="minorAscii" w:cstheme="minorAscii"/>
          <w:b w:val="0"/>
          <w:bCs w:val="0"/>
          <w:sz w:val="24"/>
          <w:szCs w:val="24"/>
        </w:rPr>
        <w:t>causes</w:t>
      </w:r>
      <w:r w:rsidRPr="581AC2FF" w:rsidR="581AC2FF">
        <w:rPr>
          <w:rFonts w:ascii="Calibri" w:hAnsi="Calibri" w:eastAsia="Calibri" w:cs="Calibri" w:asciiTheme="minorAscii" w:hAnsiTheme="minorAscii" w:eastAsiaTheme="minorAscii" w:cstheme="minorAscii"/>
          <w:b w:val="0"/>
          <w:bCs w:val="0"/>
          <w:sz w:val="24"/>
          <w:szCs w:val="24"/>
        </w:rPr>
        <w:t xml:space="preserve"> related to the receipts of benefits were </w:t>
      </w:r>
      <w:r w:rsidRPr="581AC2FF" w:rsidR="581AC2FF">
        <w:rPr>
          <w:rFonts w:ascii="Calibri" w:hAnsi="Calibri" w:eastAsia="Calibri" w:cs="Calibri" w:asciiTheme="minorAscii" w:hAnsiTheme="minorAscii" w:eastAsiaTheme="minorAscii" w:cstheme="minorAscii"/>
          <w:b w:val="0"/>
          <w:bCs w:val="0"/>
          <w:sz w:val="24"/>
          <w:szCs w:val="24"/>
        </w:rPr>
        <w:t>mainly disabled</w:t>
      </w:r>
      <w:r w:rsidRPr="581AC2FF" w:rsidR="581AC2FF">
        <w:rPr>
          <w:rFonts w:ascii="Calibri" w:hAnsi="Calibri" w:eastAsia="Calibri" w:cs="Calibri" w:asciiTheme="minorAscii" w:hAnsiTheme="minorAscii" w:eastAsiaTheme="minorAscii" w:cstheme="minorAscii"/>
          <w:b w:val="0"/>
          <w:bCs w:val="0"/>
          <w:sz w:val="24"/>
          <w:szCs w:val="24"/>
        </w:rPr>
        <w:t xml:space="preserve"> people, placing them at a significant disadvantage.</w:t>
      </w:r>
    </w:p>
    <w:p w:rsidR="004924D6" w:rsidP="581AC2FF" w:rsidRDefault="004924D6" w14:paraId="588DE4E2" w14:textId="50C88AF2">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Civil legal aid provided support for exceptional cases, especially where the human rights of people were violated. Following the implementation of the reforms, reports </w:t>
      </w:r>
      <w:r w:rsidRPr="581AC2FF" w:rsidR="581AC2FF">
        <w:rPr>
          <w:rFonts w:ascii="Calibri" w:hAnsi="Calibri" w:eastAsia="Calibri" w:cs="Calibri" w:asciiTheme="minorAscii" w:hAnsiTheme="minorAscii" w:eastAsiaTheme="minorAscii" w:cstheme="minorAscii"/>
          <w:b w:val="0"/>
          <w:bCs w:val="0"/>
          <w:sz w:val="24"/>
          <w:szCs w:val="24"/>
        </w:rPr>
        <w:t>indicate</w:t>
      </w:r>
      <w:r w:rsidRPr="581AC2FF" w:rsidR="581AC2FF">
        <w:rPr>
          <w:rFonts w:ascii="Calibri" w:hAnsi="Calibri" w:eastAsia="Calibri" w:cs="Calibri" w:asciiTheme="minorAscii" w:hAnsiTheme="minorAscii" w:eastAsiaTheme="minorAscii" w:cstheme="minorAscii"/>
          <w:b w:val="0"/>
          <w:bCs w:val="0"/>
          <w:sz w:val="24"/>
          <w:szCs w:val="24"/>
        </w:rPr>
        <w:t xml:space="preserve"> that the funding for extraordinary cases is not working as the government </w:t>
      </w:r>
      <w:r w:rsidRPr="581AC2FF" w:rsidR="581AC2FF">
        <w:rPr>
          <w:rFonts w:ascii="Calibri" w:hAnsi="Calibri" w:eastAsia="Calibri" w:cs="Calibri" w:asciiTheme="minorAscii" w:hAnsiTheme="minorAscii" w:eastAsiaTheme="minorAscii" w:cstheme="minorAscii"/>
          <w:b w:val="0"/>
          <w:bCs w:val="0"/>
          <w:sz w:val="24"/>
          <w:szCs w:val="24"/>
        </w:rPr>
        <w:t>thought</w:t>
      </w:r>
      <w:r w:rsidRPr="581AC2FF" w:rsidR="581AC2FF">
        <w:rPr>
          <w:rFonts w:ascii="Calibri" w:hAnsi="Calibri" w:eastAsia="Calibri" w:cs="Calibri" w:asciiTheme="minorAscii" w:hAnsiTheme="minorAscii" w:eastAsiaTheme="minorAscii" w:cstheme="minorAscii"/>
          <w:b w:val="0"/>
          <w:bCs w:val="0"/>
          <w:sz w:val="24"/>
          <w:szCs w:val="24"/>
        </w:rPr>
        <w:t xml:space="preserve"> it would (Robins &amp; Newman, 2021). The highest number of people that have accessed the services stands at around 1,516 compared to the usual 5,000-7,000 that used to seek the services annually (Organ &amp; Sigafoos, 2018). Also, the grant rate has been exceptionally </w:t>
      </w:r>
      <w:r w:rsidRPr="581AC2FF" w:rsidR="581AC2FF">
        <w:rPr>
          <w:rFonts w:ascii="Calibri" w:hAnsi="Calibri" w:eastAsia="Calibri" w:cs="Calibri" w:asciiTheme="minorAscii" w:hAnsiTheme="minorAscii" w:eastAsiaTheme="minorAscii" w:cstheme="minorAscii"/>
          <w:b w:val="0"/>
          <w:bCs w:val="0"/>
          <w:sz w:val="24"/>
          <w:szCs w:val="24"/>
        </w:rPr>
        <w:t>law</w:t>
      </w:r>
      <w:r w:rsidRPr="581AC2FF" w:rsidR="581AC2FF">
        <w:rPr>
          <w:rFonts w:ascii="Calibri" w:hAnsi="Calibri" w:eastAsia="Calibri" w:cs="Calibri" w:asciiTheme="minorAscii" w:hAnsiTheme="minorAscii" w:eastAsiaTheme="minorAscii" w:cstheme="minorAscii"/>
          <w:b w:val="0"/>
          <w:bCs w:val="0"/>
          <w:sz w:val="24"/>
          <w:szCs w:val="24"/>
        </w:rPr>
        <w:t xml:space="preserve"> with the government expecting that 3,700 cases would be granted annually but only 50% of that has been met since the time of the implementation of the reforms.</w:t>
      </w:r>
    </w:p>
    <w:p w:rsidR="004924D6" w:rsidP="581AC2FF" w:rsidRDefault="004924D6" w14:paraId="64DF7071" w14:textId="3D2B7D93">
      <w:pPr>
        <w:pStyle w:val="Header"/>
        <w:spacing w:line="480" w:lineRule="auto"/>
        <w:ind w:firstLine="720"/>
        <w:contextualSpacing/>
        <w:rPr>
          <w:rFonts w:ascii="Times New Roman" w:hAnsi="Times New Roman" w:cs="Times New Roman"/>
          <w:b w:val="1"/>
          <w:bCs w:val="1"/>
          <w:sz w:val="24"/>
          <w:szCs w:val="24"/>
        </w:rPr>
      </w:pPr>
    </w:p>
    <w:p w:rsidR="581AC2FF" w:rsidP="581AC2FF" w:rsidRDefault="581AC2FF" w14:paraId="4EA13384" w14:textId="70E97D36">
      <w:pPr>
        <w:pStyle w:val="Header"/>
        <w:spacing w:line="480" w:lineRule="auto"/>
        <w:ind w:firstLine="720"/>
        <w:contextualSpacing/>
        <w:rPr>
          <w:rFonts w:ascii="Calibri" w:hAnsi="Calibri" w:eastAsia="Calibri" w:cs="Calibri" w:asciiTheme="minorAscii" w:hAnsiTheme="minorAscii" w:eastAsiaTheme="minorAscii" w:cstheme="minorAscii"/>
          <w:b w:val="1"/>
          <w:bCs w:val="1"/>
          <w:sz w:val="24"/>
          <w:szCs w:val="24"/>
        </w:rPr>
      </w:pPr>
      <w:r w:rsidRPr="581AC2FF" w:rsidR="581AC2FF">
        <w:rPr>
          <w:rFonts w:ascii="Calibri" w:hAnsi="Calibri" w:eastAsia="Calibri" w:cs="Calibri" w:asciiTheme="minorAscii" w:hAnsiTheme="minorAscii" w:eastAsiaTheme="minorAscii" w:cstheme="minorAscii"/>
          <w:b w:val="1"/>
          <w:bCs w:val="1"/>
          <w:sz w:val="24"/>
          <w:szCs w:val="24"/>
        </w:rPr>
        <w:t>Reform Suggestions</w:t>
      </w:r>
    </w:p>
    <w:p w:rsidR="581AC2FF" w:rsidP="581AC2FF" w:rsidRDefault="581AC2FF" w14:paraId="1BB19789" w14:textId="186B7EA4">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The government should work towards reducing the restrictions it has placed on individuals seeking legal help so that they can get advice on their cases and can know how to </w:t>
      </w:r>
      <w:r w:rsidRPr="581AC2FF" w:rsidR="581AC2FF">
        <w:rPr>
          <w:rFonts w:ascii="Calibri" w:hAnsi="Calibri" w:eastAsia="Calibri" w:cs="Calibri" w:asciiTheme="minorAscii" w:hAnsiTheme="minorAscii" w:eastAsiaTheme="minorAscii" w:cstheme="minorAscii"/>
          <w:b w:val="0"/>
          <w:bCs w:val="0"/>
          <w:sz w:val="24"/>
          <w:szCs w:val="24"/>
        </w:rPr>
        <w:t>proceed</w:t>
      </w:r>
      <w:r w:rsidRPr="581AC2FF" w:rsidR="581AC2FF">
        <w:rPr>
          <w:rFonts w:ascii="Calibri" w:hAnsi="Calibri" w:eastAsia="Calibri" w:cs="Calibri" w:asciiTheme="minorAscii" w:hAnsiTheme="minorAscii" w:eastAsiaTheme="minorAscii" w:cstheme="minorAscii"/>
          <w:b w:val="0"/>
          <w:bCs w:val="0"/>
          <w:sz w:val="24"/>
          <w:szCs w:val="24"/>
        </w:rPr>
        <w:t xml:space="preserve">. Many people are not seeking legal redress for issues that affect them legally because they are unaware that the problem they are facing is covered under law (Robins &amp; Newman, 2021). This is especially true for people working in toxic </w:t>
      </w:r>
      <w:r w:rsidRPr="581AC2FF" w:rsidR="581AC2FF">
        <w:rPr>
          <w:rFonts w:ascii="Calibri" w:hAnsi="Calibri" w:eastAsia="Calibri" w:cs="Calibri" w:asciiTheme="minorAscii" w:hAnsiTheme="minorAscii" w:eastAsiaTheme="minorAscii" w:cstheme="minorAscii"/>
          <w:b w:val="0"/>
          <w:bCs w:val="0"/>
          <w:sz w:val="24"/>
          <w:szCs w:val="24"/>
        </w:rPr>
        <w:t>environments</w:t>
      </w:r>
      <w:r w:rsidRPr="581AC2FF" w:rsidR="581AC2FF">
        <w:rPr>
          <w:rFonts w:ascii="Calibri" w:hAnsi="Calibri" w:eastAsia="Calibri" w:cs="Calibri" w:asciiTheme="minorAscii" w:hAnsiTheme="minorAscii" w:eastAsiaTheme="minorAscii" w:cstheme="minorAscii"/>
          <w:b w:val="0"/>
          <w:bCs w:val="0"/>
          <w:sz w:val="24"/>
          <w:szCs w:val="24"/>
        </w:rPr>
        <w:t xml:space="preserve"> and are covered by the employment law on different matters. The government should also seek to increase funding to advice organizations to allow them to hire sufficient people to offer advice to the people who need it, according to Moore and Newbury (2017), Citizens Advice, which is an organization that used to receive funding lost around £19 million in funds from the government following the implementation of the reforms. </w:t>
      </w:r>
    </w:p>
    <w:p w:rsidR="581AC2FF" w:rsidP="581AC2FF" w:rsidRDefault="581AC2FF" w14:paraId="23C9F069" w14:textId="5E992180">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Also, the government must advertise </w:t>
      </w:r>
      <w:r w:rsidRPr="581AC2FF" w:rsidR="581AC2FF">
        <w:rPr>
          <w:rFonts w:ascii="Calibri" w:hAnsi="Calibri" w:eastAsia="Calibri" w:cs="Calibri" w:asciiTheme="minorAscii" w:hAnsiTheme="minorAscii" w:eastAsiaTheme="minorAscii" w:cstheme="minorAscii"/>
          <w:b w:val="0"/>
          <w:bCs w:val="0"/>
          <w:sz w:val="24"/>
          <w:szCs w:val="24"/>
        </w:rPr>
        <w:t>tise</w:t>
      </w:r>
      <w:r w:rsidRPr="581AC2FF" w:rsidR="581AC2FF">
        <w:rPr>
          <w:rFonts w:ascii="Calibri" w:hAnsi="Calibri" w:eastAsia="Calibri" w:cs="Calibri" w:asciiTheme="minorAscii" w:hAnsiTheme="minorAscii" w:eastAsiaTheme="minorAscii" w:cstheme="minorAscii"/>
          <w:b w:val="0"/>
          <w:bCs w:val="0"/>
          <w:sz w:val="24"/>
          <w:szCs w:val="24"/>
        </w:rPr>
        <w:t xml:space="preserve"> and educate the people </w:t>
      </w:r>
      <w:r w:rsidRPr="581AC2FF" w:rsidR="581AC2FF">
        <w:rPr>
          <w:rFonts w:ascii="Calibri" w:hAnsi="Calibri" w:eastAsia="Calibri" w:cs="Calibri" w:asciiTheme="minorAscii" w:hAnsiTheme="minorAscii" w:eastAsiaTheme="minorAscii" w:cstheme="minorAscii"/>
          <w:b w:val="0"/>
          <w:bCs w:val="0"/>
          <w:sz w:val="24"/>
          <w:szCs w:val="24"/>
        </w:rPr>
        <w:t>regarding</w:t>
      </w:r>
      <w:r w:rsidRPr="581AC2FF" w:rsidR="581AC2FF">
        <w:rPr>
          <w:rFonts w:ascii="Calibri" w:hAnsi="Calibri" w:eastAsia="Calibri" w:cs="Calibri" w:asciiTheme="minorAscii" w:hAnsiTheme="minorAscii" w:eastAsiaTheme="minorAscii" w:cstheme="minorAscii"/>
          <w:b w:val="0"/>
          <w:bCs w:val="0"/>
          <w:sz w:val="24"/>
          <w:szCs w:val="24"/>
        </w:rPr>
        <w:t xml:space="preserve"> the existence of mediation, following the implementation of LAPSO, so that people do not sit with issues that affect them at home. Additionally, legal aid for victims of benefit-related cases should be instituted to ensure that disabled people are not disproportionately affected by the implementation of LAPSO (Robins &amp; Newman, 2021). Finally, the exceptional case funding has not provided a sufficient avenue to justice in welfare benefits cases, with only 13 out of 45 applications being granted on average annually (The Law Society, 2024). The restrictions should be lowered so that many people can have access to funding based on LAPSO reforms.</w:t>
      </w:r>
    </w:p>
    <w:p w:rsidR="581AC2FF" w:rsidP="581AC2FF" w:rsidRDefault="581AC2FF" w14:paraId="5FF1367E" w14:textId="300329A1">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p>
    <w:p w:rsidR="581AC2FF" w:rsidP="581AC2FF" w:rsidRDefault="581AC2FF" w14:paraId="3243B474" w14:textId="739C0E8E">
      <w:pPr>
        <w:pStyle w:val="Header"/>
        <w:spacing w:line="480" w:lineRule="auto"/>
        <w:ind w:firstLine="720"/>
        <w:contextualSpacing/>
        <w:rPr>
          <w:rFonts w:ascii="Calibri" w:hAnsi="Calibri" w:eastAsia="Calibri" w:cs="Calibri" w:asciiTheme="minorAscii" w:hAnsiTheme="minorAscii" w:eastAsiaTheme="minorAscii" w:cstheme="minorAscii"/>
          <w:b w:val="1"/>
          <w:bCs w:val="1"/>
          <w:sz w:val="24"/>
          <w:szCs w:val="24"/>
        </w:rPr>
      </w:pPr>
      <w:r w:rsidRPr="581AC2FF" w:rsidR="581AC2FF">
        <w:rPr>
          <w:rFonts w:ascii="Calibri" w:hAnsi="Calibri" w:eastAsia="Calibri" w:cs="Calibri" w:asciiTheme="minorAscii" w:hAnsiTheme="minorAscii" w:eastAsiaTheme="minorAscii" w:cstheme="minorAscii"/>
          <w:b w:val="1"/>
          <w:bCs w:val="1"/>
          <w:sz w:val="24"/>
          <w:szCs w:val="24"/>
        </w:rPr>
        <w:t>Conclusion</w:t>
      </w:r>
    </w:p>
    <w:p w:rsidR="581AC2FF" w:rsidP="581AC2FF" w:rsidRDefault="581AC2FF" w14:paraId="307D3C0C" w14:textId="50F2FDCB">
      <w:pPr>
        <w:pStyle w:val="Header"/>
        <w:spacing w:line="480" w:lineRule="auto"/>
        <w:ind w:firstLine="720"/>
        <w:contextualSpacing/>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The intention behind the reforms was noble and understandable, given the government was trying to cut down on its expenditure. There was a need for the government to find ways to reduce its burgeoning debt, which seemed to grow bigger by the day. However, the effects of the move </w:t>
      </w:r>
      <w:r w:rsidRPr="581AC2FF" w:rsidR="581AC2FF">
        <w:rPr>
          <w:rFonts w:ascii="Calibri" w:hAnsi="Calibri" w:eastAsia="Calibri" w:cs="Calibri" w:asciiTheme="minorAscii" w:hAnsiTheme="minorAscii" w:eastAsiaTheme="minorAscii" w:cstheme="minorAscii"/>
          <w:b w:val="0"/>
          <w:bCs w:val="0"/>
          <w:sz w:val="24"/>
          <w:szCs w:val="24"/>
        </w:rPr>
        <w:t>have</w:t>
      </w:r>
      <w:r w:rsidRPr="581AC2FF" w:rsidR="581AC2FF">
        <w:rPr>
          <w:rFonts w:ascii="Calibri" w:hAnsi="Calibri" w:eastAsia="Calibri" w:cs="Calibri" w:asciiTheme="minorAscii" w:hAnsiTheme="minorAscii" w:eastAsiaTheme="minorAscii" w:cstheme="minorAscii"/>
          <w:b w:val="0"/>
          <w:bCs w:val="0"/>
          <w:sz w:val="24"/>
          <w:szCs w:val="24"/>
        </w:rPr>
        <w:t xml:space="preserve"> made the situation worse in terms of denying people the legal services they need for their everyday problems. </w:t>
      </w:r>
      <w:r w:rsidRPr="581AC2FF" w:rsidR="581AC2FF">
        <w:rPr>
          <w:rFonts w:ascii="Calibri" w:hAnsi="Calibri" w:eastAsia="Calibri" w:cs="Calibri" w:asciiTheme="minorAscii" w:hAnsiTheme="minorAscii" w:eastAsiaTheme="minorAscii" w:cstheme="minorAscii"/>
          <w:b w:val="0"/>
          <w:bCs w:val="0"/>
          <w:sz w:val="24"/>
          <w:szCs w:val="24"/>
        </w:rPr>
        <w:t>Less</w:t>
      </w:r>
      <w:r w:rsidRPr="581AC2FF" w:rsidR="581AC2FF">
        <w:rPr>
          <w:rFonts w:ascii="Calibri" w:hAnsi="Calibri" w:eastAsia="Calibri" w:cs="Calibri" w:asciiTheme="minorAscii" w:hAnsiTheme="minorAscii" w:eastAsiaTheme="minorAscii" w:cstheme="minorAscii"/>
          <w:b w:val="0"/>
          <w:bCs w:val="0"/>
          <w:sz w:val="24"/>
          <w:szCs w:val="24"/>
        </w:rPr>
        <w:t xml:space="preserve"> people are seeking legal services because many of them cannot afford it. Additionally, </w:t>
      </w:r>
      <w:r w:rsidRPr="581AC2FF" w:rsidR="581AC2FF">
        <w:rPr>
          <w:rFonts w:ascii="Calibri" w:hAnsi="Calibri" w:eastAsia="Calibri" w:cs="Calibri" w:asciiTheme="minorAscii" w:hAnsiTheme="minorAscii" w:eastAsiaTheme="minorAscii" w:cstheme="minorAscii"/>
          <w:b w:val="0"/>
          <w:bCs w:val="0"/>
          <w:sz w:val="24"/>
          <w:szCs w:val="24"/>
        </w:rPr>
        <w:t>less</w:t>
      </w:r>
      <w:r w:rsidRPr="581AC2FF" w:rsidR="581AC2FF">
        <w:rPr>
          <w:rFonts w:ascii="Calibri" w:hAnsi="Calibri" w:eastAsia="Calibri" w:cs="Calibri" w:asciiTheme="minorAscii" w:hAnsiTheme="minorAscii" w:eastAsiaTheme="minorAscii" w:cstheme="minorAscii"/>
          <w:b w:val="0"/>
          <w:bCs w:val="0"/>
          <w:sz w:val="24"/>
          <w:szCs w:val="24"/>
        </w:rPr>
        <w:t xml:space="preserve"> cases are making it to court not because there are alternative ways of resolving conflict but because people are unable to gain the right legal advice. The reforms should be structured to ensure people living with disabilities are not disproportionately affected by the changes and more people are able to access legal services.</w:t>
      </w:r>
    </w:p>
    <w:p w:rsidR="581AC2FF" w:rsidP="581AC2FF" w:rsidRDefault="581AC2FF" w14:paraId="4F44558D" w14:textId="32EA1BB1">
      <w:pPr>
        <w:pStyle w:val="Header"/>
        <w:spacing w:line="480" w:lineRule="auto"/>
        <w:ind w:firstLine="720"/>
        <w:contextualSpacing/>
        <w:rPr>
          <w:rFonts w:ascii="Calibri" w:hAnsi="Calibri" w:eastAsia="Calibri" w:cs="Calibri" w:asciiTheme="minorAscii" w:hAnsiTheme="minorAscii" w:eastAsiaTheme="minorAscii" w:cstheme="minorAscii"/>
          <w:b w:val="1"/>
          <w:bCs w:val="1"/>
          <w:sz w:val="24"/>
          <w:szCs w:val="24"/>
        </w:rPr>
      </w:pPr>
    </w:p>
    <w:p w:rsidR="581AC2FF" w:rsidP="581AC2FF" w:rsidRDefault="581AC2FF" w14:paraId="28C5971F" w14:textId="07DFB64A">
      <w:pPr>
        <w:pStyle w:val="Header"/>
        <w:spacing w:line="480" w:lineRule="auto"/>
        <w:ind w:firstLine="720"/>
        <w:contextualSpacing/>
        <w:rPr>
          <w:rFonts w:ascii="Calibri" w:hAnsi="Calibri" w:eastAsia="Calibri" w:cs="Calibri" w:asciiTheme="minorAscii" w:hAnsiTheme="minorAscii" w:eastAsiaTheme="minorAscii" w:cstheme="minorAscii"/>
          <w:b w:val="1"/>
          <w:bCs w:val="1"/>
          <w:sz w:val="24"/>
          <w:szCs w:val="24"/>
        </w:rPr>
      </w:pPr>
    </w:p>
    <w:p w:rsidR="581AC2FF" w:rsidP="581AC2FF" w:rsidRDefault="581AC2FF" w14:paraId="628A50C6" w14:textId="4470E913">
      <w:pPr>
        <w:pStyle w:val="Header"/>
        <w:spacing w:line="480" w:lineRule="auto"/>
        <w:ind w:firstLine="720"/>
        <w:contextualSpacing/>
        <w:rPr>
          <w:rFonts w:ascii="Times New Roman" w:hAnsi="Times New Roman" w:cs="Times New Roman"/>
          <w:b w:val="1"/>
          <w:bCs w:val="1"/>
          <w:sz w:val="24"/>
          <w:szCs w:val="24"/>
        </w:rPr>
      </w:pPr>
    </w:p>
    <w:p w:rsidR="004401B5" w:rsidP="00FC1A65" w:rsidRDefault="004401B5" w14:paraId="20362D09" w14:textId="77777777" w14:noSpellErr="1">
      <w:pPr>
        <w:pStyle w:val="Header"/>
        <w:jc w:val="center"/>
        <w:rPr>
          <w:rFonts w:ascii="Times New Roman" w:hAnsi="Times New Roman" w:cs="Times New Roman"/>
          <w:sz w:val="24"/>
          <w:szCs w:val="24"/>
        </w:rPr>
      </w:pPr>
    </w:p>
    <w:p w:rsidRPr="00364E6A" w:rsidR="009A798D" w:rsidP="14F27F53" w:rsidRDefault="001820FC" w14:paraId="7AEBF734" w14:textId="206EBFAC">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32535993" w14:textId="5527BC9C">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27F62EEB" w14:textId="77E37903">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25518E3" w14:textId="533BF193">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6655725" w14:textId="59FDEF61">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3193E211" w14:textId="3C10100A">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60D823D1" w14:textId="4E4FCC30">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5EBBF005" w14:textId="467465E3">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6F082B2B" w14:textId="20F993FD">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2D934368" w14:textId="3A07CA9C">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BBF84B9" w14:textId="69B79D97">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A2D7EE1" w14:textId="370C69A5">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695489EF" w14:textId="08575455">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5ACEC0B3" w14:textId="38D89618">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36E875DB" w14:textId="5598C64A">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AEFA681" w14:textId="2868D0CF">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67225EA1" w14:textId="5CCB5F85">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A697C67" w14:textId="5EB53DBA">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2AAEFD80" w14:textId="327A079F">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394654CF" w14:textId="7F887EFC">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3B00EF29" w14:textId="70A586EE">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103B09B7" w14:textId="7629F73B">
      <w:pPr>
        <w:pStyle w:val="Header"/>
        <w:spacing w:line="480" w:lineRule="auto"/>
        <w:contextualSpacing/>
        <w:jc w:val="center"/>
        <w:rPr>
          <w:rFonts w:ascii="Times New Roman" w:hAnsi="Times New Roman" w:cs="Times New Roman"/>
          <w:sz w:val="24"/>
          <w:szCs w:val="24"/>
        </w:rPr>
      </w:pPr>
    </w:p>
    <w:p w:rsidRPr="00364E6A" w:rsidR="009A798D" w:rsidP="14F27F53" w:rsidRDefault="001820FC" w14:paraId="759FBC43" w14:textId="337767FF">
      <w:pPr>
        <w:pStyle w:val="Header"/>
        <w:spacing w:line="480" w:lineRule="auto"/>
        <w:contextualSpacing/>
        <w:jc w:val="center"/>
        <w:rPr>
          <w:rFonts w:ascii="Calibri" w:hAnsi="Calibri" w:eastAsia="Calibri" w:cs="Calibri" w:asciiTheme="minorAscii" w:hAnsiTheme="minorAscii" w:eastAsiaTheme="minorAscii" w:cstheme="minorAscii"/>
          <w:b w:val="1"/>
          <w:bCs w:val="1"/>
          <w:sz w:val="24"/>
          <w:szCs w:val="24"/>
        </w:rPr>
      </w:pPr>
    </w:p>
    <w:p w:rsidRPr="00364E6A" w:rsidR="009A798D" w:rsidP="14F27F53" w:rsidRDefault="001820FC" w14:paraId="6BAEDDDC" w14:textId="68FFDB7C">
      <w:pPr>
        <w:pStyle w:val="Header"/>
        <w:spacing w:line="480" w:lineRule="auto"/>
        <w:ind w:firstLine="720"/>
        <w:contextualSpacing/>
        <w:jc w:val="left"/>
        <w:rPr>
          <w:rFonts w:ascii="Calibri" w:hAnsi="Calibri" w:eastAsia="Calibri" w:cs="Calibri" w:asciiTheme="minorAscii" w:hAnsiTheme="minorAscii" w:eastAsiaTheme="minorAscii" w:cstheme="minorAscii"/>
          <w:b w:val="1"/>
          <w:bCs w:val="1"/>
          <w:sz w:val="24"/>
          <w:szCs w:val="24"/>
        </w:rPr>
      </w:pPr>
      <w:r w:rsidRPr="581AC2FF" w:rsidR="581AC2FF">
        <w:rPr>
          <w:rFonts w:ascii="Calibri" w:hAnsi="Calibri" w:eastAsia="Calibri" w:cs="Calibri" w:asciiTheme="minorAscii" w:hAnsiTheme="minorAscii" w:eastAsiaTheme="minorAscii" w:cstheme="minorAscii"/>
          <w:b w:val="1"/>
          <w:bCs w:val="1"/>
          <w:sz w:val="24"/>
          <w:szCs w:val="24"/>
        </w:rPr>
        <w:t>References</w:t>
      </w:r>
    </w:p>
    <w:p w:rsidR="581AC2FF" w:rsidP="581AC2FF" w:rsidRDefault="581AC2FF" w14:paraId="3D71E33C" w14:textId="60EDFBD9">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Cairns, R. (2013). The Legal Aid, Sentencing and Punishment of Offenders Act 2012. Probation Journal, 60(2), 177–189. </w:t>
      </w:r>
      <w:r w:rsidRPr="581AC2FF" w:rsidR="581AC2FF">
        <w:rPr>
          <w:rFonts w:ascii="Calibri" w:hAnsi="Calibri" w:eastAsia="Calibri" w:cs="Calibri" w:asciiTheme="minorAscii" w:hAnsiTheme="minorAscii" w:eastAsiaTheme="minorAscii" w:cstheme="minorAscii"/>
          <w:b w:val="0"/>
          <w:bCs w:val="0"/>
          <w:sz w:val="24"/>
          <w:szCs w:val="24"/>
        </w:rPr>
        <w:t>https://doi.org/10.1177/0264550513489762</w:t>
      </w:r>
      <w:r w:rsidRPr="581AC2FF" w:rsidR="581AC2FF">
        <w:rPr>
          <w:rFonts w:ascii="Calibri" w:hAnsi="Calibri" w:eastAsia="Calibri" w:cs="Calibri" w:asciiTheme="minorAscii" w:hAnsiTheme="minorAscii" w:eastAsiaTheme="minorAscii" w:cstheme="minorAscii"/>
          <w:b w:val="0"/>
          <w:bCs w:val="0"/>
          <w:sz w:val="24"/>
          <w:szCs w:val="24"/>
        </w:rPr>
        <w:t xml:space="preserve"> </w:t>
      </w:r>
    </w:p>
    <w:p w:rsidR="581AC2FF" w:rsidP="581AC2FF" w:rsidRDefault="581AC2FF" w14:paraId="32F9A95B" w14:textId="0A270B35">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Gilmore, S., &amp; Glennon, L. (2020). Hayes &amp; Williams’ Family Law. Oxford University Press. </w:t>
      </w:r>
    </w:p>
    <w:p w:rsidR="581AC2FF" w:rsidP="581AC2FF" w:rsidRDefault="581AC2FF" w14:paraId="26681ECA" w14:textId="52F739EE">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The Law Society. (2024). </w:t>
      </w:r>
      <w:r w:rsidRPr="581AC2FF" w:rsidR="581AC2FF">
        <w:rPr>
          <w:rFonts w:ascii="Calibri" w:hAnsi="Calibri" w:eastAsia="Calibri" w:cs="Calibri" w:asciiTheme="minorAscii" w:hAnsiTheme="minorAscii" w:eastAsiaTheme="minorAscii" w:cstheme="minorAscii"/>
          <w:b w:val="0"/>
          <w:bCs w:val="0"/>
          <w:sz w:val="24"/>
          <w:szCs w:val="24"/>
        </w:rPr>
        <w:t>Laspo</w:t>
      </w:r>
      <w:r w:rsidRPr="581AC2FF" w:rsidR="581AC2FF">
        <w:rPr>
          <w:rFonts w:ascii="Calibri" w:hAnsi="Calibri" w:eastAsia="Calibri" w:cs="Calibri" w:asciiTheme="minorAscii" w:hAnsiTheme="minorAscii" w:eastAsiaTheme="minorAscii" w:cstheme="minorAscii"/>
          <w:b w:val="0"/>
          <w:bCs w:val="0"/>
          <w:sz w:val="24"/>
          <w:szCs w:val="24"/>
        </w:rPr>
        <w:t xml:space="preserve"> Act. </w:t>
      </w:r>
      <w:r w:rsidRPr="581AC2FF" w:rsidR="581AC2FF">
        <w:rPr>
          <w:rFonts w:ascii="Calibri" w:hAnsi="Calibri" w:eastAsia="Calibri" w:cs="Calibri" w:asciiTheme="minorAscii" w:hAnsiTheme="minorAscii" w:eastAsiaTheme="minorAscii" w:cstheme="minorAscii"/>
          <w:b w:val="0"/>
          <w:bCs w:val="0"/>
          <w:sz w:val="24"/>
          <w:szCs w:val="24"/>
        </w:rPr>
        <w:t>https://www.lawsociety.org.uk/topics/legal-aid/laspo-act</w:t>
      </w:r>
      <w:r w:rsidRPr="581AC2FF" w:rsidR="581AC2FF">
        <w:rPr>
          <w:rFonts w:ascii="Calibri" w:hAnsi="Calibri" w:eastAsia="Calibri" w:cs="Calibri" w:asciiTheme="minorAscii" w:hAnsiTheme="minorAscii" w:eastAsiaTheme="minorAscii" w:cstheme="minorAscii"/>
          <w:b w:val="0"/>
          <w:bCs w:val="0"/>
          <w:sz w:val="24"/>
          <w:szCs w:val="24"/>
        </w:rPr>
        <w:t xml:space="preserve"> </w:t>
      </w:r>
    </w:p>
    <w:p w:rsidR="581AC2FF" w:rsidP="581AC2FF" w:rsidRDefault="581AC2FF" w14:paraId="5D243E9C" w14:textId="5879B94F">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Ministry of Justice. (2017). Legal aid, sentencing and punishment of offenders act 2012: Post-legislative memorandum: </w:t>
      </w:r>
      <w:r w:rsidRPr="581AC2FF" w:rsidR="581AC2FF">
        <w:rPr>
          <w:rFonts w:ascii="Calibri" w:hAnsi="Calibri" w:eastAsia="Calibri" w:cs="Calibri" w:asciiTheme="minorAscii" w:hAnsiTheme="minorAscii" w:eastAsiaTheme="minorAscii" w:cstheme="minorAscii"/>
          <w:b w:val="0"/>
          <w:bCs w:val="0"/>
          <w:sz w:val="24"/>
          <w:szCs w:val="24"/>
        </w:rPr>
        <w:t>Submitted</w:t>
      </w:r>
      <w:r w:rsidRPr="581AC2FF" w:rsidR="581AC2FF">
        <w:rPr>
          <w:rFonts w:ascii="Calibri" w:hAnsi="Calibri" w:eastAsia="Calibri" w:cs="Calibri" w:asciiTheme="minorAscii" w:hAnsiTheme="minorAscii" w:eastAsiaTheme="minorAscii" w:cstheme="minorAscii"/>
          <w:b w:val="0"/>
          <w:bCs w:val="0"/>
          <w:sz w:val="24"/>
          <w:szCs w:val="24"/>
        </w:rPr>
        <w:t xml:space="preserve"> to the Justice Select Committee on 30 October 2017. </w:t>
      </w:r>
    </w:p>
    <w:p w:rsidR="581AC2FF" w:rsidP="581AC2FF" w:rsidRDefault="581AC2FF" w14:paraId="0F65C143" w14:textId="50E0A484">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Moore, S., &amp; Newbury, A. (2017). Legal aid in crisis: Assessing the impact of reform. Policy Press. </w:t>
      </w:r>
    </w:p>
    <w:p w:rsidR="581AC2FF" w:rsidP="581AC2FF" w:rsidRDefault="581AC2FF" w14:paraId="64BA57FC" w14:textId="793A6679">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Organ, J., &amp; Sigafoos, J. (2018, September). The impact of </w:t>
      </w:r>
      <w:r w:rsidRPr="581AC2FF" w:rsidR="581AC2FF">
        <w:rPr>
          <w:rFonts w:ascii="Calibri" w:hAnsi="Calibri" w:eastAsia="Calibri" w:cs="Calibri" w:asciiTheme="minorAscii" w:hAnsiTheme="minorAscii" w:eastAsiaTheme="minorAscii" w:cstheme="minorAscii"/>
          <w:b w:val="0"/>
          <w:bCs w:val="0"/>
          <w:sz w:val="24"/>
          <w:szCs w:val="24"/>
        </w:rPr>
        <w:t>Laspo</w:t>
      </w:r>
      <w:r w:rsidRPr="581AC2FF" w:rsidR="581AC2FF">
        <w:rPr>
          <w:rFonts w:ascii="Calibri" w:hAnsi="Calibri" w:eastAsia="Calibri" w:cs="Calibri" w:asciiTheme="minorAscii" w:hAnsiTheme="minorAscii" w:eastAsiaTheme="minorAscii" w:cstheme="minorAscii"/>
          <w:b w:val="0"/>
          <w:bCs w:val="0"/>
          <w:sz w:val="24"/>
          <w:szCs w:val="24"/>
        </w:rPr>
        <w:t xml:space="preserve"> on routes to justice. Equality and Human Rights Commission. </w:t>
      </w:r>
      <w:r w:rsidRPr="581AC2FF" w:rsidR="581AC2FF">
        <w:rPr>
          <w:rFonts w:ascii="Calibri" w:hAnsi="Calibri" w:eastAsia="Calibri" w:cs="Calibri" w:asciiTheme="minorAscii" w:hAnsiTheme="minorAscii" w:eastAsiaTheme="minorAscii" w:cstheme="minorAscii"/>
          <w:b w:val="0"/>
          <w:bCs w:val="0"/>
          <w:sz w:val="24"/>
          <w:szCs w:val="24"/>
        </w:rPr>
        <w:t>https://www.equalityhumanrights.com/sites/default/files/the-impact-of-laspo-on-routes-to-justice-september-2018.pdf</w:t>
      </w:r>
      <w:r w:rsidRPr="581AC2FF" w:rsidR="581AC2FF">
        <w:rPr>
          <w:rFonts w:ascii="Calibri" w:hAnsi="Calibri" w:eastAsia="Calibri" w:cs="Calibri" w:asciiTheme="minorAscii" w:hAnsiTheme="minorAscii" w:eastAsiaTheme="minorAscii" w:cstheme="minorAscii"/>
          <w:b w:val="0"/>
          <w:bCs w:val="0"/>
          <w:sz w:val="24"/>
          <w:szCs w:val="24"/>
        </w:rPr>
        <w:t xml:space="preserve"> </w:t>
      </w:r>
    </w:p>
    <w:p w:rsidR="581AC2FF" w:rsidP="581AC2FF" w:rsidRDefault="581AC2FF" w14:paraId="2D2A1B27" w14:textId="295CDDE1">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Robins, J., &amp; Newman, D. (2021). Justice in a time of austerity stories from a system in crisis. Bristol University Press. </w:t>
      </w:r>
    </w:p>
    <w:p w:rsidR="581AC2FF" w:rsidP="581AC2FF" w:rsidRDefault="581AC2FF" w14:paraId="46615D69" w14:textId="0533C42C">
      <w:pPr>
        <w:pStyle w:val="Header"/>
        <w:spacing w:line="480" w:lineRule="auto"/>
        <w:ind w:firstLine="720"/>
        <w:contextualSpacing/>
        <w:jc w:val="left"/>
        <w:rPr>
          <w:rFonts w:ascii="Calibri" w:hAnsi="Calibri" w:eastAsia="Calibri" w:cs="Calibri" w:asciiTheme="minorAscii" w:hAnsiTheme="minorAscii" w:eastAsiaTheme="minorAscii" w:cstheme="minorAscii"/>
          <w:b w:val="0"/>
          <w:bCs w:val="0"/>
          <w:sz w:val="24"/>
          <w:szCs w:val="24"/>
        </w:rPr>
      </w:pPr>
      <w:r w:rsidRPr="581AC2FF" w:rsidR="581AC2FF">
        <w:rPr>
          <w:rFonts w:ascii="Calibri" w:hAnsi="Calibri" w:eastAsia="Calibri" w:cs="Calibri" w:asciiTheme="minorAscii" w:hAnsiTheme="minorAscii" w:eastAsiaTheme="minorAscii" w:cstheme="minorAscii"/>
          <w:b w:val="0"/>
          <w:bCs w:val="0"/>
          <w:sz w:val="24"/>
          <w:szCs w:val="24"/>
        </w:rPr>
        <w:t xml:space="preserve">Wilding, J. (2021). The legal aid market </w:t>
      </w:r>
      <w:r w:rsidRPr="581AC2FF" w:rsidR="581AC2FF">
        <w:rPr>
          <w:rFonts w:ascii="Calibri" w:hAnsi="Calibri" w:eastAsia="Calibri" w:cs="Calibri" w:asciiTheme="minorAscii" w:hAnsiTheme="minorAscii" w:eastAsiaTheme="minorAscii" w:cstheme="minorAscii"/>
          <w:b w:val="0"/>
          <w:bCs w:val="0"/>
          <w:sz w:val="24"/>
          <w:szCs w:val="24"/>
        </w:rPr>
        <w:t>challenges for</w:t>
      </w:r>
      <w:r w:rsidRPr="581AC2FF" w:rsidR="581AC2FF">
        <w:rPr>
          <w:rFonts w:ascii="Calibri" w:hAnsi="Calibri" w:eastAsia="Calibri" w:cs="Calibri" w:asciiTheme="minorAscii" w:hAnsiTheme="minorAscii" w:eastAsiaTheme="minorAscii" w:cstheme="minorAscii"/>
          <w:b w:val="0"/>
          <w:bCs w:val="0"/>
          <w:sz w:val="24"/>
          <w:szCs w:val="24"/>
        </w:rPr>
        <w:t xml:space="preserve"> publicly funded immigration and asylum legal representation. Policy Press.</w:t>
      </w:r>
    </w:p>
    <w:p w:rsidR="581AC2FF" w:rsidP="581AC2FF" w:rsidRDefault="581AC2FF" w14:paraId="64485876" w14:textId="3AE12121">
      <w:pPr>
        <w:pStyle w:val="Header"/>
        <w:spacing w:line="480" w:lineRule="auto"/>
        <w:ind w:firstLine="720"/>
        <w:contextualSpacing/>
        <w:jc w:val="center"/>
        <w:rPr>
          <w:rFonts w:ascii="Calibri" w:hAnsi="Calibri" w:eastAsia="Calibri" w:cs="Calibri" w:asciiTheme="minorAscii" w:hAnsiTheme="minorAscii" w:eastAsiaTheme="minorAscii" w:cstheme="minorAscii"/>
          <w:b w:val="1"/>
          <w:bCs w:val="1"/>
          <w:sz w:val="24"/>
          <w:szCs w:val="24"/>
        </w:rPr>
      </w:pPr>
    </w:p>
    <w:p w:rsidRPr="0052621E" w:rsidR="00364E6A" w:rsidP="00FC1A65" w:rsidRDefault="00364E6A" w14:paraId="5CBA9523" w14:textId="77777777">
      <w:pPr>
        <w:pStyle w:val="Header"/>
        <w:jc w:val="center"/>
        <w:rPr>
          <w:rFonts w:ascii="Times New Roman" w:hAnsi="Times New Roman" w:cs="Times New Roman"/>
          <w:sz w:val="24"/>
          <w:szCs w:val="24"/>
        </w:rPr>
      </w:pPr>
    </w:p>
    <w:sectPr w:rsidRPr="0052621E" w:rsidR="00364E6A" w:rsidSect="00A3531B">
      <w:headerReference w:type="default" r:id="rId7"/>
      <w:headerReference w:type="first" r:id="rId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531B" w:rsidRDefault="00A3531B" w14:paraId="0E39D22B" w14:textId="77777777">
      <w:pPr>
        <w:spacing w:after="0" w:line="240" w:lineRule="auto"/>
      </w:pPr>
      <w:r>
        <w:separator/>
      </w:r>
    </w:p>
  </w:endnote>
  <w:endnote w:type="continuationSeparator" w:id="0">
    <w:p w:rsidR="00A3531B" w:rsidRDefault="00A3531B" w14:paraId="52CD59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531B" w:rsidRDefault="00A3531B" w14:paraId="7FBC967D" w14:textId="77777777">
      <w:pPr>
        <w:spacing w:after="0" w:line="240" w:lineRule="auto"/>
      </w:pPr>
      <w:r>
        <w:separator/>
      </w:r>
    </w:p>
  </w:footnote>
  <w:footnote w:type="continuationSeparator" w:id="0">
    <w:p w:rsidR="00A3531B" w:rsidRDefault="00A3531B" w14:paraId="1ADB522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06D67" w:rsidR="00006D67" w:rsidP="00473EC1" w:rsidRDefault="001820FC" w14:paraId="69687DE9" w14:textId="0A47D2F7">
    <w:pPr>
      <w:pStyle w:val="Header"/>
      <w:tabs>
        <w:tab w:val="clear" w:pos="4680"/>
        <w:tab w:val="clear" w:pos="9360"/>
      </w:tabs>
      <w:jc w:val="right"/>
      <w:rPr>
        <w:rFonts w:ascii="Times New Roman" w:hAnsi="Times New Roman" w:cs="Times New Roman"/>
        <w:sz w:val="24"/>
        <w:szCs w:val="24"/>
      </w:rPr>
    </w:pPr>
    <w:r>
      <w:rPr>
        <w:rFonts w:ascii="Times New Roman" w:hAnsi="Times New Roman" w:cs="Times New Roman"/>
        <w:sz w:val="24"/>
        <w:szCs w:val="24"/>
      </w:rPr>
      <w:t>Policing by Consent</w:t>
    </w:r>
    <w:r w:rsidRPr="00006D67">
      <w:rPr>
        <w:rFonts w:ascii="Times New Roman" w:hAnsi="Times New Roman" w:cs="Times New Roman"/>
        <w:sz w:val="24"/>
        <w:szCs w:val="24"/>
      </w:rPr>
      <w:t xml:space="preserve">     </w:t>
    </w:r>
    <w:sdt>
      <w:sdtPr>
        <w:rPr>
          <w:rFonts w:ascii="Times New Roman" w:hAnsi="Times New Roman" w:cs="Times New Roman"/>
          <w:sz w:val="24"/>
          <w:szCs w:val="24"/>
        </w:rPr>
        <w:id w:val="918283182"/>
        <w:docPartObj>
          <w:docPartGallery w:val="Page Numbers (Top of Page)"/>
          <w:docPartUnique/>
        </w:docPartObj>
      </w:sdtPr>
      <w:sdtEndPr>
        <w:rPr>
          <w:noProof/>
        </w:rPr>
      </w:sdtEndPr>
      <w:sdtContent>
        <w:r w:rsidRPr="00006D67">
          <w:rPr>
            <w:rFonts w:ascii="Times New Roman" w:hAnsi="Times New Roman" w:cs="Times New Roman"/>
            <w:sz w:val="24"/>
            <w:szCs w:val="24"/>
          </w:rPr>
          <w:fldChar w:fldCharType="begin"/>
        </w:r>
        <w:r w:rsidRPr="00006D67">
          <w:rPr>
            <w:rFonts w:ascii="Times New Roman" w:hAnsi="Times New Roman" w:cs="Times New Roman"/>
            <w:sz w:val="24"/>
            <w:szCs w:val="24"/>
          </w:rPr>
          <w:instrText xml:space="preserve"> PAGE   \* MERGEFORMAT </w:instrText>
        </w:r>
        <w:r w:rsidRPr="00006D67">
          <w:rPr>
            <w:rFonts w:ascii="Times New Roman" w:hAnsi="Times New Roman" w:cs="Times New Roman"/>
            <w:sz w:val="24"/>
            <w:szCs w:val="24"/>
          </w:rPr>
          <w:fldChar w:fldCharType="separate"/>
        </w:r>
        <w:r w:rsidR="00AF724D">
          <w:rPr>
            <w:rFonts w:ascii="Times New Roman" w:hAnsi="Times New Roman" w:cs="Times New Roman"/>
            <w:noProof/>
            <w:sz w:val="24"/>
            <w:szCs w:val="24"/>
          </w:rPr>
          <w:t>4</w:t>
        </w:r>
        <w:r w:rsidRPr="00006D67">
          <w:rPr>
            <w:rFonts w:ascii="Times New Roman" w:hAnsi="Times New Roman" w:cs="Times New Roman"/>
            <w:noProof/>
            <w:sz w:val="24"/>
            <w:szCs w:val="24"/>
          </w:rPr>
          <w:fldChar w:fldCharType="end"/>
        </w:r>
      </w:sdtContent>
    </w:sdt>
  </w:p>
  <w:p w:rsidRPr="00006D67" w:rsidR="00AC0F77" w:rsidRDefault="00AC0F77" w14:paraId="68B33353" w14:textId="77777777">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06D67" w:rsidR="00006D67" w:rsidP="00473EC1" w:rsidRDefault="001820FC" w14:paraId="481012B4" w14:textId="41D9DA5D">
    <w:pPr>
      <w:pStyle w:val="Header"/>
      <w:tabs>
        <w:tab w:val="clear" w:pos="4680"/>
        <w:tab w:val="clear" w:pos="9360"/>
      </w:tabs>
      <w:jc w:val="right"/>
      <w:rPr>
        <w:rFonts w:ascii="Times New Roman" w:hAnsi="Times New Roman" w:cs="Times New Roman"/>
        <w:sz w:val="24"/>
        <w:szCs w:val="24"/>
      </w:rPr>
    </w:pPr>
    <w:r>
      <w:rPr>
        <w:rFonts w:ascii="Times New Roman" w:hAnsi="Times New Roman" w:cs="Times New Roman"/>
        <w:sz w:val="24"/>
        <w:szCs w:val="24"/>
      </w:rPr>
      <w:t>Policing by Consent</w:t>
    </w:r>
    <w:r w:rsidRPr="00006D67">
      <w:rPr>
        <w:rFonts w:ascii="Times New Roman" w:hAnsi="Times New Roman" w:cs="Times New Roman"/>
        <w:sz w:val="24"/>
        <w:szCs w:val="24"/>
      </w:rPr>
      <w:t xml:space="preserve">     </w:t>
    </w:r>
    <w:sdt>
      <w:sdtPr>
        <w:rPr>
          <w:rFonts w:ascii="Times New Roman" w:hAnsi="Times New Roman" w:cs="Times New Roman"/>
          <w:sz w:val="24"/>
          <w:szCs w:val="24"/>
        </w:rPr>
        <w:id w:val="1690408898"/>
        <w:docPartObj>
          <w:docPartGallery w:val="Page Numbers (Top of Page)"/>
          <w:docPartUnique/>
        </w:docPartObj>
      </w:sdtPr>
      <w:sdtEndPr>
        <w:rPr>
          <w:noProof/>
        </w:rPr>
      </w:sdtEndPr>
      <w:sdtContent>
        <w:r w:rsidRPr="00006D67">
          <w:rPr>
            <w:rFonts w:ascii="Times New Roman" w:hAnsi="Times New Roman" w:cs="Times New Roman"/>
            <w:sz w:val="24"/>
            <w:szCs w:val="24"/>
          </w:rPr>
          <w:fldChar w:fldCharType="begin"/>
        </w:r>
        <w:r w:rsidRPr="00006D67">
          <w:rPr>
            <w:rFonts w:ascii="Times New Roman" w:hAnsi="Times New Roman" w:cs="Times New Roman"/>
            <w:sz w:val="24"/>
            <w:szCs w:val="24"/>
          </w:rPr>
          <w:instrText xml:space="preserve"> PAGE   \* MERGEFORMAT </w:instrText>
        </w:r>
        <w:r w:rsidRPr="00006D67">
          <w:rPr>
            <w:rFonts w:ascii="Times New Roman" w:hAnsi="Times New Roman" w:cs="Times New Roman"/>
            <w:sz w:val="24"/>
            <w:szCs w:val="24"/>
          </w:rPr>
          <w:fldChar w:fldCharType="separate"/>
        </w:r>
        <w:r w:rsidR="00043F3D">
          <w:rPr>
            <w:rFonts w:ascii="Times New Roman" w:hAnsi="Times New Roman" w:cs="Times New Roman"/>
            <w:noProof/>
            <w:sz w:val="24"/>
            <w:szCs w:val="24"/>
          </w:rPr>
          <w:t>1</w:t>
        </w:r>
        <w:r w:rsidRPr="00006D67">
          <w:rPr>
            <w:rFonts w:ascii="Times New Roman" w:hAnsi="Times New Roman" w:cs="Times New Roman"/>
            <w:noProof/>
            <w:sz w:val="24"/>
            <w:szCs w:val="24"/>
          </w:rPr>
          <w:fldChar w:fldCharType="end"/>
        </w:r>
      </w:sdtContent>
    </w:sdt>
  </w:p>
  <w:p w:rsidRPr="00006D67" w:rsidR="00AC0F77" w:rsidRDefault="00AC0F77" w14:paraId="2BAA6ED7" w14:textId="77777777">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LQwMTExMLa0sDA0NjdV0lEKTi0uzszPAykwrQUAK69aNSwAAAA="/>
  </w:docVars>
  <w:rsids>
    <w:rsidRoot w:val="000F32B8"/>
    <w:rsid w:val="00003607"/>
    <w:rsid w:val="00006D67"/>
    <w:rsid w:val="000213D7"/>
    <w:rsid w:val="000263A0"/>
    <w:rsid w:val="000327C7"/>
    <w:rsid w:val="00043F3D"/>
    <w:rsid w:val="000A02E1"/>
    <w:rsid w:val="000A7F92"/>
    <w:rsid w:val="000D29C1"/>
    <w:rsid w:val="000D591A"/>
    <w:rsid w:val="000F1B9D"/>
    <w:rsid w:val="000F2FAD"/>
    <w:rsid w:val="000F32B8"/>
    <w:rsid w:val="00126217"/>
    <w:rsid w:val="00133527"/>
    <w:rsid w:val="001421F6"/>
    <w:rsid w:val="00152DE0"/>
    <w:rsid w:val="00172E66"/>
    <w:rsid w:val="001820FC"/>
    <w:rsid w:val="00185494"/>
    <w:rsid w:val="001936D3"/>
    <w:rsid w:val="001978B6"/>
    <w:rsid w:val="001A1DA0"/>
    <w:rsid w:val="001A3483"/>
    <w:rsid w:val="001D6046"/>
    <w:rsid w:val="00225652"/>
    <w:rsid w:val="00257A7C"/>
    <w:rsid w:val="00257D1C"/>
    <w:rsid w:val="0026667A"/>
    <w:rsid w:val="00270AA6"/>
    <w:rsid w:val="00283DFA"/>
    <w:rsid w:val="0028434A"/>
    <w:rsid w:val="0029012F"/>
    <w:rsid w:val="0029331B"/>
    <w:rsid w:val="00295936"/>
    <w:rsid w:val="002A6437"/>
    <w:rsid w:val="002B3881"/>
    <w:rsid w:val="002E485C"/>
    <w:rsid w:val="00305536"/>
    <w:rsid w:val="003109FA"/>
    <w:rsid w:val="0032192E"/>
    <w:rsid w:val="00330603"/>
    <w:rsid w:val="00333726"/>
    <w:rsid w:val="00346462"/>
    <w:rsid w:val="00361E86"/>
    <w:rsid w:val="00364E6A"/>
    <w:rsid w:val="003835A1"/>
    <w:rsid w:val="00385397"/>
    <w:rsid w:val="003A2742"/>
    <w:rsid w:val="003C1EED"/>
    <w:rsid w:val="003F67F0"/>
    <w:rsid w:val="004068CB"/>
    <w:rsid w:val="00433BD9"/>
    <w:rsid w:val="004401B5"/>
    <w:rsid w:val="004475F4"/>
    <w:rsid w:val="004671E7"/>
    <w:rsid w:val="00473EC1"/>
    <w:rsid w:val="00491787"/>
    <w:rsid w:val="004924D6"/>
    <w:rsid w:val="004C16A5"/>
    <w:rsid w:val="004D35D6"/>
    <w:rsid w:val="004E5642"/>
    <w:rsid w:val="004F7CE3"/>
    <w:rsid w:val="005101E9"/>
    <w:rsid w:val="00517D9E"/>
    <w:rsid w:val="0052500A"/>
    <w:rsid w:val="0052621E"/>
    <w:rsid w:val="0055346B"/>
    <w:rsid w:val="00563389"/>
    <w:rsid w:val="00564FCE"/>
    <w:rsid w:val="005A0A09"/>
    <w:rsid w:val="005D6363"/>
    <w:rsid w:val="005E56AF"/>
    <w:rsid w:val="006000AA"/>
    <w:rsid w:val="00601815"/>
    <w:rsid w:val="0061032C"/>
    <w:rsid w:val="00617170"/>
    <w:rsid w:val="00622DDB"/>
    <w:rsid w:val="00631A55"/>
    <w:rsid w:val="00634A51"/>
    <w:rsid w:val="00656338"/>
    <w:rsid w:val="00690B1F"/>
    <w:rsid w:val="006947EE"/>
    <w:rsid w:val="006A2DB6"/>
    <w:rsid w:val="006C063D"/>
    <w:rsid w:val="00726D39"/>
    <w:rsid w:val="00733F87"/>
    <w:rsid w:val="007579FE"/>
    <w:rsid w:val="00782E26"/>
    <w:rsid w:val="00786100"/>
    <w:rsid w:val="00793D91"/>
    <w:rsid w:val="007B24C0"/>
    <w:rsid w:val="007B7D4D"/>
    <w:rsid w:val="00825B53"/>
    <w:rsid w:val="00825CAD"/>
    <w:rsid w:val="008423BA"/>
    <w:rsid w:val="00853D2B"/>
    <w:rsid w:val="00854C92"/>
    <w:rsid w:val="00870ADC"/>
    <w:rsid w:val="0088243B"/>
    <w:rsid w:val="008B414D"/>
    <w:rsid w:val="008D0E06"/>
    <w:rsid w:val="008E1705"/>
    <w:rsid w:val="00932E24"/>
    <w:rsid w:val="00956405"/>
    <w:rsid w:val="0097086F"/>
    <w:rsid w:val="009A798D"/>
    <w:rsid w:val="009C00E2"/>
    <w:rsid w:val="009F31D0"/>
    <w:rsid w:val="00A172C7"/>
    <w:rsid w:val="00A175DB"/>
    <w:rsid w:val="00A21D75"/>
    <w:rsid w:val="00A26124"/>
    <w:rsid w:val="00A3531B"/>
    <w:rsid w:val="00A36254"/>
    <w:rsid w:val="00A36F96"/>
    <w:rsid w:val="00A4354D"/>
    <w:rsid w:val="00A4598D"/>
    <w:rsid w:val="00A55427"/>
    <w:rsid w:val="00A5624A"/>
    <w:rsid w:val="00A64C65"/>
    <w:rsid w:val="00A67764"/>
    <w:rsid w:val="00A91F2B"/>
    <w:rsid w:val="00AB44BB"/>
    <w:rsid w:val="00AC0F77"/>
    <w:rsid w:val="00AC26A5"/>
    <w:rsid w:val="00AE11CE"/>
    <w:rsid w:val="00AE30BA"/>
    <w:rsid w:val="00AE4B3C"/>
    <w:rsid w:val="00AF26A7"/>
    <w:rsid w:val="00AF3C50"/>
    <w:rsid w:val="00AF724D"/>
    <w:rsid w:val="00B07006"/>
    <w:rsid w:val="00B131A2"/>
    <w:rsid w:val="00B26293"/>
    <w:rsid w:val="00B44BE3"/>
    <w:rsid w:val="00B732F9"/>
    <w:rsid w:val="00B76F93"/>
    <w:rsid w:val="00B858DA"/>
    <w:rsid w:val="00B94F85"/>
    <w:rsid w:val="00B97287"/>
    <w:rsid w:val="00BE45FF"/>
    <w:rsid w:val="00C021D9"/>
    <w:rsid w:val="00C05BB6"/>
    <w:rsid w:val="00C07515"/>
    <w:rsid w:val="00C114E3"/>
    <w:rsid w:val="00C4417B"/>
    <w:rsid w:val="00C654B6"/>
    <w:rsid w:val="00C906AA"/>
    <w:rsid w:val="00CE70B9"/>
    <w:rsid w:val="00D1347E"/>
    <w:rsid w:val="00D335D5"/>
    <w:rsid w:val="00D37A4E"/>
    <w:rsid w:val="00D96211"/>
    <w:rsid w:val="00DB3E85"/>
    <w:rsid w:val="00DE2420"/>
    <w:rsid w:val="00DE5B3F"/>
    <w:rsid w:val="00DF011B"/>
    <w:rsid w:val="00DF4D5F"/>
    <w:rsid w:val="00DF59D1"/>
    <w:rsid w:val="00DF71A0"/>
    <w:rsid w:val="00E025C5"/>
    <w:rsid w:val="00E055C9"/>
    <w:rsid w:val="00E13D81"/>
    <w:rsid w:val="00E2774F"/>
    <w:rsid w:val="00E564A9"/>
    <w:rsid w:val="00EB6D34"/>
    <w:rsid w:val="00EC63E1"/>
    <w:rsid w:val="00ED5DBF"/>
    <w:rsid w:val="00EF232F"/>
    <w:rsid w:val="00EF2D46"/>
    <w:rsid w:val="00F0364C"/>
    <w:rsid w:val="00F138EC"/>
    <w:rsid w:val="00F15A66"/>
    <w:rsid w:val="00F2140F"/>
    <w:rsid w:val="00F269CF"/>
    <w:rsid w:val="00F52C47"/>
    <w:rsid w:val="00F53043"/>
    <w:rsid w:val="00F54788"/>
    <w:rsid w:val="00F74527"/>
    <w:rsid w:val="00FC1A65"/>
    <w:rsid w:val="00FC35FD"/>
    <w:rsid w:val="00FF16D3"/>
    <w:rsid w:val="00FF46B8"/>
    <w:rsid w:val="14F27F53"/>
    <w:rsid w:val="581AC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2D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C0F77"/>
    <w:pPr>
      <w:keepNext/>
      <w:keepLines/>
      <w:spacing w:before="480" w:after="0"/>
      <w:outlineLvl w:val="0"/>
    </w:pPr>
    <w:rPr>
      <w:rFonts w:asciiTheme="majorHAnsi" w:hAnsiTheme="majorHAnsi" w:eastAsiaTheme="majorEastAsia" w:cstheme="majorBidi"/>
      <w:b/>
      <w:bCs/>
      <w:color w:val="365F91" w:themeColor="accent1" w:themeShade="BF"/>
      <w:sz w:val="28"/>
      <w:szCs w:val="28"/>
      <w:lang w:bidi="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EB6D34"/>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A64C65"/>
    <w:pPr>
      <w:tabs>
        <w:tab w:val="center" w:pos="4680"/>
        <w:tab w:val="right" w:pos="9360"/>
      </w:tabs>
      <w:spacing w:after="0" w:line="240" w:lineRule="auto"/>
    </w:pPr>
  </w:style>
  <w:style w:type="character" w:styleId="HeaderChar" w:customStyle="1">
    <w:name w:val="Header Char"/>
    <w:basedOn w:val="DefaultParagraphFont"/>
    <w:link w:val="Header"/>
    <w:uiPriority w:val="99"/>
    <w:rsid w:val="00A64C65"/>
  </w:style>
  <w:style w:type="paragraph" w:styleId="Footer">
    <w:name w:val="footer"/>
    <w:basedOn w:val="Normal"/>
    <w:link w:val="FooterChar"/>
    <w:uiPriority w:val="99"/>
    <w:unhideWhenUsed/>
    <w:rsid w:val="00A64C65"/>
    <w:pPr>
      <w:tabs>
        <w:tab w:val="center" w:pos="4680"/>
        <w:tab w:val="right" w:pos="9360"/>
      </w:tabs>
      <w:spacing w:after="0" w:line="240" w:lineRule="auto"/>
    </w:pPr>
  </w:style>
  <w:style w:type="character" w:styleId="FooterChar" w:customStyle="1">
    <w:name w:val="Footer Char"/>
    <w:basedOn w:val="DefaultParagraphFont"/>
    <w:link w:val="Footer"/>
    <w:uiPriority w:val="99"/>
    <w:rsid w:val="00A64C65"/>
  </w:style>
  <w:style w:type="paragraph" w:styleId="BalloonText">
    <w:name w:val="Balloon Text"/>
    <w:basedOn w:val="Normal"/>
    <w:link w:val="BalloonTextChar"/>
    <w:uiPriority w:val="99"/>
    <w:semiHidden/>
    <w:unhideWhenUsed/>
    <w:rsid w:val="00A64C6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64C65"/>
    <w:rPr>
      <w:rFonts w:ascii="Tahoma" w:hAnsi="Tahoma" w:cs="Tahoma"/>
      <w:sz w:val="16"/>
      <w:szCs w:val="16"/>
    </w:rPr>
  </w:style>
  <w:style w:type="character" w:styleId="Heading1Char" w:customStyle="1">
    <w:name w:val="Heading 1 Char"/>
    <w:basedOn w:val="DefaultParagraphFont"/>
    <w:link w:val="Heading1"/>
    <w:uiPriority w:val="9"/>
    <w:rsid w:val="00AC0F77"/>
    <w:rPr>
      <w:rFonts w:asciiTheme="majorHAnsi" w:hAnsiTheme="majorHAnsi" w:eastAsiaTheme="majorEastAsia"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AC0F77"/>
  </w:style>
  <w:style w:type="character" w:styleId="words" w:customStyle="1">
    <w:name w:val="words"/>
    <w:basedOn w:val="DefaultParagraphFont"/>
    <w:rsid w:val="00853D2B"/>
  </w:style>
  <w:style w:type="character" w:styleId="ignoredpatterns" w:customStyle="1">
    <w:name w:val="ignoredpatterns"/>
    <w:basedOn w:val="DefaultParagraphFont"/>
    <w:rsid w:val="00853D2B"/>
  </w:style>
  <w:style w:type="character" w:styleId="passivevoice" w:customStyle="1">
    <w:name w:val="passivevoice"/>
    <w:basedOn w:val="DefaultParagraphFont"/>
    <w:rsid w:val="00853D2B"/>
  </w:style>
  <w:style w:type="character" w:styleId="wordchoice" w:customStyle="1">
    <w:name w:val="wordchoice"/>
    <w:basedOn w:val="DefaultParagraphFont"/>
    <w:rsid w:val="00853D2B"/>
  </w:style>
  <w:style w:type="character" w:styleId="accidentallyconfused" w:customStyle="1">
    <w:name w:val="accidentallyconfused"/>
    <w:basedOn w:val="DefaultParagraphFont"/>
    <w:rsid w:val="00853D2B"/>
  </w:style>
  <w:style w:type="character" w:styleId="wordorder" w:customStyle="1">
    <w:name w:val="wordorder"/>
    <w:basedOn w:val="DefaultParagraphFont"/>
    <w:rsid w:val="00853D2B"/>
  </w:style>
  <w:style w:type="character" w:styleId="britishvsamerican" w:customStyle="1">
    <w:name w:val="britishvsamerican"/>
    <w:basedOn w:val="DefaultParagraphFont"/>
    <w:rsid w:val="00853D2B"/>
  </w:style>
  <w:style w:type="character" w:styleId="ignoredwords" w:customStyle="1">
    <w:name w:val="ignoredwords"/>
    <w:basedOn w:val="DefaultParagraphFont"/>
    <w:rsid w:val="00152DE0"/>
  </w:style>
  <w:style w:type="character" w:styleId="colloquial" w:customStyle="1">
    <w:name w:val="colloquial"/>
    <w:basedOn w:val="DefaultParagraphFont"/>
    <w:rsid w:val="00152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dec9da5fd4694177" /><Relationship Type="http://schemas.openxmlformats.org/officeDocument/2006/relationships/image" Target="/media/image2.jpg" Id="Rff8a4d73ca4f4f1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51aafd4-c662-4b1c-a739-b08cea82762b}"/>
      </w:docPartPr>
      <w:docPartBody>
        <w:p w14:paraId="67CFE2F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Jon131</b:Tag>
    <b:SourceType>Book</b:SourceType>
    <b:Guid>{934E0623-D3D2-473B-A28F-CDD9074AF38F}</b:Guid>
    <b:Author>
      <b:Author>
        <b:NameList>
          <b:Person>
            <b:Last>Jones</b:Last>
            <b:First>O</b:First>
          </b:Person>
        </b:NameList>
      </b:Author>
    </b:Author>
    <b:Title>Operations and Supply Chain Management, Ed 6</b:Title>
    <b:Year>2013</b:Year>
    <b:City>Harlow</b:City>
    <b:Publisher> Pearson Education</b:Publisher>
    <b:RefOrder>2</b:RefOrder>
  </b:Source>
  <b:Source>
    <b:Tag>Bic00</b:Tag>
    <b:SourceType>Book</b:SourceType>
    <b:Guid>{C1AA6CE2-AD18-469B-94ED-9193C02ACC2D}</b:Guid>
    <b:Author>
      <b:Author>
        <b:NameList>
          <b:Person>
            <b:Last>Bicheno</b:Last>
            <b:First>J</b:First>
          </b:Person>
        </b:NameList>
      </b:Author>
    </b:Author>
    <b:Title>Cause and Effect Lean-Lean Operations, Six Sigma, And Supply Chain Essentials</b:Title>
    <b:Year>2000</b:Year>
    <b:City>Buckingham</b:City>
    <b:Publisher>Picsie Books</b:Publisher>
    <b:RefOrder>4</b:RefOrder>
  </b:Source>
  <b:Source>
    <b:Tag>Bar081</b:Tag>
    <b:SourceType>Book</b:SourceType>
    <b:Guid>{495A38C7-4FDD-46E5-8252-A9D8BAF4FB2A}</b:Guid>
    <b:Author>
      <b:Author>
        <b:NameList>
          <b:Person>
            <b:Last>Barnes</b:Last>
            <b:First>D</b:First>
          </b:Person>
        </b:NameList>
      </b:Author>
    </b:Author>
    <b:Title>Operations Management : An International Perspective</b:Title>
    <b:Year>2008</b:Year>
    <b:City>London</b:City>
    <b:Publisher>Thomson Learning</b:Publisher>
    <b:RefOrder>1</b:RefOrder>
  </b:Source>
  <b:Source>
    <b:Tag>Joh08</b:Tag>
    <b:SourceType>Book</b:SourceType>
    <b:Guid>{9D2CA472-B996-4855-AC2D-79C4D8B9D46E}</b:Guid>
    <b:Author>
      <b:Author>
        <b:NameList>
          <b:Person>
            <b:Last>Johnston</b:Last>
            <b:First>R</b:First>
          </b:Person>
          <b:Person>
            <b:Last>Clark</b:Last>
            <b:First>G</b:First>
          </b:Person>
        </b:NameList>
      </b:Author>
    </b:Author>
    <b:Title>Service Operations Management, Ed3</b:Title>
    <b:Year>2008</b:Year>
    <b:City>Harlow</b:City>
    <b:Publisher>Prentice Hall</b:Publisher>
    <b:RefOrder>3</b:RefOrder>
  </b:Source>
  <b:Source>
    <b:Tag>Sla13</b:Tag>
    <b:SourceType>Book</b:SourceType>
    <b:Guid>{8DE04E32-0E7E-40E5-8707-5C9650C02B34}</b:Guid>
    <b:Author>
      <b:Author>
        <b:NameList>
          <b:Person>
            <b:Last>Slack</b:Last>
            <b:First>Nigel</b:First>
          </b:Person>
        </b:NameList>
      </b:Author>
    </b:Author>
    <b:Title>Operations management, 7th Edition</b:Title>
    <b:Year>2013</b:Year>
    <b:City>London</b:City>
    <b:Publisher>Pearson FT Prentice Hall</b:Publisher>
    <b:RefOrder>6</b:RefOrder>
  </b:Source>
  <b:Source>
    <b:Tag>Lun13</b:Tag>
    <b:SourceType>Book</b:SourceType>
    <b:Guid>{E27878C6-C5B0-4E1F-9113-D121A5317E67}</b:Guid>
    <b:Author>
      <b:Author>
        <b:NameList>
          <b:Person>
            <b:Last>Lunuau</b:Last>
            <b:First>S</b:First>
          </b:Person>
        </b:NameList>
      </b:Author>
    </b:Author>
    <b:Title>Six Sigma and Lean Toolset Mindset for succesfully Implementation of improvement Projects. 2nd ed</b:Title>
    <b:Year>2013</b:Year>
    <b:City>London</b:City>
    <b:Publisher>Spinger</b:Publisher>
    <b:RefOrder>5</b:RefOrder>
  </b:Source>
</b:Sources>
</file>

<file path=customXml/itemProps1.xml><?xml version="1.0" encoding="utf-8"?>
<ds:datastoreItem xmlns:ds="http://schemas.openxmlformats.org/officeDocument/2006/customXml" ds:itemID="{32360285-0192-48D5-9BF9-00ED3F4EA23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Teo Catalin</lastModifiedBy>
  <revision>3</revision>
  <dcterms:created xsi:type="dcterms:W3CDTF">2024-04-13T23:08:00.0000000Z</dcterms:created>
  <dcterms:modified xsi:type="dcterms:W3CDTF">2024-05-03T17:21:47.2082288Z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8a156dacd317d0948a65d29c5326b75164bc46d51521d2d8aff74c95ac0cdd01</vt:lpwstr>
  </property>
</Properties>
</file>