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FC538" w14:textId="77777777" w:rsidR="00913C52" w:rsidRDefault="00913C52" w:rsidP="000220C4">
      <w:pPr>
        <w:jc w:val="center"/>
        <w:rPr>
          <w:b/>
          <w:bCs/>
        </w:rPr>
      </w:pPr>
    </w:p>
    <w:p w14:paraId="00E38B0A" w14:textId="77777777" w:rsidR="00913C52" w:rsidRDefault="00913C52" w:rsidP="000220C4">
      <w:pPr>
        <w:jc w:val="center"/>
        <w:rPr>
          <w:b/>
          <w:bCs/>
        </w:rPr>
      </w:pPr>
    </w:p>
    <w:p w14:paraId="6E15E4BC" w14:textId="77777777" w:rsidR="00913C52" w:rsidRDefault="00913C52" w:rsidP="000220C4">
      <w:pPr>
        <w:jc w:val="center"/>
        <w:rPr>
          <w:b/>
          <w:bCs/>
        </w:rPr>
      </w:pPr>
    </w:p>
    <w:p w14:paraId="3C87CFBB" w14:textId="77777777" w:rsidR="00913C52" w:rsidRDefault="00913C52" w:rsidP="00913C52">
      <w:pPr>
        <w:rPr>
          <w:b/>
          <w:bCs/>
        </w:rPr>
      </w:pPr>
    </w:p>
    <w:p w14:paraId="0C8B181B" w14:textId="4F2879AE" w:rsidR="000220C4" w:rsidRDefault="000220C4">
      <w:pPr>
        <w:rPr>
          <w:b/>
          <w:bCs/>
        </w:rPr>
      </w:pPr>
    </w:p>
    <w:p w14:paraId="5ED0F90D" w14:textId="11EF56B2" w:rsidR="000220C4" w:rsidRDefault="000220C4">
      <w:pPr>
        <w:rPr>
          <w:b/>
          <w:bCs/>
        </w:rPr>
      </w:pPr>
    </w:p>
    <w:p w14:paraId="0119AB48" w14:textId="77777777" w:rsidR="00913C52" w:rsidRDefault="00913C52" w:rsidP="00913C52">
      <w:pPr>
        <w:rPr>
          <w:b/>
          <w:bCs/>
        </w:rPr>
      </w:pPr>
    </w:p>
    <w:p w14:paraId="2DACA0A9" w14:textId="1B17BBE8" w:rsidR="00913C52" w:rsidRDefault="00913C52" w:rsidP="00913C52">
      <w:pPr>
        <w:rPr>
          <w:b/>
          <w:bCs/>
        </w:rPr>
      </w:pPr>
      <w:r>
        <w:rPr>
          <w:b/>
          <w:bCs/>
        </w:rPr>
        <w:t xml:space="preserve">                                             Xenia Mariana Paun 2029760</w:t>
      </w:r>
      <w:r w:rsidR="00E128BD">
        <w:rPr>
          <w:b/>
          <w:bCs/>
        </w:rPr>
        <w:t>/ February 2022 term</w:t>
      </w:r>
    </w:p>
    <w:p w14:paraId="5FCE8B32" w14:textId="3C73B5BA" w:rsidR="00913C52" w:rsidRDefault="00913C52" w:rsidP="00913C52">
      <w:pPr>
        <w:rPr>
          <w:b/>
          <w:bCs/>
        </w:rPr>
      </w:pPr>
      <w:r>
        <w:rPr>
          <w:b/>
          <w:bCs/>
        </w:rPr>
        <w:t xml:space="preserve">                                                  University of Wales /Trinity Saint David</w:t>
      </w:r>
    </w:p>
    <w:p w14:paraId="78CF5A60" w14:textId="0C12825C" w:rsidR="00913C52" w:rsidRDefault="00913C52" w:rsidP="00913C52">
      <w:pPr>
        <w:rPr>
          <w:b/>
          <w:bCs/>
        </w:rPr>
      </w:pPr>
      <w:r>
        <w:rPr>
          <w:b/>
          <w:bCs/>
        </w:rPr>
        <w:t xml:space="preserve">                                                            </w:t>
      </w:r>
      <w:r w:rsidR="00E128BD">
        <w:rPr>
          <w:b/>
          <w:bCs/>
        </w:rPr>
        <w:t xml:space="preserve"> </w:t>
      </w:r>
      <w:r>
        <w:rPr>
          <w:b/>
          <w:bCs/>
        </w:rPr>
        <w:t xml:space="preserve">   London Campus </w:t>
      </w:r>
    </w:p>
    <w:p w14:paraId="5932B615" w14:textId="59EC5EC1" w:rsidR="00E128BD" w:rsidRDefault="00E128BD" w:rsidP="00913C52">
      <w:pPr>
        <w:rPr>
          <w:b/>
          <w:bCs/>
        </w:rPr>
      </w:pPr>
      <w:r>
        <w:rPr>
          <w:b/>
          <w:bCs/>
        </w:rPr>
        <w:t xml:space="preserve">                                                      BA(Hons) Business Management </w:t>
      </w:r>
    </w:p>
    <w:p w14:paraId="4C5F540D" w14:textId="67ED3F96" w:rsidR="00E128BD" w:rsidRDefault="00E128BD" w:rsidP="00913C52">
      <w:pPr>
        <w:rPr>
          <w:b/>
          <w:bCs/>
        </w:rPr>
      </w:pPr>
      <w:r>
        <w:rPr>
          <w:b/>
          <w:bCs/>
        </w:rPr>
        <w:t xml:space="preserve">                                                         Level 4 -Term 3-Weeken</w:t>
      </w:r>
    </w:p>
    <w:p w14:paraId="749E0B61" w14:textId="6A803DE2" w:rsidR="00913C52" w:rsidRDefault="00913C52" w:rsidP="00913C52">
      <w:pPr>
        <w:rPr>
          <w:b/>
          <w:bCs/>
        </w:rPr>
      </w:pPr>
      <w:r>
        <w:rPr>
          <w:b/>
          <w:bCs/>
        </w:rPr>
        <w:t xml:space="preserve">                                         A</w:t>
      </w:r>
      <w:r w:rsidR="00E128BD">
        <w:rPr>
          <w:b/>
          <w:bCs/>
        </w:rPr>
        <w:t xml:space="preserve">ssignment </w:t>
      </w:r>
      <w:r w:rsidR="00A563B6">
        <w:rPr>
          <w:b/>
          <w:bCs/>
        </w:rPr>
        <w:t>1 Community</w:t>
      </w:r>
      <w:r>
        <w:rPr>
          <w:b/>
          <w:bCs/>
        </w:rPr>
        <w:t xml:space="preserve"> </w:t>
      </w:r>
      <w:r w:rsidR="00A563B6">
        <w:rPr>
          <w:b/>
          <w:bCs/>
        </w:rPr>
        <w:t>Engagement LCBB</w:t>
      </w:r>
      <w:r>
        <w:rPr>
          <w:b/>
          <w:bCs/>
        </w:rPr>
        <w:t xml:space="preserve">4002 </w:t>
      </w:r>
    </w:p>
    <w:p w14:paraId="54230845" w14:textId="37386A6A" w:rsidR="000220C4" w:rsidRPr="000220C4" w:rsidRDefault="00913C52" w:rsidP="00913C52">
      <w:r>
        <w:rPr>
          <w:b/>
          <w:bCs/>
        </w:rPr>
        <w:t xml:space="preserve">                                                        </w:t>
      </w:r>
      <w:r>
        <w:tab/>
      </w:r>
      <w:r>
        <w:tab/>
      </w:r>
      <w:r>
        <w:tab/>
      </w:r>
    </w:p>
    <w:p w14:paraId="5F011A41" w14:textId="2B612560" w:rsidR="000220C4" w:rsidRPr="000220C4" w:rsidRDefault="000220C4" w:rsidP="00913C52"/>
    <w:p w14:paraId="274697A8" w14:textId="4BE3D538" w:rsidR="000220C4" w:rsidRDefault="000220C4" w:rsidP="00E128BD"/>
    <w:p w14:paraId="4F370351" w14:textId="0C871AF0" w:rsidR="000220C4" w:rsidRDefault="000220C4" w:rsidP="000220C4">
      <w:pPr>
        <w:jc w:val="center"/>
      </w:pPr>
    </w:p>
    <w:p w14:paraId="36211ADE" w14:textId="2F107A89" w:rsidR="000220C4" w:rsidRDefault="000220C4" w:rsidP="000220C4">
      <w:pPr>
        <w:jc w:val="center"/>
      </w:pPr>
    </w:p>
    <w:p w14:paraId="2639A2FA" w14:textId="0C2E160F" w:rsidR="000220C4" w:rsidRDefault="000220C4" w:rsidP="000220C4">
      <w:pPr>
        <w:jc w:val="center"/>
      </w:pPr>
    </w:p>
    <w:p w14:paraId="5F10EAA1" w14:textId="270610A2" w:rsidR="000220C4" w:rsidRDefault="000220C4" w:rsidP="000220C4">
      <w:pPr>
        <w:jc w:val="center"/>
      </w:pPr>
    </w:p>
    <w:p w14:paraId="2EB8F124" w14:textId="0807C733" w:rsidR="000220C4" w:rsidRDefault="000220C4" w:rsidP="000220C4">
      <w:pPr>
        <w:jc w:val="center"/>
      </w:pPr>
    </w:p>
    <w:p w14:paraId="2D71B031" w14:textId="7D811845" w:rsidR="000220C4" w:rsidRDefault="000220C4" w:rsidP="000220C4">
      <w:pPr>
        <w:jc w:val="center"/>
      </w:pPr>
    </w:p>
    <w:p w14:paraId="5C8D126A" w14:textId="2B085662" w:rsidR="000220C4" w:rsidRDefault="000220C4" w:rsidP="000220C4">
      <w:pPr>
        <w:jc w:val="center"/>
      </w:pPr>
    </w:p>
    <w:p w14:paraId="79E6BA53" w14:textId="2387025B" w:rsidR="000220C4" w:rsidRDefault="000220C4" w:rsidP="000220C4">
      <w:pPr>
        <w:jc w:val="center"/>
      </w:pPr>
    </w:p>
    <w:p w14:paraId="0D722ECF" w14:textId="707A7531" w:rsidR="000220C4" w:rsidRDefault="000220C4" w:rsidP="000220C4">
      <w:pPr>
        <w:jc w:val="center"/>
      </w:pPr>
    </w:p>
    <w:p w14:paraId="24EEC945" w14:textId="77AC2844" w:rsidR="000220C4" w:rsidRDefault="000220C4" w:rsidP="000220C4">
      <w:pPr>
        <w:jc w:val="center"/>
      </w:pPr>
    </w:p>
    <w:p w14:paraId="2291AE7E" w14:textId="58438BF2" w:rsidR="000220C4" w:rsidRPr="000220C4" w:rsidRDefault="000220C4" w:rsidP="000220C4">
      <w:pPr>
        <w:jc w:val="center"/>
        <w:rPr>
          <w:b/>
          <w:bCs/>
        </w:rPr>
      </w:pPr>
      <w:r w:rsidRPr="000220C4">
        <w:rPr>
          <w:b/>
          <w:bCs/>
        </w:rPr>
        <w:t>Part A: local authority Community Engagement Process</w:t>
      </w:r>
    </w:p>
    <w:p w14:paraId="609712B2" w14:textId="062AFCDE" w:rsidR="00512AE5" w:rsidRDefault="00493C20">
      <w:pPr>
        <w:rPr>
          <w:b/>
          <w:bCs/>
        </w:rPr>
      </w:pPr>
      <w:r>
        <w:rPr>
          <w:b/>
          <w:bCs/>
        </w:rPr>
        <w:t>Introduction</w:t>
      </w:r>
    </w:p>
    <w:p w14:paraId="56BF8B05" w14:textId="7500B4A1" w:rsidR="003B3C63" w:rsidRDefault="003B3C63" w:rsidP="003B3C63">
      <w:pPr>
        <w:ind w:firstLine="720"/>
      </w:pPr>
      <w:r>
        <w:t xml:space="preserve">The last </w:t>
      </w:r>
      <w:r w:rsidR="009D62B3">
        <w:t>few decades have</w:t>
      </w:r>
      <w:r>
        <w:t xml:space="preserve"> witnessed vast socio-economic development in many regions accompanied by soaring life expectancies and large infertility reduction. The number of aging populations worldwide has increased within a relatively short period. Aging presents numerous health and financial challenges. As people grow older, the risk of developing chronic diseases and residential care increases (Burgess et al., 2021).   As a recent community program manager working on behalf of a large municipality consortium, one of our most critical tasks was outreach and ensuring community engagement in many elderly care projects funded through social revenues and tax incentives.</w:t>
      </w:r>
    </w:p>
    <w:p w14:paraId="0D451EBA" w14:textId="77777777" w:rsidR="003B3C63" w:rsidRPr="00025790" w:rsidRDefault="003B3C63" w:rsidP="003B3C63">
      <w:pPr>
        <w:ind w:firstLine="720"/>
        <w:rPr>
          <w:b/>
          <w:bCs/>
        </w:rPr>
      </w:pPr>
      <w:r w:rsidRPr="00025790">
        <w:rPr>
          <w:b/>
          <w:bCs/>
        </w:rPr>
        <w:t>Background</w:t>
      </w:r>
    </w:p>
    <w:p w14:paraId="2FB88C3B" w14:textId="77777777" w:rsidR="003B3C63" w:rsidRDefault="003B3C63" w:rsidP="003B3C63">
      <w:pPr>
        <w:ind w:firstLine="720"/>
      </w:pPr>
      <w:r>
        <w:t>By age 60, the major cause of mortality arises from chronic conditions such as dementia, Alzheimer's, and physiological conditions such as heart diseases, chronic respiratory, diabetes, and stroke. In addition to aging, another critical issue emerging from several organizations is the clear structural imbalances and missing gaps bridging existing gaps. Many studies now recognize the need for meaningful citizen participation if organizations can adapt their processes to ensure an accessible, inclusive, and supportive citizenry.</w:t>
      </w:r>
    </w:p>
    <w:p w14:paraId="55E871EC" w14:textId="77777777" w:rsidR="003B3C63" w:rsidRDefault="003B3C63" w:rsidP="003B3C63">
      <w:pPr>
        <w:ind w:firstLine="720"/>
      </w:pPr>
      <w:r>
        <w:t>As the aging population continues soaring, stakeholders in public health and the wider communities need to embrace a progressive and forward-looking approach focusing on maintaining the elderly's functioning lifestyle and wellbeing. According to the World Health Organization, functional lifestyle/ability includes all interventions that enable people to be and do what they value in response to an aging challenge. A diverse group of stakeholders, including insurance firms, municipal authorities, and regional representatives, are all working together to develop progressive approaches to clinical care (</w:t>
      </w:r>
      <w:proofErr w:type="spellStart"/>
      <w:r>
        <w:t>Howdon</w:t>
      </w:r>
      <w:proofErr w:type="spellEnd"/>
      <w:r>
        <w:t xml:space="preserve"> &amp; Rice, 2018). A key component of this approach is community engagement. Ensuring sustainability in care outreach requires an ongoing commitment by program managers through funding channels, research, design, development, and commissioning of key resources to community outlets.  </w:t>
      </w:r>
    </w:p>
    <w:p w14:paraId="5167574E" w14:textId="77777777" w:rsidR="003B3C63" w:rsidRDefault="003B3C63" w:rsidP="003B3C63">
      <w:pPr>
        <w:ind w:firstLine="720"/>
      </w:pPr>
      <w:r>
        <w:t xml:space="preserve">Community-based supports and services are designed to help community dwellings stay intact and help older adults stay safely in their homes. </w:t>
      </w:r>
      <w:proofErr w:type="spellStart"/>
      <w:r>
        <w:t>Howdon</w:t>
      </w:r>
      <w:proofErr w:type="spellEnd"/>
      <w:r>
        <w:t xml:space="preserve"> and Rice noted that these programs play a critical role in providing healthcare resources such as educational programs, nutritional support, medical equipment, and wellness programs (2018). These programs provide critical counseling services for caregivers, wellness programs, general financial aid, and home safety (De Weger et al., 2018).   In addition to critical financial services, these communities provide opportunities through various volunteer programs to enhance individual attitudes and skills to live and gain more control over their community's lifestyles.</w:t>
      </w:r>
    </w:p>
    <w:p w14:paraId="048D2CBF" w14:textId="77777777" w:rsidR="003B3C63" w:rsidRPr="00025790" w:rsidRDefault="003B3C63" w:rsidP="003B3C63">
      <w:pPr>
        <w:ind w:firstLine="720"/>
        <w:rPr>
          <w:b/>
          <w:bCs/>
        </w:rPr>
      </w:pPr>
      <w:r w:rsidRPr="00025790">
        <w:rPr>
          <w:b/>
          <w:bCs/>
        </w:rPr>
        <w:t>Current Shortcomings</w:t>
      </w:r>
    </w:p>
    <w:p w14:paraId="36FA53F5" w14:textId="77777777" w:rsidR="003B3C63" w:rsidRDefault="003B3C63" w:rsidP="003B3C63">
      <w:pPr>
        <w:ind w:firstLine="720"/>
      </w:pPr>
      <w:r>
        <w:t xml:space="preserve">Prior studies have analyzed different community programs that sought to improve healthcare delivery or the elderly neighborhood living experience. Most of these have focused on how CE Interventions have focused on how this intervention can affect organizational processes and social outcomes. Many of these studies highlight some challenges in providing effective community engagement programs. The researchers noted power imbalances constraints in fueling divisions between professionals and citizens, as evidenced by the local people's inadequate access to critical organizational infrastructure (De Weger et al., 2018). Though many of these studies have contributed significantly to community engagement literature, they have failed to provide a direct alternative to successfully implementing intervention programs in respective environments. This phenomenon has emerged Due to peripheral or inadequate information provided by these studies regarding the role of underlying mechanisms and contextual factors such as polo rarity in service deliveries that influence provisions of adult healthcare.     </w:t>
      </w:r>
    </w:p>
    <w:p w14:paraId="3C73BD2A" w14:textId="77777777" w:rsidR="003B3C63" w:rsidRPr="00025790" w:rsidRDefault="003B3C63" w:rsidP="003B3C63">
      <w:pPr>
        <w:ind w:firstLine="720"/>
        <w:rPr>
          <w:b/>
          <w:bCs/>
        </w:rPr>
      </w:pPr>
      <w:r w:rsidRPr="00025790">
        <w:rPr>
          <w:b/>
          <w:bCs/>
        </w:rPr>
        <w:t xml:space="preserve">Why Community Engagement and How It Affects Internal &amp; External Relations </w:t>
      </w:r>
    </w:p>
    <w:p w14:paraId="3F2CC1F5" w14:textId="77777777" w:rsidR="003B3C63" w:rsidRDefault="003B3C63" w:rsidP="003B3C63">
      <w:pPr>
        <w:ind w:firstLine="720"/>
      </w:pPr>
      <w:r>
        <w:t xml:space="preserve">Considering their closeness with grassroots resources, representatives in a community provide critical insights that encompass a wide view of health wellbeing beyond immediate organization interest. Involving participants from this background will be pivotal in bringing together a broader intervention, such as local businesses and healthcare providers, who should provide tailored approaches in their respective communities (Burgess et al., 2021). Many studies highlight success following community engagement in related public ventures. Other studies also reiterate the need for collaborative approaches to empowering citizens, providing better insights, and supporting local services in research and administration (De Weger et al., 2018). In the United Kingdom, many healthcare providers have begun implementing strategic Community Engagement interventions. However, the current literature on community participation is still short on best practices to guide implementation.  </w:t>
      </w:r>
    </w:p>
    <w:p w14:paraId="3319BBB5" w14:textId="77777777" w:rsidR="003B3C63" w:rsidRDefault="003B3C63" w:rsidP="003B3C63">
      <w:pPr>
        <w:ind w:firstLine="720"/>
      </w:pPr>
      <w:r>
        <w:t>Community participation has been widely reported to achieve efficient patient-centered healthcare practice. Organizations, however, are yet to establish the best means to involve local consultants in shaping clinical practice and clinical delivery (De Weger et al., 2018). The report will outline influence determinants considering best practices to design, planning, and delivery affecting healthcare services at the macro and Meso levels in the following sections. Policymakers and stakeholders in clinical practice should have a framework to adopt evidence-based healthcare practice in implementing working community health programs.</w:t>
      </w:r>
    </w:p>
    <w:p w14:paraId="7D42D136" w14:textId="77777777" w:rsidR="003B3C63" w:rsidRPr="00025790" w:rsidRDefault="003B3C63" w:rsidP="003B3C63">
      <w:pPr>
        <w:ind w:firstLine="720"/>
        <w:rPr>
          <w:b/>
          <w:bCs/>
          <w:i/>
          <w:iCs/>
        </w:rPr>
      </w:pPr>
      <w:r w:rsidRPr="00025790">
        <w:rPr>
          <w:b/>
          <w:bCs/>
          <w:i/>
          <w:iCs/>
        </w:rPr>
        <w:t xml:space="preserve">Community Engagement Best Practices </w:t>
      </w:r>
    </w:p>
    <w:p w14:paraId="0761093E" w14:textId="77777777" w:rsidR="003B3C63" w:rsidRDefault="003B3C63" w:rsidP="003B3C63">
      <w:pPr>
        <w:ind w:firstLine="720"/>
      </w:pPr>
      <w:r>
        <w:t>The theoretical modalities of community engagement derive from a varied pool of specializations, including public health, adult learning, mental health, and youth awareness. While mostly derived from large social environments, these approaches were adjusted and moderated for healthcare settings. Public health directors ensure their effectiveness in sourcing and managing funds and responding to community needs (Haldane et al., 2019). for community developers, measuring the effectiveness of engagement efforts presents a good ground for assessing improvements and innovative approaches toward health outcomes.</w:t>
      </w:r>
    </w:p>
    <w:p w14:paraId="30AC567B" w14:textId="2C76B823" w:rsidR="003B3C63" w:rsidRPr="00025790" w:rsidRDefault="003B3C63" w:rsidP="003B3C63">
      <w:pPr>
        <w:ind w:firstLine="720"/>
        <w:rPr>
          <w:b/>
          <w:bCs/>
          <w:i/>
          <w:iCs/>
        </w:rPr>
      </w:pPr>
      <w:r w:rsidRPr="00025790">
        <w:rPr>
          <w:b/>
          <w:bCs/>
          <w:i/>
          <w:iCs/>
        </w:rPr>
        <w:t xml:space="preserve">Utilitarian Health Systems Interventions </w:t>
      </w:r>
    </w:p>
    <w:p w14:paraId="5E7E870C" w14:textId="77777777" w:rsidR="003B3C63" w:rsidRDefault="003B3C63" w:rsidP="003B3C63">
      <w:pPr>
        <w:ind w:firstLine="720"/>
      </w:pPr>
      <w:r>
        <w:t>One of the critical issues identified in theoretical community engagement is understating the motive behind integrated healthcare and participatory efforts. Ordinarily, community members engage with several issues affecting individual families' health. Haldan et al. suggested that restoring inequalities requires collective interventions in which communities develop their organizations and engage other public forums and corporates that they deem aligned to their issues (2019). Communities typically have pre-existing social network models, but they can also create new units to respond to emerging issues. When community members emerge this way, they form a community emerging with shared interests in particular needs. In major public health, consumers provide engagement models. Health services engage users on the following levels: (1) Direct patient consultation in complex diagnoses for improved care delivery. (2) engaging patients for statutory and legal provision purposes. (3): sharing responsibilities to produce environments for identifying mistakes and minimizing extending blames healthcare services.</w:t>
      </w:r>
    </w:p>
    <w:p w14:paraId="370FB372" w14:textId="77777777" w:rsidR="003B3C63" w:rsidRDefault="003B3C63" w:rsidP="003B3C63">
      <w:pPr>
        <w:ind w:firstLine="720"/>
      </w:pPr>
      <w:r>
        <w:t xml:space="preserve">When engagement is extended towards communities, stakeholders still follow similar rationales. However, the model remains grounded on health and related care service, extending involvement to potential service users identified as relevant for research or supportive purposes.        Community engagement models founded on ideological perspectives emphasize achieving community goals through education to have more control over local programs (Haldane et al., 2019). Other interventions consider health systems incentives for community outreach since these approaches tend to yield more effectiveness.    </w:t>
      </w:r>
    </w:p>
    <w:p w14:paraId="7063FF51" w14:textId="77777777" w:rsidR="003B3C63" w:rsidRDefault="003B3C63" w:rsidP="003B3C63">
      <w:pPr>
        <w:ind w:firstLine="720"/>
      </w:pPr>
      <w:r>
        <w:t xml:space="preserve">As healthcare shifts towards more holistic and creative health models, more opportunities lend themselves to community workers towards contributing efforts in maintaining adult community health and enabling them to remain safely in the communities.   Developing community initiatives requires having onboard community stakeholders from local regions </w:t>
      </w:r>
      <w:proofErr w:type="gramStart"/>
      <w:r>
        <w:t>early on in the</w:t>
      </w:r>
      <w:proofErr w:type="gramEnd"/>
      <w:r>
        <w:t xml:space="preserve"> projects (Haldane et al., 2019). Community stakeholders provide critical insights regarding skills and personal experience that organizational partners often lack. Showing interest in community contribution in active participation through implementation, decision-making, evaluation, and management provides more acceptance and increases the project's sustainability chances.   Involving community stakeholders to contribute suggestions provide ample opportunities for developing trust between members, as community representatives feel more respected and appreciated.  </w:t>
      </w:r>
    </w:p>
    <w:p w14:paraId="4746BDA3" w14:textId="77777777" w:rsidR="003B3C63" w:rsidRPr="00025790" w:rsidRDefault="003B3C63" w:rsidP="003B3C63">
      <w:pPr>
        <w:ind w:firstLine="720"/>
        <w:rPr>
          <w:b/>
          <w:bCs/>
          <w:i/>
          <w:iCs/>
        </w:rPr>
      </w:pPr>
      <w:r w:rsidRPr="00025790">
        <w:rPr>
          <w:b/>
          <w:bCs/>
          <w:i/>
          <w:iCs/>
        </w:rPr>
        <w:t>Information Sharing and Direct Consultations</w:t>
      </w:r>
    </w:p>
    <w:p w14:paraId="7FE5EFC0" w14:textId="77777777" w:rsidR="003B3C63" w:rsidRDefault="003B3C63" w:rsidP="003B3C63">
      <w:pPr>
        <w:ind w:firstLine="720"/>
      </w:pPr>
      <w:r>
        <w:t xml:space="preserve">Clinicians and primary caregivers should eventually look locally to figure out their patient's needs and find out matching community-based support to bridge the gap in service delivery. Effective intervention in mental and physical depreciation often presents better treatment chances with early detection coupled with proper housing. Yet most symptoms of aging, including muscle strength, and gait speed, are often not identified or treated late. Most clinical and community outreach stakeholders lack professional guidance and healthy aging clinical practice training. These frameworks should also incorporate an older adults-centered approach (Reeves et al., 2018). The following sections will explore the best implantation framework that will set out important elements that stakeholders need to consider when designing a forward-looking holistic approach to elderly care and the necessary steps to deliver care using community outreach networks.   </w:t>
      </w:r>
    </w:p>
    <w:p w14:paraId="332B9B47" w14:textId="77777777" w:rsidR="003B3C63" w:rsidRPr="00025790" w:rsidRDefault="003B3C63" w:rsidP="003B3C63">
      <w:pPr>
        <w:ind w:firstLine="720"/>
        <w:rPr>
          <w:b/>
          <w:bCs/>
          <w:i/>
          <w:iCs/>
        </w:rPr>
      </w:pPr>
      <w:r w:rsidRPr="00025790">
        <w:rPr>
          <w:b/>
          <w:bCs/>
          <w:i/>
          <w:iCs/>
        </w:rPr>
        <w:t xml:space="preserve">Stakeholder Collaboration </w:t>
      </w:r>
    </w:p>
    <w:p w14:paraId="2AF0B674" w14:textId="77777777" w:rsidR="003B3C63" w:rsidRDefault="003B3C63" w:rsidP="003B3C63">
      <w:pPr>
        <w:ind w:firstLine="720"/>
      </w:pPr>
      <w:r>
        <w:t xml:space="preserve">It is now established that Stakeholder involvement </w:t>
      </w:r>
      <w:proofErr w:type="gramStart"/>
      <w:r>
        <w:t>early on in the</w:t>
      </w:r>
      <w:proofErr w:type="gramEnd"/>
      <w:r>
        <w:t xml:space="preserve"> project can increase project implementation success by many folds. Community developers can identify a continuum of approaches to improve population health and reduce health inequalities through engagement. These often range from limited engagements such as information and consolation to development, participation, and empowerment.   </w:t>
      </w:r>
    </w:p>
    <w:p w14:paraId="6F945ACD" w14:textId="77777777" w:rsidR="003B3C63" w:rsidRDefault="003B3C63" w:rsidP="003B3C63">
      <w:pPr>
        <w:ind w:firstLine="720"/>
      </w:pPr>
      <w:r>
        <w:t xml:space="preserve">Moreover, community engagement success involves several moderating factors, which are critical in determining development success. Although intervening factors derive from a large pool of studies, professionals in community forums and key stakeholders in the public ought to ensure they adopt guiding frameworks in their local context and identify specific interventions that would yield a most inclusive and forward-looking approach in elderly care (Reeves et al., 2018). Partners engaging in community development should commit towards citizen empowerment and upskill and motivate </w:t>
      </w:r>
      <w:proofErr w:type="gramStart"/>
      <w:r>
        <w:t>citizens</w:t>
      </w:r>
      <w:proofErr w:type="gramEnd"/>
      <w:r>
        <w:t xml:space="preserve"> so they take up more active roles in community initiatives.  </w:t>
      </w:r>
    </w:p>
    <w:p w14:paraId="296C626F" w14:textId="77777777" w:rsidR="003B3C63" w:rsidRDefault="003B3C63" w:rsidP="003B3C63">
      <w:pPr>
        <w:ind w:firstLine="720"/>
      </w:pPr>
      <w:r>
        <w:t xml:space="preserve">Haldan et al. found that effective collaboration ensures community engagement benefits organizations and individual communities. They tend to move following a strategic focus that may contribute positively to the organization's long-term visions while aiding outreach initiatives (2018). Recognizing contributions from diverse stakeholders also enables communities to extend their views beyond domestic relations. In addition, insight from collaborative networks also minimizes risks and contributes to the panel's long-term strategic plans.  </w:t>
      </w:r>
    </w:p>
    <w:p w14:paraId="3E090ED2" w14:textId="77777777" w:rsidR="003B3C63" w:rsidRPr="00025790" w:rsidRDefault="003B3C63" w:rsidP="003B3C63">
      <w:pPr>
        <w:ind w:firstLine="720"/>
        <w:rPr>
          <w:b/>
          <w:bCs/>
          <w:i/>
          <w:iCs/>
        </w:rPr>
      </w:pPr>
      <w:r w:rsidRPr="00025790">
        <w:rPr>
          <w:b/>
          <w:bCs/>
          <w:i/>
          <w:iCs/>
        </w:rPr>
        <w:t xml:space="preserve">Community Empowerment </w:t>
      </w:r>
    </w:p>
    <w:p w14:paraId="7C8A679A" w14:textId="77777777" w:rsidR="003B3C63" w:rsidRDefault="003B3C63" w:rsidP="003B3C63">
      <w:pPr>
        <w:ind w:firstLine="720"/>
      </w:pPr>
      <w:r>
        <w:t xml:space="preserve">Besides setting specifying needs and driving engagement, community-led interventions must also seek to empower their stakeholders. Since they originate from community members, empowerment derives from within communities instead of mainstream public health or related interventions in public service. Often this approach follows identifying the needs of individuals, which translates into groups, and finally results in a socio-political drive (Reeves et al., 2018). When interventions follow this development, the issues of who identifies needs and specifies outcomes becomes critical as they reflect broadly in transparency and accountability, which permeates community engagement literature. These concerns are equally critical of effectiveness. Theoretical perspective, since most of the arguments that advance the premise of people's engagement are more likely to receive participation from the same communities—for community health directors, establishing working models requires a firm understanding of the motives behind people's engagement (Haldane et al., 2019). It is also important to understand which models are critical for understanding which models of community engagement will be best suited to deliver health outcomes.      </w:t>
      </w:r>
    </w:p>
    <w:p w14:paraId="64B56C90" w14:textId="3537BFBA" w:rsidR="003B3C63" w:rsidRPr="00025790" w:rsidRDefault="00025790" w:rsidP="003B3C63">
      <w:pPr>
        <w:ind w:firstLine="720"/>
        <w:rPr>
          <w:b/>
          <w:bCs/>
        </w:rPr>
      </w:pPr>
      <w:r>
        <w:rPr>
          <w:b/>
          <w:bCs/>
        </w:rPr>
        <w:t xml:space="preserve">Recommendations </w:t>
      </w:r>
      <w:r w:rsidRPr="00025790">
        <w:rPr>
          <w:b/>
          <w:bCs/>
        </w:rPr>
        <w:t>for</w:t>
      </w:r>
      <w:r w:rsidR="003B3C63" w:rsidRPr="00025790">
        <w:rPr>
          <w:b/>
          <w:bCs/>
        </w:rPr>
        <w:t xml:space="preserve"> Future Community Participation </w:t>
      </w:r>
    </w:p>
    <w:p w14:paraId="1F12C6A0" w14:textId="77777777" w:rsidR="003B3C63" w:rsidRDefault="003B3C63" w:rsidP="003B3C63">
      <w:pPr>
        <w:ind w:firstLine="720"/>
      </w:pPr>
      <w:r>
        <w:t>In measuring success, community engagement must stay committed to nurturing a healthy relationship within the partnering groups. Similarly, collaborating organizations must ensure they invest resources and time to further relationships with key stakeholders that can advance community initiatives. Sustainability in community development must go beyond engagement. Community outreach panels need to distill critical insight from consortium interactions and ensure they have implementable action plans (De Weger et al., 2018). The most functional community development programs lie in how best stakeholders can leverage insights to advance innovative approaches in elderly care and equipment acquisition. Both internal and external stakeholders must do this follow-up. Local consultants should be more proactive in driving forward momentum and help incorporate changes. Following this approach, community developers should narrow down the most effective tailor-made tactics for their respective regions.</w:t>
      </w:r>
    </w:p>
    <w:p w14:paraId="2E5ABAB3" w14:textId="77777777" w:rsidR="003B3C63" w:rsidRPr="003B3C63" w:rsidRDefault="003B3C63" w:rsidP="003B3C63">
      <w:pPr>
        <w:ind w:firstLine="720"/>
        <w:rPr>
          <w:b/>
          <w:bCs/>
        </w:rPr>
      </w:pPr>
      <w:r w:rsidRPr="003B3C63">
        <w:rPr>
          <w:b/>
          <w:bCs/>
        </w:rPr>
        <w:t>Conclusion</w:t>
      </w:r>
    </w:p>
    <w:p w14:paraId="380C6E06" w14:textId="69B91EF2" w:rsidR="00F778A4" w:rsidRDefault="003B3C63" w:rsidP="003B3C63">
      <w:pPr>
        <w:ind w:firstLine="720"/>
        <w:rPr>
          <w:b/>
          <w:bCs/>
        </w:rPr>
      </w:pPr>
      <w:r>
        <w:t xml:space="preserve"> Working with engaged communities is a two-way street that guarantees a winning strategy for both community outreach and partnering organizations. Collaborating with development consortiums and communities will enhance revisions and improve capacities in community development approaches. By evaluating services and programs with key partners, stakeholders in public health will gather valuable feedback that will be critical for future strategy. Interactions between partnering organizations and local communities create that inform planning, test program efficacy, and refine how organizations approach community engagement internally and advance their social agenda externally.</w:t>
      </w:r>
    </w:p>
    <w:p w14:paraId="4E40EA0C" w14:textId="77777777" w:rsidR="00DB3283" w:rsidRDefault="00DB3283">
      <w:pPr>
        <w:rPr>
          <w:b/>
          <w:bCs/>
        </w:rPr>
      </w:pPr>
    </w:p>
    <w:p w14:paraId="582699C1" w14:textId="77777777" w:rsidR="003B3C63" w:rsidRDefault="003B3C63" w:rsidP="00DB3283">
      <w:pPr>
        <w:jc w:val="center"/>
        <w:rPr>
          <w:b/>
          <w:bCs/>
        </w:rPr>
      </w:pPr>
    </w:p>
    <w:p w14:paraId="0BF8709F" w14:textId="77777777" w:rsidR="003B3C63" w:rsidRDefault="003B3C63" w:rsidP="00DB3283">
      <w:pPr>
        <w:jc w:val="center"/>
        <w:rPr>
          <w:b/>
          <w:bCs/>
        </w:rPr>
      </w:pPr>
    </w:p>
    <w:p w14:paraId="46191A54" w14:textId="77777777" w:rsidR="003B3C63" w:rsidRDefault="003B3C63" w:rsidP="00DB3283">
      <w:pPr>
        <w:jc w:val="center"/>
        <w:rPr>
          <w:b/>
          <w:bCs/>
        </w:rPr>
      </w:pPr>
    </w:p>
    <w:p w14:paraId="4EC8CB6C" w14:textId="55054446" w:rsidR="000E6904" w:rsidRPr="00CA752A" w:rsidRDefault="00CA752A" w:rsidP="00DB3283">
      <w:pPr>
        <w:jc w:val="center"/>
        <w:rPr>
          <w:b/>
          <w:bCs/>
        </w:rPr>
      </w:pPr>
      <w:r w:rsidRPr="00CA752A">
        <w:rPr>
          <w:b/>
          <w:bCs/>
        </w:rPr>
        <w:t>References</w:t>
      </w:r>
    </w:p>
    <w:p w14:paraId="659F592C" w14:textId="5CDB5488" w:rsidR="000E6904" w:rsidRDefault="00DB3283" w:rsidP="00B238B9">
      <w:pPr>
        <w:ind w:left="720" w:hanging="720"/>
      </w:pPr>
      <w:r w:rsidRPr="00DB3283">
        <w:t xml:space="preserve">Burgess, R., Osborne, R., </w:t>
      </w:r>
      <w:proofErr w:type="spellStart"/>
      <w:r w:rsidRPr="00DB3283">
        <w:t>Yongabi</w:t>
      </w:r>
      <w:proofErr w:type="spellEnd"/>
      <w:r w:rsidRPr="00DB3283">
        <w:t xml:space="preserve">, K., Greenhalgh, T., </w:t>
      </w:r>
      <w:proofErr w:type="spellStart"/>
      <w:r w:rsidRPr="00DB3283">
        <w:t>Gurdasani</w:t>
      </w:r>
      <w:proofErr w:type="spellEnd"/>
      <w:r w:rsidRPr="00DB3283">
        <w:t xml:space="preserve">, D., &amp; Kang, G. et al. (2021). The COVID-19 vaccines rush: participatory community engagement matters more than ever. The Lancet, 397(10268), 8-10. </w:t>
      </w:r>
      <w:hyperlink r:id="rId7" w:history="1">
        <w:r w:rsidRPr="007F09C3">
          <w:rPr>
            <w:rStyle w:val="Hyperlink"/>
          </w:rPr>
          <w:t>https://doi.org/10.1016/s0140-6736(20)32642-8</w:t>
        </w:r>
      </w:hyperlink>
    </w:p>
    <w:p w14:paraId="284A795F" w14:textId="78AE7C59" w:rsidR="00DB3283" w:rsidRDefault="00DB3283" w:rsidP="00B238B9">
      <w:pPr>
        <w:ind w:left="720" w:hanging="720"/>
        <w:jc w:val="left"/>
      </w:pPr>
      <w:r w:rsidRPr="00DB3283">
        <w:t xml:space="preserve">De Weger, E., Van Vooren, N., </w:t>
      </w:r>
      <w:proofErr w:type="spellStart"/>
      <w:r w:rsidRPr="00DB3283">
        <w:t>Luijkx</w:t>
      </w:r>
      <w:proofErr w:type="spellEnd"/>
      <w:r w:rsidRPr="00DB3283">
        <w:t xml:space="preserve">, K., Baan, C., &amp; Drewes, H. (2018). Achieving successful community engagement: a rapid realist review. BMC Health Services Research, 18(1). </w:t>
      </w:r>
      <w:hyperlink r:id="rId8" w:history="1">
        <w:r w:rsidRPr="007F09C3">
          <w:rPr>
            <w:rStyle w:val="Hyperlink"/>
          </w:rPr>
          <w:t>https://doi.org/10.1186/s12913-018-3090-1</w:t>
        </w:r>
      </w:hyperlink>
    </w:p>
    <w:p w14:paraId="02A7794A" w14:textId="754713B9" w:rsidR="00DB3283" w:rsidRDefault="00DB3283" w:rsidP="00B238B9">
      <w:pPr>
        <w:ind w:left="720" w:hanging="720"/>
        <w:jc w:val="left"/>
      </w:pPr>
      <w:r w:rsidRPr="00DB3283">
        <w:t xml:space="preserve">Haldane, V., Chuah, F., Srivastava, A., Singh, S., Koh, G., Seng, C., &amp; </w:t>
      </w:r>
      <w:proofErr w:type="spellStart"/>
      <w:r w:rsidRPr="00DB3283">
        <w:t>Legido</w:t>
      </w:r>
      <w:proofErr w:type="spellEnd"/>
      <w:r w:rsidRPr="00DB3283">
        <w:t xml:space="preserve">-Quigley, H. (2019). Community participation in health services development, implementation, and evaluation: A systematic review of empowerment, health, community, and process outcomes. PLOS ONE, 14(5), e0216112. </w:t>
      </w:r>
      <w:hyperlink r:id="rId9" w:history="1">
        <w:r w:rsidRPr="007F09C3">
          <w:rPr>
            <w:rStyle w:val="Hyperlink"/>
          </w:rPr>
          <w:t>https://doi.org/10.1371/journal.pone.0216112</w:t>
        </w:r>
      </w:hyperlink>
    </w:p>
    <w:p w14:paraId="46939B61" w14:textId="0C464061" w:rsidR="00DB3283" w:rsidRDefault="00DB3283" w:rsidP="00B238B9">
      <w:pPr>
        <w:ind w:left="720" w:hanging="720"/>
        <w:jc w:val="left"/>
      </w:pPr>
      <w:proofErr w:type="spellStart"/>
      <w:r w:rsidRPr="00DB3283">
        <w:t>Howdon</w:t>
      </w:r>
      <w:proofErr w:type="spellEnd"/>
      <w:r w:rsidRPr="00DB3283">
        <w:t xml:space="preserve">, D., &amp; Rice, N. (2018). Health care expenditures, age, proximity to death and morbidity: Implications for an ageing population. Journal Of Health Economics, 57, 60-74. </w:t>
      </w:r>
      <w:hyperlink r:id="rId10" w:history="1">
        <w:r w:rsidRPr="007F09C3">
          <w:rPr>
            <w:rStyle w:val="Hyperlink"/>
          </w:rPr>
          <w:t>https://doi.org/10.1016/j.jhealeco.2017.11.001</w:t>
        </w:r>
      </w:hyperlink>
    </w:p>
    <w:p w14:paraId="101AE2E1" w14:textId="6A9FAAFF" w:rsidR="00DB3283" w:rsidRDefault="00DB3283" w:rsidP="00B238B9">
      <w:pPr>
        <w:ind w:left="720" w:hanging="720"/>
        <w:jc w:val="left"/>
      </w:pPr>
      <w:r w:rsidRPr="00DB3283">
        <w:t xml:space="preserve">Reeves, D., Pye, S., Ashcroft, D., Clegg, A., </w:t>
      </w:r>
      <w:proofErr w:type="spellStart"/>
      <w:r w:rsidRPr="00DB3283">
        <w:t>Kontopantelis</w:t>
      </w:r>
      <w:proofErr w:type="spellEnd"/>
      <w:r w:rsidRPr="00DB3283">
        <w:t xml:space="preserve">, E., Blakeman, T., &amp; van </w:t>
      </w:r>
      <w:proofErr w:type="spellStart"/>
      <w:r w:rsidRPr="00DB3283">
        <w:t>Marwijk</w:t>
      </w:r>
      <w:proofErr w:type="spellEnd"/>
      <w:r w:rsidRPr="00DB3283">
        <w:t xml:space="preserve">, H. (2018). The challenge of ageing populations and patient frailty: can primary care </w:t>
      </w:r>
      <w:proofErr w:type="gramStart"/>
      <w:r w:rsidRPr="00DB3283">
        <w:t>adapt?.</w:t>
      </w:r>
      <w:proofErr w:type="gramEnd"/>
      <w:r w:rsidRPr="00DB3283">
        <w:t xml:space="preserve"> BMJ, k3349. </w:t>
      </w:r>
      <w:hyperlink r:id="rId11" w:history="1">
        <w:r w:rsidRPr="007F09C3">
          <w:rPr>
            <w:rStyle w:val="Hyperlink"/>
          </w:rPr>
          <w:t>https://doi.org/10.1136/bmj.k3349</w:t>
        </w:r>
      </w:hyperlink>
    </w:p>
    <w:p w14:paraId="7A9564B9" w14:textId="5407EDB3" w:rsidR="00DB3283" w:rsidRPr="000E6904" w:rsidRDefault="00DB3283" w:rsidP="00DB3283">
      <w:pPr>
        <w:jc w:val="left"/>
      </w:pPr>
    </w:p>
    <w:sectPr w:rsidR="00DB3283" w:rsidRPr="000E690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4A5D3" w14:textId="77777777" w:rsidR="00A72D3E" w:rsidRDefault="00A72D3E" w:rsidP="00025790">
      <w:pPr>
        <w:spacing w:after="0" w:line="240" w:lineRule="auto"/>
      </w:pPr>
      <w:r>
        <w:separator/>
      </w:r>
    </w:p>
  </w:endnote>
  <w:endnote w:type="continuationSeparator" w:id="0">
    <w:p w14:paraId="57DFC5B6" w14:textId="77777777" w:rsidR="00A72D3E" w:rsidRDefault="00A72D3E" w:rsidP="000257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E3B75" w14:textId="77777777" w:rsidR="00A72D3E" w:rsidRDefault="00A72D3E" w:rsidP="00025790">
      <w:pPr>
        <w:spacing w:after="0" w:line="240" w:lineRule="auto"/>
      </w:pPr>
      <w:r>
        <w:separator/>
      </w:r>
    </w:p>
  </w:footnote>
  <w:footnote w:type="continuationSeparator" w:id="0">
    <w:p w14:paraId="38D50DCB" w14:textId="77777777" w:rsidR="00A72D3E" w:rsidRDefault="00A72D3E" w:rsidP="000257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8E69E8"/>
    <w:multiLevelType w:val="hybridMultilevel"/>
    <w:tmpl w:val="797A9C28"/>
    <w:lvl w:ilvl="0" w:tplc="8D7661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89F"/>
    <w:rsid w:val="0000794B"/>
    <w:rsid w:val="000220C4"/>
    <w:rsid w:val="00025790"/>
    <w:rsid w:val="00025AE6"/>
    <w:rsid w:val="0008321C"/>
    <w:rsid w:val="000841D4"/>
    <w:rsid w:val="000E6904"/>
    <w:rsid w:val="0017110C"/>
    <w:rsid w:val="00186D5A"/>
    <w:rsid w:val="001C2A85"/>
    <w:rsid w:val="001E37E0"/>
    <w:rsid w:val="0022348F"/>
    <w:rsid w:val="00247443"/>
    <w:rsid w:val="0027625F"/>
    <w:rsid w:val="002D05F2"/>
    <w:rsid w:val="003103D1"/>
    <w:rsid w:val="00334323"/>
    <w:rsid w:val="0034083C"/>
    <w:rsid w:val="00360385"/>
    <w:rsid w:val="0037788B"/>
    <w:rsid w:val="00377DBC"/>
    <w:rsid w:val="003908FB"/>
    <w:rsid w:val="003B3C63"/>
    <w:rsid w:val="003D3ED2"/>
    <w:rsid w:val="00427595"/>
    <w:rsid w:val="00453AB0"/>
    <w:rsid w:val="004672AD"/>
    <w:rsid w:val="00493C20"/>
    <w:rsid w:val="004B6D45"/>
    <w:rsid w:val="004B7D06"/>
    <w:rsid w:val="004C3139"/>
    <w:rsid w:val="00512AE5"/>
    <w:rsid w:val="005D511D"/>
    <w:rsid w:val="006004AC"/>
    <w:rsid w:val="006E4AD5"/>
    <w:rsid w:val="006F6BD5"/>
    <w:rsid w:val="00730CB9"/>
    <w:rsid w:val="0075150A"/>
    <w:rsid w:val="00797C25"/>
    <w:rsid w:val="007A1BD0"/>
    <w:rsid w:val="007A2DC2"/>
    <w:rsid w:val="007E1A18"/>
    <w:rsid w:val="007E63A5"/>
    <w:rsid w:val="00817901"/>
    <w:rsid w:val="00827232"/>
    <w:rsid w:val="008621F3"/>
    <w:rsid w:val="00884B0E"/>
    <w:rsid w:val="008A3847"/>
    <w:rsid w:val="008E3580"/>
    <w:rsid w:val="00903327"/>
    <w:rsid w:val="00913C52"/>
    <w:rsid w:val="00923A42"/>
    <w:rsid w:val="00930DB1"/>
    <w:rsid w:val="00945E93"/>
    <w:rsid w:val="0095439A"/>
    <w:rsid w:val="009B397F"/>
    <w:rsid w:val="009B6F8B"/>
    <w:rsid w:val="009C2CFC"/>
    <w:rsid w:val="009C503C"/>
    <w:rsid w:val="009D62B3"/>
    <w:rsid w:val="009D6A2B"/>
    <w:rsid w:val="009E30AD"/>
    <w:rsid w:val="009F1A2E"/>
    <w:rsid w:val="009F5363"/>
    <w:rsid w:val="00A44244"/>
    <w:rsid w:val="00A45754"/>
    <w:rsid w:val="00A4621A"/>
    <w:rsid w:val="00A47319"/>
    <w:rsid w:val="00A548A0"/>
    <w:rsid w:val="00A563B6"/>
    <w:rsid w:val="00A62D8C"/>
    <w:rsid w:val="00A6589F"/>
    <w:rsid w:val="00A72D3E"/>
    <w:rsid w:val="00A97A58"/>
    <w:rsid w:val="00AE5E33"/>
    <w:rsid w:val="00B14CFA"/>
    <w:rsid w:val="00B205C9"/>
    <w:rsid w:val="00B238B9"/>
    <w:rsid w:val="00B24F9D"/>
    <w:rsid w:val="00B27AAC"/>
    <w:rsid w:val="00B312F4"/>
    <w:rsid w:val="00B54E62"/>
    <w:rsid w:val="00B945AF"/>
    <w:rsid w:val="00BB6E28"/>
    <w:rsid w:val="00BC26F3"/>
    <w:rsid w:val="00BD189A"/>
    <w:rsid w:val="00BD1BD4"/>
    <w:rsid w:val="00BE7327"/>
    <w:rsid w:val="00C05814"/>
    <w:rsid w:val="00C231F2"/>
    <w:rsid w:val="00C61B1D"/>
    <w:rsid w:val="00C920F6"/>
    <w:rsid w:val="00CA116E"/>
    <w:rsid w:val="00CA752A"/>
    <w:rsid w:val="00CB1E0D"/>
    <w:rsid w:val="00D40542"/>
    <w:rsid w:val="00D466C5"/>
    <w:rsid w:val="00D75C31"/>
    <w:rsid w:val="00D926EF"/>
    <w:rsid w:val="00DA339C"/>
    <w:rsid w:val="00DB3283"/>
    <w:rsid w:val="00E128BD"/>
    <w:rsid w:val="00E14B93"/>
    <w:rsid w:val="00E24444"/>
    <w:rsid w:val="00E53E2E"/>
    <w:rsid w:val="00E62CA8"/>
    <w:rsid w:val="00E86437"/>
    <w:rsid w:val="00EA342A"/>
    <w:rsid w:val="00EF1887"/>
    <w:rsid w:val="00EF43DF"/>
    <w:rsid w:val="00F16276"/>
    <w:rsid w:val="00F232FB"/>
    <w:rsid w:val="00F778A4"/>
    <w:rsid w:val="00FF5C59"/>
    <w:rsid w:val="00FF65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5A32A"/>
  <w15:docId w15:val="{8A72678F-FE6E-4442-BED0-9D3E8DD97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2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2CA8"/>
    <w:pPr>
      <w:ind w:left="720"/>
      <w:contextualSpacing/>
    </w:pPr>
  </w:style>
  <w:style w:type="character" w:styleId="Hyperlink">
    <w:name w:val="Hyperlink"/>
    <w:basedOn w:val="DefaultParagraphFont"/>
    <w:uiPriority w:val="99"/>
    <w:unhideWhenUsed/>
    <w:rsid w:val="000E6904"/>
    <w:rPr>
      <w:color w:val="0563C1" w:themeColor="hyperlink"/>
      <w:u w:val="single"/>
    </w:rPr>
  </w:style>
  <w:style w:type="character" w:styleId="UnresolvedMention">
    <w:name w:val="Unresolved Mention"/>
    <w:basedOn w:val="DefaultParagraphFont"/>
    <w:uiPriority w:val="99"/>
    <w:semiHidden/>
    <w:unhideWhenUsed/>
    <w:rsid w:val="000E6904"/>
    <w:rPr>
      <w:color w:val="605E5C"/>
      <w:shd w:val="clear" w:color="auto" w:fill="E1DFDD"/>
    </w:rPr>
  </w:style>
  <w:style w:type="character" w:styleId="FollowedHyperlink">
    <w:name w:val="FollowedHyperlink"/>
    <w:basedOn w:val="DefaultParagraphFont"/>
    <w:uiPriority w:val="99"/>
    <w:semiHidden/>
    <w:unhideWhenUsed/>
    <w:rsid w:val="0022348F"/>
    <w:rPr>
      <w:color w:val="954F72" w:themeColor="followedHyperlink"/>
      <w:u w:val="single"/>
    </w:rPr>
  </w:style>
  <w:style w:type="paragraph" w:styleId="Header">
    <w:name w:val="header"/>
    <w:basedOn w:val="Normal"/>
    <w:link w:val="HeaderChar"/>
    <w:uiPriority w:val="99"/>
    <w:unhideWhenUsed/>
    <w:rsid w:val="000257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5790"/>
  </w:style>
  <w:style w:type="paragraph" w:styleId="Footer">
    <w:name w:val="footer"/>
    <w:basedOn w:val="Normal"/>
    <w:link w:val="FooterChar"/>
    <w:uiPriority w:val="99"/>
    <w:unhideWhenUsed/>
    <w:rsid w:val="000257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57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12913-018-3090-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16/s0140-6736(20)32642-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36/bmj.k3349" TargetMode="External"/><Relationship Id="rId5" Type="http://schemas.openxmlformats.org/officeDocument/2006/relationships/footnotes" Target="footnotes.xml"/><Relationship Id="rId10" Type="http://schemas.openxmlformats.org/officeDocument/2006/relationships/hyperlink" Target="https://doi.org/10.1016/j.jhealeco.2017.11.001" TargetMode="External"/><Relationship Id="rId4" Type="http://schemas.openxmlformats.org/officeDocument/2006/relationships/webSettings" Target="webSettings.xml"/><Relationship Id="rId9" Type="http://schemas.openxmlformats.org/officeDocument/2006/relationships/hyperlink" Target="https://doi.org/10.1371/journal.pone.02161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2519</Words>
  <Characters>14360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AdnInsignts</dc:creator>
  <cp:keywords/>
  <dc:description/>
  <cp:lastModifiedBy>Anastasia Paun</cp:lastModifiedBy>
  <cp:revision>4</cp:revision>
  <dcterms:created xsi:type="dcterms:W3CDTF">2022-04-24T18:40:00Z</dcterms:created>
  <dcterms:modified xsi:type="dcterms:W3CDTF">2022-04-24T18:56:00Z</dcterms:modified>
</cp:coreProperties>
</file>