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7C5AF" w14:textId="77777777" w:rsidR="00E8132B" w:rsidRPr="005877C3" w:rsidRDefault="00E8132B" w:rsidP="00E8132B">
      <w:pPr>
        <w:rPr>
          <w:rFonts w:cs="Arial"/>
        </w:rPr>
      </w:pPr>
      <w:r w:rsidRPr="005877C3">
        <w:rPr>
          <w:rFonts w:cs="Arial"/>
          <w:noProof/>
        </w:rPr>
        <w:drawing>
          <wp:inline distT="0" distB="0" distL="0" distR="0" wp14:anchorId="5DF83869" wp14:editId="16990D9B">
            <wp:extent cx="5727700" cy="1149985"/>
            <wp:effectExtent l="0" t="0" r="0" b="5715"/>
            <wp:docPr id="17120460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46096" name="Picture 17120460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149985"/>
                    </a:xfrm>
                    <a:prstGeom prst="rect">
                      <a:avLst/>
                    </a:prstGeom>
                  </pic:spPr>
                </pic:pic>
              </a:graphicData>
            </a:graphic>
          </wp:inline>
        </w:drawing>
      </w:r>
    </w:p>
    <w:p w14:paraId="130790DC" w14:textId="77777777" w:rsidR="00E8132B" w:rsidRPr="005877C3" w:rsidRDefault="00E8132B" w:rsidP="00E8132B">
      <w:pPr>
        <w:rPr>
          <w:rFonts w:cs="Arial"/>
        </w:rPr>
      </w:pPr>
    </w:p>
    <w:p w14:paraId="244D09F0" w14:textId="77777777" w:rsidR="00E8132B" w:rsidRPr="005877C3" w:rsidRDefault="00E8132B" w:rsidP="00E8132B">
      <w:pPr>
        <w:rPr>
          <w:rFonts w:cs="Arial"/>
        </w:rPr>
      </w:pPr>
    </w:p>
    <w:p w14:paraId="3A82F0A3" w14:textId="77777777" w:rsidR="00E8132B" w:rsidRPr="005877C3" w:rsidRDefault="00E8132B" w:rsidP="00E8132B">
      <w:pPr>
        <w:rPr>
          <w:rFonts w:cs="Arial"/>
        </w:rPr>
      </w:pPr>
    </w:p>
    <w:p w14:paraId="4C567CBF" w14:textId="77777777" w:rsidR="00E8132B" w:rsidRPr="005877C3" w:rsidRDefault="00E8132B" w:rsidP="00E8132B">
      <w:pPr>
        <w:jc w:val="center"/>
        <w:rPr>
          <w:rFonts w:cs="Arial"/>
          <w:b/>
          <w:bCs/>
          <w:sz w:val="32"/>
          <w:szCs w:val="32"/>
        </w:rPr>
      </w:pPr>
      <w:r w:rsidRPr="005877C3">
        <w:rPr>
          <w:rFonts w:cs="Arial"/>
          <w:b/>
          <w:bCs/>
          <w:sz w:val="32"/>
          <w:szCs w:val="32"/>
        </w:rPr>
        <w:t>Master of Business Administration Programme</w:t>
      </w:r>
    </w:p>
    <w:p w14:paraId="2CFC9BEE" w14:textId="629A98CA" w:rsidR="00E8132B" w:rsidRPr="005877C3" w:rsidRDefault="00966B98" w:rsidP="00E8132B">
      <w:pPr>
        <w:jc w:val="center"/>
        <w:rPr>
          <w:rFonts w:cs="Arial"/>
          <w:b/>
          <w:bCs/>
          <w:sz w:val="32"/>
          <w:szCs w:val="32"/>
        </w:rPr>
      </w:pPr>
      <w:r w:rsidRPr="005877C3">
        <w:rPr>
          <w:rFonts w:cs="Arial"/>
          <w:b/>
          <w:bCs/>
          <w:sz w:val="32"/>
          <w:szCs w:val="32"/>
        </w:rPr>
        <w:t>Dissertation (</w:t>
      </w:r>
      <w:r w:rsidR="00E8132B" w:rsidRPr="005877C3">
        <w:rPr>
          <w:rFonts w:cs="Arial"/>
          <w:b/>
          <w:bCs/>
          <w:sz w:val="32"/>
          <w:szCs w:val="32"/>
        </w:rPr>
        <w:t>LCMB7035</w:t>
      </w:r>
      <w:r w:rsidRPr="005877C3">
        <w:rPr>
          <w:rFonts w:cs="Arial"/>
          <w:b/>
          <w:bCs/>
          <w:sz w:val="32"/>
          <w:szCs w:val="32"/>
        </w:rPr>
        <w:t>)</w:t>
      </w:r>
    </w:p>
    <w:p w14:paraId="71F6CC8E" w14:textId="77777777" w:rsidR="00E8132B" w:rsidRPr="005877C3" w:rsidRDefault="00E8132B" w:rsidP="00E8132B">
      <w:pPr>
        <w:rPr>
          <w:rFonts w:cs="Arial"/>
        </w:rPr>
      </w:pPr>
    </w:p>
    <w:p w14:paraId="24124E49" w14:textId="77777777" w:rsidR="00E8132B" w:rsidRPr="005877C3" w:rsidRDefault="00E8132B" w:rsidP="00E8132B">
      <w:pPr>
        <w:rPr>
          <w:rFonts w:cs="Arial"/>
        </w:rPr>
      </w:pPr>
    </w:p>
    <w:p w14:paraId="75491C09" w14:textId="77777777" w:rsidR="00966B98" w:rsidRPr="005877C3" w:rsidRDefault="00966B98" w:rsidP="00E8132B">
      <w:pPr>
        <w:rPr>
          <w:rFonts w:cs="Arial"/>
        </w:rPr>
      </w:pPr>
    </w:p>
    <w:p w14:paraId="00B651DC" w14:textId="0B2444C5" w:rsidR="00E8132B" w:rsidRPr="005877C3" w:rsidRDefault="00966B98" w:rsidP="00E8132B">
      <w:pPr>
        <w:rPr>
          <w:rFonts w:cs="Arial"/>
        </w:rPr>
      </w:pPr>
      <w:r w:rsidRPr="005877C3">
        <w:rPr>
          <w:rFonts w:cs="Arial"/>
          <w:noProof/>
        </w:rPr>
        <mc:AlternateContent>
          <mc:Choice Requires="wps">
            <w:drawing>
              <wp:anchor distT="0" distB="0" distL="114300" distR="114300" simplePos="0" relativeHeight="251659264" behindDoc="0" locked="0" layoutInCell="1" allowOverlap="1" wp14:anchorId="096EE8B3" wp14:editId="5662379A">
                <wp:simplePos x="0" y="0"/>
                <wp:positionH relativeFrom="column">
                  <wp:posOffset>109057</wp:posOffset>
                </wp:positionH>
                <wp:positionV relativeFrom="paragraph">
                  <wp:posOffset>169446</wp:posOffset>
                </wp:positionV>
                <wp:extent cx="5711869" cy="1241571"/>
                <wp:effectExtent l="0" t="0" r="15875" b="15875"/>
                <wp:wrapNone/>
                <wp:docPr id="650167962" name="Rounded Rectangle 1"/>
                <wp:cNvGraphicFramePr/>
                <a:graphic xmlns:a="http://schemas.openxmlformats.org/drawingml/2006/main">
                  <a:graphicData uri="http://schemas.microsoft.com/office/word/2010/wordprocessingShape">
                    <wps:wsp>
                      <wps:cNvSpPr/>
                      <wps:spPr>
                        <a:xfrm>
                          <a:off x="0" y="0"/>
                          <a:ext cx="5711869" cy="1241571"/>
                        </a:xfrm>
                        <a:prstGeom prst="roundRect">
                          <a:avLst/>
                        </a:prstGeom>
                        <a:noFill/>
                        <a:ln>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1D1048" w14:textId="77777777" w:rsidR="00966B98" w:rsidRPr="00966B98" w:rsidRDefault="00966B98" w:rsidP="00966B98">
                            <w:pPr>
                              <w:jc w:val="center"/>
                              <w:rPr>
                                <w:rFonts w:cs="Arial"/>
                                <w:b/>
                                <w:bCs/>
                                <w:color w:val="222A35" w:themeColor="text2" w:themeShade="80"/>
                                <w:sz w:val="32"/>
                                <w:szCs w:val="32"/>
                              </w:rPr>
                            </w:pPr>
                            <w:r w:rsidRPr="00966B98">
                              <w:rPr>
                                <w:rFonts w:cs="Arial"/>
                                <w:b/>
                                <w:bCs/>
                                <w:color w:val="222A35" w:themeColor="text2" w:themeShade="80"/>
                                <w:sz w:val="32"/>
                                <w:szCs w:val="32"/>
                              </w:rPr>
                              <w:t>Financial Risk Management and Profitability: A Case Study of Close Brothers Group plc in the UK Non-Banking Financial Sector</w:t>
                            </w:r>
                          </w:p>
                          <w:p w14:paraId="6C0807A0" w14:textId="77777777" w:rsidR="00966B98" w:rsidRDefault="00966B98" w:rsidP="00966B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6EE8B3" id="Rounded Rectangle 1" o:spid="_x0000_s1026" style="position:absolute;left:0;text-align:left;margin-left:8.6pt;margin-top:13.35pt;width:449.75pt;height:9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" filled="f" strokecolor="#1f3763 [1604]" strokeweight="1pt">
                <v:stroke joinstyle="miter"/>
                <v:textbox>
                  <w:txbxContent>
                    <w:p w14:paraId="6B1D1048" w14:textId="77777777" w:rsidR="00966B98" w:rsidRPr="00966B98" w:rsidRDefault="00966B98" w:rsidP="00966B98">
                      <w:pPr>
                        <w:jc w:val="center"/>
                        <w:rPr>
                          <w:rFonts w:cs="Arial"/>
                          <w:b/>
                          <w:bCs/>
                          <w:color w:val="222A35" w:themeColor="text2" w:themeShade="80"/>
                          <w:sz w:val="32"/>
                          <w:szCs w:val="32"/>
                        </w:rPr>
                      </w:pPr>
                      <w:r w:rsidRPr="00966B98">
                        <w:rPr>
                          <w:rFonts w:cs="Arial"/>
                          <w:b/>
                          <w:bCs/>
                          <w:color w:val="222A35" w:themeColor="text2" w:themeShade="80"/>
                          <w:sz w:val="32"/>
                          <w:szCs w:val="32"/>
                        </w:rPr>
                        <w:t>Financial Risk Management and Profitability: A Case Study of Close Brothers Group plc in the UK Non-Banking Financial Sector</w:t>
                      </w:r>
                    </w:p>
                    <w:p w14:paraId="6C0807A0" w14:textId="77777777" w:rsidR="00966B98" w:rsidRDefault="00966B98" w:rsidP="00966B98">
                      <w:pPr>
                        <w:jc w:val="center"/>
                      </w:pPr>
                    </w:p>
                  </w:txbxContent>
                </v:textbox>
              </v:roundrect>
            </w:pict>
          </mc:Fallback>
        </mc:AlternateContent>
      </w:r>
    </w:p>
    <w:p w14:paraId="6D6F1459" w14:textId="77777777" w:rsidR="00E8132B" w:rsidRPr="005877C3" w:rsidRDefault="00E8132B" w:rsidP="00E8132B">
      <w:pPr>
        <w:rPr>
          <w:rFonts w:cs="Arial"/>
        </w:rPr>
      </w:pPr>
    </w:p>
    <w:p w14:paraId="3651B867" w14:textId="77777777" w:rsidR="00E8132B" w:rsidRPr="005877C3" w:rsidRDefault="00E8132B" w:rsidP="00E8132B">
      <w:pPr>
        <w:rPr>
          <w:rFonts w:cs="Arial"/>
          <w:color w:val="0070C0"/>
        </w:rPr>
      </w:pPr>
    </w:p>
    <w:p w14:paraId="781C26B9" w14:textId="77777777" w:rsidR="00E8132B" w:rsidRPr="005877C3" w:rsidRDefault="00E8132B" w:rsidP="00E8132B">
      <w:pPr>
        <w:rPr>
          <w:rFonts w:cs="Arial"/>
        </w:rPr>
      </w:pPr>
    </w:p>
    <w:p w14:paraId="6B068935" w14:textId="77777777" w:rsidR="00E8132B" w:rsidRPr="005877C3" w:rsidRDefault="00E8132B" w:rsidP="00E8132B">
      <w:pPr>
        <w:rPr>
          <w:rFonts w:cs="Arial"/>
        </w:rPr>
      </w:pPr>
    </w:p>
    <w:p w14:paraId="74CA95C9" w14:textId="77777777" w:rsidR="00E8132B" w:rsidRPr="005877C3" w:rsidRDefault="00E8132B" w:rsidP="00E8132B">
      <w:pPr>
        <w:rPr>
          <w:rFonts w:cs="Arial"/>
        </w:rPr>
      </w:pPr>
    </w:p>
    <w:p w14:paraId="1AE130A4" w14:textId="77777777" w:rsidR="00E8132B" w:rsidRPr="005877C3" w:rsidRDefault="00E8132B" w:rsidP="00E8132B">
      <w:pPr>
        <w:rPr>
          <w:rFonts w:cs="Arial"/>
        </w:rPr>
      </w:pPr>
    </w:p>
    <w:p w14:paraId="048465CC" w14:textId="77777777" w:rsidR="00966B98" w:rsidRPr="005877C3" w:rsidRDefault="00966B98" w:rsidP="00E8132B">
      <w:pPr>
        <w:rPr>
          <w:rFonts w:cs="Arial"/>
        </w:rPr>
      </w:pPr>
    </w:p>
    <w:p w14:paraId="4C13B75A" w14:textId="77777777" w:rsidR="00E8132B" w:rsidRPr="005877C3" w:rsidRDefault="00E8132B" w:rsidP="00E8132B">
      <w:pPr>
        <w:rPr>
          <w:rFonts w:cs="Arial"/>
        </w:rPr>
      </w:pPr>
    </w:p>
    <w:p w14:paraId="2B6DE53E" w14:textId="77777777" w:rsidR="00E8132B" w:rsidRPr="005877C3" w:rsidRDefault="00E8132B" w:rsidP="00E8132B">
      <w:pPr>
        <w:rPr>
          <w:rFonts w:cs="Arial"/>
        </w:rPr>
      </w:pPr>
    </w:p>
    <w:p w14:paraId="3200446E" w14:textId="6937946A" w:rsidR="00E8132B" w:rsidRPr="005877C3" w:rsidRDefault="00E8132B" w:rsidP="00E8132B">
      <w:pPr>
        <w:rPr>
          <w:rFonts w:cs="Arial"/>
          <w:lang w:val="en-US"/>
        </w:rPr>
      </w:pPr>
      <w:r w:rsidRPr="005877C3">
        <w:rPr>
          <w:rFonts w:cs="Arial"/>
          <w:lang w:val="en-US"/>
        </w:rPr>
        <w:t>Student Name:</w:t>
      </w:r>
      <w:r w:rsidR="00B557E4">
        <w:rPr>
          <w:rFonts w:cs="Arial"/>
          <w:lang w:val="en-US"/>
        </w:rPr>
        <w:t xml:space="preserve"> </w:t>
      </w:r>
      <w:r w:rsidR="00B557E4" w:rsidRPr="00B557E4">
        <w:rPr>
          <w:rFonts w:cs="Arial"/>
          <w:lang w:val="en-US"/>
        </w:rPr>
        <w:t>Shabana Begum</w:t>
      </w:r>
    </w:p>
    <w:p w14:paraId="4F4DFFAF" w14:textId="2ACFA409" w:rsidR="00E8132B" w:rsidRPr="005877C3" w:rsidRDefault="00E8132B" w:rsidP="00E8132B">
      <w:pPr>
        <w:rPr>
          <w:rFonts w:cs="Arial"/>
          <w:lang w:val="en-US"/>
        </w:rPr>
      </w:pPr>
      <w:r w:rsidRPr="005877C3">
        <w:rPr>
          <w:rFonts w:cs="Arial"/>
          <w:lang w:val="en-US"/>
        </w:rPr>
        <w:t>Student ID:</w:t>
      </w:r>
      <w:r w:rsidR="00B557E4">
        <w:rPr>
          <w:rFonts w:cs="Arial"/>
          <w:lang w:val="en-US"/>
        </w:rPr>
        <w:t xml:space="preserve"> </w:t>
      </w:r>
      <w:r w:rsidR="00B557E4" w:rsidRPr="00B557E4">
        <w:rPr>
          <w:rFonts w:cs="Arial"/>
        </w:rPr>
        <w:t>2418824</w:t>
      </w:r>
    </w:p>
    <w:p w14:paraId="7E56C09A" w14:textId="185B168B" w:rsidR="00E8132B" w:rsidRPr="005877C3" w:rsidRDefault="00DE2885" w:rsidP="00E8132B">
      <w:pPr>
        <w:rPr>
          <w:rFonts w:cs="Arial"/>
          <w:lang w:val="en-US"/>
        </w:rPr>
      </w:pPr>
      <w:r>
        <w:rPr>
          <w:rFonts w:cs="Arial"/>
          <w:lang w:val="en-US"/>
        </w:rPr>
        <w:t>Lecturer Name</w:t>
      </w:r>
      <w:r w:rsidR="00DE6C15">
        <w:rPr>
          <w:rFonts w:cs="Arial"/>
          <w:lang w:val="en-US"/>
        </w:rPr>
        <w:t>:</w:t>
      </w:r>
      <w:r w:rsidR="00FE05FE">
        <w:rPr>
          <w:rFonts w:cs="Arial"/>
          <w:lang w:val="en-US"/>
        </w:rPr>
        <w:t xml:space="preserve"> Isaiah Oino</w:t>
      </w:r>
    </w:p>
    <w:p w14:paraId="6127C097" w14:textId="77777777" w:rsidR="00E8132B" w:rsidRPr="005877C3" w:rsidRDefault="00E8132B" w:rsidP="00E8132B">
      <w:pPr>
        <w:rPr>
          <w:rFonts w:cs="Arial"/>
          <w:lang w:val="en-US"/>
        </w:rPr>
      </w:pPr>
    </w:p>
    <w:p w14:paraId="4D14493B" w14:textId="77777777" w:rsidR="00E8132B" w:rsidRPr="005877C3" w:rsidRDefault="00E8132B" w:rsidP="00E8132B">
      <w:pPr>
        <w:rPr>
          <w:rFonts w:cs="Arial"/>
          <w:lang w:val="en-US"/>
        </w:rPr>
      </w:pPr>
    </w:p>
    <w:p w14:paraId="1E4A3740" w14:textId="77777777" w:rsidR="00E8132B" w:rsidRPr="005877C3" w:rsidRDefault="00E8132B" w:rsidP="00E8132B">
      <w:pPr>
        <w:rPr>
          <w:rFonts w:cs="Arial"/>
          <w:lang w:val="en-US"/>
        </w:rPr>
      </w:pPr>
    </w:p>
    <w:p w14:paraId="73B1FC53" w14:textId="35D792C8" w:rsidR="00436E6E" w:rsidRDefault="00436E6E" w:rsidP="00E8132B">
      <w:pPr>
        <w:jc w:val="center"/>
        <w:rPr>
          <w:rFonts w:cs="Arial"/>
          <w:lang w:val="en-US"/>
        </w:rPr>
      </w:pPr>
      <w:r>
        <w:rPr>
          <w:rFonts w:cs="Arial"/>
          <w:lang w:val="en-US"/>
        </w:rPr>
        <w:t>Word Count: 15380</w:t>
      </w:r>
    </w:p>
    <w:p w14:paraId="20364B6C" w14:textId="2F117DE7" w:rsidR="00E8132B" w:rsidRPr="005877C3" w:rsidRDefault="00E8132B" w:rsidP="00E8132B">
      <w:pPr>
        <w:jc w:val="center"/>
        <w:rPr>
          <w:rFonts w:cs="Arial"/>
          <w:lang w:val="en-US"/>
        </w:rPr>
      </w:pPr>
      <w:r w:rsidRPr="005877C3">
        <w:rPr>
          <w:rFonts w:cs="Arial"/>
          <w:lang w:val="en-US"/>
        </w:rPr>
        <w:t>Date of submission:</w:t>
      </w:r>
      <w:r w:rsidR="005D4B03">
        <w:rPr>
          <w:rFonts w:cs="Arial"/>
          <w:lang w:val="en-US"/>
        </w:rPr>
        <w:t xml:space="preserve"> </w:t>
      </w:r>
      <w:r w:rsidR="00272622">
        <w:rPr>
          <w:rFonts w:cs="Arial"/>
          <w:lang w:val="en-US"/>
        </w:rPr>
        <w:t>01/02/2026</w:t>
      </w:r>
    </w:p>
    <w:p w14:paraId="7791C826" w14:textId="77777777" w:rsidR="005E187C" w:rsidRDefault="005E187C">
      <w:pPr>
        <w:spacing w:after="160" w:line="259" w:lineRule="auto"/>
        <w:jc w:val="left"/>
        <w:rPr>
          <w:rFonts w:cs="Arial"/>
        </w:rPr>
      </w:pPr>
      <w:r>
        <w:rPr>
          <w:rFonts w:cs="Arial"/>
        </w:rPr>
        <w:br w:type="page"/>
      </w:r>
    </w:p>
    <w:p w14:paraId="46D393EB" w14:textId="77777777" w:rsidR="00B557E4" w:rsidRPr="009356C2" w:rsidRDefault="00B557E4" w:rsidP="00B557E4">
      <w:pPr>
        <w:spacing w:after="120"/>
        <w:rPr>
          <w:rFonts w:cs="Arial"/>
          <w:b/>
        </w:rPr>
      </w:pPr>
    </w:p>
    <w:p w14:paraId="3DDE6CF9" w14:textId="77777777" w:rsidR="00B557E4" w:rsidRPr="009356C2" w:rsidRDefault="00B557E4" w:rsidP="00B557E4">
      <w:pPr>
        <w:pBdr>
          <w:top w:val="single" w:sz="4" w:space="1" w:color="auto"/>
          <w:left w:val="single" w:sz="4" w:space="4" w:color="auto"/>
          <w:bottom w:val="single" w:sz="4" w:space="1" w:color="auto"/>
          <w:right w:val="single" w:sz="4" w:space="4" w:color="auto"/>
        </w:pBdr>
        <w:spacing w:after="120"/>
        <w:jc w:val="center"/>
        <w:rPr>
          <w:rFonts w:cs="Arial"/>
        </w:rPr>
      </w:pPr>
      <w:r w:rsidRPr="009356C2">
        <w:rPr>
          <w:rFonts w:cs="Arial"/>
          <w:noProof/>
        </w:rPr>
        <w:drawing>
          <wp:inline distT="0" distB="0" distL="0" distR="0" wp14:anchorId="3BC3AF91" wp14:editId="78159CC1">
            <wp:extent cx="2843530" cy="116586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3530" cy="1165860"/>
                    </a:xfrm>
                    <a:prstGeom prst="rect">
                      <a:avLst/>
                    </a:prstGeom>
                    <a:noFill/>
                    <a:ln>
                      <a:noFill/>
                    </a:ln>
                  </pic:spPr>
                </pic:pic>
              </a:graphicData>
            </a:graphic>
          </wp:inline>
        </w:drawing>
      </w:r>
    </w:p>
    <w:p w14:paraId="190754B1" w14:textId="77777777" w:rsidR="00B557E4" w:rsidRDefault="00B557E4" w:rsidP="00B557E4">
      <w:pPr>
        <w:pBdr>
          <w:top w:val="single" w:sz="4" w:space="1" w:color="auto"/>
          <w:left w:val="single" w:sz="4" w:space="4" w:color="auto"/>
          <w:bottom w:val="single" w:sz="4" w:space="1" w:color="auto"/>
          <w:right w:val="single" w:sz="4" w:space="4" w:color="auto"/>
        </w:pBdr>
        <w:spacing w:after="120"/>
        <w:jc w:val="center"/>
        <w:rPr>
          <w:rFonts w:cs="Arial"/>
          <w:b/>
          <w:sz w:val="28"/>
          <w:szCs w:val="28"/>
        </w:rPr>
      </w:pPr>
    </w:p>
    <w:p w14:paraId="4948C1AC" w14:textId="77777777" w:rsidR="00B557E4" w:rsidRPr="004A32A7" w:rsidRDefault="00B557E4" w:rsidP="00B557E4">
      <w:pPr>
        <w:pBdr>
          <w:top w:val="single" w:sz="4" w:space="1" w:color="auto"/>
          <w:left w:val="single" w:sz="4" w:space="4" w:color="auto"/>
          <w:bottom w:val="single" w:sz="4" w:space="1" w:color="auto"/>
          <w:right w:val="single" w:sz="4" w:space="4" w:color="auto"/>
        </w:pBdr>
        <w:spacing w:after="120"/>
        <w:jc w:val="center"/>
        <w:rPr>
          <w:rFonts w:cs="Arial"/>
          <w:sz w:val="28"/>
          <w:szCs w:val="28"/>
        </w:rPr>
      </w:pPr>
      <w:r w:rsidRPr="004A32A7">
        <w:rPr>
          <w:rFonts w:cs="Arial"/>
          <w:b/>
          <w:sz w:val="28"/>
          <w:szCs w:val="28"/>
        </w:rPr>
        <w:t>Master’s Degrees by Examination and Dissertation</w:t>
      </w:r>
    </w:p>
    <w:p w14:paraId="073AC63E" w14:textId="77777777" w:rsidR="00B557E4" w:rsidRPr="004A32A7" w:rsidRDefault="00B557E4" w:rsidP="00B557E4">
      <w:pPr>
        <w:pBdr>
          <w:top w:val="single" w:sz="4" w:space="1" w:color="auto"/>
          <w:left w:val="single" w:sz="4" w:space="4" w:color="auto"/>
          <w:bottom w:val="single" w:sz="4" w:space="1" w:color="auto"/>
          <w:right w:val="single" w:sz="4" w:space="4" w:color="auto"/>
        </w:pBdr>
        <w:spacing w:after="120"/>
        <w:jc w:val="center"/>
        <w:rPr>
          <w:rFonts w:cs="Arial"/>
          <w:sz w:val="28"/>
          <w:szCs w:val="28"/>
        </w:rPr>
      </w:pPr>
      <w:r w:rsidRPr="004A32A7">
        <w:rPr>
          <w:rFonts w:cs="Arial"/>
          <w:b/>
          <w:sz w:val="28"/>
          <w:szCs w:val="28"/>
        </w:rPr>
        <w:t>Declaration Form</w:t>
      </w:r>
      <w:r w:rsidRPr="004A32A7">
        <w:rPr>
          <w:rFonts w:cs="Arial"/>
          <w:sz w:val="28"/>
          <w:szCs w:val="28"/>
        </w:rPr>
        <w:t>.</w:t>
      </w:r>
    </w:p>
    <w:p w14:paraId="74D3FB6E" w14:textId="77777777" w:rsidR="00B557E4"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p>
    <w:p w14:paraId="0361B309" w14:textId="0DA175A4" w:rsidR="00B557E4" w:rsidRPr="004A32A7"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I, </w:t>
      </w:r>
      <w:r w:rsidRPr="00B557E4">
        <w:rPr>
          <w:rFonts w:cs="Arial"/>
          <w:lang w:val="en-US"/>
        </w:rPr>
        <w:t>Shabana Begum</w:t>
      </w:r>
      <w:r>
        <w:rPr>
          <w:rFonts w:cs="Arial"/>
        </w:rPr>
        <w:t>,</w:t>
      </w:r>
      <w:r w:rsidRPr="004A32A7">
        <w:rPr>
          <w:rFonts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61E0E59" w14:textId="77777777" w:rsidR="00B557E4" w:rsidRPr="004A32A7"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 </w:t>
      </w:r>
    </w:p>
    <w:p w14:paraId="5A19615E" w14:textId="1844C24F" w:rsidR="00B557E4"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Signature: …………</w:t>
      </w:r>
      <w:r w:rsidRPr="00B557E4">
        <w:rPr>
          <w:rFonts w:cs="Arial"/>
          <w:lang w:val="en-US"/>
        </w:rPr>
        <w:t xml:space="preserve"> Shabana Begum</w:t>
      </w:r>
      <w:r w:rsidRPr="004A32A7">
        <w:rPr>
          <w:rFonts w:cs="Arial"/>
        </w:rPr>
        <w:t xml:space="preserve"> ………..............</w:t>
      </w:r>
    </w:p>
    <w:p w14:paraId="1AB948B7" w14:textId="77777777" w:rsidR="00B557E4" w:rsidRPr="004A32A7"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r w:rsidRPr="004A32A7">
        <w:rPr>
          <w:rFonts w:cs="Arial"/>
        </w:rPr>
        <w:t xml:space="preserve"> </w:t>
      </w:r>
    </w:p>
    <w:p w14:paraId="512747BB" w14:textId="58B4C942" w:rsidR="00B557E4" w:rsidRDefault="00B557E4" w:rsidP="00B557E4">
      <w:pPr>
        <w:pBdr>
          <w:top w:val="single" w:sz="4" w:space="1" w:color="auto"/>
          <w:left w:val="single" w:sz="4" w:space="4" w:color="auto"/>
          <w:bottom w:val="single" w:sz="4" w:space="1" w:color="auto"/>
          <w:right w:val="single" w:sz="4" w:space="4" w:color="auto"/>
        </w:pBdr>
        <w:spacing w:after="120" w:line="480" w:lineRule="auto"/>
        <w:rPr>
          <w:rFonts w:cs="Arial"/>
        </w:rPr>
      </w:pPr>
      <w:r>
        <w:rPr>
          <w:rFonts w:cs="Arial"/>
        </w:rPr>
        <w:t>Date</w:t>
      </w:r>
      <w:r w:rsidRPr="004A32A7">
        <w:rPr>
          <w:rFonts w:cs="Arial"/>
        </w:rPr>
        <w:t>:</w:t>
      </w:r>
      <w:r>
        <w:rPr>
          <w:rFonts w:cs="Arial"/>
        </w:rPr>
        <w:t xml:space="preserve">         </w:t>
      </w:r>
      <w:r w:rsidRPr="004A32A7">
        <w:rPr>
          <w:rFonts w:cs="Arial"/>
        </w:rPr>
        <w:t>…………......</w:t>
      </w:r>
      <w:r>
        <w:rPr>
          <w:rFonts w:cs="Arial"/>
        </w:rPr>
        <w:t>01/02/26</w:t>
      </w:r>
      <w:r w:rsidRPr="004A32A7">
        <w:rPr>
          <w:rFonts w:cs="Arial"/>
        </w:rPr>
        <w:t>.................</w:t>
      </w:r>
    </w:p>
    <w:p w14:paraId="6AF7B410" w14:textId="77777777" w:rsidR="00B557E4" w:rsidRPr="009356C2" w:rsidRDefault="00B557E4" w:rsidP="00B557E4">
      <w:pPr>
        <w:pBdr>
          <w:top w:val="single" w:sz="4" w:space="1" w:color="auto"/>
          <w:left w:val="single" w:sz="4" w:space="4" w:color="auto"/>
          <w:bottom w:val="single" w:sz="4" w:space="1" w:color="auto"/>
          <w:right w:val="single" w:sz="4" w:space="4" w:color="auto"/>
        </w:pBdr>
        <w:spacing w:after="120"/>
        <w:rPr>
          <w:rFonts w:cs="Arial"/>
        </w:rPr>
      </w:pPr>
    </w:p>
    <w:p w14:paraId="01B6F7E0" w14:textId="2FE822F4" w:rsidR="00773D8E" w:rsidRPr="005877C3" w:rsidRDefault="00773D8E">
      <w:pPr>
        <w:spacing w:after="160" w:line="259" w:lineRule="auto"/>
        <w:jc w:val="left"/>
        <w:rPr>
          <w:rFonts w:cs="Arial"/>
        </w:rPr>
      </w:pPr>
      <w:r w:rsidRPr="005877C3">
        <w:rPr>
          <w:rFonts w:cs="Arial"/>
        </w:rPr>
        <w:br w:type="page"/>
      </w:r>
    </w:p>
    <w:p w14:paraId="63500625" w14:textId="77777777" w:rsidR="00773D8E" w:rsidRPr="005877C3" w:rsidRDefault="00773D8E" w:rsidP="00773D8E">
      <w:pPr>
        <w:pStyle w:val="Heading1"/>
        <w:rPr>
          <w:rFonts w:cs="Arial"/>
        </w:rPr>
      </w:pPr>
      <w:bookmarkStart w:id="0" w:name="_Toc220882940"/>
      <w:r w:rsidRPr="005877C3">
        <w:rPr>
          <w:rFonts w:cs="Arial"/>
        </w:rPr>
        <w:lastRenderedPageBreak/>
        <w:t>Abstract</w:t>
      </w:r>
      <w:bookmarkEnd w:id="0"/>
    </w:p>
    <w:p w14:paraId="344936DC" w14:textId="7BA4A018" w:rsidR="00773D8E" w:rsidRPr="005877C3" w:rsidRDefault="00317CE6" w:rsidP="00317CE6">
      <w:pPr>
        <w:spacing w:after="240"/>
        <w:rPr>
          <w:rFonts w:cs="Arial"/>
        </w:rPr>
      </w:pPr>
      <w:r w:rsidRPr="00317CE6">
        <w:rPr>
          <w:rFonts w:cs="Arial"/>
        </w:rPr>
        <w:t xml:space="preserve">This dissertation </w:t>
      </w:r>
      <w:r>
        <w:rPr>
          <w:rFonts w:cs="Arial"/>
        </w:rPr>
        <w:t>focuse</w:t>
      </w:r>
      <w:r w:rsidRPr="00317CE6">
        <w:rPr>
          <w:rFonts w:cs="Arial"/>
        </w:rPr>
        <w:t>s on the importance of financial risk management to Close Brothers Group plc</w:t>
      </w:r>
      <w:r>
        <w:rPr>
          <w:rFonts w:cs="Arial"/>
        </w:rPr>
        <w:t>’s</w:t>
      </w:r>
      <w:r w:rsidRPr="00317CE6">
        <w:rPr>
          <w:rFonts w:cs="Arial"/>
        </w:rPr>
        <w:t xml:space="preserve"> profitability in the years 2019 to 2024</w:t>
      </w:r>
      <w:r>
        <w:rPr>
          <w:rFonts w:cs="Arial"/>
        </w:rPr>
        <w:t xml:space="preserve">. Its </w:t>
      </w:r>
      <w:r w:rsidRPr="00317CE6">
        <w:rPr>
          <w:rFonts w:cs="Arial"/>
        </w:rPr>
        <w:t>Top Position UK-based non-bank financial institution (NBFI). It goes into some depth on how the company manages significant financial risks - such as credit, liquidity, market and operational risks</w:t>
      </w:r>
      <w:r>
        <w:rPr>
          <w:rFonts w:cs="Arial"/>
        </w:rPr>
        <w:t>. It follows the</w:t>
      </w:r>
      <w:r w:rsidRPr="00317CE6">
        <w:rPr>
          <w:rFonts w:cs="Arial"/>
        </w:rPr>
        <w:t xml:space="preserve"> regulatory frameworks such as those of the Financial Conduct Authority (FCA) and the Prudential Regulation Authority (PRA). The study uncovers the fact that the conservative approach to risk management and its focus on strict underwriting</w:t>
      </w:r>
      <w:r>
        <w:rPr>
          <w:rFonts w:cs="Arial"/>
        </w:rPr>
        <w:t>,</w:t>
      </w:r>
      <w:r w:rsidRPr="00317CE6">
        <w:rPr>
          <w:rFonts w:cs="Arial"/>
        </w:rPr>
        <w:t xml:space="preserve"> good-quality collateral</w:t>
      </w:r>
      <w:r>
        <w:rPr>
          <w:rFonts w:cs="Arial"/>
        </w:rPr>
        <w:t>,</w:t>
      </w:r>
      <w:r w:rsidRPr="00317CE6">
        <w:rPr>
          <w:rFonts w:cs="Arial"/>
        </w:rPr>
        <w:t xml:space="preserve"> and strong capital buffers ha</w:t>
      </w:r>
      <w:r>
        <w:rPr>
          <w:rFonts w:cs="Arial"/>
        </w:rPr>
        <w:t>ve</w:t>
      </w:r>
      <w:r w:rsidRPr="00317CE6">
        <w:rPr>
          <w:rFonts w:cs="Arial"/>
        </w:rPr>
        <w:t xml:space="preserve"> helped the firm to continue making money</w:t>
      </w:r>
      <w:r>
        <w:rPr>
          <w:rFonts w:cs="Arial"/>
        </w:rPr>
        <w:t xml:space="preserve">. </w:t>
      </w:r>
      <w:r w:rsidR="00877A7A" w:rsidRPr="00877A7A">
        <w:rPr>
          <w:rFonts w:cs="Arial"/>
        </w:rPr>
        <w:t>Even though periods of economic disruption</w:t>
      </w:r>
      <w:r w:rsidR="00877A7A">
        <w:rPr>
          <w:rFonts w:cs="Arial"/>
        </w:rPr>
        <w:t>,</w:t>
      </w:r>
      <w:r w:rsidR="00877A7A" w:rsidRPr="00877A7A">
        <w:rPr>
          <w:rFonts w:cs="Arial"/>
        </w:rPr>
        <w:t xml:space="preserve"> such as Brexit and the Covid 19 pandemic. Through a cumulation of qualitative risk disclos</w:t>
      </w:r>
      <w:r w:rsidR="00877A7A">
        <w:rPr>
          <w:rFonts w:cs="Arial"/>
        </w:rPr>
        <w:t>ure</w:t>
      </w:r>
      <w:r w:rsidR="00877A7A" w:rsidRPr="00877A7A">
        <w:rPr>
          <w:rFonts w:cs="Arial"/>
        </w:rPr>
        <w:t xml:space="preserve"> and quantitative financial ratios. The research shows that disciplined risk management practices are part and parcel to the ability of the institution to generate consistent returns and control volatility. The findings suggest more </w:t>
      </w:r>
      <w:r w:rsidR="00877A7A">
        <w:rPr>
          <w:rFonts w:cs="Arial"/>
        </w:rPr>
        <w:t>regarding</w:t>
      </w:r>
      <w:r w:rsidR="00877A7A" w:rsidRPr="00877A7A">
        <w:rPr>
          <w:rFonts w:cs="Arial"/>
        </w:rPr>
        <w:t xml:space="preserve"> the balance between risk management and profit</w:t>
      </w:r>
      <w:r w:rsidR="00877A7A">
        <w:rPr>
          <w:rFonts w:cs="Arial"/>
        </w:rPr>
        <w:t>,</w:t>
      </w:r>
      <w:r w:rsidR="00877A7A" w:rsidRPr="00877A7A">
        <w:rPr>
          <w:rFonts w:cs="Arial"/>
        </w:rPr>
        <w:t xml:space="preserve"> as they point out the conservative approach of Close Brothers. It also provides financial stability and regulatory compliance, but has limited its capacity to have high</w:t>
      </w:r>
      <w:r w:rsidR="00877A7A">
        <w:rPr>
          <w:rFonts w:cs="Arial"/>
        </w:rPr>
        <w:t>-</w:t>
      </w:r>
      <w:r w:rsidR="00877A7A" w:rsidRPr="00877A7A">
        <w:rPr>
          <w:rFonts w:cs="Arial"/>
        </w:rPr>
        <w:t>growth ventures in more volatile sectors. However, the study also shows the power of stringent risk controls and in particular of the credit provisions and liquidity buffers by the firm. And also reveals how this has been used to ensure that the firm is not affected by financial distress due to instability in the market. In contrast, the case of the analysis depicted is that those being too risk averse encompasses a prospect of limiting profit in more favourable economic conditions. The research concludes with some practical recommendations, which include improving the management of provisioning, capital allocation and liquidity management in order to maintain long term profitability. This dissertation contributes to the body of knowledge in understanding how the NBFIs can balance between risk management and profitability and gives insights that can be applied by similar institutions that do operations with the current volatile financial landscape.</w:t>
      </w:r>
    </w:p>
    <w:p w14:paraId="587777CA" w14:textId="77777777" w:rsidR="00773D8E" w:rsidRPr="005877C3" w:rsidRDefault="00773D8E">
      <w:pPr>
        <w:spacing w:after="160" w:line="259" w:lineRule="auto"/>
        <w:jc w:val="left"/>
        <w:rPr>
          <w:rFonts w:cs="Arial"/>
        </w:rPr>
      </w:pPr>
      <w:r w:rsidRPr="005877C3">
        <w:rPr>
          <w:rFonts w:cs="Arial"/>
        </w:rPr>
        <w:br w:type="page"/>
      </w:r>
    </w:p>
    <w:p w14:paraId="77CA542F" w14:textId="048E0C38" w:rsidR="00773D8E" w:rsidRPr="005877C3" w:rsidRDefault="00773D8E" w:rsidP="00773D8E">
      <w:pPr>
        <w:pStyle w:val="Heading1"/>
        <w:rPr>
          <w:rFonts w:cs="Arial"/>
        </w:rPr>
      </w:pPr>
      <w:bookmarkStart w:id="1" w:name="_Toc220882941"/>
      <w:r w:rsidRPr="005877C3">
        <w:rPr>
          <w:rFonts w:cs="Arial"/>
        </w:rPr>
        <w:lastRenderedPageBreak/>
        <w:t>Acknowledgement</w:t>
      </w:r>
      <w:bookmarkEnd w:id="1"/>
      <w:r w:rsidRPr="005877C3">
        <w:rPr>
          <w:rFonts w:cs="Arial"/>
        </w:rPr>
        <w:t> </w:t>
      </w:r>
    </w:p>
    <w:p w14:paraId="280C8D1B" w14:textId="5A8FD461" w:rsidR="00773D8E" w:rsidRPr="005877C3" w:rsidRDefault="00877A7A" w:rsidP="00773D8E">
      <w:pPr>
        <w:spacing w:after="240"/>
        <w:rPr>
          <w:rFonts w:cs="Arial"/>
        </w:rPr>
      </w:pPr>
      <w:r w:rsidRPr="00877A7A">
        <w:rPr>
          <w:rFonts w:cs="Arial"/>
        </w:rPr>
        <w:t>I should like to thank all those who have encouraged me to finish this dissertation. First, I want to thank my supervisor for his/her guidance, patience</w:t>
      </w:r>
      <w:r w:rsidR="00EE76F1">
        <w:rPr>
          <w:rFonts w:cs="Arial"/>
        </w:rPr>
        <w:t>,</w:t>
      </w:r>
      <w:r w:rsidRPr="00877A7A">
        <w:rPr>
          <w:rFonts w:cs="Arial"/>
        </w:rPr>
        <w:t xml:space="preserve"> as well as constructive feedback during the research process. The direction of their work helped in the formation of the study and </w:t>
      </w:r>
      <w:r w:rsidR="00EE76F1">
        <w:rPr>
          <w:rFonts w:cs="Arial"/>
        </w:rPr>
        <w:t xml:space="preserve">in </w:t>
      </w:r>
      <w:r w:rsidRPr="00877A7A">
        <w:rPr>
          <w:rFonts w:cs="Arial"/>
        </w:rPr>
        <w:t xml:space="preserve">maintaining the academic work on track. I am also grateful to the participants who took part in the survey and shared their experiences. </w:t>
      </w:r>
      <w:r w:rsidR="00773D8E" w:rsidRPr="005877C3">
        <w:rPr>
          <w:rFonts w:cs="Arial"/>
        </w:rPr>
        <w:t>It is because of their responses that this research was possible. I would like to thank my lecturers for giving me the knowledge and skill</w:t>
      </w:r>
      <w:r w:rsidR="00355821" w:rsidRPr="005877C3">
        <w:rPr>
          <w:rFonts w:cs="Arial"/>
          <w:lang w:val="en-US"/>
        </w:rPr>
        <w:t>s</w:t>
      </w:r>
      <w:r w:rsidR="00773D8E" w:rsidRPr="005877C3">
        <w:rPr>
          <w:rFonts w:cs="Arial"/>
        </w:rPr>
        <w:t xml:space="preserve"> developed in the MBA programme. So, with some gratitude</w:t>
      </w:r>
      <w:r w:rsidR="00355821" w:rsidRPr="005877C3">
        <w:rPr>
          <w:rFonts w:cs="Arial"/>
          <w:lang w:val="en-US"/>
        </w:rPr>
        <w:t>,</w:t>
      </w:r>
      <w:r w:rsidR="00773D8E" w:rsidRPr="005877C3">
        <w:rPr>
          <w:rFonts w:cs="Arial"/>
        </w:rPr>
        <w:t xml:space="preserve"> I end this by expressing my thanks towards my family and friends for their encouragement and understanding in challenging times. Divine support of this pair has been the motivation and balance to this journey. I am immensely grateful to the learning environment that enabled critical thinking</w:t>
      </w:r>
      <w:r w:rsidR="00355821" w:rsidRPr="005877C3">
        <w:rPr>
          <w:rFonts w:cs="Arial"/>
          <w:lang w:val="en-US"/>
        </w:rPr>
        <w:t>,</w:t>
      </w:r>
      <w:r w:rsidR="00773D8E" w:rsidRPr="005877C3">
        <w:rPr>
          <w:rFonts w:cs="Arial"/>
        </w:rPr>
        <w:t xml:space="preserve"> autonomy and professional development during my studies. This experience has been challenging as well as rewarding for my academic development and goals in the future profession's overall success.</w:t>
      </w:r>
    </w:p>
    <w:p w14:paraId="1C524795" w14:textId="793858E3" w:rsidR="00E8132B" w:rsidRPr="005877C3" w:rsidRDefault="00E8132B">
      <w:pPr>
        <w:spacing w:after="160" w:line="259" w:lineRule="auto"/>
        <w:jc w:val="left"/>
        <w:rPr>
          <w:rFonts w:cs="Arial"/>
        </w:rPr>
      </w:pPr>
      <w:r w:rsidRPr="005877C3">
        <w:rPr>
          <w:rFonts w:cs="Arial"/>
        </w:rPr>
        <w:br w:type="page"/>
      </w:r>
    </w:p>
    <w:sdt>
      <w:sdtPr>
        <w:rPr>
          <w:rFonts w:cs="Arial"/>
          <w:b w:val="0"/>
          <w:sz w:val="24"/>
          <w:szCs w:val="24"/>
          <w:lang w:eastAsia="en-GB" w:bidi="bn-IN"/>
        </w:rPr>
        <w:id w:val="-92560756"/>
        <w:docPartObj>
          <w:docPartGallery w:val="Table of Contents"/>
          <w:docPartUnique/>
        </w:docPartObj>
      </w:sdtPr>
      <w:sdtEndPr>
        <w:rPr>
          <w:noProof/>
        </w:rPr>
      </w:sdtEndPr>
      <w:sdtContent>
        <w:p w14:paraId="0243086A" w14:textId="39B20387" w:rsidR="00E8132B" w:rsidRPr="005877C3" w:rsidRDefault="00E8132B">
          <w:pPr>
            <w:pStyle w:val="TOCHeading"/>
            <w:rPr>
              <w:rFonts w:cs="Arial"/>
            </w:rPr>
          </w:pPr>
          <w:r w:rsidRPr="005877C3">
            <w:rPr>
              <w:rFonts w:cs="Arial"/>
            </w:rPr>
            <w:t>Table of Contents</w:t>
          </w:r>
        </w:p>
        <w:p w14:paraId="3DD5BB23" w14:textId="60BDF431" w:rsidR="00543FF1" w:rsidRPr="00543FF1" w:rsidRDefault="00E8132B" w:rsidP="00543FF1">
          <w:pPr>
            <w:pStyle w:val="TOC1"/>
            <w:tabs>
              <w:tab w:val="right" w:leader="dot" w:pos="9010"/>
            </w:tabs>
            <w:rPr>
              <w:rFonts w:ascii="Arial" w:eastAsiaTheme="minorEastAsia" w:hAnsi="Arial" w:cs="Arial"/>
              <w:b w:val="0"/>
              <w:bCs w:val="0"/>
              <w:i w:val="0"/>
              <w:iCs w:val="0"/>
              <w:noProof/>
              <w:kern w:val="2"/>
              <w:lang/>
              <w14:ligatures w14:val="standardContextual"/>
            </w:rPr>
          </w:pPr>
          <w:r w:rsidRPr="00543FF1">
            <w:rPr>
              <w:rFonts w:ascii="Arial" w:hAnsi="Arial" w:cs="Arial"/>
              <w:b w:val="0"/>
              <w:bCs w:val="0"/>
              <w:i w:val="0"/>
              <w:iCs w:val="0"/>
            </w:rPr>
            <w:fldChar w:fldCharType="begin"/>
          </w:r>
          <w:r w:rsidRPr="00543FF1">
            <w:rPr>
              <w:rFonts w:ascii="Arial" w:hAnsi="Arial" w:cs="Arial"/>
              <w:b w:val="0"/>
              <w:bCs w:val="0"/>
              <w:i w:val="0"/>
              <w:iCs w:val="0"/>
            </w:rPr>
            <w:instrText xml:space="preserve"> TOC \o "1-3" \h \z \u </w:instrText>
          </w:r>
          <w:r w:rsidRPr="00543FF1">
            <w:rPr>
              <w:rFonts w:ascii="Arial" w:hAnsi="Arial" w:cs="Arial"/>
              <w:b w:val="0"/>
              <w:bCs w:val="0"/>
              <w:i w:val="0"/>
              <w:iCs w:val="0"/>
            </w:rPr>
            <w:fldChar w:fldCharType="separate"/>
          </w:r>
          <w:hyperlink w:anchor="_Toc220882940" w:history="1">
            <w:r w:rsidR="00543FF1" w:rsidRPr="00543FF1">
              <w:rPr>
                <w:rStyle w:val="Hyperlink"/>
                <w:rFonts w:ascii="Arial" w:hAnsi="Arial" w:cs="Arial"/>
                <w:b w:val="0"/>
                <w:bCs w:val="0"/>
                <w:i w:val="0"/>
                <w:iCs w:val="0"/>
                <w:noProof/>
              </w:rPr>
              <w:t>Abstract</w:t>
            </w:r>
            <w:r w:rsidR="00543FF1" w:rsidRPr="00543FF1">
              <w:rPr>
                <w:rFonts w:ascii="Arial" w:hAnsi="Arial" w:cs="Arial"/>
                <w:b w:val="0"/>
                <w:bCs w:val="0"/>
                <w:i w:val="0"/>
                <w:iCs w:val="0"/>
                <w:noProof/>
                <w:webHidden/>
              </w:rPr>
              <w:tab/>
            </w:r>
            <w:r w:rsidR="00543FF1" w:rsidRPr="00543FF1">
              <w:rPr>
                <w:rFonts w:ascii="Arial" w:hAnsi="Arial" w:cs="Arial"/>
                <w:b w:val="0"/>
                <w:bCs w:val="0"/>
                <w:i w:val="0"/>
                <w:iCs w:val="0"/>
                <w:noProof/>
                <w:webHidden/>
              </w:rPr>
              <w:fldChar w:fldCharType="begin"/>
            </w:r>
            <w:r w:rsidR="00543FF1" w:rsidRPr="00543FF1">
              <w:rPr>
                <w:rFonts w:ascii="Arial" w:hAnsi="Arial" w:cs="Arial"/>
                <w:b w:val="0"/>
                <w:bCs w:val="0"/>
                <w:i w:val="0"/>
                <w:iCs w:val="0"/>
                <w:noProof/>
                <w:webHidden/>
              </w:rPr>
              <w:instrText xml:space="preserve"> PAGEREF _Toc220882940 \h </w:instrText>
            </w:r>
            <w:r w:rsidR="00543FF1" w:rsidRPr="00543FF1">
              <w:rPr>
                <w:rFonts w:ascii="Arial" w:hAnsi="Arial" w:cs="Arial"/>
                <w:b w:val="0"/>
                <w:bCs w:val="0"/>
                <w:i w:val="0"/>
                <w:iCs w:val="0"/>
                <w:noProof/>
                <w:webHidden/>
              </w:rPr>
            </w:r>
            <w:r w:rsidR="00543FF1" w:rsidRPr="00543FF1">
              <w:rPr>
                <w:rFonts w:ascii="Arial" w:hAnsi="Arial" w:cs="Arial"/>
                <w:b w:val="0"/>
                <w:bCs w:val="0"/>
                <w:i w:val="0"/>
                <w:iCs w:val="0"/>
                <w:noProof/>
                <w:webHidden/>
              </w:rPr>
              <w:fldChar w:fldCharType="separate"/>
            </w:r>
            <w:r w:rsidR="00543FF1" w:rsidRPr="00543FF1">
              <w:rPr>
                <w:rFonts w:ascii="Arial" w:hAnsi="Arial" w:cs="Arial"/>
                <w:b w:val="0"/>
                <w:bCs w:val="0"/>
                <w:i w:val="0"/>
                <w:iCs w:val="0"/>
                <w:noProof/>
                <w:webHidden/>
              </w:rPr>
              <w:t>3</w:t>
            </w:r>
            <w:r w:rsidR="00543FF1" w:rsidRPr="00543FF1">
              <w:rPr>
                <w:rFonts w:ascii="Arial" w:hAnsi="Arial" w:cs="Arial"/>
                <w:b w:val="0"/>
                <w:bCs w:val="0"/>
                <w:i w:val="0"/>
                <w:iCs w:val="0"/>
                <w:noProof/>
                <w:webHidden/>
              </w:rPr>
              <w:fldChar w:fldCharType="end"/>
            </w:r>
          </w:hyperlink>
        </w:p>
        <w:p w14:paraId="4B7905AE" w14:textId="207EE7DF"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2941" w:history="1">
            <w:r w:rsidRPr="00543FF1">
              <w:rPr>
                <w:rStyle w:val="Hyperlink"/>
                <w:rFonts w:ascii="Arial" w:hAnsi="Arial" w:cs="Arial"/>
                <w:b w:val="0"/>
                <w:bCs w:val="0"/>
                <w:i w:val="0"/>
                <w:iCs w:val="0"/>
                <w:noProof/>
              </w:rPr>
              <w:t>Acknowledgement</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_Toc220882941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4</w:t>
            </w:r>
            <w:r w:rsidRPr="00543FF1">
              <w:rPr>
                <w:rFonts w:ascii="Arial" w:hAnsi="Arial" w:cs="Arial"/>
                <w:b w:val="0"/>
                <w:bCs w:val="0"/>
                <w:i w:val="0"/>
                <w:iCs w:val="0"/>
                <w:noProof/>
                <w:webHidden/>
              </w:rPr>
              <w:fldChar w:fldCharType="end"/>
            </w:r>
          </w:hyperlink>
        </w:p>
        <w:p w14:paraId="7CDBC77D" w14:textId="20CE4A15"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2942" w:history="1">
            <w:r w:rsidRPr="00543FF1">
              <w:rPr>
                <w:rStyle w:val="Hyperlink"/>
                <w:rFonts w:ascii="Arial" w:hAnsi="Arial" w:cs="Arial"/>
                <w:b w:val="0"/>
                <w:bCs w:val="0"/>
                <w:i w:val="0"/>
                <w:iCs w:val="0"/>
                <w:noProof/>
              </w:rPr>
              <w:t>Chapter 1: Introduction</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_Toc220882942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8</w:t>
            </w:r>
            <w:r w:rsidRPr="00543FF1">
              <w:rPr>
                <w:rFonts w:ascii="Arial" w:hAnsi="Arial" w:cs="Arial"/>
                <w:b w:val="0"/>
                <w:bCs w:val="0"/>
                <w:i w:val="0"/>
                <w:iCs w:val="0"/>
                <w:noProof/>
                <w:webHidden/>
              </w:rPr>
              <w:fldChar w:fldCharType="end"/>
            </w:r>
          </w:hyperlink>
        </w:p>
        <w:p w14:paraId="1680FA1A" w14:textId="62A9F446"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3" w:history="1">
            <w:r w:rsidRPr="00543FF1">
              <w:rPr>
                <w:rStyle w:val="Hyperlink"/>
                <w:rFonts w:ascii="Arial" w:hAnsi="Arial" w:cs="Arial"/>
                <w:b w:val="0"/>
                <w:bCs w:val="0"/>
                <w:noProof/>
                <w:sz w:val="24"/>
                <w:szCs w:val="24"/>
              </w:rPr>
              <w:t>1.1 Background of the Study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_Toc220882943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8</w:t>
            </w:r>
            <w:r w:rsidRPr="00543FF1">
              <w:rPr>
                <w:rFonts w:ascii="Arial" w:hAnsi="Arial" w:cs="Arial"/>
                <w:b w:val="0"/>
                <w:bCs w:val="0"/>
                <w:noProof/>
                <w:webHidden/>
                <w:sz w:val="24"/>
                <w:szCs w:val="24"/>
              </w:rPr>
              <w:fldChar w:fldCharType="end"/>
            </w:r>
          </w:hyperlink>
        </w:p>
        <w:p w14:paraId="6D077C4D" w14:textId="2D7E22F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4" w:history="1">
            <w:r w:rsidRPr="00543FF1">
              <w:rPr>
                <w:rStyle w:val="Hyperlink"/>
                <w:rFonts w:ascii="Arial" w:hAnsi="Arial" w:cs="Arial"/>
                <w:b w:val="0"/>
                <w:bCs w:val="0"/>
                <w:noProof/>
                <w:sz w:val="24"/>
                <w:szCs w:val="24"/>
              </w:rPr>
              <w:t>1.2 Profile of Close Brothers Group plc</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_Toc220882944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8</w:t>
            </w:r>
            <w:r w:rsidRPr="00543FF1">
              <w:rPr>
                <w:rFonts w:ascii="Arial" w:hAnsi="Arial" w:cs="Arial"/>
                <w:b w:val="0"/>
                <w:bCs w:val="0"/>
                <w:noProof/>
                <w:webHidden/>
                <w:sz w:val="24"/>
                <w:szCs w:val="24"/>
              </w:rPr>
              <w:fldChar w:fldCharType="end"/>
            </w:r>
          </w:hyperlink>
        </w:p>
        <w:p w14:paraId="53389367" w14:textId="6454F6D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5" w:history="1">
            <w:r w:rsidRPr="00543FF1">
              <w:rPr>
                <w:rStyle w:val="Hyperlink"/>
                <w:rFonts w:ascii="Arial" w:hAnsi="Arial" w:cs="Arial"/>
                <w:b w:val="0"/>
                <w:bCs w:val="0"/>
                <w:noProof/>
                <w:sz w:val="24"/>
                <w:szCs w:val="24"/>
              </w:rPr>
              <w:t>1.3 Problem Statement</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9</w:t>
            </w:r>
            <w:r w:rsidRPr="00543FF1">
              <w:rPr>
                <w:rFonts w:ascii="Arial" w:hAnsi="Arial" w:cs="Arial"/>
                <w:b w:val="0"/>
                <w:bCs w:val="0"/>
                <w:noProof/>
                <w:webHidden/>
                <w:sz w:val="24"/>
                <w:szCs w:val="24"/>
              </w:rPr>
              <w:fldChar w:fldCharType="end"/>
            </w:r>
          </w:hyperlink>
        </w:p>
        <w:p w14:paraId="3C7BB2CE" w14:textId="224A38A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6" w:history="1">
            <w:r w:rsidRPr="00543FF1">
              <w:rPr>
                <w:rStyle w:val="Hyperlink"/>
                <w:rFonts w:ascii="Arial" w:hAnsi="Arial" w:cs="Arial"/>
                <w:b w:val="0"/>
                <w:bCs w:val="0"/>
                <w:noProof/>
                <w:sz w:val="24"/>
                <w:szCs w:val="24"/>
              </w:rPr>
              <w:t>1.4 Research Aim</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_Toc220882946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10</w:t>
            </w:r>
            <w:r w:rsidRPr="00543FF1">
              <w:rPr>
                <w:rFonts w:ascii="Arial" w:hAnsi="Arial" w:cs="Arial"/>
                <w:b w:val="0"/>
                <w:bCs w:val="0"/>
                <w:noProof/>
                <w:webHidden/>
                <w:sz w:val="24"/>
                <w:szCs w:val="24"/>
              </w:rPr>
              <w:fldChar w:fldCharType="end"/>
            </w:r>
          </w:hyperlink>
        </w:p>
        <w:p w14:paraId="70876140" w14:textId="71537028"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7" w:history="1">
            <w:r w:rsidRPr="00543FF1">
              <w:rPr>
                <w:rStyle w:val="Hyperlink"/>
                <w:rFonts w:ascii="Arial" w:hAnsi="Arial" w:cs="Arial"/>
                <w:b w:val="0"/>
                <w:bCs w:val="0"/>
                <w:noProof/>
                <w:sz w:val="24"/>
                <w:szCs w:val="24"/>
              </w:rPr>
              <w:t>1.5 Research Objectives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_Toc220882947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10</w:t>
            </w:r>
            <w:r w:rsidRPr="00543FF1">
              <w:rPr>
                <w:rFonts w:ascii="Arial" w:hAnsi="Arial" w:cs="Arial"/>
                <w:b w:val="0"/>
                <w:bCs w:val="0"/>
                <w:noProof/>
                <w:webHidden/>
                <w:sz w:val="24"/>
                <w:szCs w:val="24"/>
              </w:rPr>
              <w:fldChar w:fldCharType="end"/>
            </w:r>
          </w:hyperlink>
        </w:p>
        <w:p w14:paraId="14AABAFB" w14:textId="1EA5ADF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8" w:history="1">
            <w:r w:rsidRPr="00543FF1">
              <w:rPr>
                <w:rStyle w:val="Hyperlink"/>
                <w:rFonts w:ascii="Arial" w:hAnsi="Arial" w:cs="Arial"/>
                <w:b w:val="0"/>
                <w:bCs w:val="0"/>
                <w:noProof/>
                <w:sz w:val="24"/>
                <w:szCs w:val="24"/>
              </w:rPr>
              <w:t>1.6 Research Questions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_Toc220882948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10</w:t>
            </w:r>
            <w:r w:rsidRPr="00543FF1">
              <w:rPr>
                <w:rFonts w:ascii="Arial" w:hAnsi="Arial" w:cs="Arial"/>
                <w:b w:val="0"/>
                <w:bCs w:val="0"/>
                <w:noProof/>
                <w:webHidden/>
                <w:sz w:val="24"/>
                <w:szCs w:val="24"/>
              </w:rPr>
              <w:fldChar w:fldCharType="end"/>
            </w:r>
          </w:hyperlink>
        </w:p>
        <w:p w14:paraId="74D3E3DB" w14:textId="72F80449"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49" w:history="1">
            <w:r w:rsidRPr="00543FF1">
              <w:rPr>
                <w:rStyle w:val="Hyperlink"/>
                <w:rFonts w:ascii="Arial" w:hAnsi="Arial" w:cs="Arial"/>
                <w:b w:val="0"/>
                <w:bCs w:val="0"/>
                <w:noProof/>
                <w:sz w:val="24"/>
                <w:szCs w:val="24"/>
              </w:rPr>
              <w:t>1.7 Rationale for the Study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_Toc220882949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10</w:t>
            </w:r>
            <w:r w:rsidRPr="00543FF1">
              <w:rPr>
                <w:rFonts w:ascii="Arial" w:hAnsi="Arial" w:cs="Arial"/>
                <w:b w:val="0"/>
                <w:bCs w:val="0"/>
                <w:noProof/>
                <w:webHidden/>
                <w:sz w:val="24"/>
                <w:szCs w:val="24"/>
              </w:rPr>
              <w:fldChar w:fldCharType="end"/>
            </w:r>
          </w:hyperlink>
        </w:p>
        <w:p w14:paraId="7FD93CFE" w14:textId="573802C4"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0" w:history="1">
            <w:r w:rsidRPr="00543FF1">
              <w:rPr>
                <w:rStyle w:val="Hyperlink"/>
                <w:rFonts w:ascii="Arial" w:hAnsi="Arial" w:cs="Arial"/>
                <w:b w:val="0"/>
                <w:bCs w:val="0"/>
                <w:noProof/>
                <w:sz w:val="24"/>
                <w:szCs w:val="24"/>
              </w:rPr>
              <w:t>1.8 Significance of the Study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_Toc220882950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11</w:t>
            </w:r>
            <w:r w:rsidRPr="00543FF1">
              <w:rPr>
                <w:rFonts w:ascii="Arial" w:hAnsi="Arial" w:cs="Arial"/>
                <w:b w:val="0"/>
                <w:bCs w:val="0"/>
                <w:noProof/>
                <w:webHidden/>
                <w:sz w:val="24"/>
                <w:szCs w:val="24"/>
              </w:rPr>
              <w:fldChar w:fldCharType="end"/>
            </w:r>
          </w:hyperlink>
        </w:p>
        <w:p w14:paraId="4C05E6D1" w14:textId="318624A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1" w:history="1">
            <w:r w:rsidRPr="00543FF1">
              <w:rPr>
                <w:rStyle w:val="Hyperlink"/>
                <w:rFonts w:ascii="Arial" w:hAnsi="Arial" w:cs="Arial"/>
                <w:b w:val="0"/>
                <w:bCs w:val="0"/>
                <w:noProof/>
                <w:sz w:val="24"/>
                <w:szCs w:val="24"/>
              </w:rPr>
              <w:t>1.9 Scope of the Study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11</w:t>
            </w:r>
            <w:r w:rsidRPr="00543FF1">
              <w:rPr>
                <w:rFonts w:ascii="Arial" w:hAnsi="Arial" w:cs="Arial"/>
                <w:b w:val="0"/>
                <w:bCs w:val="0"/>
                <w:noProof/>
                <w:webHidden/>
                <w:sz w:val="24"/>
                <w:szCs w:val="24"/>
              </w:rPr>
              <w:fldChar w:fldCharType="end"/>
            </w:r>
          </w:hyperlink>
        </w:p>
        <w:p w14:paraId="1974B439" w14:textId="668EBDC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2" w:history="1">
            <w:r w:rsidRPr="00543FF1">
              <w:rPr>
                <w:rStyle w:val="Hyperlink"/>
                <w:rFonts w:ascii="Arial" w:hAnsi="Arial" w:cs="Arial"/>
                <w:b w:val="0"/>
                <w:bCs w:val="0"/>
                <w:noProof/>
                <w:sz w:val="24"/>
                <w:szCs w:val="24"/>
              </w:rPr>
              <w:t>1.10 Structure of the Dissertation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_Toc220882952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12</w:t>
            </w:r>
            <w:r w:rsidRPr="00543FF1">
              <w:rPr>
                <w:rFonts w:ascii="Arial" w:hAnsi="Arial" w:cs="Arial"/>
                <w:b w:val="0"/>
                <w:bCs w:val="0"/>
                <w:noProof/>
                <w:webHidden/>
                <w:sz w:val="24"/>
                <w:szCs w:val="24"/>
              </w:rPr>
              <w:fldChar w:fldCharType="end"/>
            </w:r>
          </w:hyperlink>
        </w:p>
        <w:p w14:paraId="2D32AF72" w14:textId="48F7152B"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2953" w:history="1">
            <w:r w:rsidRPr="00543FF1">
              <w:rPr>
                <w:rStyle w:val="Hyperlink"/>
                <w:rFonts w:ascii="Arial" w:hAnsi="Arial" w:cs="Arial"/>
                <w:b w:val="0"/>
                <w:bCs w:val="0"/>
                <w:i w:val="0"/>
                <w:iCs w:val="0"/>
                <w:noProof/>
              </w:rPr>
              <w:t>Chapter 2: Literature Review</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_Toc220882953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14</w:t>
            </w:r>
            <w:r w:rsidRPr="00543FF1">
              <w:rPr>
                <w:rFonts w:ascii="Arial" w:hAnsi="Arial" w:cs="Arial"/>
                <w:b w:val="0"/>
                <w:bCs w:val="0"/>
                <w:i w:val="0"/>
                <w:iCs w:val="0"/>
                <w:noProof/>
                <w:webHidden/>
              </w:rPr>
              <w:fldChar w:fldCharType="end"/>
            </w:r>
          </w:hyperlink>
        </w:p>
        <w:p w14:paraId="0C817FDC" w14:textId="64D2D81F"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4" w:history="1">
            <w:r w:rsidRPr="00543FF1">
              <w:rPr>
                <w:rStyle w:val="Hyperlink"/>
                <w:rFonts w:ascii="Arial" w:hAnsi="Arial" w:cs="Arial"/>
                <w:b w:val="0"/>
                <w:bCs w:val="0"/>
                <w:noProof/>
                <w:sz w:val="24"/>
                <w:szCs w:val="24"/>
              </w:rPr>
              <w:t>2.1 Introduction to the Literature Review</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_Toc220882954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14</w:t>
            </w:r>
            <w:r w:rsidRPr="00543FF1">
              <w:rPr>
                <w:rFonts w:ascii="Arial" w:hAnsi="Arial" w:cs="Arial"/>
                <w:b w:val="0"/>
                <w:bCs w:val="0"/>
                <w:noProof/>
                <w:webHidden/>
                <w:sz w:val="24"/>
                <w:szCs w:val="24"/>
              </w:rPr>
              <w:fldChar w:fldCharType="end"/>
            </w:r>
          </w:hyperlink>
        </w:p>
        <w:p w14:paraId="5F12CD6C" w14:textId="2984743A"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5" w:history="1">
            <w:r w:rsidRPr="00543FF1">
              <w:rPr>
                <w:rStyle w:val="Hyperlink"/>
                <w:rFonts w:ascii="Arial" w:hAnsi="Arial" w:cs="Arial"/>
                <w:b w:val="0"/>
                <w:bCs w:val="0"/>
                <w:noProof/>
                <w:sz w:val="24"/>
                <w:szCs w:val="24"/>
              </w:rPr>
              <w:t>2.2 Theoretical Foundations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14</w:t>
            </w:r>
            <w:r w:rsidRPr="00543FF1">
              <w:rPr>
                <w:rFonts w:ascii="Arial" w:hAnsi="Arial" w:cs="Arial"/>
                <w:b w:val="0"/>
                <w:bCs w:val="0"/>
                <w:noProof/>
                <w:webHidden/>
                <w:sz w:val="24"/>
                <w:szCs w:val="24"/>
              </w:rPr>
              <w:fldChar w:fldCharType="end"/>
            </w:r>
          </w:hyperlink>
        </w:p>
        <w:p w14:paraId="6F5F9268" w14:textId="1CA4235F"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56" w:history="1">
            <w:r w:rsidRPr="00543FF1">
              <w:rPr>
                <w:rStyle w:val="Hyperlink"/>
                <w:rFonts w:ascii="Arial" w:hAnsi="Arial" w:cs="Arial"/>
                <w:noProof/>
                <w:sz w:val="24"/>
                <w:szCs w:val="24"/>
              </w:rPr>
              <w:t>2.2.1 Risk–Return Trade-Off Theory</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_Toc220882956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15</w:t>
            </w:r>
            <w:r w:rsidRPr="00543FF1">
              <w:rPr>
                <w:rFonts w:ascii="Arial" w:hAnsi="Arial" w:cs="Arial"/>
                <w:noProof/>
                <w:webHidden/>
                <w:sz w:val="24"/>
                <w:szCs w:val="24"/>
              </w:rPr>
              <w:fldChar w:fldCharType="end"/>
            </w:r>
          </w:hyperlink>
        </w:p>
        <w:p w14:paraId="40808862" w14:textId="1AC4DC4E"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57" w:history="1">
            <w:r w:rsidRPr="00543FF1">
              <w:rPr>
                <w:rStyle w:val="Hyperlink"/>
                <w:rFonts w:ascii="Arial" w:hAnsi="Arial" w:cs="Arial"/>
                <w:noProof/>
                <w:sz w:val="24"/>
                <w:szCs w:val="24"/>
              </w:rPr>
              <w:t>2.2.2 Modern Portfolio Theory</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_Toc220882957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15</w:t>
            </w:r>
            <w:r w:rsidRPr="00543FF1">
              <w:rPr>
                <w:rFonts w:ascii="Arial" w:hAnsi="Arial" w:cs="Arial"/>
                <w:noProof/>
                <w:webHidden/>
                <w:sz w:val="24"/>
                <w:szCs w:val="24"/>
              </w:rPr>
              <w:fldChar w:fldCharType="end"/>
            </w:r>
          </w:hyperlink>
        </w:p>
        <w:p w14:paraId="1DFCE0F5" w14:textId="28209AF8"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58" w:history="1">
            <w:r w:rsidRPr="00543FF1">
              <w:rPr>
                <w:rStyle w:val="Hyperlink"/>
                <w:rFonts w:ascii="Arial" w:hAnsi="Arial" w:cs="Arial"/>
                <w:noProof/>
                <w:sz w:val="24"/>
                <w:szCs w:val="24"/>
              </w:rPr>
              <w:t>2.2.3 Agency Theory and Governance</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_Toc220882958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16</w:t>
            </w:r>
            <w:r w:rsidRPr="00543FF1">
              <w:rPr>
                <w:rFonts w:ascii="Arial" w:hAnsi="Arial" w:cs="Arial"/>
                <w:noProof/>
                <w:webHidden/>
                <w:sz w:val="24"/>
                <w:szCs w:val="24"/>
              </w:rPr>
              <w:fldChar w:fldCharType="end"/>
            </w:r>
          </w:hyperlink>
        </w:p>
        <w:p w14:paraId="094EEA2E" w14:textId="70631E61"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59" w:history="1">
            <w:r w:rsidRPr="00543FF1">
              <w:rPr>
                <w:rStyle w:val="Hyperlink"/>
                <w:rFonts w:ascii="Arial" w:hAnsi="Arial" w:cs="Arial"/>
                <w:b w:val="0"/>
                <w:bCs w:val="0"/>
                <w:noProof/>
                <w:sz w:val="24"/>
                <w:szCs w:val="24"/>
              </w:rPr>
              <w:t>2.3 Financial Risk Types in Non-Banking Financial Institutions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_Toc220882959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16</w:t>
            </w:r>
            <w:r w:rsidRPr="00543FF1">
              <w:rPr>
                <w:rFonts w:ascii="Arial" w:hAnsi="Arial" w:cs="Arial"/>
                <w:b w:val="0"/>
                <w:bCs w:val="0"/>
                <w:noProof/>
                <w:webHidden/>
                <w:sz w:val="24"/>
                <w:szCs w:val="24"/>
              </w:rPr>
              <w:fldChar w:fldCharType="end"/>
            </w:r>
          </w:hyperlink>
        </w:p>
        <w:p w14:paraId="337A8BA7" w14:textId="096521B5"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0" w:history="1">
            <w:r w:rsidRPr="00543FF1">
              <w:rPr>
                <w:rStyle w:val="Hyperlink"/>
                <w:rFonts w:ascii="Arial" w:hAnsi="Arial" w:cs="Arial"/>
                <w:noProof/>
                <w:sz w:val="24"/>
                <w:szCs w:val="24"/>
              </w:rPr>
              <w:t>2.3.1 Credit Risk</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_Toc220882960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16</w:t>
            </w:r>
            <w:r w:rsidRPr="00543FF1">
              <w:rPr>
                <w:rFonts w:ascii="Arial" w:hAnsi="Arial" w:cs="Arial"/>
                <w:noProof/>
                <w:webHidden/>
                <w:sz w:val="24"/>
                <w:szCs w:val="24"/>
              </w:rPr>
              <w:fldChar w:fldCharType="end"/>
            </w:r>
          </w:hyperlink>
        </w:p>
        <w:p w14:paraId="7F4C4E32" w14:textId="5645C66A"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1" w:history="1">
            <w:r w:rsidRPr="00543FF1">
              <w:rPr>
                <w:rStyle w:val="Hyperlink"/>
                <w:rFonts w:ascii="Arial" w:hAnsi="Arial" w:cs="Arial"/>
                <w:noProof/>
                <w:sz w:val="24"/>
                <w:szCs w:val="24"/>
              </w:rPr>
              <w:t>2.3.2 Liquidity Risk</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_Toc220882961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17</w:t>
            </w:r>
            <w:r w:rsidRPr="00543FF1">
              <w:rPr>
                <w:rFonts w:ascii="Arial" w:hAnsi="Arial" w:cs="Arial"/>
                <w:noProof/>
                <w:webHidden/>
                <w:sz w:val="24"/>
                <w:szCs w:val="24"/>
              </w:rPr>
              <w:fldChar w:fldCharType="end"/>
            </w:r>
          </w:hyperlink>
        </w:p>
        <w:p w14:paraId="2D60CDC6" w14:textId="775789CF"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2" w:history="1">
            <w:r w:rsidRPr="00543FF1">
              <w:rPr>
                <w:rStyle w:val="Hyperlink"/>
                <w:rFonts w:ascii="Arial" w:hAnsi="Arial" w:cs="Arial"/>
                <w:noProof/>
                <w:sz w:val="24"/>
                <w:szCs w:val="24"/>
              </w:rPr>
              <w:t>2.3.3 Market Risk</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_Toc220882962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18</w:t>
            </w:r>
            <w:r w:rsidRPr="00543FF1">
              <w:rPr>
                <w:rFonts w:ascii="Arial" w:hAnsi="Arial" w:cs="Arial"/>
                <w:noProof/>
                <w:webHidden/>
                <w:sz w:val="24"/>
                <w:szCs w:val="24"/>
              </w:rPr>
              <w:fldChar w:fldCharType="end"/>
            </w:r>
          </w:hyperlink>
        </w:p>
        <w:p w14:paraId="75C2F746" w14:textId="4D1595E1"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3" w:history="1">
            <w:r w:rsidRPr="00543FF1">
              <w:rPr>
                <w:rStyle w:val="Hyperlink"/>
                <w:rFonts w:ascii="Arial" w:hAnsi="Arial" w:cs="Arial"/>
                <w:noProof/>
                <w:sz w:val="24"/>
                <w:szCs w:val="24"/>
              </w:rPr>
              <w:t>2.3.4 Operational Risk</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_Toc220882963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18</w:t>
            </w:r>
            <w:r w:rsidRPr="00543FF1">
              <w:rPr>
                <w:rFonts w:ascii="Arial" w:hAnsi="Arial" w:cs="Arial"/>
                <w:noProof/>
                <w:webHidden/>
                <w:sz w:val="24"/>
                <w:szCs w:val="24"/>
              </w:rPr>
              <w:fldChar w:fldCharType="end"/>
            </w:r>
          </w:hyperlink>
        </w:p>
        <w:p w14:paraId="53952A2C" w14:textId="1B73A1D1"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4" w:history="1">
            <w:r w:rsidRPr="00543FF1">
              <w:rPr>
                <w:rStyle w:val="Hyperlink"/>
                <w:rFonts w:ascii="Arial" w:hAnsi="Arial" w:cs="Arial"/>
                <w:noProof/>
                <w:sz w:val="24"/>
                <w:szCs w:val="24"/>
              </w:rPr>
              <w:t>2.3.5 Cultural and Governance Risks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_Toc220882964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18</w:t>
            </w:r>
            <w:r w:rsidRPr="00543FF1">
              <w:rPr>
                <w:rFonts w:ascii="Arial" w:hAnsi="Arial" w:cs="Arial"/>
                <w:noProof/>
                <w:webHidden/>
                <w:sz w:val="24"/>
                <w:szCs w:val="24"/>
              </w:rPr>
              <w:fldChar w:fldCharType="end"/>
            </w:r>
          </w:hyperlink>
        </w:p>
        <w:p w14:paraId="1C7FA97C" w14:textId="5B49E36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65" w:history="1">
            <w:r w:rsidRPr="00543FF1">
              <w:rPr>
                <w:rStyle w:val="Hyperlink"/>
                <w:rFonts w:ascii="Arial" w:hAnsi="Arial" w:cs="Arial"/>
                <w:b w:val="0"/>
                <w:bCs w:val="0"/>
                <w:noProof/>
                <w:sz w:val="24"/>
                <w:szCs w:val="24"/>
              </w:rPr>
              <w:t>2.4 Risk Management Frameworks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_Toc220882965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19</w:t>
            </w:r>
            <w:r w:rsidRPr="00543FF1">
              <w:rPr>
                <w:rFonts w:ascii="Arial" w:hAnsi="Arial" w:cs="Arial"/>
                <w:b w:val="0"/>
                <w:bCs w:val="0"/>
                <w:noProof/>
                <w:webHidden/>
                <w:sz w:val="24"/>
                <w:szCs w:val="24"/>
              </w:rPr>
              <w:fldChar w:fldCharType="end"/>
            </w:r>
          </w:hyperlink>
        </w:p>
        <w:p w14:paraId="6895C92B" w14:textId="41FF68AE"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6" w:history="1">
            <w:r w:rsidRPr="00543FF1">
              <w:rPr>
                <w:rStyle w:val="Hyperlink"/>
                <w:rFonts w:ascii="Arial" w:hAnsi="Arial" w:cs="Arial"/>
                <w:noProof/>
                <w:sz w:val="24"/>
                <w:szCs w:val="24"/>
              </w:rPr>
              <w:t>2.4.1 Identification, Monitoring, and Internal Controls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_Toc220882966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19</w:t>
            </w:r>
            <w:r w:rsidRPr="00543FF1">
              <w:rPr>
                <w:rFonts w:ascii="Arial" w:hAnsi="Arial" w:cs="Arial"/>
                <w:noProof/>
                <w:webHidden/>
                <w:sz w:val="24"/>
                <w:szCs w:val="24"/>
              </w:rPr>
              <w:fldChar w:fldCharType="end"/>
            </w:r>
          </w:hyperlink>
        </w:p>
        <w:p w14:paraId="55536FA1" w14:textId="7FC8D66B"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7" w:history="1">
            <w:r w:rsidRPr="00543FF1">
              <w:rPr>
                <w:rStyle w:val="Hyperlink"/>
                <w:rFonts w:ascii="Arial" w:hAnsi="Arial" w:cs="Arial"/>
                <w:noProof/>
                <w:sz w:val="24"/>
                <w:szCs w:val="24"/>
              </w:rPr>
              <w:t>2.4.2 Credit Risk Management Practices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_Toc220882967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19</w:t>
            </w:r>
            <w:r w:rsidRPr="00543FF1">
              <w:rPr>
                <w:rFonts w:ascii="Arial" w:hAnsi="Arial" w:cs="Arial"/>
                <w:noProof/>
                <w:webHidden/>
                <w:sz w:val="24"/>
                <w:szCs w:val="24"/>
              </w:rPr>
              <w:fldChar w:fldCharType="end"/>
            </w:r>
          </w:hyperlink>
        </w:p>
        <w:p w14:paraId="7CEE5ABC" w14:textId="00063B75"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8" w:history="1">
            <w:r w:rsidRPr="00543FF1">
              <w:rPr>
                <w:rStyle w:val="Hyperlink"/>
                <w:rFonts w:ascii="Arial" w:hAnsi="Arial" w:cs="Arial"/>
                <w:noProof/>
                <w:sz w:val="24"/>
                <w:szCs w:val="24"/>
              </w:rPr>
              <w:t>2.4.3 Liquidity and Capital Management</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_Toc220882968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20</w:t>
            </w:r>
            <w:r w:rsidRPr="00543FF1">
              <w:rPr>
                <w:rFonts w:ascii="Arial" w:hAnsi="Arial" w:cs="Arial"/>
                <w:noProof/>
                <w:webHidden/>
                <w:sz w:val="24"/>
                <w:szCs w:val="24"/>
              </w:rPr>
              <w:fldChar w:fldCharType="end"/>
            </w:r>
          </w:hyperlink>
        </w:p>
        <w:p w14:paraId="5F1BEA09" w14:textId="113E23ED"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69" w:history="1">
            <w:r w:rsidRPr="00543FF1">
              <w:rPr>
                <w:rStyle w:val="Hyperlink"/>
                <w:rFonts w:ascii="Arial" w:hAnsi="Arial" w:cs="Arial"/>
                <w:noProof/>
                <w:sz w:val="24"/>
                <w:szCs w:val="24"/>
              </w:rPr>
              <w:t>2.4.4 Stress Testing and Scenario Analysis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_Toc220882969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20</w:t>
            </w:r>
            <w:r w:rsidRPr="00543FF1">
              <w:rPr>
                <w:rFonts w:ascii="Arial" w:hAnsi="Arial" w:cs="Arial"/>
                <w:noProof/>
                <w:webHidden/>
                <w:sz w:val="24"/>
                <w:szCs w:val="24"/>
              </w:rPr>
              <w:fldChar w:fldCharType="end"/>
            </w:r>
          </w:hyperlink>
        </w:p>
        <w:p w14:paraId="4CEE5255" w14:textId="2AF5FD7B"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0" w:history="1">
            <w:r w:rsidRPr="00543FF1">
              <w:rPr>
                <w:rStyle w:val="Hyperlink"/>
                <w:rFonts w:ascii="Arial" w:hAnsi="Arial" w:cs="Arial"/>
                <w:noProof/>
                <w:sz w:val="24"/>
                <w:szCs w:val="24"/>
              </w:rPr>
              <w:t>2.4.5 Regulatory Oversight</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_Toc220882970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21</w:t>
            </w:r>
            <w:r w:rsidRPr="00543FF1">
              <w:rPr>
                <w:rFonts w:ascii="Arial" w:hAnsi="Arial" w:cs="Arial"/>
                <w:noProof/>
                <w:webHidden/>
                <w:sz w:val="24"/>
                <w:szCs w:val="24"/>
              </w:rPr>
              <w:fldChar w:fldCharType="end"/>
            </w:r>
          </w:hyperlink>
        </w:p>
        <w:p w14:paraId="6DD95267" w14:textId="022F9B7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71" w:history="1">
            <w:r w:rsidRPr="00543FF1">
              <w:rPr>
                <w:rStyle w:val="Hyperlink"/>
                <w:rFonts w:ascii="Arial" w:hAnsi="Arial" w:cs="Arial"/>
                <w:b w:val="0"/>
                <w:bCs w:val="0"/>
                <w:noProof/>
                <w:sz w:val="24"/>
                <w:szCs w:val="24"/>
              </w:rPr>
              <w:t>2.5 Profitability and Financial Performance Measures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_Toc220882971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21</w:t>
            </w:r>
            <w:r w:rsidRPr="00543FF1">
              <w:rPr>
                <w:rFonts w:ascii="Arial" w:hAnsi="Arial" w:cs="Arial"/>
                <w:b w:val="0"/>
                <w:bCs w:val="0"/>
                <w:noProof/>
                <w:webHidden/>
                <w:sz w:val="24"/>
                <w:szCs w:val="24"/>
              </w:rPr>
              <w:fldChar w:fldCharType="end"/>
            </w:r>
          </w:hyperlink>
        </w:p>
        <w:p w14:paraId="453B3D38" w14:textId="558974D4"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2" w:history="1">
            <w:r w:rsidRPr="00543FF1">
              <w:rPr>
                <w:rStyle w:val="Hyperlink"/>
                <w:rFonts w:ascii="Arial" w:hAnsi="Arial" w:cs="Arial"/>
                <w:noProof/>
                <w:sz w:val="24"/>
                <w:szCs w:val="24"/>
              </w:rPr>
              <w:t>2.5.1 Traditional Profitability Metrics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_Toc220882972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21</w:t>
            </w:r>
            <w:r w:rsidRPr="00543FF1">
              <w:rPr>
                <w:rFonts w:ascii="Arial" w:hAnsi="Arial" w:cs="Arial"/>
                <w:noProof/>
                <w:webHidden/>
                <w:sz w:val="24"/>
                <w:szCs w:val="24"/>
              </w:rPr>
              <w:fldChar w:fldCharType="end"/>
            </w:r>
          </w:hyperlink>
        </w:p>
        <w:p w14:paraId="0CA8544E" w14:textId="30BDEE1A"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3" w:history="1">
            <w:r w:rsidRPr="00543FF1">
              <w:rPr>
                <w:rStyle w:val="Hyperlink"/>
                <w:rFonts w:ascii="Arial" w:hAnsi="Arial" w:cs="Arial"/>
                <w:noProof/>
                <w:sz w:val="24"/>
                <w:szCs w:val="24"/>
              </w:rPr>
              <w:t>2.5.2 Risk-Adjusted Measures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_Toc220882973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22</w:t>
            </w:r>
            <w:r w:rsidRPr="00543FF1">
              <w:rPr>
                <w:rFonts w:ascii="Arial" w:hAnsi="Arial" w:cs="Arial"/>
                <w:noProof/>
                <w:webHidden/>
                <w:sz w:val="24"/>
                <w:szCs w:val="24"/>
              </w:rPr>
              <w:fldChar w:fldCharType="end"/>
            </w:r>
          </w:hyperlink>
        </w:p>
        <w:p w14:paraId="30B6E856" w14:textId="3CAA5879"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4" w:history="1">
            <w:r w:rsidRPr="00543FF1">
              <w:rPr>
                <w:rStyle w:val="Hyperlink"/>
                <w:rFonts w:ascii="Arial" w:hAnsi="Arial" w:cs="Arial"/>
                <w:noProof/>
                <w:sz w:val="24"/>
                <w:szCs w:val="24"/>
              </w:rPr>
              <w:t>2.5.3 External Factors Affecting Profitability</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_Toc220882974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22</w:t>
            </w:r>
            <w:r w:rsidRPr="00543FF1">
              <w:rPr>
                <w:rFonts w:ascii="Arial" w:hAnsi="Arial" w:cs="Arial"/>
                <w:noProof/>
                <w:webHidden/>
                <w:sz w:val="24"/>
                <w:szCs w:val="24"/>
              </w:rPr>
              <w:fldChar w:fldCharType="end"/>
            </w:r>
          </w:hyperlink>
        </w:p>
        <w:p w14:paraId="73FC0754" w14:textId="048B11A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75" w:history="1">
            <w:r w:rsidRPr="00543FF1">
              <w:rPr>
                <w:rStyle w:val="Hyperlink"/>
                <w:rFonts w:ascii="Arial" w:hAnsi="Arial" w:cs="Arial"/>
                <w:b w:val="0"/>
                <w:bCs w:val="0"/>
                <w:noProof/>
                <w:sz w:val="24"/>
                <w:szCs w:val="24"/>
              </w:rPr>
              <w:t>2.6 Empirical Evidence Linking Risk Management to Profitability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_Toc220882975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23</w:t>
            </w:r>
            <w:r w:rsidRPr="00543FF1">
              <w:rPr>
                <w:rFonts w:ascii="Arial" w:hAnsi="Arial" w:cs="Arial"/>
                <w:b w:val="0"/>
                <w:bCs w:val="0"/>
                <w:noProof/>
                <w:webHidden/>
                <w:sz w:val="24"/>
                <w:szCs w:val="24"/>
              </w:rPr>
              <w:fldChar w:fldCharType="end"/>
            </w:r>
          </w:hyperlink>
        </w:p>
        <w:p w14:paraId="26B2046C" w14:textId="39DB6126"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6" w:history="1">
            <w:r w:rsidRPr="00543FF1">
              <w:rPr>
                <w:rStyle w:val="Hyperlink"/>
                <w:rFonts w:ascii="Arial" w:hAnsi="Arial" w:cs="Arial"/>
                <w:noProof/>
                <w:sz w:val="24"/>
                <w:szCs w:val="24"/>
              </w:rPr>
              <w:t>2.6.1 Studies Showing Positive Links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_Toc220882976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23</w:t>
            </w:r>
            <w:r w:rsidRPr="00543FF1">
              <w:rPr>
                <w:rFonts w:ascii="Arial" w:hAnsi="Arial" w:cs="Arial"/>
                <w:noProof/>
                <w:webHidden/>
                <w:sz w:val="24"/>
                <w:szCs w:val="24"/>
              </w:rPr>
              <w:fldChar w:fldCharType="end"/>
            </w:r>
          </w:hyperlink>
        </w:p>
        <w:p w14:paraId="16607416" w14:textId="674B05C1"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7" w:history="1">
            <w:r w:rsidRPr="00543FF1">
              <w:rPr>
                <w:rStyle w:val="Hyperlink"/>
                <w:rFonts w:ascii="Arial" w:hAnsi="Arial" w:cs="Arial"/>
                <w:noProof/>
                <w:sz w:val="24"/>
                <w:szCs w:val="24"/>
              </w:rPr>
              <w:t>2.6.2 Studies Showing Weak or Negative Links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_Toc220882977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23</w:t>
            </w:r>
            <w:r w:rsidRPr="00543FF1">
              <w:rPr>
                <w:rFonts w:ascii="Arial" w:hAnsi="Arial" w:cs="Arial"/>
                <w:noProof/>
                <w:webHidden/>
                <w:sz w:val="24"/>
                <w:szCs w:val="24"/>
              </w:rPr>
              <w:fldChar w:fldCharType="end"/>
            </w:r>
          </w:hyperlink>
        </w:p>
        <w:p w14:paraId="0D522319" w14:textId="464F3B07"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78" w:history="1">
            <w:r w:rsidRPr="00543FF1">
              <w:rPr>
                <w:rStyle w:val="Hyperlink"/>
                <w:rFonts w:ascii="Arial" w:hAnsi="Arial" w:cs="Arial"/>
                <w:noProof/>
                <w:sz w:val="24"/>
                <w:szCs w:val="24"/>
              </w:rPr>
              <w:t>2.6.3 Reason Behind Findings Conflict</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_Toc220882978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24</w:t>
            </w:r>
            <w:r w:rsidRPr="00543FF1">
              <w:rPr>
                <w:rFonts w:ascii="Arial" w:hAnsi="Arial" w:cs="Arial"/>
                <w:noProof/>
                <w:webHidden/>
                <w:sz w:val="24"/>
                <w:szCs w:val="24"/>
              </w:rPr>
              <w:fldChar w:fldCharType="end"/>
            </w:r>
          </w:hyperlink>
        </w:p>
        <w:p w14:paraId="231924EA" w14:textId="750F9294"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79" w:history="1">
            <w:r w:rsidRPr="00543FF1">
              <w:rPr>
                <w:rStyle w:val="Hyperlink"/>
                <w:rFonts w:ascii="Arial" w:hAnsi="Arial" w:cs="Arial"/>
                <w:b w:val="0"/>
                <w:bCs w:val="0"/>
                <w:noProof/>
                <w:sz w:val="24"/>
                <w:szCs w:val="24"/>
              </w:rPr>
              <w:t>2.7 Synthesis and Conceptual Framework</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_Toc220882979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24</w:t>
            </w:r>
            <w:r w:rsidRPr="00543FF1">
              <w:rPr>
                <w:rFonts w:ascii="Arial" w:hAnsi="Arial" w:cs="Arial"/>
                <w:b w:val="0"/>
                <w:bCs w:val="0"/>
                <w:noProof/>
                <w:webHidden/>
                <w:sz w:val="24"/>
                <w:szCs w:val="24"/>
              </w:rPr>
              <w:fldChar w:fldCharType="end"/>
            </w:r>
          </w:hyperlink>
        </w:p>
        <w:p w14:paraId="16A9ECA4" w14:textId="67594A51"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0" w:history="1">
            <w:r w:rsidRPr="00543FF1">
              <w:rPr>
                <w:rStyle w:val="Hyperlink"/>
                <w:rFonts w:ascii="Arial" w:hAnsi="Arial" w:cs="Arial"/>
                <w:b w:val="0"/>
                <w:bCs w:val="0"/>
                <w:noProof/>
                <w:sz w:val="24"/>
                <w:szCs w:val="24"/>
              </w:rPr>
              <w:t>2.8 Research Gap and Study Justification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_Toc220882980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25</w:t>
            </w:r>
            <w:r w:rsidRPr="00543FF1">
              <w:rPr>
                <w:rFonts w:ascii="Arial" w:hAnsi="Arial" w:cs="Arial"/>
                <w:b w:val="0"/>
                <w:bCs w:val="0"/>
                <w:noProof/>
                <w:webHidden/>
                <w:sz w:val="24"/>
                <w:szCs w:val="24"/>
              </w:rPr>
              <w:fldChar w:fldCharType="end"/>
            </w:r>
          </w:hyperlink>
        </w:p>
        <w:p w14:paraId="0FE81BEF" w14:textId="131E92FC"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1" w:history="1">
            <w:r w:rsidRPr="00543FF1">
              <w:rPr>
                <w:rStyle w:val="Hyperlink"/>
                <w:rFonts w:ascii="Arial" w:hAnsi="Arial" w:cs="Arial"/>
                <w:b w:val="0"/>
                <w:bCs w:val="0"/>
                <w:noProof/>
                <w:sz w:val="24"/>
                <w:szCs w:val="24"/>
              </w:rPr>
              <w:t>2.9 Conclusion of the Literature Review</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26</w:t>
            </w:r>
            <w:r w:rsidRPr="00543FF1">
              <w:rPr>
                <w:rFonts w:ascii="Arial" w:hAnsi="Arial" w:cs="Arial"/>
                <w:b w:val="0"/>
                <w:bCs w:val="0"/>
                <w:noProof/>
                <w:webHidden/>
                <w:sz w:val="24"/>
                <w:szCs w:val="24"/>
              </w:rPr>
              <w:fldChar w:fldCharType="end"/>
            </w:r>
          </w:hyperlink>
        </w:p>
        <w:p w14:paraId="568456D2" w14:textId="55547011"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2982" w:history="1">
            <w:r w:rsidRPr="00543FF1">
              <w:rPr>
                <w:rStyle w:val="Hyperlink"/>
                <w:rFonts w:ascii="Arial" w:hAnsi="Arial" w:cs="Arial"/>
                <w:b w:val="0"/>
                <w:bCs w:val="0"/>
                <w:i w:val="0"/>
                <w:iCs w:val="0"/>
                <w:noProof/>
              </w:rPr>
              <w:t>Chapter 3: Methodology</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_Toc220882982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27</w:t>
            </w:r>
            <w:r w:rsidRPr="00543FF1">
              <w:rPr>
                <w:rFonts w:ascii="Arial" w:hAnsi="Arial" w:cs="Arial"/>
                <w:b w:val="0"/>
                <w:bCs w:val="0"/>
                <w:i w:val="0"/>
                <w:iCs w:val="0"/>
                <w:noProof/>
                <w:webHidden/>
              </w:rPr>
              <w:fldChar w:fldCharType="end"/>
            </w:r>
          </w:hyperlink>
        </w:p>
        <w:p w14:paraId="2E039C91" w14:textId="0C4FE687"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3" w:history="1">
            <w:r w:rsidRPr="00543FF1">
              <w:rPr>
                <w:rStyle w:val="Hyperlink"/>
                <w:rFonts w:ascii="Arial" w:hAnsi="Arial" w:cs="Arial"/>
                <w:b w:val="0"/>
                <w:bCs w:val="0"/>
                <w:noProof/>
                <w:sz w:val="24"/>
                <w:szCs w:val="24"/>
              </w:rPr>
              <w:t>3.1 Introduction to the Methodology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_Toc220882983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27</w:t>
            </w:r>
            <w:r w:rsidRPr="00543FF1">
              <w:rPr>
                <w:rFonts w:ascii="Arial" w:hAnsi="Arial" w:cs="Arial"/>
                <w:b w:val="0"/>
                <w:bCs w:val="0"/>
                <w:noProof/>
                <w:webHidden/>
                <w:sz w:val="24"/>
                <w:szCs w:val="24"/>
              </w:rPr>
              <w:fldChar w:fldCharType="end"/>
            </w:r>
          </w:hyperlink>
        </w:p>
        <w:p w14:paraId="5B9A3E31" w14:textId="3A3C8134"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4" w:history="1">
            <w:r w:rsidRPr="00543FF1">
              <w:rPr>
                <w:rStyle w:val="Hyperlink"/>
                <w:rFonts w:ascii="Arial" w:hAnsi="Arial" w:cs="Arial"/>
                <w:b w:val="0"/>
                <w:bCs w:val="0"/>
                <w:noProof/>
                <w:sz w:val="24"/>
                <w:szCs w:val="24"/>
              </w:rPr>
              <w:t>3.2 Research Philosophy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_Toc220882984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27</w:t>
            </w:r>
            <w:r w:rsidRPr="00543FF1">
              <w:rPr>
                <w:rFonts w:ascii="Arial" w:hAnsi="Arial" w:cs="Arial"/>
                <w:b w:val="0"/>
                <w:bCs w:val="0"/>
                <w:noProof/>
                <w:webHidden/>
                <w:sz w:val="24"/>
                <w:szCs w:val="24"/>
              </w:rPr>
              <w:fldChar w:fldCharType="end"/>
            </w:r>
          </w:hyperlink>
        </w:p>
        <w:p w14:paraId="4750BDA2" w14:textId="60F7CC9F"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5" w:history="1">
            <w:r w:rsidRPr="00543FF1">
              <w:rPr>
                <w:rStyle w:val="Hyperlink"/>
                <w:rFonts w:ascii="Arial" w:hAnsi="Arial" w:cs="Arial"/>
                <w:b w:val="0"/>
                <w:bCs w:val="0"/>
                <w:noProof/>
                <w:sz w:val="24"/>
                <w:szCs w:val="24"/>
              </w:rPr>
              <w:t>3.3 Research Approach</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28</w:t>
            </w:r>
            <w:r w:rsidRPr="00543FF1">
              <w:rPr>
                <w:rFonts w:ascii="Arial" w:hAnsi="Arial" w:cs="Arial"/>
                <w:b w:val="0"/>
                <w:bCs w:val="0"/>
                <w:noProof/>
                <w:webHidden/>
                <w:sz w:val="24"/>
                <w:szCs w:val="24"/>
              </w:rPr>
              <w:fldChar w:fldCharType="end"/>
            </w:r>
          </w:hyperlink>
        </w:p>
        <w:p w14:paraId="7F87D5E6" w14:textId="616C145C"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6" w:history="1">
            <w:r w:rsidRPr="00543FF1">
              <w:rPr>
                <w:rStyle w:val="Hyperlink"/>
                <w:rFonts w:ascii="Arial" w:hAnsi="Arial" w:cs="Arial"/>
                <w:b w:val="0"/>
                <w:bCs w:val="0"/>
                <w:noProof/>
                <w:sz w:val="24"/>
                <w:szCs w:val="24"/>
              </w:rPr>
              <w:t>3.4 Research Strategy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_Toc220882986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29</w:t>
            </w:r>
            <w:r w:rsidRPr="00543FF1">
              <w:rPr>
                <w:rFonts w:ascii="Arial" w:hAnsi="Arial" w:cs="Arial"/>
                <w:b w:val="0"/>
                <w:bCs w:val="0"/>
                <w:noProof/>
                <w:webHidden/>
                <w:sz w:val="24"/>
                <w:szCs w:val="24"/>
              </w:rPr>
              <w:fldChar w:fldCharType="end"/>
            </w:r>
          </w:hyperlink>
        </w:p>
        <w:p w14:paraId="1925E7E5" w14:textId="5848A44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7" w:history="1">
            <w:r w:rsidRPr="00543FF1">
              <w:rPr>
                <w:rStyle w:val="Hyperlink"/>
                <w:rFonts w:ascii="Arial" w:hAnsi="Arial" w:cs="Arial"/>
                <w:b w:val="0"/>
                <w:bCs w:val="0"/>
                <w:noProof/>
                <w:sz w:val="24"/>
                <w:szCs w:val="24"/>
              </w:rPr>
              <w:t>3.5 Methodological Choice</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_Toc220882987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29</w:t>
            </w:r>
            <w:r w:rsidRPr="00543FF1">
              <w:rPr>
                <w:rFonts w:ascii="Arial" w:hAnsi="Arial" w:cs="Arial"/>
                <w:b w:val="0"/>
                <w:bCs w:val="0"/>
                <w:noProof/>
                <w:webHidden/>
                <w:sz w:val="24"/>
                <w:szCs w:val="24"/>
              </w:rPr>
              <w:fldChar w:fldCharType="end"/>
            </w:r>
          </w:hyperlink>
        </w:p>
        <w:p w14:paraId="5E3E0219" w14:textId="6F97E1B5"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8" w:history="1">
            <w:r w:rsidRPr="00543FF1">
              <w:rPr>
                <w:rStyle w:val="Hyperlink"/>
                <w:rFonts w:ascii="Arial" w:hAnsi="Arial" w:cs="Arial"/>
                <w:b w:val="0"/>
                <w:bCs w:val="0"/>
                <w:noProof/>
                <w:sz w:val="24"/>
                <w:szCs w:val="24"/>
              </w:rPr>
              <w:t>3.6 Time Horizon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_Toc220882988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30</w:t>
            </w:r>
            <w:r w:rsidRPr="00543FF1">
              <w:rPr>
                <w:rFonts w:ascii="Arial" w:hAnsi="Arial" w:cs="Arial"/>
                <w:b w:val="0"/>
                <w:bCs w:val="0"/>
                <w:noProof/>
                <w:webHidden/>
                <w:sz w:val="24"/>
                <w:szCs w:val="24"/>
              </w:rPr>
              <w:fldChar w:fldCharType="end"/>
            </w:r>
          </w:hyperlink>
        </w:p>
        <w:p w14:paraId="0BE364FB" w14:textId="70655B18"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89" w:history="1">
            <w:r w:rsidRPr="00543FF1">
              <w:rPr>
                <w:rStyle w:val="Hyperlink"/>
                <w:rFonts w:ascii="Arial" w:hAnsi="Arial" w:cs="Arial"/>
                <w:b w:val="0"/>
                <w:bCs w:val="0"/>
                <w:noProof/>
                <w:sz w:val="24"/>
                <w:szCs w:val="24"/>
              </w:rPr>
              <w:t>3.7 Data Collection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_Toc220882989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31</w:t>
            </w:r>
            <w:r w:rsidRPr="00543FF1">
              <w:rPr>
                <w:rFonts w:ascii="Arial" w:hAnsi="Arial" w:cs="Arial"/>
                <w:b w:val="0"/>
                <w:bCs w:val="0"/>
                <w:noProof/>
                <w:webHidden/>
                <w:sz w:val="24"/>
                <w:szCs w:val="24"/>
              </w:rPr>
              <w:fldChar w:fldCharType="end"/>
            </w:r>
          </w:hyperlink>
        </w:p>
        <w:p w14:paraId="2DA5BA3D" w14:textId="62ED985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0" w:history="1">
            <w:r w:rsidRPr="00543FF1">
              <w:rPr>
                <w:rStyle w:val="Hyperlink"/>
                <w:rFonts w:ascii="Arial" w:hAnsi="Arial" w:cs="Arial"/>
                <w:b w:val="0"/>
                <w:bCs w:val="0"/>
                <w:noProof/>
                <w:sz w:val="24"/>
                <w:szCs w:val="24"/>
              </w:rPr>
              <w:t>3.8 Data Analysis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_Toc220882990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32</w:t>
            </w:r>
            <w:r w:rsidRPr="00543FF1">
              <w:rPr>
                <w:rFonts w:ascii="Arial" w:hAnsi="Arial" w:cs="Arial"/>
                <w:b w:val="0"/>
                <w:bCs w:val="0"/>
                <w:noProof/>
                <w:webHidden/>
                <w:sz w:val="24"/>
                <w:szCs w:val="24"/>
              </w:rPr>
              <w:fldChar w:fldCharType="end"/>
            </w:r>
          </w:hyperlink>
        </w:p>
        <w:p w14:paraId="49E693D2" w14:textId="3D26CA94"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1" w:history="1">
            <w:r w:rsidRPr="00543FF1">
              <w:rPr>
                <w:rStyle w:val="Hyperlink"/>
                <w:rFonts w:ascii="Arial" w:hAnsi="Arial" w:cs="Arial"/>
                <w:b w:val="0"/>
                <w:bCs w:val="0"/>
                <w:noProof/>
                <w:sz w:val="24"/>
                <w:szCs w:val="24"/>
              </w:rPr>
              <w:t>3.9 Ethical Considerations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34</w:t>
            </w:r>
            <w:r w:rsidRPr="00543FF1">
              <w:rPr>
                <w:rFonts w:ascii="Arial" w:hAnsi="Arial" w:cs="Arial"/>
                <w:b w:val="0"/>
                <w:bCs w:val="0"/>
                <w:noProof/>
                <w:webHidden/>
                <w:sz w:val="24"/>
                <w:szCs w:val="24"/>
              </w:rPr>
              <w:fldChar w:fldCharType="end"/>
            </w:r>
          </w:hyperlink>
        </w:p>
        <w:p w14:paraId="2DC1BB14" w14:textId="4E3FBCC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2" w:history="1">
            <w:r w:rsidRPr="00543FF1">
              <w:rPr>
                <w:rStyle w:val="Hyperlink"/>
                <w:rFonts w:ascii="Arial" w:hAnsi="Arial" w:cs="Arial"/>
                <w:b w:val="0"/>
                <w:bCs w:val="0"/>
                <w:noProof/>
                <w:sz w:val="24"/>
                <w:szCs w:val="24"/>
              </w:rPr>
              <w:t>3.10 Methodological Limitations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_Toc220882992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34</w:t>
            </w:r>
            <w:r w:rsidRPr="00543FF1">
              <w:rPr>
                <w:rFonts w:ascii="Arial" w:hAnsi="Arial" w:cs="Arial"/>
                <w:b w:val="0"/>
                <w:bCs w:val="0"/>
                <w:noProof/>
                <w:webHidden/>
                <w:sz w:val="24"/>
                <w:szCs w:val="24"/>
              </w:rPr>
              <w:fldChar w:fldCharType="end"/>
            </w:r>
          </w:hyperlink>
        </w:p>
        <w:p w14:paraId="7C32B54B" w14:textId="1D636B67"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3" w:history="1">
            <w:r w:rsidRPr="00543FF1">
              <w:rPr>
                <w:rStyle w:val="Hyperlink"/>
                <w:rFonts w:ascii="Arial" w:hAnsi="Arial" w:cs="Arial"/>
                <w:b w:val="0"/>
                <w:bCs w:val="0"/>
                <w:noProof/>
                <w:sz w:val="24"/>
                <w:szCs w:val="24"/>
              </w:rPr>
              <w:t>3.11 Conclusion of the Chapter</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_Toc220882993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35</w:t>
            </w:r>
            <w:r w:rsidRPr="00543FF1">
              <w:rPr>
                <w:rFonts w:ascii="Arial" w:hAnsi="Arial" w:cs="Arial"/>
                <w:b w:val="0"/>
                <w:bCs w:val="0"/>
                <w:noProof/>
                <w:webHidden/>
                <w:sz w:val="24"/>
                <w:szCs w:val="24"/>
              </w:rPr>
              <w:fldChar w:fldCharType="end"/>
            </w:r>
          </w:hyperlink>
        </w:p>
        <w:p w14:paraId="406205F1" w14:textId="486586E8"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2994" w:history="1">
            <w:r w:rsidRPr="00543FF1">
              <w:rPr>
                <w:rStyle w:val="Hyperlink"/>
                <w:rFonts w:ascii="Arial" w:hAnsi="Arial" w:cs="Arial"/>
                <w:b w:val="0"/>
                <w:bCs w:val="0"/>
                <w:i w:val="0"/>
                <w:iCs w:val="0"/>
                <w:noProof/>
              </w:rPr>
              <w:t>Chapter 4: Findings and Discussion</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_Toc220882994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36</w:t>
            </w:r>
            <w:r w:rsidRPr="00543FF1">
              <w:rPr>
                <w:rFonts w:ascii="Arial" w:hAnsi="Arial" w:cs="Arial"/>
                <w:b w:val="0"/>
                <w:bCs w:val="0"/>
                <w:i w:val="0"/>
                <w:iCs w:val="0"/>
                <w:noProof/>
                <w:webHidden/>
              </w:rPr>
              <w:fldChar w:fldCharType="end"/>
            </w:r>
          </w:hyperlink>
        </w:p>
        <w:p w14:paraId="0B8AC698" w14:textId="1A8EFC58"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5" w:history="1">
            <w:r w:rsidRPr="00543FF1">
              <w:rPr>
                <w:rStyle w:val="Hyperlink"/>
                <w:rFonts w:ascii="Arial" w:hAnsi="Arial" w:cs="Arial"/>
                <w:b w:val="0"/>
                <w:bCs w:val="0"/>
                <w:noProof/>
                <w:sz w:val="24"/>
                <w:szCs w:val="24"/>
              </w:rPr>
              <w:t>4.1 Introduction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36</w:t>
            </w:r>
            <w:r w:rsidRPr="00543FF1">
              <w:rPr>
                <w:rFonts w:ascii="Arial" w:hAnsi="Arial" w:cs="Arial"/>
                <w:b w:val="0"/>
                <w:bCs w:val="0"/>
                <w:noProof/>
                <w:webHidden/>
                <w:sz w:val="24"/>
                <w:szCs w:val="24"/>
              </w:rPr>
              <w:fldChar w:fldCharType="end"/>
            </w:r>
          </w:hyperlink>
        </w:p>
        <w:p w14:paraId="65F1791A" w14:textId="622F030A"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6" w:history="1">
            <w:r w:rsidRPr="00543FF1">
              <w:rPr>
                <w:rStyle w:val="Hyperlink"/>
                <w:rFonts w:ascii="Arial" w:hAnsi="Arial" w:cs="Arial"/>
                <w:b w:val="0"/>
                <w:bCs w:val="0"/>
                <w:noProof/>
                <w:sz w:val="24"/>
                <w:szCs w:val="24"/>
              </w:rPr>
              <w:t>4.2 Overview of Close Brothers’ Balance Sheet and Funding Model (FY2019–FY2024)</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_Toc220882996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36</w:t>
            </w:r>
            <w:r w:rsidRPr="00543FF1">
              <w:rPr>
                <w:rFonts w:ascii="Arial" w:hAnsi="Arial" w:cs="Arial"/>
                <w:b w:val="0"/>
                <w:bCs w:val="0"/>
                <w:noProof/>
                <w:webHidden/>
                <w:sz w:val="24"/>
                <w:szCs w:val="24"/>
              </w:rPr>
              <w:fldChar w:fldCharType="end"/>
            </w:r>
          </w:hyperlink>
        </w:p>
        <w:p w14:paraId="7BBFCA03" w14:textId="2EBDBD91"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97" w:history="1">
            <w:r w:rsidRPr="00543FF1">
              <w:rPr>
                <w:rStyle w:val="Hyperlink"/>
                <w:rFonts w:ascii="Arial" w:hAnsi="Arial" w:cs="Arial"/>
                <w:noProof/>
                <w:sz w:val="24"/>
                <w:szCs w:val="24"/>
              </w:rPr>
              <w:t>4.2.1 Worked Calculations from Table 4.1</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_Toc220882997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39</w:t>
            </w:r>
            <w:r w:rsidRPr="00543FF1">
              <w:rPr>
                <w:rFonts w:ascii="Arial" w:hAnsi="Arial" w:cs="Arial"/>
                <w:noProof/>
                <w:webHidden/>
                <w:sz w:val="24"/>
                <w:szCs w:val="24"/>
              </w:rPr>
              <w:fldChar w:fldCharType="end"/>
            </w:r>
          </w:hyperlink>
        </w:p>
        <w:p w14:paraId="07B5C0B1" w14:textId="60C6CFD4"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2998" w:history="1">
            <w:r w:rsidRPr="00543FF1">
              <w:rPr>
                <w:rStyle w:val="Hyperlink"/>
                <w:rFonts w:ascii="Arial" w:hAnsi="Arial" w:cs="Arial"/>
                <w:noProof/>
                <w:sz w:val="24"/>
                <w:szCs w:val="24"/>
              </w:rPr>
              <w:t>4.2.2 Balance-Sheet Growth and Financial Implications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_Toc220882998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40</w:t>
            </w:r>
            <w:r w:rsidRPr="00543FF1">
              <w:rPr>
                <w:rFonts w:ascii="Arial" w:hAnsi="Arial" w:cs="Arial"/>
                <w:noProof/>
                <w:webHidden/>
                <w:sz w:val="24"/>
                <w:szCs w:val="24"/>
              </w:rPr>
              <w:fldChar w:fldCharType="end"/>
            </w:r>
          </w:hyperlink>
        </w:p>
        <w:p w14:paraId="62ADF37B" w14:textId="77056F57"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2999" w:history="1">
            <w:r w:rsidRPr="00543FF1">
              <w:rPr>
                <w:rStyle w:val="Hyperlink"/>
                <w:rFonts w:ascii="Arial" w:hAnsi="Arial" w:cs="Arial"/>
                <w:b w:val="0"/>
                <w:bCs w:val="0"/>
                <w:noProof/>
                <w:sz w:val="24"/>
                <w:szCs w:val="24"/>
              </w:rPr>
              <w:t>4.3 Profitability, Efficiency and the Credit-Cost Channel</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_Toc220882999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41</w:t>
            </w:r>
            <w:r w:rsidRPr="00543FF1">
              <w:rPr>
                <w:rFonts w:ascii="Arial" w:hAnsi="Arial" w:cs="Arial"/>
                <w:b w:val="0"/>
                <w:bCs w:val="0"/>
                <w:noProof/>
                <w:webHidden/>
                <w:sz w:val="24"/>
                <w:szCs w:val="24"/>
              </w:rPr>
              <w:fldChar w:fldCharType="end"/>
            </w:r>
          </w:hyperlink>
        </w:p>
        <w:p w14:paraId="4662A3D4" w14:textId="16BC61CD" w:rsidR="00543FF1" w:rsidRPr="00543FF1" w:rsidRDefault="00543FF1" w:rsidP="00543FF1">
          <w:pPr>
            <w:pStyle w:val="TOC3"/>
            <w:tabs>
              <w:tab w:val="right" w:leader="dot" w:pos="9010"/>
            </w:tabs>
            <w:rPr>
              <w:rFonts w:ascii="Arial" w:eastAsiaTheme="minorEastAsia" w:hAnsi="Arial" w:cs="Arial"/>
              <w:noProof/>
              <w:kern w:val="2"/>
              <w:sz w:val="24"/>
              <w:szCs w:val="24"/>
              <w:lang/>
              <w14:ligatures w14:val="standardContextual"/>
            </w:rPr>
          </w:pPr>
          <w:hyperlink w:anchor="_Toc220883000" w:history="1">
            <w:r w:rsidRPr="00543FF1">
              <w:rPr>
                <w:rStyle w:val="Hyperlink"/>
                <w:rFonts w:ascii="Arial" w:hAnsi="Arial" w:cs="Arial"/>
                <w:noProof/>
                <w:sz w:val="24"/>
                <w:szCs w:val="24"/>
              </w:rPr>
              <w:t>4.3.1 Worked Calculation – Income Bridge Ratios</w:t>
            </w:r>
            <w:r w:rsidRPr="00543FF1">
              <w:rPr>
                <w:rFonts w:ascii="Arial" w:hAnsi="Arial" w:cs="Arial"/>
                <w:noProof/>
                <w:webHidden/>
                <w:sz w:val="24"/>
                <w:szCs w:val="24"/>
              </w:rPr>
              <w:tab/>
            </w:r>
            <w:r w:rsidRPr="00543FF1">
              <w:rPr>
                <w:rFonts w:ascii="Arial" w:hAnsi="Arial" w:cs="Arial"/>
                <w:noProof/>
                <w:webHidden/>
                <w:sz w:val="24"/>
                <w:szCs w:val="24"/>
              </w:rPr>
              <w:fldChar w:fldCharType="begin"/>
            </w:r>
            <w:r w:rsidRPr="00543FF1">
              <w:rPr>
                <w:rFonts w:ascii="Arial" w:hAnsi="Arial" w:cs="Arial"/>
                <w:noProof/>
                <w:webHidden/>
                <w:sz w:val="24"/>
                <w:szCs w:val="24"/>
              </w:rPr>
              <w:instrText xml:space="preserve"> PAGEREF _Toc220883000 \h </w:instrText>
            </w:r>
            <w:r w:rsidRPr="00543FF1">
              <w:rPr>
                <w:rFonts w:ascii="Arial" w:hAnsi="Arial" w:cs="Arial"/>
                <w:noProof/>
                <w:webHidden/>
                <w:sz w:val="24"/>
                <w:szCs w:val="24"/>
              </w:rPr>
            </w:r>
            <w:r w:rsidRPr="00543FF1">
              <w:rPr>
                <w:rFonts w:ascii="Arial" w:hAnsi="Arial" w:cs="Arial"/>
                <w:noProof/>
                <w:webHidden/>
                <w:sz w:val="24"/>
                <w:szCs w:val="24"/>
              </w:rPr>
              <w:fldChar w:fldCharType="separate"/>
            </w:r>
            <w:r w:rsidRPr="00543FF1">
              <w:rPr>
                <w:rFonts w:ascii="Arial" w:hAnsi="Arial" w:cs="Arial"/>
                <w:noProof/>
                <w:webHidden/>
                <w:sz w:val="24"/>
                <w:szCs w:val="24"/>
              </w:rPr>
              <w:t>43</w:t>
            </w:r>
            <w:r w:rsidRPr="00543FF1">
              <w:rPr>
                <w:rFonts w:ascii="Arial" w:hAnsi="Arial" w:cs="Arial"/>
                <w:noProof/>
                <w:webHidden/>
                <w:sz w:val="24"/>
                <w:szCs w:val="24"/>
              </w:rPr>
              <w:fldChar w:fldCharType="end"/>
            </w:r>
          </w:hyperlink>
        </w:p>
        <w:p w14:paraId="5133D64E" w14:textId="5FFC9F4B"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1" w:history="1">
            <w:r w:rsidRPr="00543FF1">
              <w:rPr>
                <w:rStyle w:val="Hyperlink"/>
                <w:rFonts w:ascii="Arial" w:hAnsi="Arial" w:cs="Arial"/>
                <w:b w:val="0"/>
                <w:bCs w:val="0"/>
                <w:noProof/>
                <w:sz w:val="24"/>
                <w:szCs w:val="24"/>
              </w:rPr>
              <w:t>4.4 Credit Risk Management: Provisioning, Portfolio Growth and Profitability Impact</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43</w:t>
            </w:r>
            <w:r w:rsidRPr="00543FF1">
              <w:rPr>
                <w:rFonts w:ascii="Arial" w:hAnsi="Arial" w:cs="Arial"/>
                <w:b w:val="0"/>
                <w:bCs w:val="0"/>
                <w:noProof/>
                <w:webHidden/>
                <w:sz w:val="24"/>
                <w:szCs w:val="24"/>
              </w:rPr>
              <w:fldChar w:fldCharType="end"/>
            </w:r>
          </w:hyperlink>
        </w:p>
        <w:p w14:paraId="4CB14374" w14:textId="0FC00051"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2" w:history="1">
            <w:r w:rsidRPr="00543FF1">
              <w:rPr>
                <w:rStyle w:val="Hyperlink"/>
                <w:rFonts w:ascii="Arial" w:hAnsi="Arial" w:cs="Arial"/>
                <w:b w:val="0"/>
                <w:bCs w:val="0"/>
                <w:noProof/>
                <w:sz w:val="24"/>
                <w:szCs w:val="24"/>
              </w:rPr>
              <w:t>4.5 Liquidity and Funding Risk: Deposit Dependence, Borrowings and Buffer Management</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_Toc220883002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45</w:t>
            </w:r>
            <w:r w:rsidRPr="00543FF1">
              <w:rPr>
                <w:rFonts w:ascii="Arial" w:hAnsi="Arial" w:cs="Arial"/>
                <w:b w:val="0"/>
                <w:bCs w:val="0"/>
                <w:noProof/>
                <w:webHidden/>
                <w:sz w:val="24"/>
                <w:szCs w:val="24"/>
              </w:rPr>
              <w:fldChar w:fldCharType="end"/>
            </w:r>
          </w:hyperlink>
        </w:p>
        <w:p w14:paraId="4775A02B" w14:textId="6386B86C"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3" w:history="1">
            <w:r w:rsidRPr="00543FF1">
              <w:rPr>
                <w:rStyle w:val="Hyperlink"/>
                <w:rFonts w:ascii="Arial" w:hAnsi="Arial" w:cs="Arial"/>
                <w:b w:val="0"/>
                <w:bCs w:val="0"/>
                <w:noProof/>
                <w:sz w:val="24"/>
                <w:szCs w:val="24"/>
              </w:rPr>
              <w:t>4.6 Capital Adequacy and Regulatory Headroom: Quantitative Buffer Analysis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_Toc220883003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46</w:t>
            </w:r>
            <w:r w:rsidRPr="00543FF1">
              <w:rPr>
                <w:rFonts w:ascii="Arial" w:hAnsi="Arial" w:cs="Arial"/>
                <w:b w:val="0"/>
                <w:bCs w:val="0"/>
                <w:noProof/>
                <w:webHidden/>
                <w:sz w:val="24"/>
                <w:szCs w:val="24"/>
              </w:rPr>
              <w:fldChar w:fldCharType="end"/>
            </w:r>
          </w:hyperlink>
        </w:p>
        <w:p w14:paraId="068E6219" w14:textId="259BE0A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4" w:history="1">
            <w:r w:rsidRPr="00543FF1">
              <w:rPr>
                <w:rStyle w:val="Hyperlink"/>
                <w:rFonts w:ascii="Arial" w:hAnsi="Arial" w:cs="Arial"/>
                <w:b w:val="0"/>
                <w:bCs w:val="0"/>
                <w:noProof/>
                <w:sz w:val="24"/>
                <w:szCs w:val="24"/>
              </w:rPr>
              <w:t>4.7 Market and Interest Rate Risk: Interactions with Profitability and Funding</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_Toc220883004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47</w:t>
            </w:r>
            <w:r w:rsidRPr="00543FF1">
              <w:rPr>
                <w:rFonts w:ascii="Arial" w:hAnsi="Arial" w:cs="Arial"/>
                <w:b w:val="0"/>
                <w:bCs w:val="0"/>
                <w:noProof/>
                <w:webHidden/>
                <w:sz w:val="24"/>
                <w:szCs w:val="24"/>
              </w:rPr>
              <w:fldChar w:fldCharType="end"/>
            </w:r>
          </w:hyperlink>
        </w:p>
        <w:p w14:paraId="1F560FB5" w14:textId="686B97C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5" w:history="1">
            <w:r w:rsidRPr="00543FF1">
              <w:rPr>
                <w:rStyle w:val="Hyperlink"/>
                <w:rFonts w:ascii="Arial" w:hAnsi="Arial" w:cs="Arial"/>
                <w:b w:val="0"/>
                <w:bCs w:val="0"/>
                <w:noProof/>
                <w:sz w:val="24"/>
                <w:szCs w:val="24"/>
              </w:rPr>
              <w:t>4.8 Governance and Risk Oversight: Linking Controls to Financial Outcomes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_Toc220883005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48</w:t>
            </w:r>
            <w:r w:rsidRPr="00543FF1">
              <w:rPr>
                <w:rFonts w:ascii="Arial" w:hAnsi="Arial" w:cs="Arial"/>
                <w:b w:val="0"/>
                <w:bCs w:val="0"/>
                <w:noProof/>
                <w:webHidden/>
                <w:sz w:val="24"/>
                <w:szCs w:val="24"/>
              </w:rPr>
              <w:fldChar w:fldCharType="end"/>
            </w:r>
          </w:hyperlink>
        </w:p>
        <w:p w14:paraId="43A55631" w14:textId="776C72C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6" w:history="1">
            <w:r w:rsidRPr="00543FF1">
              <w:rPr>
                <w:rStyle w:val="Hyperlink"/>
                <w:rFonts w:ascii="Arial" w:hAnsi="Arial" w:cs="Arial"/>
                <w:b w:val="0"/>
                <w:bCs w:val="0"/>
                <w:noProof/>
                <w:sz w:val="24"/>
                <w:szCs w:val="24"/>
              </w:rPr>
              <w:t>4.9 Integrated Discussion: How Risk Management Explains Profitability Movement</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_Toc220883006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49</w:t>
            </w:r>
            <w:r w:rsidRPr="00543FF1">
              <w:rPr>
                <w:rFonts w:ascii="Arial" w:hAnsi="Arial" w:cs="Arial"/>
                <w:b w:val="0"/>
                <w:bCs w:val="0"/>
                <w:noProof/>
                <w:webHidden/>
                <w:sz w:val="24"/>
                <w:szCs w:val="24"/>
              </w:rPr>
              <w:fldChar w:fldCharType="end"/>
            </w:r>
          </w:hyperlink>
        </w:p>
        <w:p w14:paraId="38E85B8F" w14:textId="456718E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7" w:history="1">
            <w:r w:rsidRPr="00543FF1">
              <w:rPr>
                <w:rStyle w:val="Hyperlink"/>
                <w:rFonts w:ascii="Arial" w:hAnsi="Arial" w:cs="Arial"/>
                <w:b w:val="0"/>
                <w:bCs w:val="0"/>
                <w:noProof/>
                <w:sz w:val="24"/>
                <w:szCs w:val="24"/>
              </w:rPr>
              <w:t>4.10 Chapter Summary</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_Toc220883007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50</w:t>
            </w:r>
            <w:r w:rsidRPr="00543FF1">
              <w:rPr>
                <w:rFonts w:ascii="Arial" w:hAnsi="Arial" w:cs="Arial"/>
                <w:b w:val="0"/>
                <w:bCs w:val="0"/>
                <w:noProof/>
                <w:webHidden/>
                <w:sz w:val="24"/>
                <w:szCs w:val="24"/>
              </w:rPr>
              <w:fldChar w:fldCharType="end"/>
            </w:r>
          </w:hyperlink>
        </w:p>
        <w:p w14:paraId="450D5AE9" w14:textId="744870B8"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3008" w:history="1">
            <w:r w:rsidRPr="00543FF1">
              <w:rPr>
                <w:rStyle w:val="Hyperlink"/>
                <w:rFonts w:ascii="Arial" w:hAnsi="Arial" w:cs="Arial"/>
                <w:b w:val="0"/>
                <w:bCs w:val="0"/>
                <w:i w:val="0"/>
                <w:iCs w:val="0"/>
                <w:noProof/>
              </w:rPr>
              <w:t>Chapter 5: Conclusion and Recommendations</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_Toc220883008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52</w:t>
            </w:r>
            <w:r w:rsidRPr="00543FF1">
              <w:rPr>
                <w:rFonts w:ascii="Arial" w:hAnsi="Arial" w:cs="Arial"/>
                <w:b w:val="0"/>
                <w:bCs w:val="0"/>
                <w:i w:val="0"/>
                <w:iCs w:val="0"/>
                <w:noProof/>
                <w:webHidden/>
              </w:rPr>
              <w:fldChar w:fldCharType="end"/>
            </w:r>
          </w:hyperlink>
        </w:p>
        <w:p w14:paraId="2C656DF1" w14:textId="34C39720"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09" w:history="1">
            <w:r w:rsidRPr="00543FF1">
              <w:rPr>
                <w:rStyle w:val="Hyperlink"/>
                <w:rFonts w:ascii="Arial" w:hAnsi="Arial" w:cs="Arial"/>
                <w:b w:val="0"/>
                <w:bCs w:val="0"/>
                <w:noProof/>
                <w:sz w:val="24"/>
                <w:szCs w:val="24"/>
                <w:lang/>
              </w:rPr>
              <w:t>5.1 Summary of Key Findings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_Toc220883009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52</w:t>
            </w:r>
            <w:r w:rsidRPr="00543FF1">
              <w:rPr>
                <w:rFonts w:ascii="Arial" w:hAnsi="Arial" w:cs="Arial"/>
                <w:b w:val="0"/>
                <w:bCs w:val="0"/>
                <w:noProof/>
                <w:webHidden/>
                <w:sz w:val="24"/>
                <w:szCs w:val="24"/>
              </w:rPr>
              <w:fldChar w:fldCharType="end"/>
            </w:r>
          </w:hyperlink>
        </w:p>
        <w:p w14:paraId="4A379376" w14:textId="3B51121E"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10" w:history="1">
            <w:r w:rsidRPr="00543FF1">
              <w:rPr>
                <w:rStyle w:val="Hyperlink"/>
                <w:rFonts w:ascii="Arial" w:hAnsi="Arial" w:cs="Arial"/>
                <w:b w:val="0"/>
                <w:bCs w:val="0"/>
                <w:noProof/>
                <w:sz w:val="24"/>
                <w:szCs w:val="24"/>
                <w:lang/>
              </w:rPr>
              <w:t>5.2 Contribution to Existing Literature</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_Toc220883010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53</w:t>
            </w:r>
            <w:r w:rsidRPr="00543FF1">
              <w:rPr>
                <w:rFonts w:ascii="Arial" w:hAnsi="Arial" w:cs="Arial"/>
                <w:b w:val="0"/>
                <w:bCs w:val="0"/>
                <w:noProof/>
                <w:webHidden/>
                <w:sz w:val="24"/>
                <w:szCs w:val="24"/>
              </w:rPr>
              <w:fldChar w:fldCharType="end"/>
            </w:r>
          </w:hyperlink>
        </w:p>
        <w:p w14:paraId="5120F8B2" w14:textId="234DC74B"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11" w:history="1">
            <w:r w:rsidRPr="00543FF1">
              <w:rPr>
                <w:rStyle w:val="Hyperlink"/>
                <w:rFonts w:ascii="Arial" w:hAnsi="Arial" w:cs="Arial"/>
                <w:b w:val="0"/>
                <w:bCs w:val="0"/>
                <w:noProof/>
                <w:sz w:val="24"/>
                <w:szCs w:val="24"/>
                <w:lang/>
              </w:rPr>
              <w:t>5.3 Practical Recommendations for Close Brothers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_Toc220883011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54</w:t>
            </w:r>
            <w:r w:rsidRPr="00543FF1">
              <w:rPr>
                <w:rFonts w:ascii="Arial" w:hAnsi="Arial" w:cs="Arial"/>
                <w:b w:val="0"/>
                <w:bCs w:val="0"/>
                <w:noProof/>
                <w:webHidden/>
                <w:sz w:val="24"/>
                <w:szCs w:val="24"/>
              </w:rPr>
              <w:fldChar w:fldCharType="end"/>
            </w:r>
          </w:hyperlink>
        </w:p>
        <w:p w14:paraId="78F1B4E7" w14:textId="39507829"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12" w:history="1">
            <w:r w:rsidRPr="00543FF1">
              <w:rPr>
                <w:rStyle w:val="Hyperlink"/>
                <w:rFonts w:ascii="Arial" w:hAnsi="Arial" w:cs="Arial"/>
                <w:b w:val="0"/>
                <w:bCs w:val="0"/>
                <w:noProof/>
                <w:sz w:val="24"/>
                <w:szCs w:val="24"/>
                <w:lang/>
              </w:rPr>
              <w:t>5.4 General Recommendations for Non-Banking Financial Institutions (NBFIs)</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_Toc220883012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56</w:t>
            </w:r>
            <w:r w:rsidRPr="00543FF1">
              <w:rPr>
                <w:rFonts w:ascii="Arial" w:hAnsi="Arial" w:cs="Arial"/>
                <w:b w:val="0"/>
                <w:bCs w:val="0"/>
                <w:noProof/>
                <w:webHidden/>
                <w:sz w:val="24"/>
                <w:szCs w:val="24"/>
              </w:rPr>
              <w:fldChar w:fldCharType="end"/>
            </w:r>
          </w:hyperlink>
        </w:p>
        <w:p w14:paraId="6BB605DD" w14:textId="3C84CF97"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13" w:history="1">
            <w:r w:rsidRPr="00543FF1">
              <w:rPr>
                <w:rStyle w:val="Hyperlink"/>
                <w:rFonts w:ascii="Arial" w:hAnsi="Arial" w:cs="Arial"/>
                <w:b w:val="0"/>
                <w:bCs w:val="0"/>
                <w:noProof/>
                <w:sz w:val="24"/>
                <w:szCs w:val="24"/>
                <w:lang/>
              </w:rPr>
              <w:t>5.5 Limitations and Areas for Future Research</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_Toc220883013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57</w:t>
            </w:r>
            <w:r w:rsidRPr="00543FF1">
              <w:rPr>
                <w:rFonts w:ascii="Arial" w:hAnsi="Arial" w:cs="Arial"/>
                <w:b w:val="0"/>
                <w:bCs w:val="0"/>
                <w:noProof/>
                <w:webHidden/>
                <w:sz w:val="24"/>
                <w:szCs w:val="24"/>
              </w:rPr>
              <w:fldChar w:fldCharType="end"/>
            </w:r>
          </w:hyperlink>
        </w:p>
        <w:p w14:paraId="410BEA8B" w14:textId="31309422" w:rsidR="00543FF1" w:rsidRPr="00543FF1" w:rsidRDefault="00543FF1" w:rsidP="00543FF1">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883014" w:history="1">
            <w:r w:rsidRPr="00543FF1">
              <w:rPr>
                <w:rStyle w:val="Hyperlink"/>
                <w:rFonts w:ascii="Arial" w:hAnsi="Arial" w:cs="Arial"/>
                <w:b w:val="0"/>
                <w:bCs w:val="0"/>
                <w:noProof/>
                <w:sz w:val="24"/>
                <w:szCs w:val="24"/>
                <w:lang/>
              </w:rPr>
              <w:t>5.6 Conclusion</w:t>
            </w:r>
            <w:r w:rsidRPr="00543FF1">
              <w:rPr>
                <w:rFonts w:ascii="Arial" w:hAnsi="Arial" w:cs="Arial"/>
                <w:b w:val="0"/>
                <w:bCs w:val="0"/>
                <w:noProof/>
                <w:webHidden/>
                <w:sz w:val="24"/>
                <w:szCs w:val="24"/>
              </w:rPr>
              <w:tab/>
            </w:r>
            <w:r w:rsidRPr="00543FF1">
              <w:rPr>
                <w:rFonts w:ascii="Arial" w:hAnsi="Arial" w:cs="Arial"/>
                <w:b w:val="0"/>
                <w:bCs w:val="0"/>
                <w:noProof/>
                <w:webHidden/>
                <w:sz w:val="24"/>
                <w:szCs w:val="24"/>
              </w:rPr>
              <w:fldChar w:fldCharType="begin"/>
            </w:r>
            <w:r w:rsidRPr="00543FF1">
              <w:rPr>
                <w:rFonts w:ascii="Arial" w:hAnsi="Arial" w:cs="Arial"/>
                <w:b w:val="0"/>
                <w:bCs w:val="0"/>
                <w:noProof/>
                <w:webHidden/>
                <w:sz w:val="24"/>
                <w:szCs w:val="24"/>
              </w:rPr>
              <w:instrText xml:space="preserve"> PAGEREF _Toc220883014 \h </w:instrText>
            </w:r>
            <w:r w:rsidRPr="00543FF1">
              <w:rPr>
                <w:rFonts w:ascii="Arial" w:hAnsi="Arial" w:cs="Arial"/>
                <w:b w:val="0"/>
                <w:bCs w:val="0"/>
                <w:noProof/>
                <w:webHidden/>
                <w:sz w:val="24"/>
                <w:szCs w:val="24"/>
              </w:rPr>
            </w:r>
            <w:r w:rsidRPr="00543FF1">
              <w:rPr>
                <w:rFonts w:ascii="Arial" w:hAnsi="Arial" w:cs="Arial"/>
                <w:b w:val="0"/>
                <w:bCs w:val="0"/>
                <w:noProof/>
                <w:webHidden/>
                <w:sz w:val="24"/>
                <w:szCs w:val="24"/>
              </w:rPr>
              <w:fldChar w:fldCharType="separate"/>
            </w:r>
            <w:r w:rsidRPr="00543FF1">
              <w:rPr>
                <w:rFonts w:ascii="Arial" w:hAnsi="Arial" w:cs="Arial"/>
                <w:b w:val="0"/>
                <w:bCs w:val="0"/>
                <w:noProof/>
                <w:webHidden/>
                <w:sz w:val="24"/>
                <w:szCs w:val="24"/>
              </w:rPr>
              <w:t>57</w:t>
            </w:r>
            <w:r w:rsidRPr="00543FF1">
              <w:rPr>
                <w:rFonts w:ascii="Arial" w:hAnsi="Arial" w:cs="Arial"/>
                <w:b w:val="0"/>
                <w:bCs w:val="0"/>
                <w:noProof/>
                <w:webHidden/>
                <w:sz w:val="24"/>
                <w:szCs w:val="24"/>
              </w:rPr>
              <w:fldChar w:fldCharType="end"/>
            </w:r>
          </w:hyperlink>
        </w:p>
        <w:p w14:paraId="0131A8B2" w14:textId="0B3BD7CE" w:rsidR="00543FF1" w:rsidRPr="00543FF1" w:rsidRDefault="00543FF1" w:rsidP="00543FF1">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883015" w:history="1">
            <w:r w:rsidRPr="00543FF1">
              <w:rPr>
                <w:rStyle w:val="Hyperlink"/>
                <w:rFonts w:ascii="Arial" w:hAnsi="Arial" w:cs="Arial"/>
                <w:b w:val="0"/>
                <w:bCs w:val="0"/>
                <w:i w:val="0"/>
                <w:iCs w:val="0"/>
                <w:noProof/>
              </w:rPr>
              <w:t>Reference</w:t>
            </w:r>
            <w:r w:rsidRPr="00543FF1">
              <w:rPr>
                <w:rFonts w:ascii="Arial" w:hAnsi="Arial" w:cs="Arial"/>
                <w:b w:val="0"/>
                <w:bCs w:val="0"/>
                <w:i w:val="0"/>
                <w:iCs w:val="0"/>
                <w:noProof/>
                <w:webHidden/>
              </w:rPr>
              <w:tab/>
            </w:r>
            <w:r w:rsidRPr="00543FF1">
              <w:rPr>
                <w:rFonts w:ascii="Arial" w:hAnsi="Arial" w:cs="Arial"/>
                <w:b w:val="0"/>
                <w:bCs w:val="0"/>
                <w:i w:val="0"/>
                <w:iCs w:val="0"/>
                <w:noProof/>
                <w:webHidden/>
              </w:rPr>
              <w:fldChar w:fldCharType="begin"/>
            </w:r>
            <w:r w:rsidRPr="00543FF1">
              <w:rPr>
                <w:rFonts w:ascii="Arial" w:hAnsi="Arial" w:cs="Arial"/>
                <w:b w:val="0"/>
                <w:bCs w:val="0"/>
                <w:i w:val="0"/>
                <w:iCs w:val="0"/>
                <w:noProof/>
                <w:webHidden/>
              </w:rPr>
              <w:instrText xml:space="preserve"> PAGEREF _Toc220883015 \h </w:instrText>
            </w:r>
            <w:r w:rsidRPr="00543FF1">
              <w:rPr>
                <w:rFonts w:ascii="Arial" w:hAnsi="Arial" w:cs="Arial"/>
                <w:b w:val="0"/>
                <w:bCs w:val="0"/>
                <w:i w:val="0"/>
                <w:iCs w:val="0"/>
                <w:noProof/>
                <w:webHidden/>
              </w:rPr>
            </w:r>
            <w:r w:rsidRPr="00543FF1">
              <w:rPr>
                <w:rFonts w:ascii="Arial" w:hAnsi="Arial" w:cs="Arial"/>
                <w:b w:val="0"/>
                <w:bCs w:val="0"/>
                <w:i w:val="0"/>
                <w:iCs w:val="0"/>
                <w:noProof/>
                <w:webHidden/>
              </w:rPr>
              <w:fldChar w:fldCharType="separate"/>
            </w:r>
            <w:r w:rsidRPr="00543FF1">
              <w:rPr>
                <w:rFonts w:ascii="Arial" w:hAnsi="Arial" w:cs="Arial"/>
                <w:b w:val="0"/>
                <w:bCs w:val="0"/>
                <w:i w:val="0"/>
                <w:iCs w:val="0"/>
                <w:noProof/>
                <w:webHidden/>
              </w:rPr>
              <w:t>58</w:t>
            </w:r>
            <w:r w:rsidRPr="00543FF1">
              <w:rPr>
                <w:rFonts w:ascii="Arial" w:hAnsi="Arial" w:cs="Arial"/>
                <w:b w:val="0"/>
                <w:bCs w:val="0"/>
                <w:i w:val="0"/>
                <w:iCs w:val="0"/>
                <w:noProof/>
                <w:webHidden/>
              </w:rPr>
              <w:fldChar w:fldCharType="end"/>
            </w:r>
          </w:hyperlink>
        </w:p>
        <w:p w14:paraId="60A66FAC" w14:textId="6921721A" w:rsidR="00E8132B" w:rsidRPr="00825A17" w:rsidRDefault="00E8132B" w:rsidP="00543FF1">
          <w:pPr>
            <w:rPr>
              <w:rFonts w:cs="Arial"/>
            </w:rPr>
          </w:pPr>
          <w:r w:rsidRPr="00543FF1">
            <w:rPr>
              <w:rFonts w:cs="Arial"/>
              <w:noProof/>
            </w:rPr>
            <w:fldChar w:fldCharType="end"/>
          </w:r>
        </w:p>
      </w:sdtContent>
    </w:sdt>
    <w:p w14:paraId="5FBF41E1" w14:textId="62468056" w:rsidR="005E2A7C" w:rsidRPr="005877C3" w:rsidRDefault="005E2A7C">
      <w:pPr>
        <w:spacing w:after="160" w:line="259" w:lineRule="auto"/>
        <w:jc w:val="left"/>
        <w:rPr>
          <w:rFonts w:cs="Arial"/>
        </w:rPr>
      </w:pPr>
      <w:r w:rsidRPr="005877C3">
        <w:rPr>
          <w:rFonts w:cs="Arial"/>
        </w:rPr>
        <w:br w:type="page"/>
      </w:r>
    </w:p>
    <w:p w14:paraId="5FDC876D" w14:textId="2B21E22B" w:rsidR="005E2A7C" w:rsidRPr="005877C3" w:rsidRDefault="005E2A7C" w:rsidP="005E2A7C">
      <w:pPr>
        <w:pStyle w:val="Heading1"/>
        <w:rPr>
          <w:rFonts w:cs="Arial"/>
          <w:sz w:val="27"/>
          <w:szCs w:val="27"/>
        </w:rPr>
      </w:pPr>
      <w:bookmarkStart w:id="2" w:name="_Toc220882942"/>
      <w:r w:rsidRPr="005877C3">
        <w:rPr>
          <w:rFonts w:cs="Arial"/>
        </w:rPr>
        <w:lastRenderedPageBreak/>
        <w:t>Chapter 1: Introduction</w:t>
      </w:r>
      <w:bookmarkEnd w:id="2"/>
    </w:p>
    <w:p w14:paraId="2A443D5C" w14:textId="77777777" w:rsidR="005E2A7C" w:rsidRPr="005877C3" w:rsidRDefault="005E2A7C" w:rsidP="005E2A7C">
      <w:pPr>
        <w:pStyle w:val="Heading2"/>
        <w:rPr>
          <w:rFonts w:cs="Arial"/>
        </w:rPr>
      </w:pPr>
      <w:bookmarkStart w:id="3" w:name="_Toc220882943"/>
      <w:r w:rsidRPr="005877C3">
        <w:rPr>
          <w:rFonts w:cs="Arial"/>
        </w:rPr>
        <w:t>1.1 Background of the Study</w:t>
      </w:r>
      <w:bookmarkEnd w:id="3"/>
    </w:p>
    <w:p w14:paraId="16F2C752" w14:textId="000EAEAF" w:rsidR="005E2A7C" w:rsidRPr="005877C3" w:rsidRDefault="005E2A7C" w:rsidP="005E2A7C">
      <w:pPr>
        <w:rPr>
          <w:rFonts w:cs="Arial"/>
        </w:rPr>
      </w:pPr>
      <w:r w:rsidRPr="005877C3">
        <w:rPr>
          <w:rFonts w:cs="Arial"/>
        </w:rPr>
        <w:t>The UK financial services industry is a highly diversified and developed industry in the world. It includes large commercial banks, niche lenders, investment firms and non-bank financial institutions (NBFIs). Although banks mainly focus on taking deposits and traditional lending, NBFIs also play a very specific and, at the same time, necessary role. They provide asset-based funding, special finance and assistance to small and medium-sized enterprises (SMEs) that can experience challenges in acquiring mainstream bank credit (Qureshi and Lamarque, 2023). Their ability to lend to niche markets increases financial inclusion and strengthens economic activity. The distinction between banks and NBFIs is hence considerable. Banks use the deposits of customers, and they also have access to the central bank facilities, unlike the NBFIs. They rely on market-driven funding, wholesale borrowing and securitisation to do business. As a result, NBFIs are more vulnerable to the illiquidity pressures and market shocks. These pressures have been escalated by the 2008 financial crisis, Brexit and COVID-19 (Jahan et al., 2022). Such shocks revealed weaknesses in funding systems and highlighted the need to have strong financial risk management. At the same time, regulatory demands have gone up. The NBFIs are required by the Financial Conduct Authority (FCA) and the Prudential Regulation Authority (PRA) to be resilient, transparent and lead responsible governance. The tension and tightened regulations affect the manner in which these institutions will deal with credit, liquidity, market, and operational risk. At the same time, financial markets are now less predictable. There is uncertainty brought about by inflation, variable interest rates, and increased funding costs (</w:t>
      </w:r>
      <w:proofErr w:type="spellStart"/>
      <w:r w:rsidRPr="005877C3">
        <w:rPr>
          <w:rFonts w:cs="Arial"/>
        </w:rPr>
        <w:t>Dieste</w:t>
      </w:r>
      <w:proofErr w:type="spellEnd"/>
      <w:r w:rsidRPr="005877C3">
        <w:rPr>
          <w:rFonts w:cs="Arial"/>
        </w:rPr>
        <w:t xml:space="preserve">, </w:t>
      </w:r>
      <w:proofErr w:type="spellStart"/>
      <w:r w:rsidRPr="005877C3">
        <w:rPr>
          <w:rFonts w:cs="Arial"/>
        </w:rPr>
        <w:t>Panizzolo</w:t>
      </w:r>
      <w:proofErr w:type="spellEnd"/>
      <w:r w:rsidRPr="005877C3">
        <w:rPr>
          <w:rFonts w:cs="Arial"/>
        </w:rPr>
        <w:t xml:space="preserve"> and Garza-Reyes, 2021). In the case of NBFIs, such circumstances have a direct impact on profitability and stability. Thus, the academic and practical importance of the study of financial risk in NBFIs is great. It clarifies the way in which these institutions are able to stay stable when uncertain and how risk management helps sustain performance.</w:t>
      </w:r>
    </w:p>
    <w:p w14:paraId="7AD5408B" w14:textId="77777777" w:rsidR="005E2A7C" w:rsidRPr="005877C3" w:rsidRDefault="005E2A7C" w:rsidP="005E2A7C">
      <w:pPr>
        <w:rPr>
          <w:rFonts w:cs="Arial"/>
        </w:rPr>
      </w:pPr>
    </w:p>
    <w:p w14:paraId="621A17B2" w14:textId="77777777" w:rsidR="005E2A7C" w:rsidRPr="005877C3" w:rsidRDefault="005E2A7C" w:rsidP="005E2A7C">
      <w:pPr>
        <w:pStyle w:val="Heading2"/>
        <w:rPr>
          <w:rFonts w:cs="Arial"/>
        </w:rPr>
      </w:pPr>
      <w:bookmarkStart w:id="4" w:name="_Toc220882944"/>
      <w:r w:rsidRPr="005877C3">
        <w:rPr>
          <w:rFonts w:cs="Arial"/>
        </w:rPr>
        <w:t>1.2 Profile of Close Brothers Group plc</w:t>
      </w:r>
      <w:bookmarkEnd w:id="4"/>
    </w:p>
    <w:p w14:paraId="1E0BE39A" w14:textId="5875C096" w:rsidR="005E2A7C" w:rsidRPr="005877C3" w:rsidRDefault="005E2A7C" w:rsidP="005E2A7C">
      <w:pPr>
        <w:rPr>
          <w:rFonts w:cs="Arial"/>
        </w:rPr>
      </w:pPr>
      <w:r w:rsidRPr="005877C3">
        <w:rPr>
          <w:rFonts w:cs="Arial"/>
        </w:rPr>
        <w:t xml:space="preserve">Close Brother Group plc is a financial institution based in the United Kingdom and is among the most established and oldest institutions in the UK. It was established in </w:t>
      </w:r>
      <w:r w:rsidRPr="005877C3">
        <w:rPr>
          <w:rFonts w:cs="Arial"/>
        </w:rPr>
        <w:lastRenderedPageBreak/>
        <w:t>1878, and it has grown to be a diversified financial services group through its modest merchant banking operation. It has a business model that focuses on three main areas: asset-backed lending, motor finance, and wealth management, which is supplemented by a securities division (</w:t>
      </w:r>
      <w:proofErr w:type="spellStart"/>
      <w:r w:rsidRPr="005877C3">
        <w:rPr>
          <w:rFonts w:cs="Arial"/>
        </w:rPr>
        <w:t>Dieste</w:t>
      </w:r>
      <w:proofErr w:type="spellEnd"/>
      <w:r w:rsidRPr="005877C3">
        <w:rPr>
          <w:rFonts w:cs="Arial"/>
        </w:rPr>
        <w:t xml:space="preserve">, </w:t>
      </w:r>
      <w:proofErr w:type="spellStart"/>
      <w:r w:rsidRPr="005877C3">
        <w:rPr>
          <w:rFonts w:cs="Arial"/>
        </w:rPr>
        <w:t>Panizzolo</w:t>
      </w:r>
      <w:proofErr w:type="spellEnd"/>
      <w:r w:rsidRPr="005877C3">
        <w:rPr>
          <w:rFonts w:cs="Arial"/>
        </w:rPr>
        <w:t xml:space="preserve"> and Garza-Reyes, 2021). These operations are directed at expert markets in which experience and disciplined lending will create a competitive advantage. One aspect that is characteristic of Close Brothers is its risk-conservative culture. The company considers strict underwriting, collateral of high quality, and careful monitoring of the portfolio. </w:t>
      </w:r>
      <w:r w:rsidR="00EE76F1" w:rsidRPr="00EE76F1">
        <w:rPr>
          <w:rFonts w:cs="Arial"/>
        </w:rPr>
        <w:t>It also has a strong capital base and a consistent source of funds</w:t>
      </w:r>
      <w:r w:rsidR="00EE76F1">
        <w:rPr>
          <w:rFonts w:cs="Arial"/>
        </w:rPr>
        <w:t>,</w:t>
      </w:r>
      <w:r w:rsidR="00EE76F1" w:rsidRPr="00EE76F1">
        <w:rPr>
          <w:rFonts w:cs="Arial"/>
        </w:rPr>
        <w:t xml:space="preserve"> and these form the basis of long-term resilience. This conservative strategy will help it to provide stable performance through economic cycles. </w:t>
      </w:r>
      <w:r w:rsidRPr="005877C3">
        <w:rPr>
          <w:rFonts w:cs="Arial"/>
        </w:rPr>
        <w:t xml:space="preserve">Close Brother is thus a good example towards risk and profitability analysis (Liu and Huang, 2022). </w:t>
      </w:r>
      <w:r w:rsidR="00FF7FC8">
        <w:rPr>
          <w:rFonts w:cs="Arial"/>
        </w:rPr>
        <w:t>Reporting</w:t>
      </w:r>
      <w:r w:rsidRPr="005877C3">
        <w:rPr>
          <w:rFonts w:cs="Arial"/>
        </w:rPr>
        <w:t>, consistent strategy, and stringent risk management offer a great deal of information on how NBFIs strike a balance between stability and performance in a regulated and unpredictable environment.</w:t>
      </w:r>
    </w:p>
    <w:p w14:paraId="49275FEA" w14:textId="77777777" w:rsidR="005E2A7C" w:rsidRPr="005877C3" w:rsidRDefault="005E2A7C" w:rsidP="005E2A7C">
      <w:pPr>
        <w:rPr>
          <w:rFonts w:cs="Arial"/>
        </w:rPr>
      </w:pPr>
    </w:p>
    <w:p w14:paraId="06976D1A" w14:textId="77777777" w:rsidR="005E2A7C" w:rsidRPr="005877C3" w:rsidRDefault="005E2A7C" w:rsidP="005E2A7C">
      <w:pPr>
        <w:pStyle w:val="Heading2"/>
        <w:rPr>
          <w:rFonts w:cs="Arial"/>
        </w:rPr>
      </w:pPr>
      <w:bookmarkStart w:id="5" w:name="_Toc220882945"/>
      <w:r w:rsidRPr="005877C3">
        <w:rPr>
          <w:rFonts w:cs="Arial"/>
        </w:rPr>
        <w:t>1.3 Problem Statement</w:t>
      </w:r>
      <w:bookmarkEnd w:id="5"/>
    </w:p>
    <w:p w14:paraId="7A4130CB" w14:textId="4D618520" w:rsidR="005E2A7C" w:rsidRPr="005877C3" w:rsidRDefault="005E2A7C" w:rsidP="005E2A7C">
      <w:pPr>
        <w:rPr>
          <w:rFonts w:cs="Arial"/>
        </w:rPr>
      </w:pPr>
      <w:r w:rsidRPr="005877C3">
        <w:rPr>
          <w:rFonts w:cs="Arial"/>
        </w:rPr>
        <w:t xml:space="preserve">The operating environment that non-bank financial institutions in the UK have is defined by rising uncertainty and structural change. Continuous market volatility has been caused </w:t>
      </w:r>
      <w:r w:rsidR="00FF7FC8">
        <w:rPr>
          <w:rFonts w:cs="Arial"/>
        </w:rPr>
        <w:t>by</w:t>
      </w:r>
      <w:r w:rsidRPr="005877C3">
        <w:rPr>
          <w:rFonts w:cs="Arial"/>
        </w:rPr>
        <w:t xml:space="preserve"> global events like the 2008 financial crisis, the COVID-19 pandemic and geopolitical instability (Liu and Huang, 2022). The particulars of the UK, such as Brexit, the fluctuation of interest rates, and inflation, have added further pressure. Such disruptions affect access to funds, cost of capital and customer behaviour, thus making risk management very difficult among NBFIs, which depend on market-based funding as opposed to deposits. Although the role of NBFIs is increasingly significant, according to the majority of scholarly studies, the traditional banks are still in the spotlight. Therefore, little is known regarding the effects of risk management on profitability in institutions which have different business models, funding and regulatory expectations. Available literature also demonstrates the issue of maintaining a so-called conservative risk appetite and the need to generate high returns. The governmental regulations also put pressure on these institutions further by increasing operational expenses and decreasing flexibility (Akbar et al., 2021). Close Brothers is a classic example of a conservative culture that has always existed, but it is not clear whether this risk-averse strategy is still effective in driving competitive performance in </w:t>
      </w:r>
      <w:r w:rsidRPr="005877C3">
        <w:rPr>
          <w:rFonts w:cs="Arial"/>
        </w:rPr>
        <w:lastRenderedPageBreak/>
        <w:t>the present environment. The inherent issue, then, lies in the lack of empirical understanding as to the ability of financial risk management to influence profitability in a regulated UK NBFI. Such a gap is the reason to conduct more profound research.</w:t>
      </w:r>
    </w:p>
    <w:p w14:paraId="31F9DE59" w14:textId="77777777" w:rsidR="005E2A7C" w:rsidRPr="005877C3" w:rsidRDefault="005E2A7C" w:rsidP="005E2A7C">
      <w:pPr>
        <w:pStyle w:val="Heading2"/>
        <w:rPr>
          <w:rFonts w:cs="Arial"/>
        </w:rPr>
      </w:pPr>
      <w:bookmarkStart w:id="6" w:name="_Toc220882946"/>
      <w:r w:rsidRPr="005877C3">
        <w:rPr>
          <w:rFonts w:cs="Arial"/>
        </w:rPr>
        <w:t>1.4 Research Aim</w:t>
      </w:r>
      <w:bookmarkEnd w:id="6"/>
    </w:p>
    <w:p w14:paraId="17AACD5F" w14:textId="77777777" w:rsidR="005E2A7C" w:rsidRPr="005877C3" w:rsidRDefault="005E2A7C" w:rsidP="005E2A7C">
      <w:pPr>
        <w:rPr>
          <w:rFonts w:cs="Arial"/>
        </w:rPr>
      </w:pPr>
      <w:r w:rsidRPr="005877C3">
        <w:rPr>
          <w:rFonts w:cs="Arial"/>
        </w:rPr>
        <w:t>To evaluate how financial risk management affects profitability in Close Brothers Group plc.</w:t>
      </w:r>
    </w:p>
    <w:p w14:paraId="18825286" w14:textId="77777777" w:rsidR="005E2A7C" w:rsidRPr="005877C3" w:rsidRDefault="005E2A7C" w:rsidP="005E2A7C">
      <w:pPr>
        <w:rPr>
          <w:rFonts w:cs="Arial"/>
        </w:rPr>
      </w:pPr>
    </w:p>
    <w:p w14:paraId="59D3C6E2" w14:textId="5E95109A" w:rsidR="005E2A7C" w:rsidRPr="005877C3" w:rsidRDefault="005E2A7C" w:rsidP="005E2A7C">
      <w:pPr>
        <w:pStyle w:val="Heading2"/>
        <w:rPr>
          <w:rFonts w:cs="Arial"/>
        </w:rPr>
      </w:pPr>
      <w:bookmarkStart w:id="7" w:name="_Toc220882947"/>
      <w:r w:rsidRPr="005877C3">
        <w:rPr>
          <w:rFonts w:cs="Arial"/>
        </w:rPr>
        <w:t>1.5 Research Objectives</w:t>
      </w:r>
      <w:bookmarkEnd w:id="7"/>
    </w:p>
    <w:p w14:paraId="2C81C20A" w14:textId="77777777" w:rsidR="005E2A7C" w:rsidRPr="005877C3" w:rsidRDefault="005E2A7C" w:rsidP="005E2A7C">
      <w:pPr>
        <w:pStyle w:val="ListParagraph"/>
        <w:numPr>
          <w:ilvl w:val="0"/>
          <w:numId w:val="28"/>
        </w:numPr>
        <w:rPr>
          <w:rFonts w:cs="Arial"/>
        </w:rPr>
      </w:pPr>
      <w:r w:rsidRPr="005877C3">
        <w:rPr>
          <w:rFonts w:cs="Arial"/>
        </w:rPr>
        <w:t>To analyse major risk types faced by the firm (credit, liquidity, market, operational).</w:t>
      </w:r>
    </w:p>
    <w:p w14:paraId="08FDCFBB" w14:textId="77777777" w:rsidR="005E2A7C" w:rsidRPr="005877C3" w:rsidRDefault="005E2A7C" w:rsidP="005E2A7C">
      <w:pPr>
        <w:pStyle w:val="ListParagraph"/>
        <w:numPr>
          <w:ilvl w:val="0"/>
          <w:numId w:val="28"/>
        </w:numPr>
        <w:rPr>
          <w:rFonts w:cs="Arial"/>
        </w:rPr>
      </w:pPr>
      <w:r w:rsidRPr="005877C3">
        <w:rPr>
          <w:rFonts w:cs="Arial"/>
        </w:rPr>
        <w:t>To examine how risk management frameworks influence financial stability and</w:t>
      </w:r>
    </w:p>
    <w:p w14:paraId="0C16E119" w14:textId="77777777" w:rsidR="005E2A7C" w:rsidRPr="005877C3" w:rsidRDefault="005E2A7C" w:rsidP="005E2A7C">
      <w:pPr>
        <w:pStyle w:val="ListParagraph"/>
        <w:numPr>
          <w:ilvl w:val="0"/>
          <w:numId w:val="28"/>
        </w:numPr>
        <w:rPr>
          <w:rFonts w:cs="Arial"/>
        </w:rPr>
      </w:pPr>
      <w:r w:rsidRPr="005877C3">
        <w:rPr>
          <w:rFonts w:cs="Arial"/>
        </w:rPr>
        <w:t>profitability.</w:t>
      </w:r>
    </w:p>
    <w:p w14:paraId="64C63D58" w14:textId="77777777" w:rsidR="005E2A7C" w:rsidRPr="005877C3" w:rsidRDefault="005E2A7C" w:rsidP="005E2A7C">
      <w:pPr>
        <w:pStyle w:val="ListParagraph"/>
        <w:numPr>
          <w:ilvl w:val="0"/>
          <w:numId w:val="28"/>
        </w:numPr>
        <w:rPr>
          <w:rFonts w:cs="Arial"/>
        </w:rPr>
      </w:pPr>
      <w:r w:rsidRPr="005877C3">
        <w:rPr>
          <w:rFonts w:cs="Arial"/>
        </w:rPr>
        <w:t>To assess trends in financial ratios and disclosures from 2019–2024.</w:t>
      </w:r>
    </w:p>
    <w:p w14:paraId="242C3AD4" w14:textId="77777777" w:rsidR="005E2A7C" w:rsidRPr="005877C3" w:rsidRDefault="005E2A7C" w:rsidP="005E2A7C">
      <w:pPr>
        <w:pStyle w:val="ListParagraph"/>
        <w:numPr>
          <w:ilvl w:val="0"/>
          <w:numId w:val="28"/>
        </w:numPr>
        <w:rPr>
          <w:rFonts w:cs="Arial"/>
        </w:rPr>
      </w:pPr>
      <w:r w:rsidRPr="005877C3">
        <w:rPr>
          <w:rFonts w:cs="Arial"/>
        </w:rPr>
        <w:t>To suggest improvements for sustainable performance.</w:t>
      </w:r>
    </w:p>
    <w:p w14:paraId="7AFFE6BA" w14:textId="77777777" w:rsidR="005E2A7C" w:rsidRPr="005877C3" w:rsidRDefault="005E2A7C" w:rsidP="005E2A7C">
      <w:pPr>
        <w:rPr>
          <w:rFonts w:cs="Arial"/>
        </w:rPr>
      </w:pPr>
    </w:p>
    <w:p w14:paraId="4FD99308" w14:textId="77777777" w:rsidR="005E2A7C" w:rsidRPr="005877C3" w:rsidRDefault="005E2A7C" w:rsidP="005E2A7C">
      <w:pPr>
        <w:pStyle w:val="Heading2"/>
        <w:rPr>
          <w:rFonts w:cs="Arial"/>
        </w:rPr>
      </w:pPr>
      <w:bookmarkStart w:id="8" w:name="_Toc220882948"/>
      <w:r w:rsidRPr="005877C3">
        <w:rPr>
          <w:rFonts w:cs="Arial"/>
        </w:rPr>
        <w:t>1.6 Research Questions</w:t>
      </w:r>
      <w:bookmarkEnd w:id="8"/>
    </w:p>
    <w:p w14:paraId="68EA86B3" w14:textId="77777777" w:rsidR="005E2A7C" w:rsidRPr="005877C3" w:rsidRDefault="005E2A7C" w:rsidP="005E2A7C">
      <w:pPr>
        <w:pStyle w:val="ListParagraph"/>
        <w:numPr>
          <w:ilvl w:val="0"/>
          <w:numId w:val="29"/>
        </w:numPr>
        <w:rPr>
          <w:rFonts w:cs="Arial"/>
        </w:rPr>
      </w:pPr>
      <w:r w:rsidRPr="005877C3">
        <w:rPr>
          <w:rFonts w:cs="Arial"/>
        </w:rPr>
        <w:t>How does Close Brothers manage financial risks?</w:t>
      </w:r>
    </w:p>
    <w:p w14:paraId="083E7758" w14:textId="6C803258" w:rsidR="005E2A7C" w:rsidRPr="005877C3" w:rsidRDefault="005E2A7C" w:rsidP="005E2A7C">
      <w:pPr>
        <w:pStyle w:val="ListParagraph"/>
        <w:numPr>
          <w:ilvl w:val="0"/>
          <w:numId w:val="29"/>
        </w:numPr>
        <w:rPr>
          <w:rFonts w:cs="Arial"/>
        </w:rPr>
      </w:pPr>
      <w:r w:rsidRPr="005877C3">
        <w:rPr>
          <w:rFonts w:cs="Arial"/>
        </w:rPr>
        <w:t>What is the relationship between risk management and profitability?</w:t>
      </w:r>
    </w:p>
    <w:p w14:paraId="5F75172D" w14:textId="77777777" w:rsidR="005E2A7C" w:rsidRPr="005877C3" w:rsidRDefault="005E2A7C" w:rsidP="005E2A7C">
      <w:pPr>
        <w:pStyle w:val="ListParagraph"/>
        <w:numPr>
          <w:ilvl w:val="0"/>
          <w:numId w:val="29"/>
        </w:numPr>
        <w:rPr>
          <w:rFonts w:cs="Arial"/>
        </w:rPr>
      </w:pPr>
      <w:r w:rsidRPr="005877C3">
        <w:rPr>
          <w:rFonts w:cs="Arial"/>
        </w:rPr>
        <w:t>Which risk factors most significantly influence financial performance?</w:t>
      </w:r>
    </w:p>
    <w:p w14:paraId="2A06F9A2" w14:textId="77777777" w:rsidR="005E2A7C" w:rsidRPr="005877C3" w:rsidRDefault="005E2A7C" w:rsidP="005E2A7C">
      <w:pPr>
        <w:rPr>
          <w:rFonts w:cs="Arial"/>
        </w:rPr>
      </w:pPr>
    </w:p>
    <w:p w14:paraId="68A37EFC" w14:textId="77777777" w:rsidR="005E2A7C" w:rsidRPr="005877C3" w:rsidRDefault="005E2A7C" w:rsidP="005E2A7C">
      <w:pPr>
        <w:pStyle w:val="Heading2"/>
        <w:rPr>
          <w:rFonts w:cs="Arial"/>
        </w:rPr>
      </w:pPr>
      <w:bookmarkStart w:id="9" w:name="_Toc220882949"/>
      <w:r w:rsidRPr="005877C3">
        <w:rPr>
          <w:rFonts w:cs="Arial"/>
        </w:rPr>
        <w:t>1.7 Rationale for the Study</w:t>
      </w:r>
      <w:bookmarkEnd w:id="9"/>
    </w:p>
    <w:p w14:paraId="634B8028" w14:textId="2A94349E" w:rsidR="005E2A7C" w:rsidRPr="005877C3" w:rsidRDefault="005E2A7C" w:rsidP="005E2A7C">
      <w:pPr>
        <w:rPr>
          <w:rFonts w:cs="Arial"/>
        </w:rPr>
      </w:pPr>
      <w:r w:rsidRPr="005877C3">
        <w:rPr>
          <w:rFonts w:cs="Arial"/>
        </w:rPr>
        <w:t xml:space="preserve">This research has been considered important based on the scarcity of academic literature on the non-bank financial institutions in the United Kingdom. The current literature mainly focuses on commercial banks, despite the huge contribution made by NBFIs in lending and credit provision. Moreover, the studies that combine qualitative risk disclosures with quantitative financial ratios are few, and thus limit the level of insight into the practice of risk management and performance (Bianchi and Bigio, 2022). A combined method could bring more obvious conclusions. The market reason is also quite strong, since NBFIs face a growing regulatory scrutiny of the FCA and PRA. At the same time, the market volatility has worsened due to inflation and changes </w:t>
      </w:r>
      <w:r w:rsidRPr="005877C3">
        <w:rPr>
          <w:rFonts w:cs="Arial"/>
        </w:rPr>
        <w:lastRenderedPageBreak/>
        <w:t xml:space="preserve">in interest rates, as well as the post-Brexit situation. The institutions should understand the role of risk structures that support stability in the face of such dynamics. The practical instances help managers and policymakers to identify the successful practices and those that do not work (Mirza et al., 2023). </w:t>
      </w:r>
      <w:r w:rsidR="00EE76F1" w:rsidRPr="00EE76F1">
        <w:rPr>
          <w:rFonts w:cs="Arial"/>
        </w:rPr>
        <w:t>There is also a longer-term economic rationale behind this, which is that NBFIs offer financial solutions to the SMEs and consumers that are not generally within the mainstream of bank finance. This stability is going to make them resilient economically and it is possible that the weaknesses of their rick systems will cause wider disruptions. Close Brothers is a perfect example to analyse the topic; its size, openness, and years of experience in a conservative model can give a good understanding of the way risky discipline can be used to create a sustainably profitable organisation in a controlled and unpredictable world.</w:t>
      </w:r>
    </w:p>
    <w:p w14:paraId="62806CF9" w14:textId="77777777" w:rsidR="005E2A7C" w:rsidRPr="005877C3" w:rsidRDefault="005E2A7C" w:rsidP="005E2A7C">
      <w:pPr>
        <w:rPr>
          <w:rFonts w:cs="Arial"/>
        </w:rPr>
      </w:pPr>
    </w:p>
    <w:p w14:paraId="73E1829E" w14:textId="77777777" w:rsidR="005E2A7C" w:rsidRPr="005877C3" w:rsidRDefault="005E2A7C" w:rsidP="005E2A7C">
      <w:pPr>
        <w:pStyle w:val="Heading2"/>
        <w:rPr>
          <w:rFonts w:cs="Arial"/>
        </w:rPr>
      </w:pPr>
      <w:bookmarkStart w:id="10" w:name="_Toc220882950"/>
      <w:r w:rsidRPr="005877C3">
        <w:rPr>
          <w:rFonts w:cs="Arial"/>
        </w:rPr>
        <w:t>1.8 Significance of the Study</w:t>
      </w:r>
      <w:bookmarkEnd w:id="10"/>
    </w:p>
    <w:p w14:paraId="2D5CD266" w14:textId="7507F93E" w:rsidR="005E2A7C" w:rsidRPr="005877C3" w:rsidRDefault="00EE76F1" w:rsidP="005E2A7C">
      <w:pPr>
        <w:rPr>
          <w:rFonts w:cs="Arial"/>
        </w:rPr>
      </w:pPr>
      <w:r w:rsidRPr="00EE76F1">
        <w:rPr>
          <w:rFonts w:cs="Arial"/>
        </w:rPr>
        <w:t>This research has a significant amount of scholarly potential as there are clearly gaps in the existing pieces of literature on the subject of non-bank financial institutions, which can be filled with this research. It also provides further understanding o</w:t>
      </w:r>
      <w:r>
        <w:rPr>
          <w:rFonts w:cs="Arial"/>
        </w:rPr>
        <w:t>f</w:t>
      </w:r>
      <w:r w:rsidRPr="00EE76F1">
        <w:rPr>
          <w:rFonts w:cs="Arial"/>
        </w:rPr>
        <w:t xml:space="preserve"> the role of risk management in profitability in a sector which is mostly missed in studies. The study has incorporated qualitative disclosure in terms of quantitative ratios, which makes the performance of NBFI more fully appreciated (</w:t>
      </w:r>
      <w:proofErr w:type="spellStart"/>
      <w:r w:rsidRPr="00EE76F1">
        <w:rPr>
          <w:rFonts w:cs="Arial"/>
        </w:rPr>
        <w:t>Galankashi</w:t>
      </w:r>
      <w:proofErr w:type="spellEnd"/>
      <w:r w:rsidRPr="00EE76F1">
        <w:rPr>
          <w:rFonts w:cs="Arial"/>
        </w:rPr>
        <w:t xml:space="preserve"> and </w:t>
      </w:r>
      <w:proofErr w:type="spellStart"/>
      <w:r w:rsidRPr="00EE76F1">
        <w:rPr>
          <w:rFonts w:cs="Arial"/>
        </w:rPr>
        <w:t>Rafiei</w:t>
      </w:r>
      <w:proofErr w:type="spellEnd"/>
      <w:r w:rsidRPr="00EE76F1">
        <w:rPr>
          <w:rFonts w:cs="Arial"/>
        </w:rPr>
        <w:t xml:space="preserve">, 2022). The study is also useful to industry players, as it shows them how disciplined risk cultures can help them to be resilient in even unstable circumstances. Companies can use these insights to improve their respective models. This understanding of </w:t>
      </w:r>
      <w:r>
        <w:rPr>
          <w:rFonts w:cs="Arial"/>
        </w:rPr>
        <w:t xml:space="preserve">the </w:t>
      </w:r>
      <w:r w:rsidRPr="00EE76F1">
        <w:rPr>
          <w:rFonts w:cs="Arial"/>
        </w:rPr>
        <w:t>impact of the PRA and FCA expectation</w:t>
      </w:r>
      <w:r>
        <w:rPr>
          <w:rFonts w:cs="Arial"/>
        </w:rPr>
        <w:t>s</w:t>
      </w:r>
      <w:r w:rsidRPr="00EE76F1">
        <w:rPr>
          <w:rFonts w:cs="Arial"/>
        </w:rPr>
        <w:t xml:space="preserve"> on actual performance can be valuable to regulators to improve the process of supervision and policy choices. For the investors, the research provides information on stability, the level of governance, and the risk-adjusted returns, hence explaining the reasons why the existence of wise institutions like Close Brothers can provide more sustainable performance in the long term.</w:t>
      </w:r>
    </w:p>
    <w:p w14:paraId="5D005537" w14:textId="77777777" w:rsidR="005E2A7C" w:rsidRPr="005877C3" w:rsidRDefault="005E2A7C" w:rsidP="005E2A7C">
      <w:pPr>
        <w:rPr>
          <w:rFonts w:cs="Arial"/>
        </w:rPr>
      </w:pPr>
    </w:p>
    <w:p w14:paraId="70D207BA" w14:textId="77777777" w:rsidR="005E2A7C" w:rsidRPr="005877C3" w:rsidRDefault="005E2A7C" w:rsidP="005E2A7C">
      <w:pPr>
        <w:pStyle w:val="Heading2"/>
        <w:rPr>
          <w:rFonts w:cs="Arial"/>
        </w:rPr>
      </w:pPr>
      <w:bookmarkStart w:id="11" w:name="_Toc220882951"/>
      <w:r w:rsidRPr="005877C3">
        <w:rPr>
          <w:rFonts w:cs="Arial"/>
        </w:rPr>
        <w:t>1.9 Scope of the Study</w:t>
      </w:r>
      <w:bookmarkEnd w:id="11"/>
    </w:p>
    <w:p w14:paraId="447F683A" w14:textId="54C43814" w:rsidR="005E2A7C" w:rsidRPr="005877C3" w:rsidRDefault="005E2A7C" w:rsidP="005E2A7C">
      <w:pPr>
        <w:rPr>
          <w:rFonts w:cs="Arial"/>
        </w:rPr>
      </w:pPr>
      <w:r w:rsidRPr="005877C3">
        <w:rPr>
          <w:rFonts w:cs="Arial"/>
        </w:rPr>
        <w:t xml:space="preserve">This paper will focus on the operations of the Close Brothers in the United Kingdom. It sees how the firm manages the major financial risks and how the practices are </w:t>
      </w:r>
      <w:r w:rsidRPr="005877C3">
        <w:rPr>
          <w:rFonts w:cs="Arial"/>
        </w:rPr>
        <w:lastRenderedPageBreak/>
        <w:t>affecting its profitability. The study is based on only secondary data, which will be annual reports, financial statements, regulatory documents, and publicly available industry analyses. This will ensure transparency and consistency, besides evading the difficulties related to primary data collection (</w:t>
      </w:r>
      <w:proofErr w:type="spellStart"/>
      <w:r w:rsidRPr="005877C3">
        <w:rPr>
          <w:rFonts w:cs="Arial"/>
        </w:rPr>
        <w:t>Aldubhani</w:t>
      </w:r>
      <w:proofErr w:type="spellEnd"/>
      <w:r w:rsidRPr="005877C3">
        <w:rPr>
          <w:rFonts w:cs="Arial"/>
        </w:rPr>
        <w:t xml:space="preserve"> et al., 2022). The period is 2019-2024, as it is selected as it incorporates the effects of Brexit, the COVID-19 pandemic, and other recent changes in interest rates and inflation. The occurrence of these events created a lot of uncertainty, thus creating an adequate time in which to assess the risk and performance (Kago Amiel </w:t>
      </w:r>
      <w:proofErr w:type="spellStart"/>
      <w:r w:rsidRPr="005877C3">
        <w:rPr>
          <w:rFonts w:cs="Arial"/>
        </w:rPr>
        <w:t>Matlhaku</w:t>
      </w:r>
      <w:proofErr w:type="spellEnd"/>
      <w:r w:rsidRPr="005877C3">
        <w:rPr>
          <w:rFonts w:cs="Arial"/>
        </w:rPr>
        <w:t xml:space="preserve"> and Ferreira-Schenk, 2025). The research is dedicated to significant financial risks, which include credit, liquidity, market, operational, and governance-related risks. It does not analyse the customer behaviour, staff relations, or technological actions, nor does a detailed competitor benchmarking, but rather focuses on making an in-depth analysis of one properly documented case.</w:t>
      </w:r>
    </w:p>
    <w:p w14:paraId="0FA8CD08" w14:textId="77777777" w:rsidR="005E2A7C" w:rsidRPr="005877C3" w:rsidRDefault="005E2A7C" w:rsidP="005E2A7C">
      <w:pPr>
        <w:rPr>
          <w:rFonts w:cs="Arial"/>
        </w:rPr>
      </w:pPr>
    </w:p>
    <w:p w14:paraId="66CE4412" w14:textId="7D570D5E" w:rsidR="005E2A7C" w:rsidRPr="005877C3" w:rsidRDefault="005E2A7C" w:rsidP="005E2A7C">
      <w:pPr>
        <w:pStyle w:val="Heading2"/>
        <w:rPr>
          <w:rFonts w:cs="Arial"/>
        </w:rPr>
      </w:pPr>
      <w:bookmarkStart w:id="12" w:name="_Toc220882952"/>
      <w:r w:rsidRPr="005877C3">
        <w:rPr>
          <w:rFonts w:cs="Arial"/>
        </w:rPr>
        <w:t>1.10 Structure of the Dissertation</w:t>
      </w:r>
      <w:bookmarkEnd w:id="12"/>
    </w:p>
    <w:tbl>
      <w:tblPr>
        <w:tblW w:w="0" w:type="auto"/>
        <w:tblCellMar>
          <w:top w:w="15" w:type="dxa"/>
          <w:left w:w="15" w:type="dxa"/>
          <w:bottom w:w="15" w:type="dxa"/>
          <w:right w:w="15" w:type="dxa"/>
        </w:tblCellMar>
        <w:tblLook w:val="04A0" w:firstRow="1" w:lastRow="0" w:firstColumn="1" w:lastColumn="0" w:noHBand="0" w:noVBand="1"/>
      </w:tblPr>
      <w:tblGrid>
        <w:gridCol w:w="36"/>
      </w:tblGrid>
      <w:tr w:rsidR="005E2A7C" w:rsidRPr="005877C3" w14:paraId="7F6AC476" w14:textId="77777777" w:rsidTr="005E2A7C">
        <w:tc>
          <w:tcPr>
            <w:tcW w:w="0" w:type="auto"/>
            <w:vAlign w:val="center"/>
            <w:hideMark/>
          </w:tcPr>
          <w:p w14:paraId="12165FED" w14:textId="77777777" w:rsidR="005E2A7C" w:rsidRPr="005877C3" w:rsidRDefault="005E2A7C" w:rsidP="005E2A7C">
            <w:pPr>
              <w:rPr>
                <w:rFonts w:cs="Arial"/>
              </w:rPr>
            </w:pPr>
          </w:p>
        </w:tc>
      </w:tr>
    </w:tbl>
    <w:p w14:paraId="3DFFDA01" w14:textId="4CDF09EC" w:rsidR="005E2A7C" w:rsidRPr="005877C3" w:rsidRDefault="005E2A7C" w:rsidP="005E2A7C">
      <w:pPr>
        <w:rPr>
          <w:rFonts w:cs="Arial"/>
        </w:rPr>
      </w:pPr>
    </w:p>
    <w:tbl>
      <w:tblPr>
        <w:tblStyle w:val="TableGrid"/>
        <w:tblW w:w="0" w:type="auto"/>
        <w:tblLook w:val="04A0" w:firstRow="1" w:lastRow="0" w:firstColumn="1" w:lastColumn="0" w:noHBand="0" w:noVBand="1"/>
      </w:tblPr>
      <w:tblGrid>
        <w:gridCol w:w="2757"/>
        <w:gridCol w:w="2938"/>
        <w:gridCol w:w="3315"/>
      </w:tblGrid>
      <w:tr w:rsidR="005E2A7C" w:rsidRPr="005877C3" w14:paraId="2BD322BF" w14:textId="77777777" w:rsidTr="005E2A7C">
        <w:trPr>
          <w:trHeight w:val="500"/>
        </w:trPr>
        <w:tc>
          <w:tcPr>
            <w:tcW w:w="0" w:type="auto"/>
            <w:hideMark/>
          </w:tcPr>
          <w:p w14:paraId="1B5B2ADD" w14:textId="77777777" w:rsidR="005E2A7C" w:rsidRPr="005877C3" w:rsidRDefault="005E2A7C" w:rsidP="005E2A7C">
            <w:pPr>
              <w:rPr>
                <w:rFonts w:cs="Arial"/>
              </w:rPr>
            </w:pPr>
            <w:r w:rsidRPr="005877C3">
              <w:rPr>
                <w:rFonts w:cs="Arial"/>
                <w:sz w:val="22"/>
                <w:szCs w:val="22"/>
              </w:rPr>
              <w:t>Chapter</w:t>
            </w:r>
          </w:p>
        </w:tc>
        <w:tc>
          <w:tcPr>
            <w:tcW w:w="0" w:type="auto"/>
            <w:hideMark/>
          </w:tcPr>
          <w:p w14:paraId="1388133D" w14:textId="77777777" w:rsidR="005E2A7C" w:rsidRPr="005877C3" w:rsidRDefault="005E2A7C" w:rsidP="005E2A7C">
            <w:pPr>
              <w:rPr>
                <w:rFonts w:cs="Arial"/>
              </w:rPr>
            </w:pPr>
            <w:r w:rsidRPr="005877C3">
              <w:rPr>
                <w:rFonts w:cs="Arial"/>
                <w:sz w:val="22"/>
                <w:szCs w:val="22"/>
              </w:rPr>
              <w:t>Content Summary</w:t>
            </w:r>
          </w:p>
        </w:tc>
        <w:tc>
          <w:tcPr>
            <w:tcW w:w="0" w:type="auto"/>
            <w:hideMark/>
          </w:tcPr>
          <w:p w14:paraId="6656D26A" w14:textId="77777777" w:rsidR="005E2A7C" w:rsidRPr="005877C3" w:rsidRDefault="005E2A7C" w:rsidP="005E2A7C">
            <w:pPr>
              <w:rPr>
                <w:rFonts w:cs="Arial"/>
              </w:rPr>
            </w:pPr>
            <w:r w:rsidRPr="005877C3">
              <w:rPr>
                <w:rFonts w:cs="Arial"/>
                <w:sz w:val="22"/>
                <w:szCs w:val="22"/>
              </w:rPr>
              <w:t>Link to Research Aim</w:t>
            </w:r>
          </w:p>
        </w:tc>
      </w:tr>
      <w:tr w:rsidR="005E2A7C" w:rsidRPr="005877C3" w14:paraId="6EE92534" w14:textId="77777777" w:rsidTr="005E2A7C">
        <w:trPr>
          <w:trHeight w:val="1040"/>
        </w:trPr>
        <w:tc>
          <w:tcPr>
            <w:tcW w:w="0" w:type="auto"/>
            <w:hideMark/>
          </w:tcPr>
          <w:p w14:paraId="5DE8C4FD" w14:textId="77777777" w:rsidR="005E2A7C" w:rsidRPr="005877C3" w:rsidRDefault="005E2A7C" w:rsidP="005E2A7C">
            <w:pPr>
              <w:rPr>
                <w:rFonts w:cs="Arial"/>
              </w:rPr>
            </w:pPr>
            <w:r w:rsidRPr="005877C3">
              <w:rPr>
                <w:rFonts w:cs="Arial"/>
                <w:sz w:val="22"/>
                <w:szCs w:val="22"/>
              </w:rPr>
              <w:t>Chapter 1: Introduction</w:t>
            </w:r>
          </w:p>
        </w:tc>
        <w:tc>
          <w:tcPr>
            <w:tcW w:w="0" w:type="auto"/>
            <w:hideMark/>
          </w:tcPr>
          <w:p w14:paraId="45DA0250" w14:textId="77777777" w:rsidR="005E2A7C" w:rsidRPr="005877C3" w:rsidRDefault="005E2A7C" w:rsidP="005E2A7C">
            <w:pPr>
              <w:rPr>
                <w:rFonts w:cs="Arial"/>
              </w:rPr>
            </w:pPr>
            <w:r w:rsidRPr="005877C3">
              <w:rPr>
                <w:rFonts w:cs="Arial"/>
                <w:sz w:val="22"/>
                <w:szCs w:val="22"/>
              </w:rPr>
              <w:t>Presents background, problem, aims, and rationale.</w:t>
            </w:r>
          </w:p>
        </w:tc>
        <w:tc>
          <w:tcPr>
            <w:tcW w:w="0" w:type="auto"/>
            <w:hideMark/>
          </w:tcPr>
          <w:p w14:paraId="5797A030" w14:textId="77777777" w:rsidR="005E2A7C" w:rsidRPr="005877C3" w:rsidRDefault="005E2A7C" w:rsidP="005E2A7C">
            <w:pPr>
              <w:rPr>
                <w:rFonts w:cs="Arial"/>
              </w:rPr>
            </w:pPr>
            <w:r w:rsidRPr="005877C3">
              <w:rPr>
                <w:rFonts w:cs="Arial"/>
                <w:sz w:val="22"/>
                <w:szCs w:val="22"/>
              </w:rPr>
              <w:t>Establishes why examining risk and profitability in Close Brothers is important.</w:t>
            </w:r>
          </w:p>
        </w:tc>
      </w:tr>
      <w:tr w:rsidR="005E2A7C" w:rsidRPr="005877C3" w14:paraId="06DC8522" w14:textId="77777777" w:rsidTr="005E2A7C">
        <w:trPr>
          <w:trHeight w:val="1040"/>
        </w:trPr>
        <w:tc>
          <w:tcPr>
            <w:tcW w:w="0" w:type="auto"/>
            <w:hideMark/>
          </w:tcPr>
          <w:p w14:paraId="01453EF2" w14:textId="77777777" w:rsidR="005E2A7C" w:rsidRPr="005877C3" w:rsidRDefault="005E2A7C" w:rsidP="005E2A7C">
            <w:pPr>
              <w:rPr>
                <w:rFonts w:cs="Arial"/>
              </w:rPr>
            </w:pPr>
            <w:r w:rsidRPr="005877C3">
              <w:rPr>
                <w:rFonts w:cs="Arial"/>
                <w:sz w:val="22"/>
                <w:szCs w:val="22"/>
              </w:rPr>
              <w:t>Chapter 2: Literature Review</w:t>
            </w:r>
          </w:p>
        </w:tc>
        <w:tc>
          <w:tcPr>
            <w:tcW w:w="0" w:type="auto"/>
            <w:hideMark/>
          </w:tcPr>
          <w:p w14:paraId="588C718D" w14:textId="77777777" w:rsidR="005E2A7C" w:rsidRPr="005877C3" w:rsidRDefault="005E2A7C" w:rsidP="005E2A7C">
            <w:pPr>
              <w:rPr>
                <w:rFonts w:cs="Arial"/>
              </w:rPr>
            </w:pPr>
            <w:r w:rsidRPr="005877C3">
              <w:rPr>
                <w:rFonts w:cs="Arial"/>
                <w:sz w:val="22"/>
                <w:szCs w:val="22"/>
              </w:rPr>
              <w:t>Reviews theories, risks, frameworks, and empirical findings.</w:t>
            </w:r>
          </w:p>
        </w:tc>
        <w:tc>
          <w:tcPr>
            <w:tcW w:w="0" w:type="auto"/>
            <w:hideMark/>
          </w:tcPr>
          <w:p w14:paraId="1EED0B70" w14:textId="77777777" w:rsidR="005E2A7C" w:rsidRPr="005877C3" w:rsidRDefault="005E2A7C" w:rsidP="005E2A7C">
            <w:pPr>
              <w:rPr>
                <w:rFonts w:cs="Arial"/>
              </w:rPr>
            </w:pPr>
            <w:r w:rsidRPr="005877C3">
              <w:rPr>
                <w:rFonts w:cs="Arial"/>
                <w:sz w:val="22"/>
                <w:szCs w:val="22"/>
              </w:rPr>
              <w:t>Builds the conceptual foundation for analysing the risk–profitability relationship.</w:t>
            </w:r>
          </w:p>
        </w:tc>
      </w:tr>
      <w:tr w:rsidR="005E2A7C" w:rsidRPr="005877C3" w14:paraId="4BB2A610" w14:textId="77777777" w:rsidTr="005E2A7C">
        <w:trPr>
          <w:trHeight w:val="1040"/>
        </w:trPr>
        <w:tc>
          <w:tcPr>
            <w:tcW w:w="0" w:type="auto"/>
            <w:hideMark/>
          </w:tcPr>
          <w:p w14:paraId="54EC1ABA" w14:textId="77777777" w:rsidR="005E2A7C" w:rsidRPr="005877C3" w:rsidRDefault="005E2A7C" w:rsidP="005E2A7C">
            <w:pPr>
              <w:rPr>
                <w:rFonts w:cs="Arial"/>
              </w:rPr>
            </w:pPr>
            <w:r w:rsidRPr="005877C3">
              <w:rPr>
                <w:rFonts w:cs="Arial"/>
                <w:sz w:val="22"/>
                <w:szCs w:val="22"/>
              </w:rPr>
              <w:t>Chapter 3: Methodology</w:t>
            </w:r>
          </w:p>
        </w:tc>
        <w:tc>
          <w:tcPr>
            <w:tcW w:w="0" w:type="auto"/>
            <w:hideMark/>
          </w:tcPr>
          <w:p w14:paraId="00CA4650" w14:textId="77777777" w:rsidR="005E2A7C" w:rsidRPr="005877C3" w:rsidRDefault="005E2A7C" w:rsidP="005E2A7C">
            <w:pPr>
              <w:rPr>
                <w:rFonts w:cs="Arial"/>
              </w:rPr>
            </w:pPr>
            <w:r w:rsidRPr="005877C3">
              <w:rPr>
                <w:rFonts w:cs="Arial"/>
                <w:sz w:val="22"/>
                <w:szCs w:val="22"/>
              </w:rPr>
              <w:t>Explains research design, data sources, and analytical methods.</w:t>
            </w:r>
          </w:p>
        </w:tc>
        <w:tc>
          <w:tcPr>
            <w:tcW w:w="0" w:type="auto"/>
            <w:hideMark/>
          </w:tcPr>
          <w:p w14:paraId="6AF81E63" w14:textId="77777777" w:rsidR="005E2A7C" w:rsidRPr="005877C3" w:rsidRDefault="005E2A7C" w:rsidP="005E2A7C">
            <w:pPr>
              <w:rPr>
                <w:rFonts w:cs="Arial"/>
              </w:rPr>
            </w:pPr>
            <w:r w:rsidRPr="005877C3">
              <w:rPr>
                <w:rFonts w:cs="Arial"/>
                <w:sz w:val="22"/>
                <w:szCs w:val="22"/>
              </w:rPr>
              <w:t>Ensures a structured and transparent approach to evaluating Close Brothers.</w:t>
            </w:r>
          </w:p>
        </w:tc>
      </w:tr>
      <w:tr w:rsidR="005E2A7C" w:rsidRPr="005877C3" w14:paraId="52654C2D" w14:textId="77777777" w:rsidTr="005E2A7C">
        <w:trPr>
          <w:trHeight w:val="770"/>
        </w:trPr>
        <w:tc>
          <w:tcPr>
            <w:tcW w:w="0" w:type="auto"/>
            <w:hideMark/>
          </w:tcPr>
          <w:p w14:paraId="1F99A0FC" w14:textId="77777777" w:rsidR="005E2A7C" w:rsidRPr="005877C3" w:rsidRDefault="005E2A7C" w:rsidP="005E2A7C">
            <w:pPr>
              <w:rPr>
                <w:rFonts w:cs="Arial"/>
              </w:rPr>
            </w:pPr>
            <w:r w:rsidRPr="005877C3">
              <w:rPr>
                <w:rFonts w:cs="Arial"/>
                <w:sz w:val="22"/>
                <w:szCs w:val="22"/>
              </w:rPr>
              <w:t>Chapter 4: Findings and Analysis</w:t>
            </w:r>
          </w:p>
        </w:tc>
        <w:tc>
          <w:tcPr>
            <w:tcW w:w="0" w:type="auto"/>
            <w:hideMark/>
          </w:tcPr>
          <w:p w14:paraId="63C1AFF9" w14:textId="77777777" w:rsidR="005E2A7C" w:rsidRPr="005877C3" w:rsidRDefault="005E2A7C" w:rsidP="005E2A7C">
            <w:pPr>
              <w:rPr>
                <w:rFonts w:cs="Arial"/>
              </w:rPr>
            </w:pPr>
            <w:r w:rsidRPr="005877C3">
              <w:rPr>
                <w:rFonts w:cs="Arial"/>
                <w:sz w:val="22"/>
                <w:szCs w:val="22"/>
              </w:rPr>
              <w:t>Presents financial trends and risk disclosures.</w:t>
            </w:r>
          </w:p>
        </w:tc>
        <w:tc>
          <w:tcPr>
            <w:tcW w:w="0" w:type="auto"/>
            <w:hideMark/>
          </w:tcPr>
          <w:p w14:paraId="1888C7CA" w14:textId="77777777" w:rsidR="005E2A7C" w:rsidRPr="005877C3" w:rsidRDefault="005E2A7C" w:rsidP="005E2A7C">
            <w:pPr>
              <w:rPr>
                <w:rFonts w:cs="Arial"/>
              </w:rPr>
            </w:pPr>
            <w:r w:rsidRPr="005877C3">
              <w:rPr>
                <w:rFonts w:cs="Arial"/>
                <w:sz w:val="22"/>
                <w:szCs w:val="22"/>
              </w:rPr>
              <w:t>Shows how risk management practices influence profitability.</w:t>
            </w:r>
          </w:p>
        </w:tc>
      </w:tr>
      <w:tr w:rsidR="005E2A7C" w:rsidRPr="005877C3" w14:paraId="0C8B9B45" w14:textId="77777777" w:rsidTr="005E2A7C">
        <w:trPr>
          <w:trHeight w:val="770"/>
        </w:trPr>
        <w:tc>
          <w:tcPr>
            <w:tcW w:w="0" w:type="auto"/>
            <w:hideMark/>
          </w:tcPr>
          <w:p w14:paraId="1328323E" w14:textId="77777777" w:rsidR="005E2A7C" w:rsidRPr="005877C3" w:rsidRDefault="005E2A7C" w:rsidP="005E2A7C">
            <w:pPr>
              <w:rPr>
                <w:rFonts w:cs="Arial"/>
              </w:rPr>
            </w:pPr>
            <w:r w:rsidRPr="005877C3">
              <w:rPr>
                <w:rFonts w:cs="Arial"/>
                <w:sz w:val="22"/>
                <w:szCs w:val="22"/>
              </w:rPr>
              <w:t>Chapter 5: Discussion</w:t>
            </w:r>
          </w:p>
        </w:tc>
        <w:tc>
          <w:tcPr>
            <w:tcW w:w="0" w:type="auto"/>
            <w:hideMark/>
          </w:tcPr>
          <w:p w14:paraId="081C2A7A" w14:textId="77777777" w:rsidR="005E2A7C" w:rsidRPr="005877C3" w:rsidRDefault="005E2A7C" w:rsidP="005E2A7C">
            <w:pPr>
              <w:rPr>
                <w:rFonts w:cs="Arial"/>
              </w:rPr>
            </w:pPr>
            <w:r w:rsidRPr="005877C3">
              <w:rPr>
                <w:rFonts w:cs="Arial"/>
                <w:sz w:val="22"/>
                <w:szCs w:val="22"/>
              </w:rPr>
              <w:t>Interprets findings against literature and theory.</w:t>
            </w:r>
          </w:p>
        </w:tc>
        <w:tc>
          <w:tcPr>
            <w:tcW w:w="0" w:type="auto"/>
            <w:hideMark/>
          </w:tcPr>
          <w:p w14:paraId="3B963568" w14:textId="77777777" w:rsidR="005E2A7C" w:rsidRPr="005877C3" w:rsidRDefault="005E2A7C" w:rsidP="005E2A7C">
            <w:pPr>
              <w:rPr>
                <w:rFonts w:cs="Arial"/>
              </w:rPr>
            </w:pPr>
            <w:r w:rsidRPr="005877C3">
              <w:rPr>
                <w:rFonts w:cs="Arial"/>
                <w:sz w:val="22"/>
                <w:szCs w:val="22"/>
              </w:rPr>
              <w:t>Connects empirical results to wider academic debates.</w:t>
            </w:r>
          </w:p>
        </w:tc>
      </w:tr>
      <w:tr w:rsidR="005E2A7C" w:rsidRPr="005877C3" w14:paraId="7CBFB56A" w14:textId="77777777" w:rsidTr="005E2A7C">
        <w:trPr>
          <w:trHeight w:val="1040"/>
        </w:trPr>
        <w:tc>
          <w:tcPr>
            <w:tcW w:w="0" w:type="auto"/>
            <w:hideMark/>
          </w:tcPr>
          <w:p w14:paraId="62D05A4A" w14:textId="77777777" w:rsidR="005E2A7C" w:rsidRPr="005877C3" w:rsidRDefault="005E2A7C" w:rsidP="005E2A7C">
            <w:pPr>
              <w:rPr>
                <w:rFonts w:cs="Arial"/>
              </w:rPr>
            </w:pPr>
            <w:r w:rsidRPr="005877C3">
              <w:rPr>
                <w:rFonts w:cs="Arial"/>
                <w:sz w:val="22"/>
                <w:szCs w:val="22"/>
              </w:rPr>
              <w:t>Chapter 6: Conclusion and Recommendations</w:t>
            </w:r>
          </w:p>
        </w:tc>
        <w:tc>
          <w:tcPr>
            <w:tcW w:w="0" w:type="auto"/>
            <w:hideMark/>
          </w:tcPr>
          <w:p w14:paraId="6E24B9DF" w14:textId="77777777" w:rsidR="005E2A7C" w:rsidRPr="005877C3" w:rsidRDefault="005E2A7C" w:rsidP="005E2A7C">
            <w:pPr>
              <w:rPr>
                <w:rFonts w:cs="Arial"/>
              </w:rPr>
            </w:pPr>
            <w:r w:rsidRPr="005877C3">
              <w:rPr>
                <w:rFonts w:cs="Arial"/>
                <w:sz w:val="22"/>
                <w:szCs w:val="22"/>
              </w:rPr>
              <w:t>Summarises insights and offers improvements.</w:t>
            </w:r>
          </w:p>
        </w:tc>
        <w:tc>
          <w:tcPr>
            <w:tcW w:w="0" w:type="auto"/>
            <w:hideMark/>
          </w:tcPr>
          <w:p w14:paraId="11FB9CEC" w14:textId="77777777" w:rsidR="005E2A7C" w:rsidRPr="005877C3" w:rsidRDefault="005E2A7C" w:rsidP="005E2A7C">
            <w:pPr>
              <w:rPr>
                <w:rFonts w:cs="Arial"/>
              </w:rPr>
            </w:pPr>
            <w:r w:rsidRPr="005877C3">
              <w:rPr>
                <w:rFonts w:cs="Arial"/>
                <w:sz w:val="22"/>
                <w:szCs w:val="22"/>
              </w:rPr>
              <w:t>Demonstrates how effective risk management supports sustainable performance.</w:t>
            </w:r>
          </w:p>
        </w:tc>
      </w:tr>
    </w:tbl>
    <w:p w14:paraId="619F9FBD" w14:textId="77777777" w:rsidR="005E2A7C" w:rsidRPr="005877C3" w:rsidRDefault="005E2A7C" w:rsidP="005E2A7C">
      <w:pPr>
        <w:rPr>
          <w:rFonts w:cs="Arial"/>
        </w:rPr>
      </w:pPr>
    </w:p>
    <w:p w14:paraId="45F86B6D" w14:textId="31F4E439" w:rsidR="005E2A7C" w:rsidRPr="005877C3" w:rsidRDefault="005E2A7C">
      <w:pPr>
        <w:spacing w:after="160" w:line="259" w:lineRule="auto"/>
        <w:jc w:val="left"/>
        <w:rPr>
          <w:rFonts w:cs="Arial"/>
        </w:rPr>
      </w:pPr>
    </w:p>
    <w:p w14:paraId="43BFF5A5" w14:textId="1AE2B28E" w:rsidR="005E2A7C" w:rsidRPr="005877C3" w:rsidRDefault="005E2A7C" w:rsidP="005E2A7C">
      <w:pPr>
        <w:pStyle w:val="Heading1"/>
        <w:rPr>
          <w:rFonts w:cs="Arial"/>
        </w:rPr>
      </w:pPr>
      <w:bookmarkStart w:id="13" w:name="_Toc220882953"/>
      <w:r w:rsidRPr="005877C3">
        <w:rPr>
          <w:rFonts w:cs="Arial"/>
        </w:rPr>
        <w:t>Chapter 2: Literature Review</w:t>
      </w:r>
      <w:bookmarkEnd w:id="13"/>
    </w:p>
    <w:p w14:paraId="363F8891" w14:textId="77777777" w:rsidR="005E2A7C" w:rsidRPr="005877C3" w:rsidRDefault="005E2A7C" w:rsidP="005E2A7C">
      <w:pPr>
        <w:pStyle w:val="Heading2"/>
        <w:rPr>
          <w:rFonts w:cs="Arial"/>
        </w:rPr>
      </w:pPr>
      <w:bookmarkStart w:id="14" w:name="_Toc220882954"/>
      <w:r w:rsidRPr="005877C3">
        <w:rPr>
          <w:rFonts w:cs="Arial"/>
        </w:rPr>
        <w:t>2.1 Introduction to the Literature Review</w:t>
      </w:r>
      <w:bookmarkEnd w:id="14"/>
    </w:p>
    <w:p w14:paraId="3E670369" w14:textId="14FFD20B" w:rsidR="005E2A7C" w:rsidRPr="005877C3" w:rsidRDefault="005E2A7C" w:rsidP="005E2A7C">
      <w:pPr>
        <w:rPr>
          <w:rFonts w:cs="Arial"/>
        </w:rPr>
      </w:pPr>
      <w:r w:rsidRPr="005877C3">
        <w:rPr>
          <w:rFonts w:cs="Arial"/>
        </w:rPr>
        <w:t>This literature review focuses on how the management of financial risk helps in the profitability of UK non-bank financial institutions. It focuses on the key risk types, management structures, and theoretical principles which explain their impact on performance. The interconnection between risks and profitability is important as NBFIs face pressure regarding funds and the increased oversight, which affects their stability (</w:t>
      </w:r>
      <w:proofErr w:type="spellStart"/>
      <w:r w:rsidRPr="005877C3">
        <w:rPr>
          <w:rFonts w:cs="Arial"/>
        </w:rPr>
        <w:t>Alabdullah</w:t>
      </w:r>
      <w:proofErr w:type="spellEnd"/>
      <w:r w:rsidRPr="005877C3">
        <w:rPr>
          <w:rFonts w:cs="Arial"/>
        </w:rPr>
        <w:t>, 2022). Close Brothers has been chosen as the case study due to its risk culture being conservative and its operation in a highly regulated UK environment. The review is structured depending on theoretical bases, the type of risks, activities involved in managing risks, profitability, and empirical research before outlining the research gap of this dissertation.</w:t>
      </w:r>
    </w:p>
    <w:p w14:paraId="1A5FD6E7" w14:textId="77777777" w:rsidR="005E2A7C" w:rsidRPr="005877C3" w:rsidRDefault="005E2A7C" w:rsidP="005E2A7C">
      <w:pPr>
        <w:rPr>
          <w:rFonts w:cs="Arial"/>
        </w:rPr>
      </w:pPr>
    </w:p>
    <w:p w14:paraId="10FA99BB" w14:textId="77777777" w:rsidR="005E2A7C" w:rsidRPr="005877C3" w:rsidRDefault="005E2A7C" w:rsidP="005E2A7C">
      <w:pPr>
        <w:pStyle w:val="Heading2"/>
        <w:rPr>
          <w:rFonts w:cs="Arial"/>
        </w:rPr>
      </w:pPr>
      <w:bookmarkStart w:id="15" w:name="_Toc220882955"/>
      <w:r w:rsidRPr="005877C3">
        <w:rPr>
          <w:rFonts w:cs="Arial"/>
        </w:rPr>
        <w:t>2.2 Theoretical Foundations</w:t>
      </w:r>
      <w:bookmarkEnd w:id="15"/>
    </w:p>
    <w:p w14:paraId="78E85274" w14:textId="22ABB2D7" w:rsidR="005E2A7C" w:rsidRPr="005877C3" w:rsidRDefault="005E2A7C" w:rsidP="005E2A7C">
      <w:pPr>
        <w:rPr>
          <w:rFonts w:cs="Arial"/>
        </w:rPr>
      </w:pPr>
      <w:r w:rsidRPr="005877C3">
        <w:rPr>
          <w:rFonts w:cs="Arial"/>
        </w:rPr>
        <w:t xml:space="preserve">A comprehension of the role played by financial risk management in profits requires a strict background on theories explaining the behaviour of financial institutions. In the case of non-bank financial institutions (NBFIs), these theories can shed some light on how the firms balance opportunity, prudence, and long-term sustainability (Kiptoo, Kariuki and Ocharo, 2021). There are </w:t>
      </w:r>
      <w:r w:rsidR="00FF7FC8">
        <w:rPr>
          <w:rFonts w:cs="Arial"/>
        </w:rPr>
        <w:t>three particularly relevant theories</w:t>
      </w:r>
      <w:r w:rsidRPr="005877C3">
        <w:rPr>
          <w:rFonts w:cs="Arial"/>
        </w:rPr>
        <w:t>: Modern Portfolio Theory, Risk-Return Trade-Off Theory and Agency Theory. Together, they provide a viable map against which one can study how Close Brothers is dealing with its risks and maintaining a stable performance.</w:t>
      </w:r>
    </w:p>
    <w:p w14:paraId="341A4770" w14:textId="77777777" w:rsidR="00437FE2" w:rsidRPr="005877C3" w:rsidRDefault="00437FE2" w:rsidP="00437FE2">
      <w:pPr>
        <w:keepNext/>
        <w:jc w:val="center"/>
        <w:rPr>
          <w:rFonts w:cs="Arial"/>
        </w:rPr>
      </w:pPr>
      <w:r w:rsidRPr="005877C3">
        <w:rPr>
          <w:rFonts w:cs="Arial"/>
          <w:noProof/>
        </w:rPr>
        <w:lastRenderedPageBreak/>
        <w:drawing>
          <wp:inline distT="0" distB="0" distL="0" distR="0" wp14:anchorId="6A271AE5" wp14:editId="27777C92">
            <wp:extent cx="5556203" cy="3107655"/>
            <wp:effectExtent l="0" t="0" r="0" b="4445"/>
            <wp:docPr id="1789708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08382" name="Picture 178970838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28078" cy="3147856"/>
                    </a:xfrm>
                    <a:prstGeom prst="rect">
                      <a:avLst/>
                    </a:prstGeom>
                  </pic:spPr>
                </pic:pic>
              </a:graphicData>
            </a:graphic>
          </wp:inline>
        </w:drawing>
      </w:r>
    </w:p>
    <w:p w14:paraId="16E4BD19" w14:textId="2545883C" w:rsidR="00437FE2" w:rsidRPr="005877C3" w:rsidRDefault="00437FE2" w:rsidP="00437FE2">
      <w:pPr>
        <w:pStyle w:val="Caption"/>
        <w:rPr>
          <w:rFonts w:cs="Arial"/>
          <w:lang w:val="en-US"/>
        </w:rPr>
      </w:pPr>
      <w:r w:rsidRPr="005877C3">
        <w:rPr>
          <w:rFonts w:cs="Arial"/>
        </w:rPr>
        <w:t xml:space="preserve">Figure </w:t>
      </w:r>
      <w:r w:rsidRPr="005877C3">
        <w:rPr>
          <w:rFonts w:cs="Arial"/>
        </w:rPr>
        <w:fldChar w:fldCharType="begin"/>
      </w:r>
      <w:r w:rsidRPr="005877C3">
        <w:rPr>
          <w:rFonts w:cs="Arial"/>
        </w:rPr>
        <w:instrText xml:space="preserve"> SEQ Figure \* ARABIC </w:instrText>
      </w:r>
      <w:r w:rsidRPr="005877C3">
        <w:rPr>
          <w:rFonts w:cs="Arial"/>
        </w:rPr>
        <w:fldChar w:fldCharType="separate"/>
      </w:r>
      <w:r w:rsidR="00C216EB" w:rsidRPr="005877C3">
        <w:rPr>
          <w:rFonts w:cs="Arial"/>
          <w:noProof/>
        </w:rPr>
        <w:t>1</w:t>
      </w:r>
      <w:r w:rsidRPr="005877C3">
        <w:rPr>
          <w:rFonts w:cs="Arial"/>
        </w:rPr>
        <w:fldChar w:fldCharType="end"/>
      </w:r>
      <w:r w:rsidRPr="005877C3">
        <w:rPr>
          <w:rFonts w:cs="Arial"/>
          <w:lang w:val="en-US"/>
        </w:rPr>
        <w:t xml:space="preserve">: Theoretical Foundations </w:t>
      </w:r>
    </w:p>
    <w:p w14:paraId="3739221F" w14:textId="2E232F92" w:rsidR="00437FE2" w:rsidRPr="005877C3" w:rsidRDefault="00437FE2" w:rsidP="00437FE2">
      <w:pPr>
        <w:pStyle w:val="Caption"/>
        <w:rPr>
          <w:rFonts w:cs="Arial"/>
        </w:rPr>
      </w:pPr>
      <w:r w:rsidRPr="005877C3">
        <w:rPr>
          <w:rFonts w:cs="Arial"/>
          <w:lang w:val="en-US"/>
        </w:rPr>
        <w:t>Self-Made</w:t>
      </w:r>
    </w:p>
    <w:p w14:paraId="164EF86A" w14:textId="77777777" w:rsidR="005E2A7C" w:rsidRPr="005877C3" w:rsidRDefault="005E2A7C" w:rsidP="005E2A7C">
      <w:pPr>
        <w:pStyle w:val="Heading3"/>
        <w:rPr>
          <w:rFonts w:cs="Arial"/>
        </w:rPr>
      </w:pPr>
      <w:bookmarkStart w:id="16" w:name="_Toc220882956"/>
      <w:r w:rsidRPr="005877C3">
        <w:rPr>
          <w:rFonts w:cs="Arial"/>
        </w:rPr>
        <w:t>2.2.1 Risk–Return Trade-Off Theory</w:t>
      </w:r>
      <w:bookmarkEnd w:id="16"/>
    </w:p>
    <w:p w14:paraId="6E9CB699" w14:textId="164F0456" w:rsidR="005E2A7C" w:rsidRPr="005877C3" w:rsidRDefault="005E2A7C" w:rsidP="005E2A7C">
      <w:pPr>
        <w:rPr>
          <w:rFonts w:cs="Arial"/>
        </w:rPr>
      </w:pPr>
      <w:r w:rsidRPr="005877C3">
        <w:rPr>
          <w:rFonts w:cs="Arial"/>
        </w:rPr>
        <w:t>The Risk-Return Trade-Off Theory claims that higher amounts of risk are usually associated with higher possible returns. It assumes that the companies need to make a choice on whether they should either grow or maintain stability. In the case of NBFIs, this balance is decisive as NBFIs are not dependent on retail deposits and are faced with increased funding demands. The NBFIs thus embrace low risk appetite to prevent over volatility (Caby, Ziane and Lamarque, 2022). Close Brothers is no exception to this paradigm, as the company will focus on secured lending, rigorous underwriting, and predictable income. This will reduce the risk of exposure to unexpected losses and limit the rapid growth. The theory, however, has limitations; markets are not always able to price risk correctly, and it may be undermined by mispriced credit, sudden shocks, or behavioural biases. However, the theory is useful to explain the wise risk and profitability management at Close Brothers.</w:t>
      </w:r>
    </w:p>
    <w:p w14:paraId="0D15FF5A" w14:textId="77777777" w:rsidR="005E2A7C" w:rsidRPr="005877C3" w:rsidRDefault="005E2A7C" w:rsidP="00437FE2">
      <w:pPr>
        <w:pStyle w:val="Heading3"/>
        <w:rPr>
          <w:rFonts w:cs="Arial"/>
        </w:rPr>
      </w:pPr>
      <w:bookmarkStart w:id="17" w:name="_Toc220882957"/>
      <w:r w:rsidRPr="005877C3">
        <w:rPr>
          <w:rFonts w:cs="Arial"/>
        </w:rPr>
        <w:t>2.2.2 Modern Portfolio Theory</w:t>
      </w:r>
      <w:bookmarkEnd w:id="17"/>
    </w:p>
    <w:p w14:paraId="1FF1C53D" w14:textId="1485543A" w:rsidR="005E2A7C" w:rsidRPr="005877C3" w:rsidRDefault="005E2A7C" w:rsidP="005E2A7C">
      <w:pPr>
        <w:rPr>
          <w:rFonts w:cs="Arial"/>
        </w:rPr>
      </w:pPr>
      <w:r w:rsidRPr="005877C3">
        <w:rPr>
          <w:rFonts w:cs="Arial"/>
        </w:rPr>
        <w:t xml:space="preserve">According to MPT, diversification reduces risk without reducing expected return. It argues that diversifying assets in heterogeneous assets helps to reduce volatility and increase resilience. Practically, MPT is more challenging to apply to NBFIs since many of them are limited to a very specific market of lending, which has created </w:t>
      </w:r>
      <w:r w:rsidRPr="005877C3">
        <w:rPr>
          <w:rFonts w:cs="Arial"/>
        </w:rPr>
        <w:lastRenderedPageBreak/>
        <w:t xml:space="preserve">concentrated portfolios that are focused on industry expertise (Hacini, </w:t>
      </w:r>
      <w:proofErr w:type="spellStart"/>
      <w:r w:rsidRPr="005877C3">
        <w:rPr>
          <w:rFonts w:cs="Arial"/>
        </w:rPr>
        <w:t>Boulenfad</w:t>
      </w:r>
      <w:proofErr w:type="spellEnd"/>
      <w:r w:rsidRPr="005877C3">
        <w:rPr>
          <w:rFonts w:cs="Arial"/>
        </w:rPr>
        <w:t xml:space="preserve"> and Dahou, 2021). Close Brothers follows this trend: the company focuses on asset-backed lending, motor finance, and specialist commercial loans, which results in high stability at the cost of diversification. The firm can control the concentration risk with the help of a conservative loan-to-value ratio, sound collateral and careful monitoring of its portfolio. MPT can hence explain why knowledge and discipline sometimes can replace wide diversification.</w:t>
      </w:r>
    </w:p>
    <w:p w14:paraId="192868B7" w14:textId="77777777" w:rsidR="005E2A7C" w:rsidRPr="005877C3" w:rsidRDefault="005E2A7C" w:rsidP="00437FE2">
      <w:pPr>
        <w:pStyle w:val="Heading3"/>
        <w:rPr>
          <w:rFonts w:cs="Arial"/>
        </w:rPr>
      </w:pPr>
      <w:bookmarkStart w:id="18" w:name="_Toc220882958"/>
      <w:r w:rsidRPr="005877C3">
        <w:rPr>
          <w:rFonts w:cs="Arial"/>
        </w:rPr>
        <w:t>2.2.3 Agency Theory and Governance</w:t>
      </w:r>
      <w:bookmarkEnd w:id="18"/>
      <w:r w:rsidRPr="005877C3">
        <w:rPr>
          <w:rFonts w:cs="Arial"/>
        </w:rPr>
        <w:t> </w:t>
      </w:r>
    </w:p>
    <w:p w14:paraId="3E45E6C2" w14:textId="37D5E471" w:rsidR="005E2A7C" w:rsidRPr="005877C3" w:rsidRDefault="005E2A7C" w:rsidP="005E2A7C">
      <w:pPr>
        <w:rPr>
          <w:rFonts w:cs="Arial"/>
        </w:rPr>
      </w:pPr>
      <w:r w:rsidRPr="005877C3">
        <w:rPr>
          <w:rFonts w:cs="Arial"/>
        </w:rPr>
        <w:t>The Agency Theory investigates the tensions between the managers and shareholders. There is a likelihood that managers will be tempted to take a higher risk to improve short-term performance as opposed to long-term sustainable returns to shareholders. The governance structures balance such conflicting interests using oversight, incentives, and accountability. In NBFIs, effective governance is unquestionably essential as risks are subject to influence on the access of funds and trust of the regulators (Damilare et al., 2021). Close Brothers is advantaged by the fact that it has a conservative culture that has been established over many years and supported by active supervision by the board of directors, which has reduced the risk of taking excessive risks and helped to develop disciplined decision-making. Empirical research shows that well-governed firms have more steady profitability and react better to stress. The Agency Theory, therefore, provides a strong basis of understanding how culture and control influence the financial stability of Close Brothers.</w:t>
      </w:r>
    </w:p>
    <w:p w14:paraId="1AB275BF" w14:textId="77777777" w:rsidR="005E2A7C" w:rsidRPr="005877C3" w:rsidRDefault="005E2A7C" w:rsidP="005E2A7C">
      <w:pPr>
        <w:rPr>
          <w:rFonts w:cs="Arial"/>
        </w:rPr>
      </w:pPr>
    </w:p>
    <w:p w14:paraId="4B5BEEFC" w14:textId="4AA91E88" w:rsidR="005E2A7C" w:rsidRPr="005877C3" w:rsidRDefault="005E2A7C" w:rsidP="00437FE2">
      <w:pPr>
        <w:pStyle w:val="Heading2"/>
        <w:rPr>
          <w:rFonts w:cs="Arial"/>
        </w:rPr>
      </w:pPr>
      <w:bookmarkStart w:id="19" w:name="_Toc220882959"/>
      <w:r w:rsidRPr="005877C3">
        <w:rPr>
          <w:rFonts w:cs="Arial"/>
        </w:rPr>
        <w:t>2.</w:t>
      </w:r>
      <w:r w:rsidR="00EE76F1">
        <w:rPr>
          <w:rFonts w:cs="Arial"/>
        </w:rPr>
        <w:t>3</w:t>
      </w:r>
      <w:r w:rsidRPr="005877C3">
        <w:rPr>
          <w:rFonts w:cs="Arial"/>
        </w:rPr>
        <w:t xml:space="preserve"> Financial Risk Types in Non-Banking Financial Institutions</w:t>
      </w:r>
      <w:bookmarkEnd w:id="19"/>
    </w:p>
    <w:p w14:paraId="20EC2825" w14:textId="77777777" w:rsidR="005E2A7C" w:rsidRPr="005877C3" w:rsidRDefault="005E2A7C" w:rsidP="005E2A7C">
      <w:pPr>
        <w:rPr>
          <w:rFonts w:cs="Arial"/>
        </w:rPr>
      </w:pPr>
      <w:r w:rsidRPr="005877C3">
        <w:rPr>
          <w:rFonts w:cs="Arial"/>
        </w:rPr>
        <w:t>Financial institutions that are not banks are faced with interconnected risks that arise in the form of specialised lending, market-funding, and regulatory requirements. Such risks determine stability and profitability, hence making a detailed interpretation an indispensable tool in examining the steady performance of Close Brother in unpredictable markets.</w:t>
      </w:r>
    </w:p>
    <w:p w14:paraId="1ECCCAD1" w14:textId="4182D7EE" w:rsidR="005E2A7C" w:rsidRPr="005877C3" w:rsidRDefault="005E2A7C" w:rsidP="00437FE2">
      <w:pPr>
        <w:pStyle w:val="Heading3"/>
        <w:rPr>
          <w:rFonts w:cs="Arial"/>
        </w:rPr>
      </w:pPr>
      <w:bookmarkStart w:id="20" w:name="_Toc220882960"/>
      <w:r w:rsidRPr="005877C3">
        <w:rPr>
          <w:rFonts w:cs="Arial"/>
        </w:rPr>
        <w:t>2.</w:t>
      </w:r>
      <w:r w:rsidR="00EE76F1">
        <w:rPr>
          <w:rFonts w:cs="Arial"/>
        </w:rPr>
        <w:t>3</w:t>
      </w:r>
      <w:r w:rsidRPr="005877C3">
        <w:rPr>
          <w:rFonts w:cs="Arial"/>
        </w:rPr>
        <w:t>.1 Credit Risk</w:t>
      </w:r>
      <w:bookmarkEnd w:id="20"/>
    </w:p>
    <w:p w14:paraId="1C6015CA" w14:textId="77777777" w:rsidR="00EE76F1" w:rsidRPr="00EE76F1" w:rsidRDefault="005E2A7C" w:rsidP="00EE76F1">
      <w:pPr>
        <w:rPr>
          <w:rFonts w:cs="Arial"/>
        </w:rPr>
      </w:pPr>
      <w:r w:rsidRPr="005877C3">
        <w:rPr>
          <w:rFonts w:cs="Arial"/>
        </w:rPr>
        <w:t xml:space="preserve">The credit risk poses the greatest threat to NBFIs since their main business is lending. It becomes a reality as borrowers default </w:t>
      </w:r>
      <w:r w:rsidR="00FF7FC8">
        <w:rPr>
          <w:rFonts w:cs="Arial"/>
        </w:rPr>
        <w:t>on</w:t>
      </w:r>
      <w:r w:rsidRPr="005877C3">
        <w:rPr>
          <w:rFonts w:cs="Arial"/>
        </w:rPr>
        <w:t xml:space="preserve"> repayment commitments</w:t>
      </w:r>
      <w:r w:rsidR="00E96B7E" w:rsidRPr="005877C3">
        <w:rPr>
          <w:rFonts w:cs="Arial"/>
        </w:rPr>
        <w:t>,</w:t>
      </w:r>
      <w:r w:rsidRPr="005877C3">
        <w:rPr>
          <w:rFonts w:cs="Arial"/>
        </w:rPr>
        <w:t xml:space="preserve"> thus reducing </w:t>
      </w:r>
      <w:r w:rsidRPr="005877C3">
        <w:rPr>
          <w:rFonts w:cs="Arial"/>
        </w:rPr>
        <w:lastRenderedPageBreak/>
        <w:t>the desired income and declining the capital base. Three main sources of credit risk, including the quality of borrowers, discipline in underwriting, and collateral character</w:t>
      </w:r>
      <w:r w:rsidR="00E96B7E" w:rsidRPr="005877C3">
        <w:rPr>
          <w:rFonts w:cs="Arial"/>
        </w:rPr>
        <w:t>,</w:t>
      </w:r>
      <w:r w:rsidRPr="005877C3">
        <w:rPr>
          <w:rFonts w:cs="Arial"/>
        </w:rPr>
        <w:t xml:space="preserve"> are identified in the literature (Feng and Qu, 2022). Strong underwriting criteria would reduce the risk of default by making sure the lending decisions are based on proper evaluation of the capacity of the borrowers to repay. </w:t>
      </w:r>
      <w:r w:rsidR="00EE76F1" w:rsidRPr="00EE76F1">
        <w:rPr>
          <w:rFonts w:cs="Arial"/>
        </w:rPr>
        <w:t>Empirical research reflects the fact that companies that follow the regular underwriting policies lose less of their loans in periods of economic slowdown.</w:t>
      </w:r>
    </w:p>
    <w:p w14:paraId="1A1ABCB4" w14:textId="370774D2" w:rsidR="005E2A7C" w:rsidRPr="005877C3" w:rsidRDefault="00EE76F1" w:rsidP="00EE76F1">
      <w:pPr>
        <w:rPr>
          <w:rFonts w:cs="Arial"/>
        </w:rPr>
      </w:pPr>
      <w:r w:rsidRPr="00EE76F1">
        <w:rPr>
          <w:rFonts w:cs="Arial"/>
        </w:rPr>
        <w:t>One other vital thing is provisioning. Sufficient loan loss provisions help companies to absorb anticipated losses without having to disrupt profits. Excessive optimism in the provisioning</w:t>
      </w:r>
      <w:r>
        <w:rPr>
          <w:rFonts w:cs="Arial"/>
        </w:rPr>
        <w:t>,</w:t>
      </w:r>
      <w:r w:rsidRPr="00EE76F1">
        <w:rPr>
          <w:rFonts w:cs="Arial"/>
        </w:rPr>
        <w:t xml:space="preserve"> on the other hand</w:t>
      </w:r>
      <w:r>
        <w:rPr>
          <w:rFonts w:cs="Arial"/>
        </w:rPr>
        <w:t>,</w:t>
      </w:r>
      <w:r w:rsidRPr="00EE76F1">
        <w:rPr>
          <w:rFonts w:cs="Arial"/>
        </w:rPr>
        <w:t xml:space="preserve"> can prevent </w:t>
      </w:r>
      <w:r>
        <w:rPr>
          <w:rFonts w:cs="Arial"/>
        </w:rPr>
        <w:t xml:space="preserve">the </w:t>
      </w:r>
      <w:r w:rsidRPr="00EE76F1">
        <w:rPr>
          <w:rFonts w:cs="Arial"/>
        </w:rPr>
        <w:t>arising issues which will lead to sudden write</w:t>
      </w:r>
      <w:r>
        <w:rPr>
          <w:rFonts w:cs="Arial"/>
        </w:rPr>
        <w:t>-</w:t>
      </w:r>
      <w:r w:rsidRPr="00EE76F1">
        <w:rPr>
          <w:rFonts w:cs="Arial"/>
        </w:rPr>
        <w:t>downs that undermine the profitability. Asset-backed lending</w:t>
      </w:r>
      <w:r>
        <w:rPr>
          <w:rFonts w:cs="Arial"/>
        </w:rPr>
        <w:t>,</w:t>
      </w:r>
      <w:r w:rsidRPr="00EE76F1">
        <w:rPr>
          <w:rFonts w:cs="Arial"/>
        </w:rPr>
        <w:t xml:space="preserve"> which is largely prevalent in NBFIs</w:t>
      </w:r>
      <w:r>
        <w:rPr>
          <w:rFonts w:cs="Arial"/>
        </w:rPr>
        <w:t>,</w:t>
      </w:r>
      <w:r w:rsidRPr="00EE76F1">
        <w:rPr>
          <w:rFonts w:cs="Arial"/>
        </w:rPr>
        <w:t xml:space="preserve"> is well secured given the fact that the collateral is accessible in case of default by the borrowers (Kumar, </w:t>
      </w:r>
      <w:proofErr w:type="spellStart"/>
      <w:r w:rsidRPr="00EE76F1">
        <w:rPr>
          <w:rFonts w:cs="Arial"/>
        </w:rPr>
        <w:t>Thrikawala</w:t>
      </w:r>
      <w:proofErr w:type="spellEnd"/>
      <w:r w:rsidRPr="00EE76F1">
        <w:rPr>
          <w:rFonts w:cs="Arial"/>
        </w:rPr>
        <w:t xml:space="preserve"> and Acharya, 2022). However, this security is conditioned by </w:t>
      </w:r>
      <w:r>
        <w:rPr>
          <w:rFonts w:cs="Arial"/>
        </w:rPr>
        <w:t>correctly</w:t>
      </w:r>
      <w:r w:rsidRPr="00EE76F1">
        <w:rPr>
          <w:rFonts w:cs="Arial"/>
        </w:rPr>
        <w:t xml:space="preserve"> valuing the collateral and consistent prices in the market. In the case of organisations such as Close Brothers</w:t>
      </w:r>
      <w:r>
        <w:rPr>
          <w:rFonts w:cs="Arial"/>
        </w:rPr>
        <w:t>,</w:t>
      </w:r>
      <w:r w:rsidRPr="00EE76F1">
        <w:rPr>
          <w:rFonts w:cs="Arial"/>
        </w:rPr>
        <w:t xml:space="preserve"> credit risk has a direct effect on profitability. The company speciali</w:t>
      </w:r>
      <w:r>
        <w:rPr>
          <w:rFonts w:cs="Arial"/>
        </w:rPr>
        <w:t>s</w:t>
      </w:r>
      <w:r w:rsidRPr="00EE76F1">
        <w:rPr>
          <w:rFonts w:cs="Arial"/>
        </w:rPr>
        <w:t>es in secured lending where it imposes strict tests of affordability</w:t>
      </w:r>
      <w:r>
        <w:rPr>
          <w:rFonts w:cs="Arial"/>
        </w:rPr>
        <w:t>,</w:t>
      </w:r>
      <w:r w:rsidRPr="00EE76F1">
        <w:rPr>
          <w:rFonts w:cs="Arial"/>
        </w:rPr>
        <w:t xml:space="preserve"> even low loan-to-value and constant monitoring. The practices reduce the rates of defaults and create sources of consistent income. Although this conservative could restrict the rate of growth, it is helpful to achieve predictability in performance and reduce the exposure to the shock of the market.</w:t>
      </w:r>
    </w:p>
    <w:p w14:paraId="0EC600BD" w14:textId="77777777" w:rsidR="005E2A7C" w:rsidRPr="005877C3" w:rsidRDefault="005E2A7C" w:rsidP="005E2A7C">
      <w:pPr>
        <w:rPr>
          <w:rFonts w:cs="Arial"/>
        </w:rPr>
      </w:pPr>
    </w:p>
    <w:p w14:paraId="5D1700BD" w14:textId="1EC395CC" w:rsidR="005E2A7C" w:rsidRPr="005877C3" w:rsidRDefault="005E2A7C" w:rsidP="00437FE2">
      <w:pPr>
        <w:pStyle w:val="Heading3"/>
        <w:rPr>
          <w:rFonts w:cs="Arial"/>
        </w:rPr>
      </w:pPr>
      <w:bookmarkStart w:id="21" w:name="_Toc220882961"/>
      <w:r w:rsidRPr="005877C3">
        <w:rPr>
          <w:rFonts w:cs="Arial"/>
        </w:rPr>
        <w:t>2.</w:t>
      </w:r>
      <w:r w:rsidR="00EE76F1">
        <w:rPr>
          <w:rFonts w:cs="Arial"/>
        </w:rPr>
        <w:t>3</w:t>
      </w:r>
      <w:r w:rsidRPr="005877C3">
        <w:rPr>
          <w:rFonts w:cs="Arial"/>
        </w:rPr>
        <w:t>.2 Liquidity Risk</w:t>
      </w:r>
      <w:bookmarkEnd w:id="21"/>
    </w:p>
    <w:p w14:paraId="568447B2" w14:textId="6615A957" w:rsidR="005E2A7C" w:rsidRPr="005877C3" w:rsidRDefault="005E2A7C" w:rsidP="005E2A7C">
      <w:pPr>
        <w:rPr>
          <w:rFonts w:cs="Arial"/>
        </w:rPr>
      </w:pPr>
      <w:r w:rsidRPr="005877C3">
        <w:rPr>
          <w:rFonts w:cs="Arial"/>
        </w:rPr>
        <w:t xml:space="preserve">The liquidity risk is a significant issue </w:t>
      </w:r>
      <w:r w:rsidR="00E96B7E" w:rsidRPr="005877C3">
        <w:rPr>
          <w:rFonts w:cs="Arial"/>
        </w:rPr>
        <w:t>for</w:t>
      </w:r>
      <w:r w:rsidRPr="005877C3">
        <w:rPr>
          <w:rFonts w:cs="Arial"/>
        </w:rPr>
        <w:t xml:space="preserve"> NBFIs that do not have access to retail deposits. They are instead depending on wholesale funding, securitisation or long-term credit facilities, making them more vulnerable to market shocks. When funds are limited or are costly, borrowing power is reduced</w:t>
      </w:r>
      <w:r w:rsidR="00E96B7E" w:rsidRPr="005877C3">
        <w:rPr>
          <w:rFonts w:cs="Arial"/>
        </w:rPr>
        <w:t>,</w:t>
      </w:r>
      <w:r w:rsidRPr="005877C3">
        <w:rPr>
          <w:rFonts w:cs="Arial"/>
        </w:rPr>
        <w:t xml:space="preserve"> and profitability goes low (Sandberg, Alnoor and Tiberius, 2023). It has been shown that companies that have a diversified source of funds and strong liquidity reserves are able to deal with stress in the market better. The UK experience also emphasi</w:t>
      </w:r>
      <w:r w:rsidR="00E96B7E" w:rsidRPr="005877C3">
        <w:rPr>
          <w:rFonts w:cs="Arial"/>
        </w:rPr>
        <w:t>s</w:t>
      </w:r>
      <w:r w:rsidRPr="005877C3">
        <w:rPr>
          <w:rFonts w:cs="Arial"/>
        </w:rPr>
        <w:t xml:space="preserve">es the value of liquidity expectations of the PRA and FCA. Close Brothers </w:t>
      </w:r>
      <w:r w:rsidR="00E96B7E" w:rsidRPr="005877C3">
        <w:rPr>
          <w:rFonts w:cs="Arial"/>
        </w:rPr>
        <w:t>can</w:t>
      </w:r>
      <w:r w:rsidRPr="005877C3">
        <w:rPr>
          <w:rFonts w:cs="Arial"/>
        </w:rPr>
        <w:t xml:space="preserve"> reduce this risk through the high-quality liquid asset</w:t>
      </w:r>
      <w:r w:rsidR="00E96B7E" w:rsidRPr="005877C3">
        <w:rPr>
          <w:rFonts w:cs="Arial"/>
        </w:rPr>
        <w:t>s</w:t>
      </w:r>
      <w:r w:rsidRPr="005877C3">
        <w:rPr>
          <w:rFonts w:cs="Arial"/>
        </w:rPr>
        <w:t xml:space="preserve"> and the utili</w:t>
      </w:r>
      <w:r w:rsidR="00E96B7E" w:rsidRPr="005877C3">
        <w:rPr>
          <w:rFonts w:cs="Arial"/>
        </w:rPr>
        <w:t>s</w:t>
      </w:r>
      <w:r w:rsidRPr="005877C3">
        <w:rPr>
          <w:rFonts w:cs="Arial"/>
        </w:rPr>
        <w:t>ation of consistent long-term funding</w:t>
      </w:r>
      <w:r w:rsidR="00E96B7E" w:rsidRPr="005877C3">
        <w:rPr>
          <w:rFonts w:cs="Arial"/>
        </w:rPr>
        <w:t>,</w:t>
      </w:r>
      <w:r w:rsidRPr="005877C3">
        <w:rPr>
          <w:rFonts w:cs="Arial"/>
        </w:rPr>
        <w:t xml:space="preserve"> therefore cushion</w:t>
      </w:r>
      <w:r w:rsidR="00E96B7E" w:rsidRPr="005877C3">
        <w:rPr>
          <w:rFonts w:cs="Arial"/>
        </w:rPr>
        <w:t>ing</w:t>
      </w:r>
      <w:r w:rsidRPr="005877C3">
        <w:rPr>
          <w:rFonts w:cs="Arial"/>
        </w:rPr>
        <w:t xml:space="preserve"> the earnings even at turbulent times.</w:t>
      </w:r>
    </w:p>
    <w:p w14:paraId="2BBF6D3A" w14:textId="77777777" w:rsidR="005E2A7C" w:rsidRPr="005877C3" w:rsidRDefault="005E2A7C" w:rsidP="005E2A7C">
      <w:pPr>
        <w:rPr>
          <w:rFonts w:cs="Arial"/>
        </w:rPr>
      </w:pPr>
    </w:p>
    <w:p w14:paraId="69CE23AF" w14:textId="1EE96BD0" w:rsidR="005E2A7C" w:rsidRPr="005877C3" w:rsidRDefault="005E2A7C" w:rsidP="00437FE2">
      <w:pPr>
        <w:pStyle w:val="Heading3"/>
        <w:rPr>
          <w:rFonts w:cs="Arial"/>
        </w:rPr>
      </w:pPr>
      <w:bookmarkStart w:id="22" w:name="_Toc220882962"/>
      <w:r w:rsidRPr="005877C3">
        <w:rPr>
          <w:rFonts w:cs="Arial"/>
        </w:rPr>
        <w:t>2.</w:t>
      </w:r>
      <w:r w:rsidR="00EE76F1">
        <w:rPr>
          <w:rFonts w:cs="Arial"/>
        </w:rPr>
        <w:t>3</w:t>
      </w:r>
      <w:r w:rsidRPr="005877C3">
        <w:rPr>
          <w:rFonts w:cs="Arial"/>
        </w:rPr>
        <w:t>.3 Market Risk</w:t>
      </w:r>
      <w:bookmarkEnd w:id="22"/>
    </w:p>
    <w:p w14:paraId="243BD3B5" w14:textId="7D5842AA" w:rsidR="005E2A7C" w:rsidRPr="005877C3" w:rsidRDefault="005E2A7C" w:rsidP="005E2A7C">
      <w:pPr>
        <w:rPr>
          <w:rFonts w:cs="Arial"/>
        </w:rPr>
      </w:pPr>
      <w:r w:rsidRPr="005877C3">
        <w:rPr>
          <w:rFonts w:cs="Arial"/>
        </w:rPr>
        <w:t>The marketing risk affects NBFIs in terms of interest-rate changes, exchange rates and revalu</w:t>
      </w:r>
      <w:r w:rsidR="00E96B7E" w:rsidRPr="005877C3">
        <w:rPr>
          <w:rFonts w:cs="Arial"/>
        </w:rPr>
        <w:t>ation</w:t>
      </w:r>
      <w:r w:rsidRPr="005877C3">
        <w:rPr>
          <w:rFonts w:cs="Arial"/>
        </w:rPr>
        <w:t xml:space="preserve"> of assets. Of particular significance are the interest rates that affect the cost of funding as well as </w:t>
      </w:r>
      <w:r w:rsidR="00E96B7E" w:rsidRPr="005877C3">
        <w:rPr>
          <w:rFonts w:cs="Arial"/>
        </w:rPr>
        <w:t xml:space="preserve">the </w:t>
      </w:r>
      <w:r w:rsidRPr="005877C3">
        <w:rPr>
          <w:rFonts w:cs="Arial"/>
        </w:rPr>
        <w:t>affordability to borrowers. Increasing rates can squeeze margins and increase the risk of default. Investment portfolios also become less stable</w:t>
      </w:r>
      <w:r w:rsidR="00E96B7E" w:rsidRPr="005877C3">
        <w:rPr>
          <w:rFonts w:cs="Arial"/>
        </w:rPr>
        <w:t>,</w:t>
      </w:r>
      <w:r w:rsidRPr="005877C3">
        <w:rPr>
          <w:rFonts w:cs="Arial"/>
        </w:rPr>
        <w:t xml:space="preserve"> and this impacts capital adequacy and reported profits. Research indicates that the earnings in market-sensitive institutions have higher fluctuations</w:t>
      </w:r>
      <w:r w:rsidR="00E96B7E" w:rsidRPr="005877C3">
        <w:rPr>
          <w:rFonts w:cs="Arial"/>
        </w:rPr>
        <w:t>,</w:t>
      </w:r>
      <w:r w:rsidRPr="005877C3">
        <w:rPr>
          <w:rFonts w:cs="Arial"/>
        </w:rPr>
        <w:t xml:space="preserve"> particularly those institutions </w:t>
      </w:r>
      <w:r w:rsidR="00E96B7E" w:rsidRPr="005877C3">
        <w:rPr>
          <w:rFonts w:cs="Arial"/>
        </w:rPr>
        <w:t>that</w:t>
      </w:r>
      <w:r w:rsidRPr="005877C3">
        <w:rPr>
          <w:rFonts w:cs="Arial"/>
        </w:rPr>
        <w:t xml:space="preserve"> are exposed to unsecured assets (Zimon and </w:t>
      </w:r>
      <w:proofErr w:type="spellStart"/>
      <w:r w:rsidRPr="005877C3">
        <w:rPr>
          <w:rFonts w:cs="Arial"/>
        </w:rPr>
        <w:t>Tarighi</w:t>
      </w:r>
      <w:proofErr w:type="spellEnd"/>
      <w:r w:rsidRPr="005877C3">
        <w:rPr>
          <w:rFonts w:cs="Arial"/>
        </w:rPr>
        <w:t>, 2021). Close Brothers deal</w:t>
      </w:r>
      <w:r w:rsidR="00E96B7E" w:rsidRPr="005877C3">
        <w:rPr>
          <w:rFonts w:cs="Arial"/>
        </w:rPr>
        <w:t>s</w:t>
      </w:r>
      <w:r w:rsidRPr="005877C3">
        <w:rPr>
          <w:rFonts w:cs="Arial"/>
        </w:rPr>
        <w:t xml:space="preserve"> with the market risk through conservative treasury operations and low trading volumes, thus lowering the chances of generating high returns, but enabling performance stabili</w:t>
      </w:r>
      <w:r w:rsidR="00E96B7E" w:rsidRPr="005877C3">
        <w:rPr>
          <w:rFonts w:cs="Arial"/>
        </w:rPr>
        <w:t>s</w:t>
      </w:r>
      <w:r w:rsidRPr="005877C3">
        <w:rPr>
          <w:rFonts w:cs="Arial"/>
        </w:rPr>
        <w:t>ation through limiting the extent of exposure to the unexpected market fluctuations.</w:t>
      </w:r>
    </w:p>
    <w:p w14:paraId="26358625" w14:textId="77777777" w:rsidR="005E2A7C" w:rsidRPr="005877C3" w:rsidRDefault="005E2A7C" w:rsidP="005E2A7C">
      <w:pPr>
        <w:rPr>
          <w:rFonts w:cs="Arial"/>
        </w:rPr>
      </w:pPr>
    </w:p>
    <w:p w14:paraId="6E68068A" w14:textId="6BBB3309" w:rsidR="005E2A7C" w:rsidRPr="005877C3" w:rsidRDefault="005E2A7C" w:rsidP="00437FE2">
      <w:pPr>
        <w:pStyle w:val="Heading3"/>
        <w:rPr>
          <w:rFonts w:cs="Arial"/>
        </w:rPr>
      </w:pPr>
      <w:bookmarkStart w:id="23" w:name="_Toc220882963"/>
      <w:r w:rsidRPr="005877C3">
        <w:rPr>
          <w:rFonts w:cs="Arial"/>
        </w:rPr>
        <w:t>2.</w:t>
      </w:r>
      <w:r w:rsidR="00EE76F1">
        <w:rPr>
          <w:rFonts w:cs="Arial"/>
        </w:rPr>
        <w:t>3</w:t>
      </w:r>
      <w:r w:rsidRPr="005877C3">
        <w:rPr>
          <w:rFonts w:cs="Arial"/>
        </w:rPr>
        <w:t>.4 Operational Risk</w:t>
      </w:r>
      <w:bookmarkEnd w:id="23"/>
      <w:r w:rsidRPr="005877C3">
        <w:rPr>
          <w:rFonts w:cs="Arial"/>
        </w:rPr>
        <w:t> </w:t>
      </w:r>
    </w:p>
    <w:p w14:paraId="27CFD8D1" w14:textId="700E6A9B" w:rsidR="005E2A7C" w:rsidRPr="005877C3" w:rsidRDefault="005E2A7C" w:rsidP="005E2A7C">
      <w:pPr>
        <w:rPr>
          <w:rFonts w:cs="Arial"/>
        </w:rPr>
      </w:pPr>
      <w:r w:rsidRPr="005877C3">
        <w:rPr>
          <w:rFonts w:cs="Arial"/>
        </w:rPr>
        <w:t>The operational risk has its basis in the failure of the internal process</w:t>
      </w:r>
      <w:r w:rsidR="00E96B7E" w:rsidRPr="005877C3">
        <w:rPr>
          <w:rFonts w:cs="Arial"/>
        </w:rPr>
        <w:t>es</w:t>
      </w:r>
      <w:r w:rsidRPr="005877C3">
        <w:rPr>
          <w:rFonts w:cs="Arial"/>
        </w:rPr>
        <w:t xml:space="preserve">, systems, and personnel. It consists of technology failures, cyber-attacks, fraud, and regulatory violations. Due to the digitisation of financial services, operational risk is more challenging to manage and costly in </w:t>
      </w:r>
      <w:r w:rsidR="00E96B7E" w:rsidRPr="005877C3">
        <w:rPr>
          <w:rFonts w:cs="Arial"/>
        </w:rPr>
        <w:t xml:space="preserve">the </w:t>
      </w:r>
      <w:r w:rsidRPr="005877C3">
        <w:rPr>
          <w:rFonts w:cs="Arial"/>
        </w:rPr>
        <w:t>case of failures. It has been shown in literature that companies that have poor operational risk structures incur greater losses of their finances and reputation (</w:t>
      </w:r>
      <w:proofErr w:type="spellStart"/>
      <w:r w:rsidRPr="005877C3">
        <w:rPr>
          <w:rFonts w:cs="Arial"/>
        </w:rPr>
        <w:t>Syrová</w:t>
      </w:r>
      <w:proofErr w:type="spellEnd"/>
      <w:r w:rsidRPr="005877C3">
        <w:rPr>
          <w:rFonts w:cs="Arial"/>
        </w:rPr>
        <w:t xml:space="preserve"> and </w:t>
      </w:r>
      <w:proofErr w:type="spellStart"/>
      <w:r w:rsidRPr="005877C3">
        <w:rPr>
          <w:rFonts w:cs="Arial"/>
        </w:rPr>
        <w:t>Špička</w:t>
      </w:r>
      <w:proofErr w:type="spellEnd"/>
      <w:r w:rsidRPr="005877C3">
        <w:rPr>
          <w:rFonts w:cs="Arial"/>
        </w:rPr>
        <w:t xml:space="preserve">, 2022). Violation of compliance also translates to fines and supervision intervention, which undermines profitability. Close Brother tackles the operational risk </w:t>
      </w:r>
      <w:r w:rsidR="00E96B7E" w:rsidRPr="005877C3">
        <w:rPr>
          <w:rFonts w:cs="Arial"/>
        </w:rPr>
        <w:t>through</w:t>
      </w:r>
      <w:r w:rsidRPr="005877C3">
        <w:rPr>
          <w:rFonts w:cs="Arial"/>
        </w:rPr>
        <w:t xml:space="preserve"> extensive internal auditing, training, and risk monitoring systems. Lack of these controls would increase risk, whereas the existence of these controls would reduce the disruptions and enhance the delivery of reliable services, which would enhance the financial performance.</w:t>
      </w:r>
    </w:p>
    <w:p w14:paraId="6BBD86FD" w14:textId="77777777" w:rsidR="005E2A7C" w:rsidRPr="005877C3" w:rsidRDefault="005E2A7C" w:rsidP="005E2A7C">
      <w:pPr>
        <w:rPr>
          <w:rFonts w:cs="Arial"/>
        </w:rPr>
      </w:pPr>
    </w:p>
    <w:p w14:paraId="60F09989" w14:textId="64FCF86E" w:rsidR="005E2A7C" w:rsidRPr="005877C3" w:rsidRDefault="005E2A7C" w:rsidP="00437FE2">
      <w:pPr>
        <w:pStyle w:val="Heading3"/>
        <w:rPr>
          <w:rFonts w:cs="Arial"/>
        </w:rPr>
      </w:pPr>
      <w:bookmarkStart w:id="24" w:name="_Toc220882964"/>
      <w:r w:rsidRPr="005877C3">
        <w:rPr>
          <w:rFonts w:cs="Arial"/>
        </w:rPr>
        <w:t>2.</w:t>
      </w:r>
      <w:r w:rsidR="00EE76F1">
        <w:rPr>
          <w:rFonts w:cs="Arial"/>
        </w:rPr>
        <w:t>3</w:t>
      </w:r>
      <w:r w:rsidRPr="005877C3">
        <w:rPr>
          <w:rFonts w:cs="Arial"/>
        </w:rPr>
        <w:t>.5 Cultural and Governance Risks</w:t>
      </w:r>
      <w:bookmarkEnd w:id="24"/>
    </w:p>
    <w:p w14:paraId="093EFFC1" w14:textId="21E3E1FC" w:rsidR="005E2A7C" w:rsidRPr="005877C3" w:rsidRDefault="005E2A7C" w:rsidP="005E2A7C">
      <w:pPr>
        <w:rPr>
          <w:rFonts w:cs="Arial"/>
        </w:rPr>
      </w:pPr>
      <w:r w:rsidRPr="005877C3">
        <w:rPr>
          <w:rFonts w:cs="Arial"/>
        </w:rPr>
        <w:t xml:space="preserve">Cultural and governmental influences determine the manner in which risk decisions are </w:t>
      </w:r>
      <w:r w:rsidR="00E96B7E" w:rsidRPr="005877C3">
        <w:rPr>
          <w:rFonts w:cs="Arial"/>
        </w:rPr>
        <w:t>made</w:t>
      </w:r>
      <w:r w:rsidRPr="005877C3">
        <w:rPr>
          <w:rFonts w:cs="Arial"/>
        </w:rPr>
        <w:t xml:space="preserve">. A strong risk culture facilitates caution, openness and responsibility, whilst a weak culture attracts the tendency of taking too many risks and imperfect controls. Oversight by the board is also important. It has been shown that companies whose </w:t>
      </w:r>
      <w:r w:rsidRPr="005877C3">
        <w:rPr>
          <w:rFonts w:cs="Arial"/>
        </w:rPr>
        <w:lastRenderedPageBreak/>
        <w:t>boards are experienced and engaged are able to deal with risks better</w:t>
      </w:r>
      <w:r w:rsidR="00E96B7E" w:rsidRPr="005877C3">
        <w:rPr>
          <w:rFonts w:cs="Arial"/>
        </w:rPr>
        <w:t>,</w:t>
      </w:r>
      <w:r w:rsidRPr="005877C3">
        <w:rPr>
          <w:rFonts w:cs="Arial"/>
        </w:rPr>
        <w:t xml:space="preserve"> and this ensures that the companies experience more stable returns (Tariq and Abdel, 2023). The compliance culture will minimi</w:t>
      </w:r>
      <w:r w:rsidR="00E96B7E" w:rsidRPr="005877C3">
        <w:rPr>
          <w:rFonts w:cs="Arial"/>
        </w:rPr>
        <w:t>s</w:t>
      </w:r>
      <w:r w:rsidRPr="005877C3">
        <w:rPr>
          <w:rFonts w:cs="Arial"/>
        </w:rPr>
        <w:t>e the regulatory violations and build trust with the supervisors. Close Brothers is also known to have a conservative culture and strict governance</w:t>
      </w:r>
      <w:r w:rsidR="00E96B7E" w:rsidRPr="005877C3">
        <w:rPr>
          <w:rFonts w:cs="Arial"/>
        </w:rPr>
        <w:t>,</w:t>
      </w:r>
      <w:r w:rsidRPr="005877C3">
        <w:rPr>
          <w:rFonts w:cs="Arial"/>
        </w:rPr>
        <w:t xml:space="preserve"> which reduces </w:t>
      </w:r>
      <w:r w:rsidR="00E96B7E" w:rsidRPr="005877C3">
        <w:rPr>
          <w:rFonts w:cs="Arial"/>
        </w:rPr>
        <w:t xml:space="preserve">the </w:t>
      </w:r>
      <w:r w:rsidRPr="005877C3">
        <w:rPr>
          <w:rFonts w:cs="Arial"/>
        </w:rPr>
        <w:t xml:space="preserve">risks </w:t>
      </w:r>
      <w:r w:rsidR="00E96B7E" w:rsidRPr="005877C3">
        <w:rPr>
          <w:rFonts w:cs="Arial"/>
        </w:rPr>
        <w:t>of</w:t>
      </w:r>
      <w:r w:rsidRPr="005877C3">
        <w:rPr>
          <w:rFonts w:cs="Arial"/>
        </w:rPr>
        <w:t xml:space="preserve"> significant failures and creates predictability in performance. This conservatism does not allow aggressive expansion, but makes it more resilient and profit-oriented in the long term.</w:t>
      </w:r>
    </w:p>
    <w:p w14:paraId="50E64091" w14:textId="77777777" w:rsidR="005E2A7C" w:rsidRPr="005877C3" w:rsidRDefault="005E2A7C" w:rsidP="005E2A7C">
      <w:pPr>
        <w:rPr>
          <w:rFonts w:cs="Arial"/>
        </w:rPr>
      </w:pPr>
    </w:p>
    <w:p w14:paraId="2C47D005" w14:textId="690D9644" w:rsidR="005E2A7C" w:rsidRPr="005877C3" w:rsidRDefault="005E2A7C" w:rsidP="00437FE2">
      <w:pPr>
        <w:pStyle w:val="Heading2"/>
        <w:rPr>
          <w:rFonts w:cs="Arial"/>
        </w:rPr>
      </w:pPr>
      <w:bookmarkStart w:id="25" w:name="_Toc220882965"/>
      <w:r w:rsidRPr="005877C3">
        <w:rPr>
          <w:rFonts w:cs="Arial"/>
        </w:rPr>
        <w:t>2.</w:t>
      </w:r>
      <w:r w:rsidR="00EE76F1">
        <w:rPr>
          <w:rFonts w:cs="Arial"/>
        </w:rPr>
        <w:t>4</w:t>
      </w:r>
      <w:r w:rsidRPr="005877C3">
        <w:rPr>
          <w:rFonts w:cs="Arial"/>
        </w:rPr>
        <w:t xml:space="preserve"> Risk Management Frameworks</w:t>
      </w:r>
      <w:bookmarkEnd w:id="25"/>
    </w:p>
    <w:p w14:paraId="5A042562" w14:textId="77777777" w:rsidR="005E2A7C" w:rsidRPr="005877C3" w:rsidRDefault="005E2A7C" w:rsidP="005E2A7C">
      <w:pPr>
        <w:rPr>
          <w:rFonts w:cs="Arial"/>
        </w:rPr>
      </w:pPr>
      <w:r w:rsidRPr="005877C3">
        <w:rPr>
          <w:rFonts w:cs="Arial"/>
        </w:rPr>
        <w:t xml:space="preserve">Risk-management frameworks help non-bank financial institutions (NBFIs) to define and manage core risks using internal systems and comply with the demands of the FCA and PRA. Without the deposit funds, such institutions are more vulnerable to shocks (Jariah and </w:t>
      </w:r>
      <w:proofErr w:type="spellStart"/>
      <w:r w:rsidRPr="005877C3">
        <w:rPr>
          <w:rFonts w:cs="Arial"/>
        </w:rPr>
        <w:t>Lukiana</w:t>
      </w:r>
      <w:proofErr w:type="spellEnd"/>
      <w:r w:rsidRPr="005877C3">
        <w:rPr>
          <w:rFonts w:cs="Arial"/>
        </w:rPr>
        <w:t>, 2023). Strong controls, stress testing and supervision add to the stability, as is shown by the disciplined attitude taken by Close Brothers in the competitive market conditions.</w:t>
      </w:r>
    </w:p>
    <w:p w14:paraId="6C1B0B13" w14:textId="4F7E3EF7" w:rsidR="005E2A7C" w:rsidRPr="005877C3" w:rsidRDefault="005E2A7C" w:rsidP="00437FE2">
      <w:pPr>
        <w:pStyle w:val="Heading3"/>
        <w:rPr>
          <w:rFonts w:cs="Arial"/>
        </w:rPr>
      </w:pPr>
      <w:bookmarkStart w:id="26" w:name="_Toc220882966"/>
      <w:r w:rsidRPr="005877C3">
        <w:rPr>
          <w:rFonts w:cs="Arial"/>
        </w:rPr>
        <w:t>2.</w:t>
      </w:r>
      <w:r w:rsidR="00EE76F1">
        <w:rPr>
          <w:rFonts w:cs="Arial"/>
        </w:rPr>
        <w:t>4</w:t>
      </w:r>
      <w:r w:rsidRPr="005877C3">
        <w:rPr>
          <w:rFonts w:cs="Arial"/>
        </w:rPr>
        <w:t>.1 Identification, Monitoring, and Internal Controls</w:t>
      </w:r>
      <w:bookmarkEnd w:id="26"/>
    </w:p>
    <w:p w14:paraId="6484B603" w14:textId="7610CB54" w:rsidR="005E2A7C" w:rsidRPr="005877C3" w:rsidRDefault="005E2A7C" w:rsidP="005E2A7C">
      <w:pPr>
        <w:rPr>
          <w:rFonts w:cs="Arial"/>
        </w:rPr>
      </w:pPr>
      <w:r w:rsidRPr="005877C3">
        <w:rPr>
          <w:rFonts w:cs="Arial"/>
        </w:rPr>
        <w:t>Credit-scoring models make it possible to measure the quality of borrowers, whereas risk dashboards allow a real-time overview of the portfolio health. A large number of companies also use stress indicators that monitor fluctuation of arrears, collateral values and funding terms. Checks and balances in the day-to-day operations are created through internal controls such as segregation of duties and regular audits (Ahmad, Bashir and Waqas, 2022). The studies have shown that superior performance and quick</w:t>
      </w:r>
      <w:r w:rsidR="00E96B7E" w:rsidRPr="005877C3">
        <w:rPr>
          <w:rFonts w:cs="Arial"/>
        </w:rPr>
        <w:t>er</w:t>
      </w:r>
      <w:r w:rsidRPr="005877C3">
        <w:rPr>
          <w:rFonts w:cs="Arial"/>
        </w:rPr>
        <w:t xml:space="preserve"> reaction to threats in institutions with effective monitoring systems are better. Close Brothers is no exception to the rule</w:t>
      </w:r>
      <w:r w:rsidR="00E96B7E" w:rsidRPr="005877C3">
        <w:rPr>
          <w:rFonts w:cs="Arial"/>
        </w:rPr>
        <w:t>,</w:t>
      </w:r>
      <w:r w:rsidRPr="005877C3">
        <w:rPr>
          <w:rFonts w:cs="Arial"/>
        </w:rPr>
        <w:t xml:space="preserve"> and the structured reviews and oversight processes help to keep financial discipline.</w:t>
      </w:r>
    </w:p>
    <w:p w14:paraId="52477053" w14:textId="41ADD853" w:rsidR="005E2A7C" w:rsidRPr="005877C3" w:rsidRDefault="005E2A7C" w:rsidP="00437FE2">
      <w:pPr>
        <w:pStyle w:val="Heading3"/>
        <w:rPr>
          <w:rFonts w:cs="Arial"/>
        </w:rPr>
      </w:pPr>
      <w:bookmarkStart w:id="27" w:name="_Toc220882967"/>
      <w:r w:rsidRPr="005877C3">
        <w:rPr>
          <w:rFonts w:cs="Arial"/>
        </w:rPr>
        <w:t>2.</w:t>
      </w:r>
      <w:r w:rsidR="00EE76F1">
        <w:rPr>
          <w:rFonts w:cs="Arial"/>
        </w:rPr>
        <w:t>4</w:t>
      </w:r>
      <w:r w:rsidRPr="005877C3">
        <w:rPr>
          <w:rFonts w:cs="Arial"/>
        </w:rPr>
        <w:t>.2 Credit Risk Management Practices</w:t>
      </w:r>
      <w:bookmarkEnd w:id="27"/>
      <w:r w:rsidRPr="005877C3">
        <w:rPr>
          <w:rFonts w:cs="Arial"/>
        </w:rPr>
        <w:t> </w:t>
      </w:r>
    </w:p>
    <w:p w14:paraId="1B38FFDF" w14:textId="4D7AF195" w:rsidR="005E2A7C" w:rsidRPr="005877C3" w:rsidRDefault="005E2A7C" w:rsidP="005E2A7C">
      <w:pPr>
        <w:rPr>
          <w:rFonts w:cs="Arial"/>
        </w:rPr>
      </w:pPr>
      <w:r w:rsidRPr="005877C3">
        <w:rPr>
          <w:rFonts w:cs="Arial"/>
        </w:rPr>
        <w:t xml:space="preserve">NBFIs cannot do without credit risk management, as lending is the primary activity. Companies reduce risks by </w:t>
      </w:r>
      <w:r w:rsidR="00FF7FC8">
        <w:rPr>
          <w:rFonts w:cs="Arial"/>
        </w:rPr>
        <w:t xml:space="preserve">the </w:t>
      </w:r>
      <w:r w:rsidRPr="005877C3">
        <w:rPr>
          <w:rFonts w:cs="Arial"/>
        </w:rPr>
        <w:t>use of collateral</w:t>
      </w:r>
      <w:r w:rsidR="00E96B7E" w:rsidRPr="005877C3">
        <w:rPr>
          <w:rFonts w:cs="Arial"/>
        </w:rPr>
        <w:t>,</w:t>
      </w:r>
      <w:r w:rsidRPr="005877C3">
        <w:rPr>
          <w:rFonts w:cs="Arial"/>
        </w:rPr>
        <w:t xml:space="preserve"> and efficient management of collateral involves proper valuation, clarity in law and constant monitoring. Underwriting policies are also essential; they formulate the limits by which the borrowers should be evaluated, affordability check</w:t>
      </w:r>
      <w:r w:rsidR="00E96B7E" w:rsidRPr="005877C3">
        <w:rPr>
          <w:rFonts w:cs="Arial"/>
        </w:rPr>
        <w:t>s</w:t>
      </w:r>
      <w:r w:rsidRPr="005877C3">
        <w:rPr>
          <w:rFonts w:cs="Arial"/>
        </w:rPr>
        <w:t xml:space="preserve">, and loan-to-value limits (Al </w:t>
      </w:r>
      <w:proofErr w:type="spellStart"/>
      <w:r w:rsidRPr="005877C3">
        <w:rPr>
          <w:rFonts w:cs="Arial"/>
        </w:rPr>
        <w:t>Zaidanin</w:t>
      </w:r>
      <w:proofErr w:type="spellEnd"/>
      <w:r w:rsidRPr="005877C3">
        <w:rPr>
          <w:rFonts w:cs="Arial"/>
        </w:rPr>
        <w:t xml:space="preserve"> and Al Zaidanin, 2021). </w:t>
      </w:r>
      <w:r w:rsidR="00EE76F1" w:rsidRPr="00EE76F1">
        <w:rPr>
          <w:rFonts w:cs="Arial"/>
        </w:rPr>
        <w:t>Portfolio monitoring help</w:t>
      </w:r>
      <w:r w:rsidR="00EE76F1">
        <w:rPr>
          <w:rFonts w:cs="Arial"/>
        </w:rPr>
        <w:t>s</w:t>
      </w:r>
      <w:r w:rsidR="00EE76F1" w:rsidRPr="00EE76F1">
        <w:rPr>
          <w:rFonts w:cs="Arial"/>
        </w:rPr>
        <w:t xml:space="preserve"> to ensure that the risks </w:t>
      </w:r>
      <w:r w:rsidR="00EE76F1">
        <w:rPr>
          <w:rFonts w:cs="Arial"/>
        </w:rPr>
        <w:t>are</w:t>
      </w:r>
      <w:r w:rsidR="00EE76F1" w:rsidRPr="00EE76F1">
        <w:rPr>
          <w:rFonts w:cs="Arial"/>
        </w:rPr>
        <w:t xml:space="preserve"> </w:t>
      </w:r>
      <w:r w:rsidR="00EE76F1" w:rsidRPr="00EE76F1">
        <w:rPr>
          <w:rFonts w:cs="Arial"/>
        </w:rPr>
        <w:lastRenderedPageBreak/>
        <w:t>within the limit</w:t>
      </w:r>
      <w:r w:rsidR="00EE76F1">
        <w:rPr>
          <w:rFonts w:cs="Arial"/>
        </w:rPr>
        <w:t>s</w:t>
      </w:r>
      <w:r w:rsidR="00EE76F1" w:rsidRPr="00EE76F1">
        <w:rPr>
          <w:rFonts w:cs="Arial"/>
        </w:rPr>
        <w:t xml:space="preserve"> that are approved and involves frequent assessment of the delinquency trends and industry trends. Research has determined that strict management of credit risks reduces the default rates and enhances profitability. Close Brothers uses strict criteria of underwriting and ha</w:t>
      </w:r>
      <w:r w:rsidR="00EE76F1">
        <w:rPr>
          <w:rFonts w:cs="Arial"/>
        </w:rPr>
        <w:t>s</w:t>
      </w:r>
      <w:r w:rsidR="00EE76F1" w:rsidRPr="00EE76F1">
        <w:rPr>
          <w:rFonts w:cs="Arial"/>
        </w:rPr>
        <w:t xml:space="preserve"> focused on secured lending</w:t>
      </w:r>
      <w:r w:rsidR="00EE76F1">
        <w:rPr>
          <w:rFonts w:cs="Arial"/>
        </w:rPr>
        <w:t>;</w:t>
      </w:r>
      <w:r w:rsidR="00EE76F1" w:rsidRPr="00EE76F1">
        <w:rPr>
          <w:rFonts w:cs="Arial"/>
        </w:rPr>
        <w:t xml:space="preserve"> this has </w:t>
      </w:r>
      <w:r w:rsidR="00EE76F1">
        <w:rPr>
          <w:rFonts w:cs="Arial"/>
        </w:rPr>
        <w:t xml:space="preserve">therefore </w:t>
      </w:r>
      <w:r w:rsidR="00EE76F1" w:rsidRPr="00EE76F1">
        <w:rPr>
          <w:rFonts w:cs="Arial"/>
        </w:rPr>
        <w:t>helped Close Brothers to maintain steady returns despite the fluctuating economy.</w:t>
      </w:r>
    </w:p>
    <w:p w14:paraId="74BCD0D8" w14:textId="46E9D68A" w:rsidR="005E2A7C" w:rsidRPr="005877C3" w:rsidRDefault="005E2A7C" w:rsidP="00437FE2">
      <w:pPr>
        <w:pStyle w:val="Heading3"/>
        <w:rPr>
          <w:rFonts w:cs="Arial"/>
        </w:rPr>
      </w:pPr>
      <w:bookmarkStart w:id="28" w:name="_Toc220882968"/>
      <w:r w:rsidRPr="005877C3">
        <w:rPr>
          <w:rFonts w:cs="Arial"/>
        </w:rPr>
        <w:t>2.</w:t>
      </w:r>
      <w:r w:rsidR="00EE76F1">
        <w:rPr>
          <w:rFonts w:cs="Arial"/>
        </w:rPr>
        <w:t>4</w:t>
      </w:r>
      <w:r w:rsidRPr="005877C3">
        <w:rPr>
          <w:rFonts w:cs="Arial"/>
        </w:rPr>
        <w:t>.3 Liquidity and Capital Management</w:t>
      </w:r>
      <w:bookmarkEnd w:id="28"/>
    </w:p>
    <w:p w14:paraId="74878CAD" w14:textId="4C7CAAC7" w:rsidR="005E2A7C" w:rsidRPr="005877C3" w:rsidRDefault="005E2A7C" w:rsidP="005E2A7C">
      <w:pPr>
        <w:rPr>
          <w:rFonts w:cs="Arial"/>
        </w:rPr>
      </w:pPr>
      <w:r w:rsidRPr="005877C3">
        <w:rPr>
          <w:rFonts w:cs="Arial"/>
        </w:rPr>
        <w:t xml:space="preserve">The NBFIs are protected against funding shocks in terms of liquidity and capital structures. Companies hold liquidity reserves to meet any unforeseen cash outflow and to, at </w:t>
      </w:r>
      <w:r w:rsidR="00E96B7E" w:rsidRPr="005877C3">
        <w:rPr>
          <w:rFonts w:cs="Arial"/>
        </w:rPr>
        <w:t xml:space="preserve">a </w:t>
      </w:r>
      <w:r w:rsidRPr="005877C3">
        <w:rPr>
          <w:rFonts w:cs="Arial"/>
        </w:rPr>
        <w:t>minimum, carry on the routine business. The long</w:t>
      </w:r>
      <w:r w:rsidR="00E96B7E" w:rsidRPr="005877C3">
        <w:rPr>
          <w:rFonts w:cs="Arial"/>
        </w:rPr>
        <w:t>-</w:t>
      </w:r>
      <w:r w:rsidRPr="005877C3">
        <w:rPr>
          <w:rFonts w:cs="Arial"/>
        </w:rPr>
        <w:t>term funding helps to avoid dependence on short</w:t>
      </w:r>
      <w:r w:rsidR="00E96B7E" w:rsidRPr="005877C3">
        <w:rPr>
          <w:rFonts w:cs="Arial"/>
        </w:rPr>
        <w:t>-</w:t>
      </w:r>
      <w:r w:rsidRPr="005877C3">
        <w:rPr>
          <w:rFonts w:cs="Arial"/>
        </w:rPr>
        <w:t>term markets</w:t>
      </w:r>
      <w:r w:rsidR="00E96B7E" w:rsidRPr="005877C3">
        <w:rPr>
          <w:rFonts w:cs="Arial"/>
        </w:rPr>
        <w:t>,</w:t>
      </w:r>
      <w:r w:rsidRPr="005877C3">
        <w:rPr>
          <w:rFonts w:cs="Arial"/>
        </w:rPr>
        <w:t xml:space="preserve"> which can be volatile in times of crisis. Capital ratios offer protection in the event of unpredictable losses and indicate financial robustness to interested parties. It has been found in literature that companies that are well-liquid and have strong capital planning have </w:t>
      </w:r>
      <w:r w:rsidR="00EE76F1">
        <w:rPr>
          <w:rFonts w:cs="Arial"/>
        </w:rPr>
        <w:t>low</w:t>
      </w:r>
      <w:r w:rsidRPr="005877C3">
        <w:rPr>
          <w:rFonts w:cs="Arial"/>
        </w:rPr>
        <w:t xml:space="preserve">er volatility and higher resiliency in the long term (Abdullah, Hashmi and Iqbal, 2022). In the case of Close Brothers, the key aspects of its strategy are the conservative funding structures and high liquidity levels. The decisions limit fast growth yet </w:t>
      </w:r>
      <w:r w:rsidR="00EE76F1" w:rsidRPr="005877C3">
        <w:rPr>
          <w:rFonts w:cs="Arial"/>
        </w:rPr>
        <w:t>brings</w:t>
      </w:r>
      <w:r w:rsidRPr="005877C3">
        <w:rPr>
          <w:rFonts w:cs="Arial"/>
        </w:rPr>
        <w:t xml:space="preserve"> about stability. Regulatory confidence and investor trust are also based on strong capital positions.</w:t>
      </w:r>
    </w:p>
    <w:p w14:paraId="0F2CC47C" w14:textId="6B09D2BD" w:rsidR="005E2A7C" w:rsidRPr="005877C3" w:rsidRDefault="005E2A7C" w:rsidP="00437FE2">
      <w:pPr>
        <w:pStyle w:val="Heading3"/>
        <w:rPr>
          <w:rFonts w:cs="Arial"/>
        </w:rPr>
      </w:pPr>
      <w:bookmarkStart w:id="29" w:name="_Toc220882969"/>
      <w:r w:rsidRPr="005877C3">
        <w:rPr>
          <w:rFonts w:cs="Arial"/>
        </w:rPr>
        <w:t>2.</w:t>
      </w:r>
      <w:r w:rsidR="00EE76F1">
        <w:rPr>
          <w:rFonts w:cs="Arial"/>
        </w:rPr>
        <w:t>4</w:t>
      </w:r>
      <w:r w:rsidRPr="005877C3">
        <w:rPr>
          <w:rFonts w:cs="Arial"/>
        </w:rPr>
        <w:t>.4 Stress Testing and Scenario Analysis</w:t>
      </w:r>
      <w:bookmarkEnd w:id="29"/>
    </w:p>
    <w:p w14:paraId="62F1687B" w14:textId="3F01C30E" w:rsidR="00437FE2" w:rsidRPr="005877C3" w:rsidRDefault="00EE76F1" w:rsidP="00437FE2">
      <w:pPr>
        <w:rPr>
          <w:rFonts w:cs="Arial"/>
        </w:rPr>
      </w:pPr>
      <w:r w:rsidRPr="00EE76F1">
        <w:rPr>
          <w:rFonts w:cs="Arial"/>
        </w:rPr>
        <w:t>Stress testing and scenario analysis help to understand the performance of the firm under bad situations. Such instruments are designed to simulate market crashes, funding shocks or unexpected increases in defaults. They help in the identification of vulnerabilities before they become a big issue. The empirical findings suggest stress testing helps decision-making because it forces the managers to consider all the extreme outcomes</w:t>
      </w:r>
      <w:r>
        <w:rPr>
          <w:rFonts w:cs="Arial"/>
        </w:rPr>
        <w:t>,</w:t>
      </w:r>
      <w:r w:rsidRPr="00EE76F1">
        <w:rPr>
          <w:rFonts w:cs="Arial"/>
        </w:rPr>
        <w:t xml:space="preserve"> but realistic (</w:t>
      </w:r>
      <w:proofErr w:type="spellStart"/>
      <w:r w:rsidRPr="00EE76F1">
        <w:rPr>
          <w:rFonts w:cs="Arial"/>
        </w:rPr>
        <w:t>Alabdullah</w:t>
      </w:r>
      <w:proofErr w:type="spellEnd"/>
      <w:r w:rsidRPr="00EE76F1">
        <w:rPr>
          <w:rFonts w:cs="Arial"/>
        </w:rPr>
        <w:t xml:space="preserve"> et al., 2021). However, the tools are not very great, they're based on assumptions which might not be a complete representation of real-world behaviour</w:t>
      </w:r>
      <w:r>
        <w:rPr>
          <w:rFonts w:cs="Arial"/>
        </w:rPr>
        <w:t>,</w:t>
      </w:r>
      <w:r w:rsidRPr="00EE76F1">
        <w:rPr>
          <w:rFonts w:cs="Arial"/>
        </w:rPr>
        <w:t xml:space="preserve"> and unexpected </w:t>
      </w:r>
      <w:r>
        <w:rPr>
          <w:rFonts w:cs="Arial"/>
        </w:rPr>
        <w:t>event</w:t>
      </w:r>
      <w:r w:rsidRPr="00EE76F1">
        <w:rPr>
          <w:rFonts w:cs="Arial"/>
        </w:rPr>
        <w:t>s can be out of the scope of the model prediction. In spite of these limitations, stress testing is of invaluable use to NBFIs. It is used by Close Brothers to enhance planning, as well as operations aligned with its conservative risk appetite</w:t>
      </w:r>
      <w:r w:rsidR="005E2A7C" w:rsidRPr="005877C3">
        <w:rPr>
          <w:rFonts w:cs="Arial"/>
        </w:rPr>
        <w:t>.</w:t>
      </w:r>
    </w:p>
    <w:p w14:paraId="27A7347D" w14:textId="7A4118CD" w:rsidR="005E2A7C" w:rsidRPr="005877C3" w:rsidRDefault="005E2A7C" w:rsidP="00437FE2">
      <w:pPr>
        <w:pStyle w:val="Heading3"/>
        <w:rPr>
          <w:rFonts w:cs="Arial"/>
        </w:rPr>
      </w:pPr>
      <w:bookmarkStart w:id="30" w:name="_Toc220882970"/>
      <w:r w:rsidRPr="005877C3">
        <w:rPr>
          <w:rFonts w:cs="Arial"/>
        </w:rPr>
        <w:lastRenderedPageBreak/>
        <w:t>2.</w:t>
      </w:r>
      <w:r w:rsidR="00EE76F1">
        <w:rPr>
          <w:rFonts w:cs="Arial"/>
        </w:rPr>
        <w:t>4</w:t>
      </w:r>
      <w:r w:rsidRPr="005877C3">
        <w:rPr>
          <w:rFonts w:cs="Arial"/>
        </w:rPr>
        <w:t>.5 Regulatory Oversight</w:t>
      </w:r>
      <w:bookmarkEnd w:id="30"/>
    </w:p>
    <w:p w14:paraId="54955BCD" w14:textId="541D02F8" w:rsidR="005E2A7C" w:rsidRPr="005877C3" w:rsidRDefault="00EE76F1" w:rsidP="005E2A7C">
      <w:pPr>
        <w:rPr>
          <w:rFonts w:cs="Arial"/>
        </w:rPr>
      </w:pPr>
      <w:r w:rsidRPr="00EE76F1">
        <w:rPr>
          <w:rFonts w:cs="Arial"/>
        </w:rPr>
        <w:t xml:space="preserve">The FCA and PRA gives principles which establish risk management models. </w:t>
      </w:r>
      <w:r w:rsidR="005E2A7C" w:rsidRPr="005877C3">
        <w:rPr>
          <w:rFonts w:cs="Arial"/>
        </w:rPr>
        <w:t>They require companies to be well governed, have effective risk policies as well a</w:t>
      </w:r>
      <w:r w:rsidR="00E96B7E" w:rsidRPr="005877C3">
        <w:rPr>
          <w:rFonts w:cs="Arial"/>
        </w:rPr>
        <w:t>nd</w:t>
      </w:r>
      <w:r w:rsidR="005E2A7C" w:rsidRPr="005877C3">
        <w:rPr>
          <w:rFonts w:cs="Arial"/>
        </w:rPr>
        <w:t xml:space="preserve"> have strong controls. Moreover, they need to see that control is being performed effectively through detailed documentation and periodic reporting. The compliance system is cumbersome, especially </w:t>
      </w:r>
      <w:r w:rsidR="00E96B7E" w:rsidRPr="005877C3">
        <w:rPr>
          <w:rFonts w:cs="Arial"/>
        </w:rPr>
        <w:t>for</w:t>
      </w:r>
      <w:r w:rsidR="005E2A7C" w:rsidRPr="005877C3">
        <w:rPr>
          <w:rFonts w:cs="Arial"/>
        </w:rPr>
        <w:t xml:space="preserve"> smaller companies (Murugan, T</w:t>
      </w:r>
      <w:r w:rsidR="00E96B7E" w:rsidRPr="005877C3">
        <w:rPr>
          <w:rFonts w:cs="Arial"/>
        </w:rPr>
        <w:t>.</w:t>
      </w:r>
      <w:r w:rsidR="005E2A7C" w:rsidRPr="005877C3">
        <w:rPr>
          <w:rFonts w:cs="Arial"/>
        </w:rPr>
        <w:t xml:space="preserve"> and Marappan, 2023). However, studies indicate that a strict regulatory environment contributes to the stability of the finances. Compliance also enhances the confidence of investors and minimi</w:t>
      </w:r>
      <w:r w:rsidR="00E96B7E" w:rsidRPr="005877C3">
        <w:rPr>
          <w:rFonts w:cs="Arial"/>
        </w:rPr>
        <w:t>s</w:t>
      </w:r>
      <w:r w:rsidR="005E2A7C" w:rsidRPr="005877C3">
        <w:rPr>
          <w:rFonts w:cs="Arial"/>
        </w:rPr>
        <w:t xml:space="preserve">es the chances of there being major failures. In the case of Close Brothers, integrity with regulatory standards is incorporated in the corporate culture. The company enjoys the advantages of transparent procedures, strict governance and </w:t>
      </w:r>
      <w:r w:rsidR="00E96B7E" w:rsidRPr="005877C3">
        <w:rPr>
          <w:rFonts w:cs="Arial"/>
        </w:rPr>
        <w:t xml:space="preserve">a </w:t>
      </w:r>
      <w:r w:rsidR="005E2A7C" w:rsidRPr="005877C3">
        <w:rPr>
          <w:rFonts w:cs="Arial"/>
        </w:rPr>
        <w:t xml:space="preserve">reputation </w:t>
      </w:r>
      <w:r w:rsidR="00E96B7E" w:rsidRPr="005877C3">
        <w:rPr>
          <w:rFonts w:cs="Arial"/>
        </w:rPr>
        <w:t>for</w:t>
      </w:r>
      <w:r w:rsidR="005E2A7C" w:rsidRPr="005877C3">
        <w:rPr>
          <w:rFonts w:cs="Arial"/>
        </w:rPr>
        <w:t xml:space="preserve"> responsible behavio</w:t>
      </w:r>
      <w:r w:rsidR="00E96B7E" w:rsidRPr="005877C3">
        <w:rPr>
          <w:rFonts w:cs="Arial"/>
        </w:rPr>
        <w:t>u</w:t>
      </w:r>
      <w:r w:rsidR="005E2A7C" w:rsidRPr="005877C3">
        <w:rPr>
          <w:rFonts w:cs="Arial"/>
        </w:rPr>
        <w:t>r.</w:t>
      </w:r>
    </w:p>
    <w:p w14:paraId="00EFB0C0" w14:textId="5C75B142" w:rsidR="005E2A7C" w:rsidRPr="005877C3" w:rsidRDefault="005E2A7C" w:rsidP="005E2A7C">
      <w:pPr>
        <w:rPr>
          <w:rFonts w:cs="Arial"/>
        </w:rPr>
      </w:pPr>
    </w:p>
    <w:p w14:paraId="065C7119" w14:textId="1677C7BC" w:rsidR="005E2A7C" w:rsidRPr="005877C3" w:rsidRDefault="005E2A7C" w:rsidP="00437FE2">
      <w:pPr>
        <w:pStyle w:val="Heading2"/>
        <w:rPr>
          <w:rFonts w:cs="Arial"/>
        </w:rPr>
      </w:pPr>
      <w:bookmarkStart w:id="31" w:name="_Toc220882971"/>
      <w:r w:rsidRPr="005877C3">
        <w:rPr>
          <w:rFonts w:cs="Arial"/>
        </w:rPr>
        <w:t>2.</w:t>
      </w:r>
      <w:r w:rsidR="00EE76F1">
        <w:rPr>
          <w:rFonts w:cs="Arial"/>
        </w:rPr>
        <w:t>5</w:t>
      </w:r>
      <w:r w:rsidRPr="005877C3">
        <w:rPr>
          <w:rFonts w:cs="Arial"/>
        </w:rPr>
        <w:t xml:space="preserve"> Profitability and Financial Performance Measures</w:t>
      </w:r>
      <w:bookmarkEnd w:id="31"/>
    </w:p>
    <w:p w14:paraId="236B7A2B" w14:textId="1238E86F" w:rsidR="005E2A7C" w:rsidRPr="005877C3" w:rsidRDefault="005E2A7C" w:rsidP="005E2A7C">
      <w:pPr>
        <w:rPr>
          <w:rFonts w:cs="Arial"/>
        </w:rPr>
      </w:pPr>
      <w:r w:rsidRPr="005877C3">
        <w:rPr>
          <w:rFonts w:cs="Arial"/>
        </w:rPr>
        <w:t>Profitability measures give a systematic evaluation of the efficiency of an institution to convert its risk</w:t>
      </w:r>
      <w:r w:rsidR="00E96B7E" w:rsidRPr="005877C3">
        <w:rPr>
          <w:rFonts w:cs="Arial"/>
        </w:rPr>
        <w:t>-</w:t>
      </w:r>
      <w:r w:rsidRPr="005877C3">
        <w:rPr>
          <w:rFonts w:cs="Arial"/>
        </w:rPr>
        <w:t>taking activities into financial returns. In the case of non-bank financial institutions, the measures represent the effects of lending, funding, and risk decisions on the long-term performance and show how the external conditions impact earnings (Landi et al., 2022). This part discusses the key indicators that are used to measure profitability</w:t>
      </w:r>
      <w:r w:rsidR="00E96B7E" w:rsidRPr="005877C3">
        <w:rPr>
          <w:rFonts w:cs="Arial"/>
        </w:rPr>
        <w:t>,</w:t>
      </w:r>
      <w:r w:rsidRPr="005877C3">
        <w:rPr>
          <w:rFonts w:cs="Arial"/>
        </w:rPr>
        <w:t xml:space="preserve"> </w:t>
      </w:r>
      <w:r w:rsidR="00E96B7E" w:rsidRPr="005877C3">
        <w:rPr>
          <w:rFonts w:cs="Arial"/>
        </w:rPr>
        <w:t>which</w:t>
      </w:r>
      <w:r w:rsidRPr="005877C3">
        <w:rPr>
          <w:rFonts w:cs="Arial"/>
        </w:rPr>
        <w:t xml:space="preserve"> include the traditional indicators, risk-adjusted indicators and external factors. These indicators can provide a baseline of the performance of Close Brother over the years and </w:t>
      </w:r>
      <w:r w:rsidR="00E96B7E" w:rsidRPr="005877C3">
        <w:rPr>
          <w:rFonts w:cs="Arial"/>
        </w:rPr>
        <w:t xml:space="preserve">help </w:t>
      </w:r>
      <w:r w:rsidRPr="005877C3">
        <w:rPr>
          <w:rFonts w:cs="Arial"/>
        </w:rPr>
        <w:t>understand the way in which the risk-management decisions could be converted into measurable results.</w:t>
      </w:r>
    </w:p>
    <w:p w14:paraId="71AEAEF7" w14:textId="77777777" w:rsidR="00437FE2" w:rsidRPr="005877C3" w:rsidRDefault="00437FE2" w:rsidP="005E2A7C">
      <w:pPr>
        <w:rPr>
          <w:rFonts w:cs="Arial"/>
        </w:rPr>
      </w:pPr>
    </w:p>
    <w:p w14:paraId="6D3A776E" w14:textId="18F932BA" w:rsidR="005E2A7C" w:rsidRPr="005877C3" w:rsidRDefault="005E2A7C" w:rsidP="00437FE2">
      <w:pPr>
        <w:pStyle w:val="Heading3"/>
        <w:rPr>
          <w:rFonts w:cs="Arial"/>
        </w:rPr>
      </w:pPr>
      <w:bookmarkStart w:id="32" w:name="_Toc220882972"/>
      <w:r w:rsidRPr="005877C3">
        <w:rPr>
          <w:rFonts w:cs="Arial"/>
        </w:rPr>
        <w:t>2.</w:t>
      </w:r>
      <w:r w:rsidR="00EE76F1">
        <w:rPr>
          <w:rFonts w:cs="Arial"/>
        </w:rPr>
        <w:t>5</w:t>
      </w:r>
      <w:r w:rsidRPr="005877C3">
        <w:rPr>
          <w:rFonts w:cs="Arial"/>
        </w:rPr>
        <w:t>.1 Traditional Profitability Metrics</w:t>
      </w:r>
      <w:bookmarkEnd w:id="32"/>
    </w:p>
    <w:p w14:paraId="7704BB2B" w14:textId="664977D3" w:rsidR="005E2A7C" w:rsidRPr="005877C3" w:rsidRDefault="005E2A7C" w:rsidP="005E2A7C">
      <w:pPr>
        <w:rPr>
          <w:rFonts w:cs="Arial"/>
        </w:rPr>
      </w:pPr>
      <w:r w:rsidRPr="005877C3">
        <w:rPr>
          <w:rFonts w:cs="Arial"/>
        </w:rPr>
        <w:t>Conventionally used metrics are so popular due to their ability to provide explicit and similar information on financial performance. Return on Assets (ROA) is used to show how successfully a firm uses its assets to make profits. Return on Equity (ROE) is a measure of returns that are provided to shareholders (Morara and Sibindi, 2021). Net Interest Margin (NIM) is an income of the difference between income and cost of lending, wh</w:t>
      </w:r>
      <w:r w:rsidR="00EE76F1">
        <w:rPr>
          <w:rFonts w:cs="Arial"/>
        </w:rPr>
        <w:t>ich</w:t>
      </w:r>
      <w:r w:rsidRPr="005877C3">
        <w:rPr>
          <w:rFonts w:cs="Arial"/>
        </w:rPr>
        <w:t xml:space="preserve"> is of utmost significance to the lenders. The cost</w:t>
      </w:r>
      <w:r w:rsidR="00E96B7E" w:rsidRPr="005877C3">
        <w:rPr>
          <w:rFonts w:cs="Arial"/>
        </w:rPr>
        <w:t>-to-</w:t>
      </w:r>
      <w:r w:rsidRPr="005877C3">
        <w:rPr>
          <w:rFonts w:cs="Arial"/>
        </w:rPr>
        <w:t>income ratio is used to measure the efficiency of operation</w:t>
      </w:r>
      <w:r w:rsidR="00E96B7E" w:rsidRPr="005877C3">
        <w:rPr>
          <w:rFonts w:cs="Arial"/>
        </w:rPr>
        <w:t>,</w:t>
      </w:r>
      <w:r w:rsidRPr="005877C3">
        <w:rPr>
          <w:rFonts w:cs="Arial"/>
        </w:rPr>
        <w:t xml:space="preserve"> and the lower the ratio, the better the costs are </w:t>
      </w:r>
      <w:r w:rsidRPr="005877C3">
        <w:rPr>
          <w:rFonts w:cs="Arial"/>
        </w:rPr>
        <w:lastRenderedPageBreak/>
        <w:t>managed. These indicators collectively prove helpful in assessing whether a company is growing or is under stress due to the rising costs or shrinking margins. These metrics</w:t>
      </w:r>
      <w:r w:rsidR="00E96B7E" w:rsidRPr="005877C3">
        <w:rPr>
          <w:rFonts w:cs="Arial"/>
        </w:rPr>
        <w:t>,</w:t>
      </w:r>
      <w:r w:rsidRPr="005877C3">
        <w:rPr>
          <w:rFonts w:cs="Arial"/>
        </w:rPr>
        <w:t xml:space="preserve"> in the case of Close Brother</w:t>
      </w:r>
      <w:r w:rsidR="00E96B7E" w:rsidRPr="005877C3">
        <w:rPr>
          <w:rFonts w:cs="Arial"/>
        </w:rPr>
        <w:t>,</w:t>
      </w:r>
      <w:r w:rsidRPr="005877C3">
        <w:rPr>
          <w:rFonts w:cs="Arial"/>
        </w:rPr>
        <w:t xml:space="preserve"> portray a consistent performance supported </w:t>
      </w:r>
      <w:r w:rsidR="00E96B7E" w:rsidRPr="005877C3">
        <w:rPr>
          <w:rFonts w:cs="Arial"/>
        </w:rPr>
        <w:t>by</w:t>
      </w:r>
      <w:r w:rsidRPr="005877C3">
        <w:rPr>
          <w:rFonts w:cs="Arial"/>
        </w:rPr>
        <w:t xml:space="preserve"> a model of conservativeness.</w:t>
      </w:r>
    </w:p>
    <w:p w14:paraId="0B8D60FA" w14:textId="77777777" w:rsidR="005E2A7C" w:rsidRPr="005877C3" w:rsidRDefault="005E2A7C" w:rsidP="005E2A7C">
      <w:pPr>
        <w:rPr>
          <w:rFonts w:cs="Arial"/>
        </w:rPr>
      </w:pPr>
    </w:p>
    <w:p w14:paraId="49CE1024" w14:textId="6E1BA6D7" w:rsidR="005E2A7C" w:rsidRPr="005877C3" w:rsidRDefault="005E2A7C" w:rsidP="00437FE2">
      <w:pPr>
        <w:pStyle w:val="Heading3"/>
        <w:rPr>
          <w:rFonts w:cs="Arial"/>
        </w:rPr>
      </w:pPr>
      <w:bookmarkStart w:id="33" w:name="_Toc220882973"/>
      <w:r w:rsidRPr="005877C3">
        <w:rPr>
          <w:rFonts w:cs="Arial"/>
        </w:rPr>
        <w:t>2.</w:t>
      </w:r>
      <w:r w:rsidR="00EE76F1">
        <w:rPr>
          <w:rFonts w:cs="Arial"/>
        </w:rPr>
        <w:t>5</w:t>
      </w:r>
      <w:r w:rsidRPr="005877C3">
        <w:rPr>
          <w:rFonts w:cs="Arial"/>
        </w:rPr>
        <w:t>.2 Risk-Adjusted Measures</w:t>
      </w:r>
      <w:bookmarkEnd w:id="33"/>
      <w:r w:rsidRPr="005877C3">
        <w:rPr>
          <w:rFonts w:cs="Arial"/>
        </w:rPr>
        <w:t> </w:t>
      </w:r>
    </w:p>
    <w:p w14:paraId="014E0D33" w14:textId="4D0E47DA" w:rsidR="005E2A7C" w:rsidRPr="005877C3" w:rsidRDefault="005E2A7C" w:rsidP="005E2A7C">
      <w:pPr>
        <w:rPr>
          <w:rFonts w:cs="Arial"/>
        </w:rPr>
      </w:pPr>
      <w:r w:rsidRPr="005877C3">
        <w:rPr>
          <w:rFonts w:cs="Arial"/>
        </w:rPr>
        <w:t>The level of risk taken to earn returns is further analy</w:t>
      </w:r>
      <w:r w:rsidR="00E96B7E" w:rsidRPr="005877C3">
        <w:rPr>
          <w:rFonts w:cs="Arial"/>
        </w:rPr>
        <w:t>s</w:t>
      </w:r>
      <w:r w:rsidRPr="005877C3">
        <w:rPr>
          <w:rFonts w:cs="Arial"/>
        </w:rPr>
        <w:t>ed by risk</w:t>
      </w:r>
      <w:r w:rsidR="00E96B7E" w:rsidRPr="005877C3">
        <w:rPr>
          <w:rFonts w:cs="Arial"/>
        </w:rPr>
        <w:t>-</w:t>
      </w:r>
      <w:r w:rsidRPr="005877C3">
        <w:rPr>
          <w:rFonts w:cs="Arial"/>
        </w:rPr>
        <w:t xml:space="preserve">adjusted profitability measures. Risk-Adjusted Return on Capital (RAROC) compares profit to the economic capital necessary to absorb possible losses, thus showing whether the lending processes are value-creating, taking into account the risk exposure. Sharpe ratio is the ratio that measures the ratio of returns to volatility (Siddique, Khan and Khan, 2022). Its greater Sharpe ratio is taken to illustrate a better balance between risk and returns. These indicators tend to be of great interest in the case of NBFIs because </w:t>
      </w:r>
      <w:r w:rsidR="00E96B7E" w:rsidRPr="005877C3">
        <w:rPr>
          <w:rFonts w:cs="Arial"/>
        </w:rPr>
        <w:t>they</w:t>
      </w:r>
      <w:r w:rsidRPr="005877C3">
        <w:rPr>
          <w:rFonts w:cs="Arial"/>
        </w:rPr>
        <w:t xml:space="preserve"> explain that profitability is achieved by way of risk management or excessive risk-taking. In the case of Close brother, risk</w:t>
      </w:r>
      <w:r w:rsidR="00E96B7E" w:rsidRPr="005877C3">
        <w:rPr>
          <w:rFonts w:cs="Arial"/>
        </w:rPr>
        <w:t>-</w:t>
      </w:r>
      <w:r w:rsidRPr="005877C3">
        <w:rPr>
          <w:rFonts w:cs="Arial"/>
        </w:rPr>
        <w:t>adjusted indicators supplement its choice of calculated and gradual growth, where the returns are consistent with its low-risk aversion.</w:t>
      </w:r>
    </w:p>
    <w:p w14:paraId="2A5D0205" w14:textId="77777777" w:rsidR="005E2A7C" w:rsidRPr="005877C3" w:rsidRDefault="005E2A7C" w:rsidP="005E2A7C">
      <w:pPr>
        <w:rPr>
          <w:rFonts w:cs="Arial"/>
        </w:rPr>
      </w:pPr>
    </w:p>
    <w:p w14:paraId="4D233EE7" w14:textId="68D42DF6" w:rsidR="005E2A7C" w:rsidRPr="005877C3" w:rsidRDefault="005E2A7C" w:rsidP="00437FE2">
      <w:pPr>
        <w:pStyle w:val="Heading3"/>
        <w:rPr>
          <w:rFonts w:cs="Arial"/>
        </w:rPr>
      </w:pPr>
      <w:bookmarkStart w:id="34" w:name="_Toc220882974"/>
      <w:r w:rsidRPr="005877C3">
        <w:rPr>
          <w:rFonts w:cs="Arial"/>
        </w:rPr>
        <w:t>2.</w:t>
      </w:r>
      <w:r w:rsidR="00EE76F1">
        <w:rPr>
          <w:rFonts w:cs="Arial"/>
        </w:rPr>
        <w:t>5</w:t>
      </w:r>
      <w:r w:rsidRPr="005877C3">
        <w:rPr>
          <w:rFonts w:cs="Arial"/>
        </w:rPr>
        <w:t>.3 External Factors Affecting Profitability</w:t>
      </w:r>
      <w:bookmarkEnd w:id="34"/>
    </w:p>
    <w:p w14:paraId="5C30F507" w14:textId="056696FF" w:rsidR="005E2A7C" w:rsidRPr="005877C3" w:rsidRDefault="005E2A7C" w:rsidP="005E2A7C">
      <w:pPr>
        <w:rPr>
          <w:rFonts w:cs="Arial"/>
        </w:rPr>
      </w:pPr>
      <w:r w:rsidRPr="005877C3">
        <w:rPr>
          <w:rFonts w:cs="Arial"/>
        </w:rPr>
        <w:t xml:space="preserve">The external conditions have a significant impact on profitability. The behaviour of borrowers and funding costs </w:t>
      </w:r>
      <w:r w:rsidR="00E96B7E" w:rsidRPr="005877C3">
        <w:rPr>
          <w:rFonts w:cs="Arial"/>
        </w:rPr>
        <w:t>is</w:t>
      </w:r>
      <w:r w:rsidRPr="005877C3">
        <w:rPr>
          <w:rFonts w:cs="Arial"/>
        </w:rPr>
        <w:t xml:space="preserve"> determined by macroeconomic shocks. High interest rates increase the returns on loans at the same time</w:t>
      </w:r>
      <w:r w:rsidR="00E96B7E" w:rsidRPr="005877C3">
        <w:rPr>
          <w:rFonts w:cs="Arial"/>
        </w:rPr>
        <w:t>,</w:t>
      </w:r>
      <w:r w:rsidRPr="005877C3">
        <w:rPr>
          <w:rFonts w:cs="Arial"/>
        </w:rPr>
        <w:t xml:space="preserve"> increasing the risk of default. Inflation impacts operating costs and </w:t>
      </w:r>
      <w:r w:rsidR="00E96B7E" w:rsidRPr="005877C3">
        <w:rPr>
          <w:rFonts w:cs="Arial"/>
        </w:rPr>
        <w:t xml:space="preserve">the </w:t>
      </w:r>
      <w:r w:rsidRPr="005877C3">
        <w:rPr>
          <w:rFonts w:cs="Arial"/>
        </w:rPr>
        <w:t>affordability of customers (</w:t>
      </w:r>
      <w:proofErr w:type="spellStart"/>
      <w:r w:rsidRPr="005877C3">
        <w:rPr>
          <w:rFonts w:cs="Arial"/>
        </w:rPr>
        <w:t>Popkova</w:t>
      </w:r>
      <w:proofErr w:type="spellEnd"/>
      <w:r w:rsidRPr="005877C3">
        <w:rPr>
          <w:rFonts w:cs="Arial"/>
        </w:rPr>
        <w:t xml:space="preserve"> and Sergi, 2021). Changes in regulations can change profitability through increasing compliance costs or changing capital requirements. In NBFIs, such external forces can increase the existing risks. Companies that have strong buffers, as well as management that is disciplined, are less likely to be shaken during the volatile times. The performance of Close Brothers shows that it is possible to overcome the pressure of the environment by careful planning.</w:t>
      </w:r>
    </w:p>
    <w:p w14:paraId="5D34EC40" w14:textId="77777777" w:rsidR="005E2A7C" w:rsidRPr="005877C3" w:rsidRDefault="005E2A7C" w:rsidP="005E2A7C">
      <w:pPr>
        <w:rPr>
          <w:rFonts w:cs="Arial"/>
        </w:rPr>
      </w:pPr>
    </w:p>
    <w:p w14:paraId="525843DE" w14:textId="69E6F052" w:rsidR="005E2A7C" w:rsidRPr="005877C3" w:rsidRDefault="005E2A7C" w:rsidP="00437FE2">
      <w:pPr>
        <w:pStyle w:val="Heading2"/>
        <w:rPr>
          <w:rFonts w:cs="Arial"/>
        </w:rPr>
      </w:pPr>
      <w:bookmarkStart w:id="35" w:name="_Toc220882975"/>
      <w:r w:rsidRPr="005877C3">
        <w:rPr>
          <w:rFonts w:cs="Arial"/>
        </w:rPr>
        <w:lastRenderedPageBreak/>
        <w:t>2.</w:t>
      </w:r>
      <w:r w:rsidR="00EE76F1">
        <w:rPr>
          <w:rFonts w:cs="Arial"/>
        </w:rPr>
        <w:t>6</w:t>
      </w:r>
      <w:r w:rsidRPr="005877C3">
        <w:rPr>
          <w:rFonts w:cs="Arial"/>
        </w:rPr>
        <w:t xml:space="preserve"> Empirical Evidence Linking Risk Management to Profitability</w:t>
      </w:r>
      <w:bookmarkEnd w:id="35"/>
    </w:p>
    <w:p w14:paraId="1F3075B7" w14:textId="673E325E" w:rsidR="005E2A7C" w:rsidRPr="005877C3" w:rsidRDefault="005E2A7C" w:rsidP="005E2A7C">
      <w:pPr>
        <w:rPr>
          <w:rFonts w:cs="Arial"/>
        </w:rPr>
      </w:pPr>
      <w:r w:rsidRPr="005877C3">
        <w:rPr>
          <w:rFonts w:cs="Arial"/>
        </w:rPr>
        <w:t>The findings of empirical studies are contradictory on the role of risk management in profitability. Strong controls can make earnings stable, but overvalu</w:t>
      </w:r>
      <w:r w:rsidR="00E96B7E" w:rsidRPr="005877C3">
        <w:rPr>
          <w:rFonts w:cs="Arial"/>
        </w:rPr>
        <w:t>ation</w:t>
      </w:r>
      <w:r w:rsidRPr="005877C3">
        <w:rPr>
          <w:rFonts w:cs="Arial"/>
        </w:rPr>
        <w:t xml:space="preserve"> can restrain returns. The non-banking financial institutions (NBFIs) are even more variable due to a unique funding and regulat</w:t>
      </w:r>
      <w:r w:rsidR="00E96B7E" w:rsidRPr="005877C3">
        <w:rPr>
          <w:rFonts w:cs="Arial"/>
        </w:rPr>
        <w:t>ory</w:t>
      </w:r>
      <w:r w:rsidRPr="005877C3">
        <w:rPr>
          <w:rFonts w:cs="Arial"/>
        </w:rPr>
        <w:t xml:space="preserve"> environment.</w:t>
      </w:r>
    </w:p>
    <w:p w14:paraId="2120ADB2" w14:textId="77777777" w:rsidR="005E2A7C" w:rsidRPr="005877C3" w:rsidRDefault="005E2A7C" w:rsidP="005E2A7C">
      <w:pPr>
        <w:rPr>
          <w:rFonts w:cs="Arial"/>
        </w:rPr>
      </w:pPr>
    </w:p>
    <w:p w14:paraId="7DB452B0" w14:textId="67CF4D0F" w:rsidR="005E2A7C" w:rsidRPr="005877C3" w:rsidRDefault="005E2A7C" w:rsidP="00437FE2">
      <w:pPr>
        <w:pStyle w:val="Heading3"/>
        <w:rPr>
          <w:rFonts w:cs="Arial"/>
        </w:rPr>
      </w:pPr>
      <w:bookmarkStart w:id="36" w:name="_Toc220882976"/>
      <w:r w:rsidRPr="005877C3">
        <w:rPr>
          <w:rFonts w:cs="Arial"/>
        </w:rPr>
        <w:t>2.</w:t>
      </w:r>
      <w:r w:rsidR="00EE76F1">
        <w:rPr>
          <w:rFonts w:cs="Arial"/>
        </w:rPr>
        <w:t>6</w:t>
      </w:r>
      <w:r w:rsidRPr="005877C3">
        <w:rPr>
          <w:rFonts w:cs="Arial"/>
        </w:rPr>
        <w:t>.1 Studies Showing Positive Links</w:t>
      </w:r>
      <w:bookmarkEnd w:id="36"/>
    </w:p>
    <w:p w14:paraId="502C0AEE" w14:textId="5504A422" w:rsidR="005E2A7C" w:rsidRPr="005877C3" w:rsidRDefault="005E2A7C" w:rsidP="005E2A7C">
      <w:pPr>
        <w:rPr>
          <w:rFonts w:cs="Arial"/>
        </w:rPr>
      </w:pPr>
      <w:r w:rsidRPr="005877C3">
        <w:rPr>
          <w:rFonts w:cs="Arial"/>
        </w:rPr>
        <w:t>According to a number of studies, risk management makes profitability effective. The institutions that have a well-ordered governance, clear policies and strict disciplined credit evaluation experience more stable returns. The studies have shown that the companies that impose strict credit checks have fewer defaults and reduced income volatility (Rahman, Reza and Alam, 2024). Lending capacity is also based on prudent liquidity planning in times of stress, thus protecting margins. Research conducted in the United Kingdom and Europe indicates that conservative companies are able to endure a recession better and take shorter durations to recover. They also develop investor confidence that subsequently leads to low costs of funds (</w:t>
      </w:r>
      <w:proofErr w:type="spellStart"/>
      <w:r w:rsidRPr="005877C3">
        <w:rPr>
          <w:rFonts w:cs="Arial"/>
        </w:rPr>
        <w:t>Tömöri</w:t>
      </w:r>
      <w:proofErr w:type="spellEnd"/>
      <w:r w:rsidRPr="005877C3">
        <w:rPr>
          <w:rFonts w:cs="Arial"/>
        </w:rPr>
        <w:t>, Lakatos and Mártha, 2021). These results would indicate that properly implemented risk management is not only defensive, but it can actually facilitate long-term profitability, as well as enhance competitive positioning.</w:t>
      </w:r>
    </w:p>
    <w:p w14:paraId="44AC2E51" w14:textId="77777777" w:rsidR="005E2A7C" w:rsidRPr="005877C3" w:rsidRDefault="005E2A7C" w:rsidP="005E2A7C">
      <w:pPr>
        <w:rPr>
          <w:rFonts w:cs="Arial"/>
        </w:rPr>
      </w:pPr>
    </w:p>
    <w:p w14:paraId="1C79BBCF" w14:textId="2FF47AE4" w:rsidR="005E2A7C" w:rsidRPr="005877C3" w:rsidRDefault="005E2A7C" w:rsidP="00437FE2">
      <w:pPr>
        <w:pStyle w:val="Heading3"/>
        <w:rPr>
          <w:rFonts w:cs="Arial"/>
        </w:rPr>
      </w:pPr>
      <w:bookmarkStart w:id="37" w:name="_Toc220882977"/>
      <w:r w:rsidRPr="005877C3">
        <w:rPr>
          <w:rFonts w:cs="Arial"/>
        </w:rPr>
        <w:t>2.</w:t>
      </w:r>
      <w:r w:rsidR="00EE76F1">
        <w:rPr>
          <w:rFonts w:cs="Arial"/>
        </w:rPr>
        <w:t>6</w:t>
      </w:r>
      <w:r w:rsidRPr="005877C3">
        <w:rPr>
          <w:rFonts w:cs="Arial"/>
        </w:rPr>
        <w:t>.2 Studies Showing Weak or Negative Links</w:t>
      </w:r>
      <w:bookmarkEnd w:id="37"/>
    </w:p>
    <w:p w14:paraId="0526BAA3" w14:textId="1CFEBC27" w:rsidR="005E2A7C" w:rsidRPr="005877C3" w:rsidRDefault="005E2A7C" w:rsidP="005E2A7C">
      <w:pPr>
        <w:rPr>
          <w:rFonts w:cs="Arial"/>
        </w:rPr>
      </w:pPr>
      <w:r w:rsidRPr="005877C3">
        <w:rPr>
          <w:rFonts w:cs="Arial"/>
        </w:rPr>
        <w:t xml:space="preserve">Other researchers argue that when risk management is strict, then profitability can be limited </w:t>
      </w:r>
      <w:r w:rsidR="00E96B7E" w:rsidRPr="005877C3">
        <w:rPr>
          <w:rFonts w:cs="Arial"/>
        </w:rPr>
        <w:t>by</w:t>
      </w:r>
      <w:r w:rsidRPr="005877C3">
        <w:rPr>
          <w:rFonts w:cs="Arial"/>
        </w:rPr>
        <w:t xml:space="preserve"> an extreme application of risk management. Excessive conservatism may reduce growth opportunities</w:t>
      </w:r>
      <w:r w:rsidR="00EE76F1">
        <w:rPr>
          <w:rFonts w:cs="Arial"/>
        </w:rPr>
        <w:t xml:space="preserve"> and</w:t>
      </w:r>
      <w:r w:rsidRPr="005877C3">
        <w:rPr>
          <w:rFonts w:cs="Arial"/>
        </w:rPr>
        <w:t xml:space="preserve"> limit entry to higher-yield lending markets. By avoiding risk too much, firms deny themselves a possible payoff, especially in times of favourable market conditions. There is also empirical evidence that the high cost of running an operation could be brought about by compliance with regulatory requirements</w:t>
      </w:r>
      <w:r w:rsidR="00E96B7E" w:rsidRPr="005877C3">
        <w:rPr>
          <w:rFonts w:cs="Arial"/>
        </w:rPr>
        <w:t>,</w:t>
      </w:r>
      <w:r w:rsidRPr="005877C3">
        <w:rPr>
          <w:rFonts w:cs="Arial"/>
        </w:rPr>
        <w:t xml:space="preserve"> thus reducing the net profit</w:t>
      </w:r>
      <w:r w:rsidR="00E96B7E" w:rsidRPr="005877C3">
        <w:rPr>
          <w:rFonts w:cs="Arial"/>
        </w:rPr>
        <w:t>,</w:t>
      </w:r>
      <w:r w:rsidRPr="005877C3">
        <w:rPr>
          <w:rFonts w:cs="Arial"/>
        </w:rPr>
        <w:t xml:space="preserve"> particularly to the smaller financial institutions (Xu, Sun and Wang, 2024). Further studies also point out that tremendous expenses in monitoring tools, reporting systems, and stress testing could drain resources. This is an additional burden to NBFIs that already face high funding costs. Certain commentaries indicate that risk frameworks are in danger of being reduced to </w:t>
      </w:r>
      <w:r w:rsidRPr="005877C3">
        <w:rPr>
          <w:rFonts w:cs="Arial"/>
        </w:rPr>
        <w:lastRenderedPageBreak/>
        <w:t>box-ticking practices that put more emphasis on regulatory comparison, more than on actual risk mitigation. Under these conditions, there is a loss in profitability and less value in risk management. The latter observations highlight the need to balance risk frameworks; in cases of over-control being practi</w:t>
      </w:r>
      <w:r w:rsidR="00E96B7E" w:rsidRPr="005877C3">
        <w:rPr>
          <w:rFonts w:cs="Arial"/>
        </w:rPr>
        <w:t>s</w:t>
      </w:r>
      <w:r w:rsidRPr="005877C3">
        <w:rPr>
          <w:rFonts w:cs="Arial"/>
        </w:rPr>
        <w:t>ed, stability is maintained at the expense of financial performance by reducing flexibility.</w:t>
      </w:r>
    </w:p>
    <w:p w14:paraId="39D2A8CD" w14:textId="77777777" w:rsidR="005E2A7C" w:rsidRPr="005877C3" w:rsidRDefault="005E2A7C" w:rsidP="005E2A7C">
      <w:pPr>
        <w:rPr>
          <w:rFonts w:cs="Arial"/>
        </w:rPr>
      </w:pPr>
    </w:p>
    <w:p w14:paraId="61A2930B" w14:textId="4F1D0F64" w:rsidR="005E2A7C" w:rsidRPr="005877C3" w:rsidRDefault="005E2A7C" w:rsidP="00437FE2">
      <w:pPr>
        <w:pStyle w:val="Heading3"/>
        <w:rPr>
          <w:rFonts w:cs="Arial"/>
        </w:rPr>
      </w:pPr>
      <w:bookmarkStart w:id="38" w:name="_Toc220882978"/>
      <w:r w:rsidRPr="005877C3">
        <w:rPr>
          <w:rFonts w:cs="Arial"/>
        </w:rPr>
        <w:t>2.</w:t>
      </w:r>
      <w:r w:rsidR="00EE76F1">
        <w:rPr>
          <w:rFonts w:cs="Arial"/>
        </w:rPr>
        <w:t>6</w:t>
      </w:r>
      <w:r w:rsidRPr="005877C3">
        <w:rPr>
          <w:rFonts w:cs="Arial"/>
        </w:rPr>
        <w:t>.3 Reason Behind Findings Conflict</w:t>
      </w:r>
      <w:bookmarkEnd w:id="38"/>
    </w:p>
    <w:p w14:paraId="34EFED48" w14:textId="0D6D7A04" w:rsidR="005E2A7C" w:rsidRPr="005877C3" w:rsidRDefault="005E2A7C" w:rsidP="005E2A7C">
      <w:pPr>
        <w:rPr>
          <w:rFonts w:cs="Arial"/>
        </w:rPr>
      </w:pPr>
      <w:r w:rsidRPr="005877C3">
        <w:rPr>
          <w:rFonts w:cs="Arial"/>
        </w:rPr>
        <w:t xml:space="preserve">The evidence contradicts </w:t>
      </w:r>
      <w:r w:rsidR="00EE76F1">
        <w:rPr>
          <w:rFonts w:cs="Arial"/>
        </w:rPr>
        <w:t>itself</w:t>
      </w:r>
      <w:r w:rsidRPr="005877C3">
        <w:rPr>
          <w:rFonts w:cs="Arial"/>
        </w:rPr>
        <w:t xml:space="preserve"> due to a number of reasons. To begin with, researchers use different methodolog</w:t>
      </w:r>
      <w:r w:rsidR="00E96B7E" w:rsidRPr="005877C3">
        <w:rPr>
          <w:rFonts w:cs="Arial"/>
        </w:rPr>
        <w:t>ies</w:t>
      </w:r>
      <w:r w:rsidRPr="005877C3">
        <w:rPr>
          <w:rFonts w:cs="Arial"/>
        </w:rPr>
        <w:t>, periods and performance indicators. Others are concerned with long-term stability</w:t>
      </w:r>
      <w:r w:rsidR="00E96B7E" w:rsidRPr="005877C3">
        <w:rPr>
          <w:rFonts w:cs="Arial"/>
        </w:rPr>
        <w:t>,</w:t>
      </w:r>
      <w:r w:rsidRPr="005877C3">
        <w:rPr>
          <w:rFonts w:cs="Arial"/>
        </w:rPr>
        <w:t xml:space="preserve"> and others are concerned with short-run profitability. Second, the situation in the market is quite different. During crises, conservative firms tend to perform well in comparison to aggressive competitors in stable markets, though. Third, jurisdictions have different regulatory environments (Zhu et al., 2022). Organi</w:t>
      </w:r>
      <w:r w:rsidR="00E96B7E" w:rsidRPr="005877C3">
        <w:rPr>
          <w:rFonts w:cs="Arial"/>
        </w:rPr>
        <w:t>s</w:t>
      </w:r>
      <w:r w:rsidRPr="005877C3">
        <w:rPr>
          <w:rFonts w:cs="Arial"/>
        </w:rPr>
        <w:t xml:space="preserve">ations with strict regimes have an increased cost of compliance when compared to more relaxed regimes. Retail banks, investment firms, and NBFIs face different risks and rewards as well; this is determined by business models. A successful strategy in one industry might not work in an ineffective one. The culture of governance also leads to variance; those firms with high governance can get better value out of risk controls compared to </w:t>
      </w:r>
      <w:r w:rsidR="00EE76F1">
        <w:rPr>
          <w:rFonts w:cs="Arial"/>
        </w:rPr>
        <w:t xml:space="preserve">those with </w:t>
      </w:r>
      <w:r w:rsidRPr="005877C3">
        <w:rPr>
          <w:rFonts w:cs="Arial"/>
        </w:rPr>
        <w:t>poor accountability. All in all, the mixed evidence proves the fact that risk management influences profitability in a situation-specific way, which supports the necessity to study Close Brothers in the context of the situation.</w:t>
      </w:r>
    </w:p>
    <w:p w14:paraId="736EA64A" w14:textId="77777777" w:rsidR="005E2A7C" w:rsidRPr="005877C3" w:rsidRDefault="005E2A7C" w:rsidP="005E2A7C">
      <w:pPr>
        <w:rPr>
          <w:rFonts w:cs="Arial"/>
        </w:rPr>
      </w:pPr>
    </w:p>
    <w:p w14:paraId="76EE5B7E" w14:textId="1AB8AE04" w:rsidR="005E2A7C" w:rsidRPr="005877C3" w:rsidRDefault="005E2A7C" w:rsidP="00437FE2">
      <w:pPr>
        <w:pStyle w:val="Heading2"/>
        <w:rPr>
          <w:rFonts w:cs="Arial"/>
        </w:rPr>
      </w:pPr>
      <w:bookmarkStart w:id="39" w:name="_Toc220882979"/>
      <w:r w:rsidRPr="005877C3">
        <w:rPr>
          <w:rFonts w:cs="Arial"/>
        </w:rPr>
        <w:t>2.</w:t>
      </w:r>
      <w:r w:rsidR="00EE76F1">
        <w:rPr>
          <w:rFonts w:cs="Arial"/>
        </w:rPr>
        <w:t>7</w:t>
      </w:r>
      <w:r w:rsidRPr="005877C3">
        <w:rPr>
          <w:rFonts w:cs="Arial"/>
        </w:rPr>
        <w:t xml:space="preserve"> Synthesis and Conceptual Framework</w:t>
      </w:r>
      <w:bookmarkEnd w:id="39"/>
    </w:p>
    <w:p w14:paraId="3138DF4B" w14:textId="6840A4CF" w:rsidR="005E2A7C" w:rsidRPr="005877C3" w:rsidRDefault="00EE76F1" w:rsidP="005E2A7C">
      <w:pPr>
        <w:rPr>
          <w:rFonts w:cs="Arial"/>
        </w:rPr>
      </w:pPr>
      <w:r w:rsidRPr="00EE76F1">
        <w:rPr>
          <w:rFonts w:cs="Arial"/>
        </w:rPr>
        <w:t>The literature suggests that an understanding of financial risks, measurement and management is the key dimension that impact on profitability of non-bank financial institutions. Recent theories</w:t>
      </w:r>
      <w:r>
        <w:rPr>
          <w:rFonts w:cs="Arial"/>
        </w:rPr>
        <w:t>,</w:t>
      </w:r>
      <w:r w:rsidRPr="00EE76F1">
        <w:rPr>
          <w:rFonts w:cs="Arial"/>
        </w:rPr>
        <w:t xml:space="preserve"> such as the risk-return trade-off and the Modern Portfolio Theory</w:t>
      </w:r>
      <w:r>
        <w:rPr>
          <w:rFonts w:cs="Arial"/>
        </w:rPr>
        <w:t>,</w:t>
      </w:r>
      <w:r w:rsidRPr="00EE76F1">
        <w:rPr>
          <w:rFonts w:cs="Arial"/>
        </w:rPr>
        <w:t xml:space="preserve"> remind us that we have to be careful and take the chance (Ahmad, Bashir and Waqas, 2022). Empirical studies also show disciplined governance is a source of stable earnings</w:t>
      </w:r>
      <w:r>
        <w:rPr>
          <w:rFonts w:cs="Arial"/>
        </w:rPr>
        <w:t>,</w:t>
      </w:r>
      <w:r w:rsidRPr="00EE76F1">
        <w:rPr>
          <w:rFonts w:cs="Arial"/>
        </w:rPr>
        <w:t xml:space="preserve"> and too much conservatism could impede growth. As a result</w:t>
      </w:r>
      <w:r>
        <w:rPr>
          <w:rFonts w:cs="Arial"/>
        </w:rPr>
        <w:t>,</w:t>
      </w:r>
      <w:r w:rsidRPr="00EE76F1">
        <w:rPr>
          <w:rFonts w:cs="Arial"/>
        </w:rPr>
        <w:t xml:space="preserve"> risk management as a dynamic process</w:t>
      </w:r>
      <w:r>
        <w:rPr>
          <w:rFonts w:cs="Arial"/>
        </w:rPr>
        <w:t>,</w:t>
      </w:r>
      <w:r w:rsidRPr="00EE76F1">
        <w:rPr>
          <w:rFonts w:cs="Arial"/>
        </w:rPr>
        <w:t xml:space="preserve"> as opposed to a set of guidelines, has to be investigated. The varied threats of the non-bank financial institutions have an interplay </w:t>
      </w:r>
      <w:r w:rsidRPr="00EE76F1">
        <w:rPr>
          <w:rFonts w:cs="Arial"/>
        </w:rPr>
        <w:lastRenderedPageBreak/>
        <w:t>with other an example would be the risk of credit risk</w:t>
      </w:r>
      <w:r>
        <w:rPr>
          <w:rFonts w:cs="Arial"/>
        </w:rPr>
        <w:t>,</w:t>
      </w:r>
      <w:r w:rsidRPr="00EE76F1">
        <w:rPr>
          <w:rFonts w:cs="Arial"/>
        </w:rPr>
        <w:t xml:space="preserve"> which affects the liquidity as an increase in the number of defaults brings about a fall in cash flow. </w:t>
      </w:r>
      <w:r w:rsidR="005E2A7C" w:rsidRPr="005877C3">
        <w:rPr>
          <w:rFonts w:cs="Arial"/>
        </w:rPr>
        <w:t>Liquidity pressures</w:t>
      </w:r>
      <w:r w:rsidR="00E96B7E" w:rsidRPr="005877C3">
        <w:rPr>
          <w:rFonts w:cs="Arial"/>
        </w:rPr>
        <w:t>,</w:t>
      </w:r>
      <w:r w:rsidR="005E2A7C" w:rsidRPr="005877C3">
        <w:rPr>
          <w:rFonts w:cs="Arial"/>
        </w:rPr>
        <w:t xml:space="preserve"> on the other hand</w:t>
      </w:r>
      <w:r w:rsidR="00E96B7E" w:rsidRPr="005877C3">
        <w:rPr>
          <w:rFonts w:cs="Arial"/>
        </w:rPr>
        <w:t>,</w:t>
      </w:r>
      <w:r w:rsidR="005E2A7C" w:rsidRPr="005877C3">
        <w:rPr>
          <w:rFonts w:cs="Arial"/>
        </w:rPr>
        <w:t xml:space="preserve"> increase the market risk factor as firms might be forced to refinance at unfavo</w:t>
      </w:r>
      <w:r w:rsidR="00E96B7E" w:rsidRPr="005877C3">
        <w:rPr>
          <w:rFonts w:cs="Arial"/>
        </w:rPr>
        <w:t>u</w:t>
      </w:r>
      <w:r w:rsidR="005E2A7C" w:rsidRPr="005877C3">
        <w:rPr>
          <w:rFonts w:cs="Arial"/>
        </w:rPr>
        <w:t>rable prices. Other risks are also worsened with operational failures due to a weakening in internal controls (Abdullah, Hashmi and Iqbal, 2022). The way in which companies react to these forces is determined by governance and corporate culture. The interaction implies that a single risk does not determine profitability, but it is the way that risks interact and how they are well</w:t>
      </w:r>
      <w:r w:rsidR="00E96B7E" w:rsidRPr="005877C3">
        <w:rPr>
          <w:rFonts w:cs="Arial"/>
        </w:rPr>
        <w:t>-</w:t>
      </w:r>
      <w:r w:rsidR="005E2A7C" w:rsidRPr="005877C3">
        <w:rPr>
          <w:rFonts w:cs="Arial"/>
        </w:rPr>
        <w:t>managed.</w:t>
      </w:r>
    </w:p>
    <w:p w14:paraId="6DDB1716" w14:textId="77777777" w:rsidR="005E2A7C" w:rsidRPr="005877C3" w:rsidRDefault="005E2A7C" w:rsidP="005E2A7C">
      <w:pPr>
        <w:rPr>
          <w:rFonts w:cs="Arial"/>
        </w:rPr>
      </w:pPr>
      <w:r w:rsidRPr="005877C3">
        <w:rPr>
          <w:rFonts w:cs="Arial"/>
        </w:rPr>
        <w:t xml:space="preserve">Based on these insights, the conceptual model for this dissertation follows a simple flow: </w:t>
      </w:r>
      <w:r w:rsidRPr="005877C3">
        <w:rPr>
          <w:rFonts w:cs="Arial"/>
          <w:b/>
          <w:bCs/>
        </w:rPr>
        <w:t>risk types → risk controls → profitability outcomes</w:t>
      </w:r>
      <w:r w:rsidRPr="005877C3">
        <w:rPr>
          <w:rFonts w:cs="Arial"/>
        </w:rPr>
        <w:t>. The types of risks include credit, liquidity, market, operational, and governance risks. Some of the risk controls include underwriting, monitoring, stress testing, capital planning, and liquidity buffers. The output in terms of profitability includes returns, stability in earnings and shock resistance (</w:t>
      </w:r>
      <w:proofErr w:type="spellStart"/>
      <w:r w:rsidRPr="005877C3">
        <w:rPr>
          <w:rFonts w:cs="Arial"/>
        </w:rPr>
        <w:t>Popkova</w:t>
      </w:r>
      <w:proofErr w:type="spellEnd"/>
      <w:r w:rsidRPr="005877C3">
        <w:rPr>
          <w:rFonts w:cs="Arial"/>
        </w:rPr>
        <w:t xml:space="preserve"> and Sergi, 2021). This theory guides the discussion of Close Brothers. It helps to ascertain whether the culture of conservativeness and strong controls embraced by the firm is the cause of long-run profitability. It also assists in determining the risks that have the highest impact on the financial performance. The model is based on the synthesis of theory and empirical evidence that provides a clear framework within which the role of risk management to enable sustainable returns is evaluated.</w:t>
      </w:r>
    </w:p>
    <w:p w14:paraId="091194D7" w14:textId="77777777" w:rsidR="005E2A7C" w:rsidRPr="005877C3" w:rsidRDefault="005E2A7C" w:rsidP="005E2A7C">
      <w:pPr>
        <w:rPr>
          <w:rFonts w:cs="Arial"/>
        </w:rPr>
      </w:pPr>
    </w:p>
    <w:p w14:paraId="0287BA86" w14:textId="4D8A542A" w:rsidR="005E2A7C" w:rsidRPr="005877C3" w:rsidRDefault="005E2A7C" w:rsidP="00437FE2">
      <w:pPr>
        <w:pStyle w:val="Heading2"/>
        <w:rPr>
          <w:rFonts w:cs="Arial"/>
        </w:rPr>
      </w:pPr>
      <w:bookmarkStart w:id="40" w:name="_Toc220882980"/>
      <w:r w:rsidRPr="005877C3">
        <w:rPr>
          <w:rFonts w:cs="Arial"/>
        </w:rPr>
        <w:t>2.</w:t>
      </w:r>
      <w:r w:rsidR="00EE76F1">
        <w:rPr>
          <w:rFonts w:cs="Arial"/>
        </w:rPr>
        <w:t>8</w:t>
      </w:r>
      <w:r w:rsidRPr="005877C3">
        <w:rPr>
          <w:rFonts w:cs="Arial"/>
        </w:rPr>
        <w:t xml:space="preserve"> Research Gap and Study Justification</w:t>
      </w:r>
      <w:bookmarkEnd w:id="40"/>
    </w:p>
    <w:p w14:paraId="2C0B65EC" w14:textId="6E0A5810" w:rsidR="005E2A7C" w:rsidRPr="005877C3" w:rsidRDefault="005E2A7C" w:rsidP="005E2A7C">
      <w:pPr>
        <w:rPr>
          <w:rFonts w:cs="Arial"/>
        </w:rPr>
      </w:pPr>
      <w:r w:rsidRPr="005877C3">
        <w:rPr>
          <w:rFonts w:cs="Arial"/>
        </w:rPr>
        <w:t>The available literature offers little information regarding the degree to which risk management is affected by profitability in the United Kingdom non-banking financial institutions. The bulk of empirical research focuses on commercial banks or on the international marketplace, thus creating a glaring gap in our knowledge of the functioning of specialised lenders in terms of UK regulatory policies (Murugan, T</w:t>
      </w:r>
      <w:r w:rsidR="00E96B7E" w:rsidRPr="005877C3">
        <w:rPr>
          <w:rFonts w:cs="Arial"/>
        </w:rPr>
        <w:t>.</w:t>
      </w:r>
      <w:r w:rsidRPr="005877C3">
        <w:rPr>
          <w:rFonts w:cs="Arial"/>
        </w:rPr>
        <w:t xml:space="preserve"> and Marappan, 2023). Additionally, the lack of studies </w:t>
      </w:r>
      <w:r w:rsidR="00E96B7E" w:rsidRPr="005877C3">
        <w:rPr>
          <w:rFonts w:cs="Arial"/>
        </w:rPr>
        <w:t xml:space="preserve">on </w:t>
      </w:r>
      <w:r w:rsidRPr="005877C3">
        <w:rPr>
          <w:rFonts w:cs="Arial"/>
        </w:rPr>
        <w:t>technology is still present</w:t>
      </w:r>
      <w:r w:rsidR="00E96B7E" w:rsidRPr="005877C3">
        <w:rPr>
          <w:rFonts w:cs="Arial"/>
        </w:rPr>
        <w:t>,</w:t>
      </w:r>
      <w:r w:rsidRPr="005877C3">
        <w:rPr>
          <w:rFonts w:cs="Arial"/>
        </w:rPr>
        <w:t xml:space="preserve"> where the concept of qualitative disclosures of annual reports is combined with quantitative analysis of ratios. Many research works are based on one type of data, which limits the depth of the conclusions. This creates the need to have a combination of a narrative and a numerical approach to delivering information on the financial performance. The other gap relates to timing; to a large extent, the current evidence </w:t>
      </w:r>
      <w:r w:rsidRPr="005877C3">
        <w:rPr>
          <w:rFonts w:cs="Arial"/>
        </w:rPr>
        <w:lastRenderedPageBreak/>
        <w:t>lacks an explanation of what happened to the market after the volatility in the post-COVID market or the regulatory adjustment after Brexit. Such incidents have changed the state of funding, risk tolerance and supervisory demands (Landi et al., 2022). It is essential to understand how the firms have reacted to gauge long-term resilience. Close Brothers is a relevant situation since the company has a conservative culture and open disclosure of risks. It has a stable, risk-sensitive, and specialised business model. Moreover, it also provides comprehensive annual reports, which makes it a perfect object of the study that requires both qualitative and quantitative data. The case analysis will address the specified gaps and offer some revelations to the broader industry.</w:t>
      </w:r>
    </w:p>
    <w:p w14:paraId="4C51CDE7" w14:textId="77777777" w:rsidR="005E2A7C" w:rsidRPr="005877C3" w:rsidRDefault="005E2A7C" w:rsidP="005E2A7C">
      <w:pPr>
        <w:rPr>
          <w:rFonts w:cs="Arial"/>
        </w:rPr>
      </w:pPr>
    </w:p>
    <w:p w14:paraId="7954E61D" w14:textId="785C1C25" w:rsidR="005E2A7C" w:rsidRPr="005877C3" w:rsidRDefault="005E2A7C" w:rsidP="00437FE2">
      <w:pPr>
        <w:pStyle w:val="Heading2"/>
        <w:rPr>
          <w:rFonts w:cs="Arial"/>
        </w:rPr>
      </w:pPr>
      <w:bookmarkStart w:id="41" w:name="_Toc220882981"/>
      <w:r w:rsidRPr="005877C3">
        <w:rPr>
          <w:rFonts w:cs="Arial"/>
        </w:rPr>
        <w:t>2.</w:t>
      </w:r>
      <w:r w:rsidR="00EE76F1">
        <w:rPr>
          <w:rFonts w:cs="Arial"/>
        </w:rPr>
        <w:t>9</w:t>
      </w:r>
      <w:r w:rsidRPr="005877C3">
        <w:rPr>
          <w:rFonts w:cs="Arial"/>
        </w:rPr>
        <w:t xml:space="preserve"> Conclusion of the Literature Review</w:t>
      </w:r>
      <w:bookmarkEnd w:id="41"/>
      <w:r w:rsidRPr="005877C3">
        <w:rPr>
          <w:rFonts w:cs="Arial"/>
        </w:rPr>
        <w:t> </w:t>
      </w:r>
    </w:p>
    <w:p w14:paraId="490CE683" w14:textId="479A8144" w:rsidR="005E2A7C" w:rsidRPr="005877C3" w:rsidRDefault="005E2A7C" w:rsidP="005E2A7C">
      <w:pPr>
        <w:rPr>
          <w:rFonts w:cs="Arial"/>
        </w:rPr>
      </w:pPr>
      <w:r w:rsidRPr="005877C3">
        <w:rPr>
          <w:rFonts w:cs="Arial"/>
        </w:rPr>
        <w:t xml:space="preserve">The literature review has indicated that </w:t>
      </w:r>
      <w:r w:rsidR="00E96B7E" w:rsidRPr="005877C3">
        <w:rPr>
          <w:rFonts w:cs="Arial"/>
        </w:rPr>
        <w:t xml:space="preserve">the </w:t>
      </w:r>
      <w:r w:rsidRPr="005877C3">
        <w:rPr>
          <w:rFonts w:cs="Arial"/>
        </w:rPr>
        <w:t>profitability of the non-bank financial institutions is dependent on the successful identification, management, and alignment of various risks into strategic decision-making. The analysed theories indicate the importance of risk-return balance</w:t>
      </w:r>
      <w:r w:rsidR="00E96B7E" w:rsidRPr="005877C3">
        <w:rPr>
          <w:rFonts w:cs="Arial"/>
        </w:rPr>
        <w:t>,</w:t>
      </w:r>
      <w:r w:rsidRPr="005877C3">
        <w:rPr>
          <w:rFonts w:cs="Arial"/>
        </w:rPr>
        <w:t xml:space="preserve"> and the empirical studies identify the advantages and drawbacks of risk cultures that are conservative (Morara and Sibindi, 2021). The evidence also shows that there are complex interactions and effects of risks </w:t>
      </w:r>
      <w:r w:rsidR="00E96B7E" w:rsidRPr="005877C3">
        <w:rPr>
          <w:rFonts w:cs="Arial"/>
        </w:rPr>
        <w:t>o</w:t>
      </w:r>
      <w:r w:rsidRPr="005877C3">
        <w:rPr>
          <w:rFonts w:cs="Arial"/>
        </w:rPr>
        <w:t xml:space="preserve">n performance. The research gaps in the area of the UK, especially in the post-COVID era and in the post-Brexit era, condition the choice of Close Brothers as the area of particular study. In general, the review provides a solid base </w:t>
      </w:r>
      <w:r w:rsidR="00E96B7E" w:rsidRPr="005877C3">
        <w:rPr>
          <w:rFonts w:cs="Arial"/>
        </w:rPr>
        <w:t>for</w:t>
      </w:r>
      <w:r w:rsidRPr="005877C3">
        <w:rPr>
          <w:rFonts w:cs="Arial"/>
        </w:rPr>
        <w:t xml:space="preserve"> the analysis of the ways risk management can contribute to the profitability that is sustainable.</w:t>
      </w:r>
    </w:p>
    <w:p w14:paraId="0EF412B9" w14:textId="77777777" w:rsidR="005E2A7C" w:rsidRPr="005877C3" w:rsidRDefault="005E2A7C" w:rsidP="005E2A7C">
      <w:pPr>
        <w:rPr>
          <w:rFonts w:cs="Arial"/>
        </w:rPr>
      </w:pPr>
    </w:p>
    <w:p w14:paraId="0279B215" w14:textId="77777777" w:rsidR="00C216EB" w:rsidRPr="005877C3" w:rsidRDefault="00C216EB">
      <w:pPr>
        <w:spacing w:after="160" w:line="259" w:lineRule="auto"/>
        <w:jc w:val="left"/>
        <w:rPr>
          <w:rFonts w:cs="Arial"/>
        </w:rPr>
      </w:pPr>
      <w:r w:rsidRPr="005877C3">
        <w:rPr>
          <w:rFonts w:cs="Arial"/>
        </w:rPr>
        <w:br w:type="page"/>
      </w:r>
    </w:p>
    <w:p w14:paraId="4F258C5A" w14:textId="1CDBDB08" w:rsidR="00C216EB" w:rsidRPr="005877C3" w:rsidRDefault="00C216EB" w:rsidP="00C216EB">
      <w:pPr>
        <w:pStyle w:val="Heading1"/>
        <w:rPr>
          <w:rFonts w:cs="Arial"/>
          <w:sz w:val="48"/>
          <w:szCs w:val="48"/>
        </w:rPr>
      </w:pPr>
      <w:bookmarkStart w:id="42" w:name="_Toc220882982"/>
      <w:r w:rsidRPr="005877C3">
        <w:rPr>
          <w:rFonts w:cs="Arial"/>
        </w:rPr>
        <w:lastRenderedPageBreak/>
        <w:t>Chapter 3: Methodology</w:t>
      </w:r>
      <w:bookmarkEnd w:id="42"/>
    </w:p>
    <w:p w14:paraId="6E862C50" w14:textId="77777777" w:rsidR="00C216EB" w:rsidRPr="005877C3" w:rsidRDefault="00C216EB" w:rsidP="00C216EB">
      <w:pPr>
        <w:pStyle w:val="Heading2"/>
        <w:rPr>
          <w:rFonts w:cs="Arial"/>
        </w:rPr>
      </w:pPr>
      <w:bookmarkStart w:id="43" w:name="_Toc220882983"/>
      <w:r w:rsidRPr="005877C3">
        <w:rPr>
          <w:rFonts w:cs="Arial"/>
        </w:rPr>
        <w:t>3.1 Introduction to the Methodology</w:t>
      </w:r>
      <w:bookmarkEnd w:id="43"/>
    </w:p>
    <w:p w14:paraId="2C5EEE2D" w14:textId="756C14CB" w:rsidR="00C216EB" w:rsidRPr="005877C3" w:rsidRDefault="00C216EB" w:rsidP="00C216EB">
      <w:pPr>
        <w:rPr>
          <w:rFonts w:cs="Arial"/>
        </w:rPr>
      </w:pPr>
      <w:r w:rsidRPr="005877C3">
        <w:rPr>
          <w:rFonts w:cs="Arial"/>
        </w:rPr>
        <w:t>This chapter discusses the methodological decisions used to direct the study and provide a rigorous and valid analysis of the role played by financial risk management on profitability at Close Brothers. It is important that a systematic approach is implemented since there are a number of interacting factors that influence risk and performance (Denscombe, 2025). The Research Onion of Saunders offers the guidelines for choosing the most appropriate philosophy, approach, and research design. The research is based on secondary sources, which is a proper choice to examine the controlled financial institutions and provides credible information that is publicly checked. The chapter describes the philosophy of the research, research approach, research strategy, methodological choice, timeline, data collection methods, analytical methods, ethical concerns, and the limitations of the methodology.</w:t>
      </w:r>
    </w:p>
    <w:p w14:paraId="266FC78B" w14:textId="113516F6" w:rsidR="00C216EB" w:rsidRPr="005877C3" w:rsidRDefault="00C216EB" w:rsidP="00C216EB">
      <w:pPr>
        <w:keepNext/>
        <w:jc w:val="center"/>
        <w:rPr>
          <w:rFonts w:cs="Arial"/>
        </w:rPr>
      </w:pPr>
      <w:r w:rsidRPr="005877C3">
        <w:rPr>
          <w:rFonts w:cs="Arial"/>
        </w:rPr>
        <w:fldChar w:fldCharType="begin"/>
      </w:r>
      <w:r w:rsidR="004A070F">
        <w:rPr>
          <w:rFonts w:cs="Arial"/>
        </w:rPr>
        <w:instrText xml:space="preserve"> INCLUDEPICTURE "C:\\Users\\ijtehad\\Library\\Group Containers\\UBF8T346G9.ms\\WebArchiveCopyPasteTempFiles\\com.microsoft.Word\\Res-onion-page0001-e1598524272693.jpg" \* MERGEFORMAT </w:instrText>
      </w:r>
      <w:r w:rsidRPr="005877C3">
        <w:rPr>
          <w:rFonts w:cs="Arial"/>
        </w:rPr>
        <w:fldChar w:fldCharType="separate"/>
      </w:r>
      <w:r w:rsidRPr="005877C3">
        <w:rPr>
          <w:rFonts w:cs="Arial"/>
          <w:noProof/>
        </w:rPr>
        <w:drawing>
          <wp:inline distT="0" distB="0" distL="0" distR="0" wp14:anchorId="404AC0E1" wp14:editId="5A8561A7">
            <wp:extent cx="3620530" cy="2558454"/>
            <wp:effectExtent l="0" t="0" r="0" b="0"/>
            <wp:docPr id="1701933475" name="Picture 6" descr="Blog 132-Research Onion: A Systematic Approach to Designing Research  Methodology | A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log 132-Research Onion: A Systematic Approach to Designing Research  Methodology | AES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6800" cy="2577018"/>
                    </a:xfrm>
                    <a:prstGeom prst="rect">
                      <a:avLst/>
                    </a:prstGeom>
                    <a:noFill/>
                    <a:ln>
                      <a:noFill/>
                    </a:ln>
                  </pic:spPr>
                </pic:pic>
              </a:graphicData>
            </a:graphic>
          </wp:inline>
        </w:drawing>
      </w:r>
      <w:r w:rsidRPr="005877C3">
        <w:rPr>
          <w:rFonts w:cs="Arial"/>
        </w:rPr>
        <w:fldChar w:fldCharType="end"/>
      </w:r>
    </w:p>
    <w:p w14:paraId="233FFD71" w14:textId="2FDEB1C2" w:rsidR="00C216EB" w:rsidRPr="005877C3" w:rsidRDefault="00C216EB" w:rsidP="00C216EB">
      <w:pPr>
        <w:pStyle w:val="Caption"/>
        <w:rPr>
          <w:rFonts w:cs="Arial"/>
          <w:lang w:val="en-US"/>
        </w:rPr>
      </w:pPr>
      <w:r w:rsidRPr="005877C3">
        <w:rPr>
          <w:rFonts w:cs="Arial"/>
        </w:rPr>
        <w:t xml:space="preserve">Figure </w:t>
      </w:r>
      <w:r w:rsidRPr="005877C3">
        <w:rPr>
          <w:rFonts w:cs="Arial"/>
        </w:rPr>
        <w:fldChar w:fldCharType="begin"/>
      </w:r>
      <w:r w:rsidRPr="005877C3">
        <w:rPr>
          <w:rFonts w:cs="Arial"/>
        </w:rPr>
        <w:instrText xml:space="preserve"> SEQ Figure \* ARABIC </w:instrText>
      </w:r>
      <w:r w:rsidRPr="005877C3">
        <w:rPr>
          <w:rFonts w:cs="Arial"/>
        </w:rPr>
        <w:fldChar w:fldCharType="separate"/>
      </w:r>
      <w:r w:rsidRPr="005877C3">
        <w:rPr>
          <w:rFonts w:cs="Arial"/>
          <w:noProof/>
        </w:rPr>
        <w:t>2</w:t>
      </w:r>
      <w:r w:rsidRPr="005877C3">
        <w:rPr>
          <w:rFonts w:cs="Arial"/>
        </w:rPr>
        <w:fldChar w:fldCharType="end"/>
      </w:r>
      <w:r w:rsidRPr="005877C3">
        <w:rPr>
          <w:rFonts w:cs="Arial"/>
          <w:lang w:val="en-US"/>
        </w:rPr>
        <w:t>: Research Onion model</w:t>
      </w:r>
    </w:p>
    <w:p w14:paraId="6355F0C0" w14:textId="3C6B247D" w:rsidR="00C216EB" w:rsidRPr="005877C3" w:rsidRDefault="00C216EB" w:rsidP="00C216EB">
      <w:pPr>
        <w:pStyle w:val="Caption"/>
        <w:rPr>
          <w:rFonts w:cs="Arial"/>
        </w:rPr>
      </w:pPr>
      <w:r w:rsidRPr="005877C3">
        <w:rPr>
          <w:rFonts w:cs="Arial"/>
          <w:lang w:val="en-US"/>
        </w:rPr>
        <w:t xml:space="preserve">Source: </w:t>
      </w:r>
      <w:r w:rsidRPr="005877C3">
        <w:rPr>
          <w:rFonts w:cs="Arial"/>
        </w:rPr>
        <w:t>(Denscombe, 2025)</w:t>
      </w:r>
    </w:p>
    <w:p w14:paraId="50E40A97" w14:textId="77777777" w:rsidR="00C216EB" w:rsidRPr="005877C3" w:rsidRDefault="00C216EB" w:rsidP="00C216EB">
      <w:pPr>
        <w:pStyle w:val="Heading2"/>
        <w:rPr>
          <w:rFonts w:cs="Arial"/>
        </w:rPr>
      </w:pPr>
      <w:bookmarkStart w:id="44" w:name="_Toc220882984"/>
      <w:r w:rsidRPr="005877C3">
        <w:rPr>
          <w:rFonts w:cs="Arial"/>
        </w:rPr>
        <w:t>3.2 Research Philosophy</w:t>
      </w:r>
      <w:bookmarkEnd w:id="44"/>
    </w:p>
    <w:p w14:paraId="57771F51" w14:textId="70D307BB" w:rsidR="00C216EB" w:rsidRPr="005877C3" w:rsidRDefault="00C216EB" w:rsidP="00C216EB">
      <w:pPr>
        <w:rPr>
          <w:rFonts w:cs="Arial"/>
        </w:rPr>
      </w:pPr>
      <w:r w:rsidRPr="005877C3">
        <w:rPr>
          <w:rFonts w:cs="Arial"/>
        </w:rPr>
        <w:t xml:space="preserve">The outer circle of the Research Onion of Saunders deals with the philosophy of research, which defines the way in which the knowledge is interpreted and discussed. The study is positivistic because it is a philosophy that asserts there is truth outside human perceptions, and it can be quantified using observable facts. Positivism is based on numerical information, objective reality and replicable procedures (Phillips, </w:t>
      </w:r>
      <w:proofErr w:type="spellStart"/>
      <w:r w:rsidRPr="005877C3">
        <w:rPr>
          <w:rFonts w:cs="Arial"/>
        </w:rPr>
        <w:lastRenderedPageBreak/>
        <w:t>Tichavakunda</w:t>
      </w:r>
      <w:proofErr w:type="spellEnd"/>
      <w:r w:rsidRPr="005877C3">
        <w:rPr>
          <w:rFonts w:cs="Arial"/>
        </w:rPr>
        <w:t xml:space="preserve"> and Sedaghat, 2024). It fits well in a financial analysis that relies on published statements, regulatory reports and quantifiable measures of such elements as profitability ratios and risk measurements. This will increase the level of transparency and will enable other scientists to reproduce or confirm the findings. In its turn, interpretivism dwells upon subjective meanings and human experiences. It entails interviews or personal accounts that have not been applied in this dissertation. As the study uses purely secondary financial data, the interpretivism would not offer any extra value. The ostracism of interpretivism enhances the academic rigour because it guarantees the complete correspondence of the research purpose, the type of data and the philosophy adopted. Positivism influences the research by aiding in the quantification, comparison, and testing of theories (Habu and Henderson, 2023). It facilitates determining the trends between the risk management practices and profitability results. It is also very objective in the interpretation of the performance of Close Brothers over the period of time. This philosophical stance gives a consistent basis on which risk frameworks can be assessed on the effects of financial outcomes in a regulated UK context.</w:t>
      </w:r>
    </w:p>
    <w:p w14:paraId="0FF945D0" w14:textId="77777777" w:rsidR="00C216EB" w:rsidRPr="005877C3" w:rsidRDefault="00C216EB" w:rsidP="00C216EB">
      <w:pPr>
        <w:pStyle w:val="Heading2"/>
        <w:rPr>
          <w:rFonts w:cs="Arial"/>
        </w:rPr>
      </w:pPr>
      <w:bookmarkStart w:id="45" w:name="_Toc220882985"/>
      <w:r w:rsidRPr="005877C3">
        <w:rPr>
          <w:rFonts w:cs="Arial"/>
        </w:rPr>
        <w:t>3.3 Research Approach</w:t>
      </w:r>
      <w:bookmarkEnd w:id="45"/>
    </w:p>
    <w:p w14:paraId="0C10D22D" w14:textId="43FF4713" w:rsidR="00C216EB" w:rsidRPr="005877C3" w:rsidRDefault="00C216EB" w:rsidP="00C216EB">
      <w:pPr>
        <w:rPr>
          <w:rFonts w:cs="Arial"/>
        </w:rPr>
      </w:pPr>
      <w:r w:rsidRPr="005877C3">
        <w:rPr>
          <w:rFonts w:cs="Arial"/>
        </w:rPr>
        <w:t>In this study, the research method employed is a deductive research method where we start with our theory, then proceed to observation and finally to confirmation. In deductive reasoning, the already known ideas are used, like a risk-return trade-off and the theory of governance, and applied to the actual data to test whether the predicted patterns are observed (Marx, 2023). This perfectly responds to the research purpose since the study assesses the relevance of theoretical conceptualisations of risk management to the financial performance of Close Brothers. It is based on hypothesis-like thinking, although it does not involve formal hypothesis testing, to provide direction for analysing and interpreting. It is consistent with quantitative financial reporting and formatted risk reporting. An inductive approach is not employed since the process of induction aims at formulating a new theory out of primary and qualitative insights. In this paper, there are no interviews, stories, or grounded-theory aspects (</w:t>
      </w:r>
      <w:proofErr w:type="spellStart"/>
      <w:r w:rsidRPr="005877C3">
        <w:rPr>
          <w:rFonts w:cs="Arial"/>
        </w:rPr>
        <w:t>Delios</w:t>
      </w:r>
      <w:proofErr w:type="spellEnd"/>
      <w:r w:rsidRPr="005877C3">
        <w:rPr>
          <w:rFonts w:cs="Arial"/>
        </w:rPr>
        <w:t xml:space="preserve"> et al., 2023). It also looks at an established institution with publicly available information, and induction does not apply in this</w:t>
      </w:r>
      <w:r w:rsidR="00B43A8A">
        <w:rPr>
          <w:rFonts w:cs="Arial"/>
        </w:rPr>
        <w:t xml:space="preserve"> case</w:t>
      </w:r>
      <w:r w:rsidRPr="005877C3">
        <w:rPr>
          <w:rFonts w:cs="Arial"/>
        </w:rPr>
        <w:t xml:space="preserve">. Systematic comparison of the theory and financial trends is supported by the deductive approach. It assists in determining the </w:t>
      </w:r>
      <w:r w:rsidRPr="005877C3">
        <w:rPr>
          <w:rFonts w:cs="Arial"/>
        </w:rPr>
        <w:lastRenderedPageBreak/>
        <w:t>role of conservative risk culture in Close Brothers in maintaining stable profitability in the long run. This provides a logical and theoretically sensitive base for the analysis. </w:t>
      </w:r>
    </w:p>
    <w:p w14:paraId="7C5BCBEE" w14:textId="77777777" w:rsidR="00C216EB" w:rsidRPr="005877C3" w:rsidRDefault="00C216EB" w:rsidP="00C216EB">
      <w:pPr>
        <w:pStyle w:val="Heading2"/>
        <w:rPr>
          <w:rFonts w:cs="Arial"/>
        </w:rPr>
      </w:pPr>
      <w:bookmarkStart w:id="46" w:name="_Toc220882986"/>
      <w:r w:rsidRPr="005877C3">
        <w:rPr>
          <w:rFonts w:cs="Arial"/>
        </w:rPr>
        <w:t>3.4 Research Strategy</w:t>
      </w:r>
      <w:bookmarkEnd w:id="46"/>
    </w:p>
    <w:p w14:paraId="68AB6384" w14:textId="0740EFC9" w:rsidR="00C216EB" w:rsidRPr="005877C3" w:rsidRDefault="00C216EB" w:rsidP="00C216EB">
      <w:pPr>
        <w:rPr>
          <w:rFonts w:cs="Arial"/>
        </w:rPr>
      </w:pPr>
      <w:r w:rsidRPr="005877C3">
        <w:rPr>
          <w:rFonts w:cs="Arial"/>
        </w:rPr>
        <w:t>This research takes the case study approach, which entails a thorough analysis of one organisation in an effort to learn an elaborate reality phenomenon. A case study is suitable where the researcher wants in-depth and not breadth, and he or she wants to examine the behaviours, processes and outcomes in their real-life context (Snyder, 2019). The purpose of choosing a close brother is that it is a transparent case since it has detailed annual reports, a conservative risk culture that has existed over a long period and high regulatory involvement. These characteristics render it a perfect venue that can be used to explore the influence of financial risk management on profitability. The case study method also enables the research to investigate the working mechanisms of the risk practices in the regulatory context of the UK, as opposed to being abstract and in isolation.</w:t>
      </w:r>
    </w:p>
    <w:p w14:paraId="1215BB1D" w14:textId="025C0844" w:rsidR="00C216EB" w:rsidRPr="005877C3" w:rsidRDefault="00C216EB" w:rsidP="00C216EB">
      <w:pPr>
        <w:rPr>
          <w:rFonts w:cs="Arial"/>
        </w:rPr>
      </w:pPr>
      <w:r w:rsidRPr="005877C3">
        <w:rPr>
          <w:rFonts w:cs="Arial"/>
        </w:rPr>
        <w:t>A one-case approach has a number of benefits. It enables deep and intensive investigation without spreading attention to various organisations. It also allows proper contextual interpretation, which allows the researcher to follow the trend of risk and profitability as time goes by. Such a level of detail is required to grasp complicated behaviour in the world of finance (Cheong et al., 2023). But one case is a constraint to generalisation. The results might not be generalizable to NBFIs. This weakness is overcome through the fact that the analysis is based on solid theoretical concepts and data interpretation.</w:t>
      </w:r>
    </w:p>
    <w:p w14:paraId="3B05D52F" w14:textId="34311CC3" w:rsidR="00C216EB" w:rsidRPr="005877C3" w:rsidRDefault="00C216EB" w:rsidP="00C216EB">
      <w:pPr>
        <w:rPr>
          <w:rFonts w:cs="Arial"/>
        </w:rPr>
      </w:pPr>
      <w:r w:rsidRPr="005877C3">
        <w:rPr>
          <w:rFonts w:cs="Arial"/>
        </w:rPr>
        <w:t>The other research strategies were heard but were dismissed. Polls will need to have contact with the participants, which is not possible. The unsuitability of experiments is because financial institutions cannot be subjected to experiments (</w:t>
      </w:r>
      <w:proofErr w:type="spellStart"/>
      <w:r w:rsidRPr="005877C3">
        <w:rPr>
          <w:rFonts w:cs="Arial"/>
        </w:rPr>
        <w:t>Ungunmerr</w:t>
      </w:r>
      <w:proofErr w:type="spellEnd"/>
      <w:r w:rsidRPr="005877C3">
        <w:rPr>
          <w:rFonts w:cs="Arial"/>
        </w:rPr>
        <w:t>-Baumann et al., 2022). The multiple-case approach based on comparison was also dismissed because of word limitations and the unavailability of equally detailed data in firms. The individual case study thus has the best mix of depth, relevancy, and viability.</w:t>
      </w:r>
    </w:p>
    <w:p w14:paraId="69D04C6E" w14:textId="77777777" w:rsidR="00C216EB" w:rsidRPr="005877C3" w:rsidRDefault="00C216EB" w:rsidP="00C216EB">
      <w:pPr>
        <w:pStyle w:val="Heading2"/>
        <w:rPr>
          <w:rFonts w:cs="Arial"/>
        </w:rPr>
      </w:pPr>
      <w:bookmarkStart w:id="47" w:name="_Toc220882987"/>
      <w:r w:rsidRPr="005877C3">
        <w:rPr>
          <w:rFonts w:cs="Arial"/>
        </w:rPr>
        <w:t>3.5 Methodological Choice</w:t>
      </w:r>
      <w:bookmarkEnd w:id="47"/>
    </w:p>
    <w:p w14:paraId="7711086D" w14:textId="165B15FA" w:rsidR="00C216EB" w:rsidRPr="005877C3" w:rsidRDefault="00C216EB" w:rsidP="00C216EB">
      <w:pPr>
        <w:rPr>
          <w:rFonts w:cs="Arial"/>
        </w:rPr>
      </w:pPr>
      <w:r w:rsidRPr="005877C3">
        <w:rPr>
          <w:rFonts w:cs="Arial"/>
        </w:rPr>
        <w:t xml:space="preserve">This paper will take a mixed-method design under secondary data, which integrates qualitative and quantitative designs to enhance the study. The qualitative aspect will </w:t>
      </w:r>
      <w:r w:rsidRPr="005877C3">
        <w:rPr>
          <w:rFonts w:cs="Arial"/>
        </w:rPr>
        <w:lastRenderedPageBreak/>
        <w:t>entail a narrative analysis of the risk disclosures, the governance statements, and the regulatory reports of Close Brothers (</w:t>
      </w:r>
      <w:proofErr w:type="spellStart"/>
      <w:r w:rsidRPr="005877C3">
        <w:rPr>
          <w:rFonts w:cs="Arial"/>
        </w:rPr>
        <w:t>Bonyadi</w:t>
      </w:r>
      <w:proofErr w:type="spellEnd"/>
      <w:r w:rsidRPr="005877C3">
        <w:rPr>
          <w:rFonts w:cs="Arial"/>
        </w:rPr>
        <w:t>, 2023). This assists in determining themes of risk appetite, control mechanisms and cultural practices. The quantitative aspect applies the financial ratio and trend analysis to determine the performance in terms of profitability and risk over time. The fact that mixed methods offer triangulation, in which the knowledge gained by the narrative disclosures can be contrasted with the numerical data, is a plus (</w:t>
      </w:r>
      <w:proofErr w:type="spellStart"/>
      <w:r w:rsidRPr="005877C3">
        <w:rPr>
          <w:rFonts w:cs="Arial"/>
        </w:rPr>
        <w:t>Bonyadi</w:t>
      </w:r>
      <w:proofErr w:type="spellEnd"/>
      <w:r w:rsidRPr="005877C3">
        <w:rPr>
          <w:rFonts w:cs="Arial"/>
        </w:rPr>
        <w:t>, 2023). This leads to a better and more trustworthy insight into risk management and its impact on profitability. It further increases the validity of the findings as it does not rely on one type of data. It does not use primary data because of the limitations of access, the lack of an ethical protocol to conduct interviews, and the limited possibility of accessing the senior managers of financial institutions. Additionally, the publicly available reports are rich enough in detail and credible enough to be used in this study.</w:t>
      </w:r>
    </w:p>
    <w:p w14:paraId="54AAAACF" w14:textId="77777777" w:rsidR="00C216EB" w:rsidRPr="005877C3" w:rsidRDefault="00C216EB" w:rsidP="00C216EB">
      <w:pPr>
        <w:pStyle w:val="Heading2"/>
        <w:rPr>
          <w:rFonts w:cs="Arial"/>
        </w:rPr>
      </w:pPr>
      <w:bookmarkStart w:id="48" w:name="_Toc220882988"/>
      <w:r w:rsidRPr="005877C3">
        <w:rPr>
          <w:rFonts w:cs="Arial"/>
        </w:rPr>
        <w:t>3.6 Time Horizon</w:t>
      </w:r>
      <w:bookmarkEnd w:id="48"/>
    </w:p>
    <w:p w14:paraId="3267B9D7" w14:textId="561A45C3" w:rsidR="00C216EB" w:rsidRPr="005877C3" w:rsidRDefault="00C216EB" w:rsidP="00C216EB">
      <w:pPr>
        <w:rPr>
          <w:rFonts w:cs="Arial"/>
        </w:rPr>
      </w:pPr>
      <w:r w:rsidRPr="005877C3">
        <w:rPr>
          <w:rFonts w:cs="Arial"/>
        </w:rPr>
        <w:t xml:space="preserve">This paper uses </w:t>
      </w:r>
      <w:r w:rsidR="00B43A8A">
        <w:rPr>
          <w:rFonts w:cs="Arial"/>
        </w:rPr>
        <w:t>a</w:t>
      </w:r>
      <w:r w:rsidRPr="005877C3">
        <w:rPr>
          <w:rFonts w:cs="Arial"/>
        </w:rPr>
        <w:t xml:space="preserve"> cross-sectional time horizon but with long aspects. Cross-sectional design deals with the analysis of data at one time period, and this is appropriate in the secondary research, where one pulls information based on already existing documents. Nevertheless, due to the fact that the study analyses financial and risk information between 2019 and 2024, it acquires a longitudinal view, as well. The disruptions that have been captured in this multi-year window include COVID-19, changes in interest rates, and post-Brexit market changes. Evaluation of years of data makes it easier to identify risk management and profitability trends. This is the hybrid method that is suitable for examining the changes in a regulated financial institution by secondary sources.</w:t>
      </w:r>
    </w:p>
    <w:p w14:paraId="4544E439" w14:textId="77777777" w:rsidR="00C216EB" w:rsidRPr="005877C3" w:rsidRDefault="00C216EB" w:rsidP="00C216EB">
      <w:pPr>
        <w:keepNext/>
        <w:jc w:val="left"/>
        <w:rPr>
          <w:rFonts w:cs="Arial"/>
          <w:b/>
          <w:bCs/>
        </w:rPr>
      </w:pPr>
      <w:r w:rsidRPr="005877C3">
        <w:rPr>
          <w:rFonts w:cs="Arial"/>
          <w:b/>
          <w:bCs/>
          <w:lang w:val="en-US"/>
        </w:rPr>
        <w:lastRenderedPageBreak/>
        <w:t xml:space="preserve">Gantt chart: </w:t>
      </w:r>
    </w:p>
    <w:p w14:paraId="46913DB4" w14:textId="77777777" w:rsidR="00C216EB" w:rsidRPr="005877C3" w:rsidRDefault="00C216EB" w:rsidP="00C216EB">
      <w:pPr>
        <w:keepNext/>
        <w:jc w:val="center"/>
        <w:rPr>
          <w:rFonts w:cs="Arial"/>
        </w:rPr>
      </w:pPr>
      <w:r w:rsidRPr="005877C3">
        <w:rPr>
          <w:rFonts w:cs="Arial"/>
          <w:noProof/>
          <w:color w:val="000000"/>
        </w:rPr>
        <w:drawing>
          <wp:inline distT="0" distB="0" distL="0" distR="0" wp14:anchorId="42128B5A" wp14:editId="5C78D04A">
            <wp:extent cx="4784298" cy="3449256"/>
            <wp:effectExtent l="0" t="0" r="3810" b="5715"/>
            <wp:docPr id="15781769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76903" name="Picture 15781769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02741" cy="3462552"/>
                    </a:xfrm>
                    <a:prstGeom prst="rect">
                      <a:avLst/>
                    </a:prstGeom>
                  </pic:spPr>
                </pic:pic>
              </a:graphicData>
            </a:graphic>
          </wp:inline>
        </w:drawing>
      </w:r>
    </w:p>
    <w:p w14:paraId="55073B98" w14:textId="7401FF15" w:rsidR="00C216EB" w:rsidRPr="005877C3" w:rsidRDefault="00C216EB" w:rsidP="00C216EB">
      <w:pPr>
        <w:pStyle w:val="Caption"/>
        <w:rPr>
          <w:rFonts w:cs="Arial"/>
          <w:lang w:val="en-US"/>
        </w:rPr>
      </w:pPr>
      <w:r w:rsidRPr="005877C3">
        <w:rPr>
          <w:rFonts w:cs="Arial"/>
        </w:rPr>
        <w:t xml:space="preserve">Figure </w:t>
      </w:r>
      <w:r w:rsidRPr="005877C3">
        <w:rPr>
          <w:rFonts w:cs="Arial"/>
        </w:rPr>
        <w:fldChar w:fldCharType="begin"/>
      </w:r>
      <w:r w:rsidRPr="005877C3">
        <w:rPr>
          <w:rFonts w:cs="Arial"/>
        </w:rPr>
        <w:instrText xml:space="preserve"> SEQ Figure \* ARABIC </w:instrText>
      </w:r>
      <w:r w:rsidRPr="005877C3">
        <w:rPr>
          <w:rFonts w:cs="Arial"/>
        </w:rPr>
        <w:fldChar w:fldCharType="separate"/>
      </w:r>
      <w:r w:rsidRPr="005877C3">
        <w:rPr>
          <w:rFonts w:cs="Arial"/>
          <w:noProof/>
        </w:rPr>
        <w:t>3</w:t>
      </w:r>
      <w:r w:rsidRPr="005877C3">
        <w:rPr>
          <w:rFonts w:cs="Arial"/>
        </w:rPr>
        <w:fldChar w:fldCharType="end"/>
      </w:r>
      <w:r w:rsidRPr="005877C3">
        <w:rPr>
          <w:rFonts w:cs="Arial"/>
          <w:lang w:val="en-US"/>
        </w:rPr>
        <w:t xml:space="preserve">: Gantt chart </w:t>
      </w:r>
    </w:p>
    <w:p w14:paraId="7EF42A75" w14:textId="78C5BD97" w:rsidR="00C216EB" w:rsidRPr="005877C3" w:rsidRDefault="00C216EB" w:rsidP="00C216EB">
      <w:pPr>
        <w:pStyle w:val="Caption"/>
        <w:rPr>
          <w:rFonts w:cs="Arial"/>
        </w:rPr>
      </w:pPr>
      <w:r w:rsidRPr="005877C3">
        <w:rPr>
          <w:rFonts w:cs="Arial"/>
          <w:lang w:val="en-US"/>
        </w:rPr>
        <w:t>Source: Self-Made</w:t>
      </w:r>
    </w:p>
    <w:p w14:paraId="54C9300A" w14:textId="77777777" w:rsidR="00C216EB" w:rsidRPr="005877C3" w:rsidRDefault="00C216EB" w:rsidP="00C216EB">
      <w:pPr>
        <w:rPr>
          <w:rFonts w:cs="Arial"/>
        </w:rPr>
      </w:pPr>
    </w:p>
    <w:p w14:paraId="5051437F" w14:textId="77777777" w:rsidR="00C216EB" w:rsidRPr="005877C3" w:rsidRDefault="00C216EB" w:rsidP="00C216EB">
      <w:pPr>
        <w:pStyle w:val="Heading2"/>
        <w:rPr>
          <w:rFonts w:cs="Arial"/>
        </w:rPr>
      </w:pPr>
      <w:bookmarkStart w:id="49" w:name="_Toc220882989"/>
      <w:r w:rsidRPr="005877C3">
        <w:rPr>
          <w:rFonts w:cs="Arial"/>
        </w:rPr>
        <w:t>3.7 Data Collection</w:t>
      </w:r>
      <w:bookmarkEnd w:id="49"/>
    </w:p>
    <w:p w14:paraId="20F04500" w14:textId="2B568748" w:rsidR="00C216EB" w:rsidRPr="005877C3" w:rsidRDefault="00C216EB" w:rsidP="00C216EB">
      <w:pPr>
        <w:rPr>
          <w:rFonts w:cs="Arial"/>
        </w:rPr>
      </w:pPr>
      <w:r w:rsidRPr="005877C3">
        <w:rPr>
          <w:rFonts w:cs="Arial"/>
        </w:rPr>
        <w:t xml:space="preserve">The study is fully based on the secondary data, and this is what is right when </w:t>
      </w:r>
      <w:r w:rsidR="00B43A8A">
        <w:rPr>
          <w:rFonts w:cs="Arial"/>
        </w:rPr>
        <w:t>analysing</w:t>
      </w:r>
      <w:r w:rsidRPr="005877C3">
        <w:rPr>
          <w:rFonts w:cs="Arial"/>
        </w:rPr>
        <w:t xml:space="preserve"> a regulated financial institution where publicly available information is extensive and valid (Denscombe, 2025). Objective, replicable analysis is also supported by secondary data</w:t>
      </w:r>
      <w:r w:rsidR="00B43A8A">
        <w:rPr>
          <w:rFonts w:cs="Arial"/>
        </w:rPr>
        <w:t>,</w:t>
      </w:r>
      <w:r w:rsidRPr="005877C3">
        <w:rPr>
          <w:rFonts w:cs="Arial"/>
        </w:rPr>
        <w:t xml:space="preserve"> and it concurs with the positivist philosophy, as well as the deductive approach. The paper resorts to various quality sources to provide profundity and authority.</w:t>
      </w:r>
    </w:p>
    <w:tbl>
      <w:tblPr>
        <w:tblStyle w:val="GridTable5Dark-Accent5"/>
        <w:tblW w:w="0" w:type="auto"/>
        <w:tblLook w:val="04A0" w:firstRow="1" w:lastRow="0" w:firstColumn="1" w:lastColumn="0" w:noHBand="0" w:noVBand="1"/>
      </w:tblPr>
      <w:tblGrid>
        <w:gridCol w:w="3339"/>
        <w:gridCol w:w="5671"/>
      </w:tblGrid>
      <w:tr w:rsidR="00C216EB" w:rsidRPr="005877C3" w14:paraId="23670EC7" w14:textId="77777777" w:rsidTr="00C216EB">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C93E54B" w14:textId="77777777" w:rsidR="00C216EB" w:rsidRPr="005877C3" w:rsidRDefault="00C216EB" w:rsidP="00C216EB">
            <w:pPr>
              <w:rPr>
                <w:rFonts w:cs="Arial"/>
              </w:rPr>
            </w:pPr>
            <w:r w:rsidRPr="005877C3">
              <w:rPr>
                <w:rFonts w:cs="Arial"/>
              </w:rPr>
              <w:t>Source</w:t>
            </w:r>
          </w:p>
        </w:tc>
        <w:tc>
          <w:tcPr>
            <w:tcW w:w="0" w:type="auto"/>
            <w:hideMark/>
          </w:tcPr>
          <w:p w14:paraId="10D0555A" w14:textId="77777777" w:rsidR="00C216EB" w:rsidRPr="005877C3" w:rsidRDefault="00C216EB" w:rsidP="00C216EB">
            <w:pPr>
              <w:cnfStyle w:val="100000000000" w:firstRow="1" w:lastRow="0" w:firstColumn="0" w:lastColumn="0" w:oddVBand="0" w:evenVBand="0" w:oddHBand="0" w:evenHBand="0" w:firstRowFirstColumn="0" w:firstRowLastColumn="0" w:lastRowFirstColumn="0" w:lastRowLastColumn="0"/>
              <w:rPr>
                <w:rFonts w:cs="Arial"/>
              </w:rPr>
            </w:pPr>
            <w:r w:rsidRPr="005877C3">
              <w:rPr>
                <w:rFonts w:cs="Arial"/>
              </w:rPr>
              <w:t>Purpose</w:t>
            </w:r>
          </w:p>
        </w:tc>
      </w:tr>
      <w:tr w:rsidR="00C216EB" w:rsidRPr="005877C3" w14:paraId="5A54EAF8" w14:textId="77777777" w:rsidTr="00C216EB">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3AE9ACB" w14:textId="77777777" w:rsidR="00C216EB" w:rsidRPr="005877C3" w:rsidRDefault="00C216EB" w:rsidP="00B43A8A">
            <w:pPr>
              <w:jc w:val="left"/>
              <w:rPr>
                <w:rFonts w:cs="Arial"/>
              </w:rPr>
            </w:pPr>
            <w:r w:rsidRPr="005877C3">
              <w:rPr>
                <w:rFonts w:cs="Arial"/>
              </w:rPr>
              <w:t>Close Brothers Annual Reports (2019–2024)</w:t>
            </w:r>
          </w:p>
        </w:tc>
        <w:tc>
          <w:tcPr>
            <w:tcW w:w="0" w:type="auto"/>
            <w:hideMark/>
          </w:tcPr>
          <w:p w14:paraId="1C7547EC" w14:textId="77777777" w:rsidR="00C216EB" w:rsidRPr="005877C3" w:rsidRDefault="00C216EB" w:rsidP="00C216EB">
            <w:pPr>
              <w:cnfStyle w:val="000000100000" w:firstRow="0" w:lastRow="0" w:firstColumn="0" w:lastColumn="0" w:oddVBand="0" w:evenVBand="0" w:oddHBand="1" w:evenHBand="0" w:firstRowFirstColumn="0" w:firstRowLastColumn="0" w:lastRowFirstColumn="0" w:lastRowLastColumn="0"/>
              <w:rPr>
                <w:rFonts w:cs="Arial"/>
              </w:rPr>
            </w:pPr>
            <w:r w:rsidRPr="005877C3">
              <w:rPr>
                <w:rFonts w:cs="Arial"/>
              </w:rPr>
              <w:t>Risk disclosures, financial statements, governance reports, capital and liquidity data.</w:t>
            </w:r>
          </w:p>
        </w:tc>
      </w:tr>
      <w:tr w:rsidR="00C216EB" w:rsidRPr="005877C3" w14:paraId="781B7099" w14:textId="77777777" w:rsidTr="00C216E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6C71BD1" w14:textId="77777777" w:rsidR="00C216EB" w:rsidRPr="005877C3" w:rsidRDefault="00C216EB" w:rsidP="00B43A8A">
            <w:pPr>
              <w:jc w:val="left"/>
              <w:rPr>
                <w:rFonts w:cs="Arial"/>
              </w:rPr>
            </w:pPr>
            <w:r w:rsidRPr="005877C3">
              <w:rPr>
                <w:rFonts w:cs="Arial"/>
              </w:rPr>
              <w:t>FCA and PRA Regulatory Papers</w:t>
            </w:r>
          </w:p>
        </w:tc>
        <w:tc>
          <w:tcPr>
            <w:tcW w:w="0" w:type="auto"/>
            <w:hideMark/>
          </w:tcPr>
          <w:p w14:paraId="1F82CDBC" w14:textId="2211C99F" w:rsidR="00C216EB" w:rsidRPr="005877C3" w:rsidRDefault="00C216EB" w:rsidP="00C216EB">
            <w:pPr>
              <w:cnfStyle w:val="000000000000" w:firstRow="0" w:lastRow="0" w:firstColumn="0" w:lastColumn="0" w:oddVBand="0" w:evenVBand="0" w:oddHBand="0" w:evenHBand="0" w:firstRowFirstColumn="0" w:firstRowLastColumn="0" w:lastRowFirstColumn="0" w:lastRowLastColumn="0"/>
              <w:rPr>
                <w:rFonts w:cs="Arial"/>
              </w:rPr>
            </w:pPr>
            <w:r w:rsidRPr="005877C3">
              <w:rPr>
                <w:rFonts w:cs="Arial"/>
              </w:rPr>
              <w:t xml:space="preserve">Supervisory expectations, risk-management standards, </w:t>
            </w:r>
            <w:r w:rsidR="00B43A8A">
              <w:rPr>
                <w:rFonts w:cs="Arial"/>
              </w:rPr>
              <w:t xml:space="preserve">and </w:t>
            </w:r>
            <w:r w:rsidRPr="005877C3">
              <w:rPr>
                <w:rFonts w:cs="Arial"/>
              </w:rPr>
              <w:t>industry guidelines (Urcia, 2021).</w:t>
            </w:r>
          </w:p>
        </w:tc>
      </w:tr>
      <w:tr w:rsidR="00C216EB" w:rsidRPr="005877C3" w14:paraId="180E47F3" w14:textId="77777777" w:rsidTr="00C216EB">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FBB8C7A" w14:textId="77777777" w:rsidR="00C216EB" w:rsidRPr="005877C3" w:rsidRDefault="00C216EB" w:rsidP="00B43A8A">
            <w:pPr>
              <w:jc w:val="left"/>
              <w:rPr>
                <w:rFonts w:cs="Arial"/>
              </w:rPr>
            </w:pPr>
            <w:r w:rsidRPr="005877C3">
              <w:rPr>
                <w:rFonts w:cs="Arial"/>
              </w:rPr>
              <w:t>Market Databases (Bloomberg, Reuters, FT)</w:t>
            </w:r>
          </w:p>
        </w:tc>
        <w:tc>
          <w:tcPr>
            <w:tcW w:w="0" w:type="auto"/>
            <w:hideMark/>
          </w:tcPr>
          <w:p w14:paraId="6908F790" w14:textId="77777777" w:rsidR="00C216EB" w:rsidRPr="005877C3" w:rsidRDefault="00C216EB" w:rsidP="00C216EB">
            <w:pPr>
              <w:cnfStyle w:val="000000100000" w:firstRow="0" w:lastRow="0" w:firstColumn="0" w:lastColumn="0" w:oddVBand="0" w:evenVBand="0" w:oddHBand="1" w:evenHBand="0" w:firstRowFirstColumn="0" w:firstRowLastColumn="0" w:lastRowFirstColumn="0" w:lastRowLastColumn="0"/>
              <w:rPr>
                <w:rFonts w:cs="Arial"/>
              </w:rPr>
            </w:pPr>
            <w:r w:rsidRPr="005877C3">
              <w:rPr>
                <w:rFonts w:cs="Arial"/>
              </w:rPr>
              <w:t>External commentary, market conditions, sector trends.</w:t>
            </w:r>
          </w:p>
        </w:tc>
      </w:tr>
      <w:tr w:rsidR="00C216EB" w:rsidRPr="005877C3" w14:paraId="694444B2" w14:textId="77777777" w:rsidTr="00C216E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6EAF9AF" w14:textId="77777777" w:rsidR="00C216EB" w:rsidRPr="005877C3" w:rsidRDefault="00C216EB" w:rsidP="00C216EB">
            <w:pPr>
              <w:rPr>
                <w:rFonts w:cs="Arial"/>
              </w:rPr>
            </w:pPr>
            <w:r w:rsidRPr="005877C3">
              <w:rPr>
                <w:rFonts w:cs="Arial"/>
              </w:rPr>
              <w:lastRenderedPageBreak/>
              <w:t>Peer-Reviewed Academic Journals</w:t>
            </w:r>
          </w:p>
        </w:tc>
        <w:tc>
          <w:tcPr>
            <w:tcW w:w="0" w:type="auto"/>
            <w:hideMark/>
          </w:tcPr>
          <w:p w14:paraId="2F79A88F" w14:textId="77777777" w:rsidR="00C216EB" w:rsidRPr="005877C3" w:rsidRDefault="00C216EB" w:rsidP="00C216EB">
            <w:pPr>
              <w:keepNext/>
              <w:cnfStyle w:val="000000000000" w:firstRow="0" w:lastRow="0" w:firstColumn="0" w:lastColumn="0" w:oddVBand="0" w:evenVBand="0" w:oddHBand="0" w:evenHBand="0" w:firstRowFirstColumn="0" w:firstRowLastColumn="0" w:lastRowFirstColumn="0" w:lastRowLastColumn="0"/>
              <w:rPr>
                <w:rFonts w:cs="Arial"/>
              </w:rPr>
            </w:pPr>
            <w:r w:rsidRPr="005877C3">
              <w:rPr>
                <w:rFonts w:cs="Arial"/>
              </w:rPr>
              <w:t>Theoretical grounding and empirical evidence on risk management and NBFIs (Urcia, 2021).</w:t>
            </w:r>
          </w:p>
        </w:tc>
      </w:tr>
    </w:tbl>
    <w:p w14:paraId="7B0C5D31" w14:textId="0BA1D32D" w:rsidR="00C216EB" w:rsidRPr="005877C3" w:rsidRDefault="00C216EB" w:rsidP="00C216EB">
      <w:pPr>
        <w:pStyle w:val="Caption"/>
        <w:rPr>
          <w:rFonts w:cs="Arial"/>
        </w:rPr>
      </w:pPr>
      <w:r w:rsidRPr="005877C3">
        <w:rPr>
          <w:rFonts w:cs="Arial"/>
        </w:rPr>
        <w:t xml:space="preserve">Table </w:t>
      </w:r>
      <w:r w:rsidRPr="005877C3">
        <w:rPr>
          <w:rFonts w:cs="Arial"/>
        </w:rPr>
        <w:fldChar w:fldCharType="begin"/>
      </w:r>
      <w:r w:rsidRPr="005877C3">
        <w:rPr>
          <w:rFonts w:cs="Arial"/>
        </w:rPr>
        <w:instrText xml:space="preserve"> SEQ Table \* ARABIC </w:instrText>
      </w:r>
      <w:r w:rsidRPr="005877C3">
        <w:rPr>
          <w:rFonts w:cs="Arial"/>
        </w:rPr>
        <w:fldChar w:fldCharType="separate"/>
      </w:r>
      <w:r w:rsidRPr="005877C3">
        <w:rPr>
          <w:rFonts w:cs="Arial"/>
          <w:noProof/>
        </w:rPr>
        <w:t>1</w:t>
      </w:r>
      <w:r w:rsidRPr="005877C3">
        <w:rPr>
          <w:rFonts w:cs="Arial"/>
        </w:rPr>
        <w:fldChar w:fldCharType="end"/>
      </w:r>
      <w:r w:rsidRPr="005877C3">
        <w:rPr>
          <w:rFonts w:cs="Arial"/>
          <w:lang w:val="en-US"/>
        </w:rPr>
        <w:t>: Sources of Secondary Data</w:t>
      </w:r>
    </w:p>
    <w:p w14:paraId="24601CA9" w14:textId="77777777" w:rsidR="00C216EB" w:rsidRPr="005877C3" w:rsidRDefault="00C216EB" w:rsidP="00C216EB">
      <w:pPr>
        <w:rPr>
          <w:rFonts w:cs="Arial"/>
        </w:rPr>
      </w:pPr>
      <w:r w:rsidRPr="005877C3">
        <w:rPr>
          <w:rFonts w:cs="Arial"/>
          <w:sz w:val="26"/>
          <w:szCs w:val="26"/>
        </w:rPr>
        <w:t xml:space="preserve">Selection Criteria: </w:t>
      </w:r>
      <w:r w:rsidRPr="005877C3">
        <w:rPr>
          <w:rFonts w:cs="Arial"/>
          <w:b/>
          <w:bCs/>
          <w:color w:val="434343"/>
        </w:rPr>
        <w:t>Only sources that met the following criteria were used:</w:t>
      </w:r>
    </w:p>
    <w:p w14:paraId="16383C9D" w14:textId="77777777" w:rsidR="00C216EB" w:rsidRPr="005877C3" w:rsidRDefault="00C216EB" w:rsidP="00C216EB">
      <w:pPr>
        <w:pStyle w:val="ListParagraph"/>
        <w:numPr>
          <w:ilvl w:val="0"/>
          <w:numId w:val="32"/>
        </w:numPr>
        <w:rPr>
          <w:rFonts w:cs="Arial"/>
        </w:rPr>
      </w:pPr>
      <w:r w:rsidRPr="005877C3">
        <w:rPr>
          <w:rFonts w:cs="Arial"/>
          <w:b/>
          <w:bCs/>
        </w:rPr>
        <w:t>Relevance</w:t>
      </w:r>
      <w:r w:rsidRPr="005877C3">
        <w:rPr>
          <w:rFonts w:cs="Arial"/>
        </w:rPr>
        <w:t xml:space="preserve"> to financial risk, profitability, or regulatory context.</w:t>
      </w:r>
    </w:p>
    <w:p w14:paraId="067A15E0" w14:textId="77777777" w:rsidR="00C216EB" w:rsidRPr="005877C3" w:rsidRDefault="00C216EB" w:rsidP="00C216EB">
      <w:pPr>
        <w:pStyle w:val="ListParagraph"/>
        <w:numPr>
          <w:ilvl w:val="0"/>
          <w:numId w:val="32"/>
        </w:numPr>
        <w:rPr>
          <w:rFonts w:cs="Arial"/>
        </w:rPr>
      </w:pPr>
      <w:r w:rsidRPr="005877C3">
        <w:rPr>
          <w:rFonts w:cs="Arial"/>
          <w:b/>
          <w:bCs/>
        </w:rPr>
        <w:t>Time appropriateness</w:t>
      </w:r>
      <w:r w:rsidRPr="005877C3">
        <w:rPr>
          <w:rFonts w:cs="Arial"/>
        </w:rPr>
        <w:t xml:space="preserve">, focusing on </w:t>
      </w:r>
      <w:r w:rsidRPr="005877C3">
        <w:rPr>
          <w:rFonts w:cs="Arial"/>
          <w:b/>
          <w:bCs/>
        </w:rPr>
        <w:t>2019–2024</w:t>
      </w:r>
      <w:r w:rsidRPr="005877C3">
        <w:rPr>
          <w:rFonts w:cs="Arial"/>
        </w:rPr>
        <w:t xml:space="preserve"> to reflect Brexit and COVID-19 impacts.</w:t>
      </w:r>
    </w:p>
    <w:p w14:paraId="14A5E6C1" w14:textId="77777777" w:rsidR="00C216EB" w:rsidRPr="005877C3" w:rsidRDefault="00C216EB" w:rsidP="00C216EB">
      <w:pPr>
        <w:pStyle w:val="ListParagraph"/>
        <w:numPr>
          <w:ilvl w:val="0"/>
          <w:numId w:val="32"/>
        </w:numPr>
        <w:rPr>
          <w:rFonts w:cs="Arial"/>
        </w:rPr>
      </w:pPr>
      <w:r w:rsidRPr="005877C3">
        <w:rPr>
          <w:rFonts w:cs="Arial"/>
          <w:b/>
          <w:bCs/>
        </w:rPr>
        <w:t>Reliability</w:t>
      </w:r>
      <w:r w:rsidRPr="005877C3">
        <w:rPr>
          <w:rFonts w:cs="Arial"/>
        </w:rPr>
        <w:t>, using audited reports, regulated disclosures, and reputable publications (Marx, 2023).</w:t>
      </w:r>
    </w:p>
    <w:p w14:paraId="71BAEDB9" w14:textId="6D9B78D7" w:rsidR="00C216EB" w:rsidRPr="005877C3" w:rsidRDefault="00C216EB" w:rsidP="00C216EB">
      <w:pPr>
        <w:pStyle w:val="ListParagraph"/>
        <w:numPr>
          <w:ilvl w:val="0"/>
          <w:numId w:val="32"/>
        </w:numPr>
        <w:rPr>
          <w:rFonts w:cs="Arial"/>
        </w:rPr>
      </w:pPr>
      <w:r w:rsidRPr="005877C3">
        <w:rPr>
          <w:rFonts w:cs="Arial"/>
          <w:b/>
          <w:bCs/>
        </w:rPr>
        <w:t>Accessibility</w:t>
      </w:r>
      <w:r w:rsidRPr="005877C3">
        <w:rPr>
          <w:rFonts w:cs="Arial"/>
        </w:rPr>
        <w:t>, ensuring full transparency and replicability for academic research.</w:t>
      </w:r>
    </w:p>
    <w:p w14:paraId="2B3ECB4B" w14:textId="2D8605BE" w:rsidR="00C216EB" w:rsidRPr="005877C3" w:rsidRDefault="00C216EB" w:rsidP="00C216EB">
      <w:pPr>
        <w:rPr>
          <w:rFonts w:cs="Arial"/>
        </w:rPr>
      </w:pPr>
      <w:r w:rsidRPr="005877C3">
        <w:rPr>
          <w:rFonts w:cs="Arial"/>
          <w:b/>
          <w:bCs/>
        </w:rPr>
        <w:t>Strengths of Secondary Data:</w:t>
      </w:r>
      <w:r w:rsidRPr="005877C3">
        <w:rPr>
          <w:rFonts w:cs="Arial"/>
          <w:sz w:val="26"/>
          <w:szCs w:val="26"/>
        </w:rPr>
        <w:t xml:space="preserve"> </w:t>
      </w:r>
      <w:r w:rsidRPr="005877C3">
        <w:rPr>
          <w:rFonts w:cs="Arial"/>
        </w:rPr>
        <w:t>Secondary data is authentic, as the company reports and regulatory documents are audited and checked in regard to compliance. Such sources can be tracked longitudinally, and thus it is possible to see how profitability, risk indicators, and strategic behaviour change over several years (Marx, 2023). The secondary data also minimises personal bias since, through this, the researcher does not have any control over the information given as opposed to direct interviews or surveys.</w:t>
      </w:r>
    </w:p>
    <w:p w14:paraId="2309C41B" w14:textId="77777777" w:rsidR="00C216EB" w:rsidRPr="005877C3" w:rsidRDefault="00C216EB" w:rsidP="00C216EB">
      <w:pPr>
        <w:rPr>
          <w:rFonts w:cs="Arial"/>
        </w:rPr>
      </w:pPr>
    </w:p>
    <w:p w14:paraId="48B4FAB4" w14:textId="5370CBE0" w:rsidR="00C216EB" w:rsidRPr="005877C3" w:rsidRDefault="00C216EB" w:rsidP="00C216EB">
      <w:pPr>
        <w:rPr>
          <w:rFonts w:cs="Arial"/>
        </w:rPr>
      </w:pPr>
      <w:r w:rsidRPr="005877C3">
        <w:rPr>
          <w:rFonts w:cs="Arial"/>
          <w:b/>
          <w:bCs/>
        </w:rPr>
        <w:t>Limitations of Secondary Data:</w:t>
      </w:r>
      <w:r w:rsidRPr="005877C3">
        <w:rPr>
          <w:rFonts w:cs="Arial"/>
          <w:sz w:val="26"/>
          <w:szCs w:val="26"/>
        </w:rPr>
        <w:t xml:space="preserve"> </w:t>
      </w:r>
      <w:r w:rsidRPr="005877C3">
        <w:rPr>
          <w:rFonts w:cs="Arial"/>
        </w:rPr>
        <w:t>The secondary data has its weaknesses as well as it has its strengths. Annual reports can have managerial bias because companies tend to portray reports strategically. The lack of internal interviews implies that the insider views on risk decisions cannot be identified (Habu and Henderson, 2023). Data format also has a low level of control, thus limiting the possibility of exploring other variables other than the published ones.</w:t>
      </w:r>
    </w:p>
    <w:p w14:paraId="1936695E" w14:textId="77777777" w:rsidR="00C216EB" w:rsidRPr="005877C3" w:rsidRDefault="00C216EB" w:rsidP="00C216EB">
      <w:pPr>
        <w:pStyle w:val="Heading2"/>
        <w:rPr>
          <w:rFonts w:cs="Arial"/>
        </w:rPr>
      </w:pPr>
      <w:bookmarkStart w:id="50" w:name="_Toc220882990"/>
      <w:r w:rsidRPr="005877C3">
        <w:rPr>
          <w:rFonts w:cs="Arial"/>
        </w:rPr>
        <w:t>3.8 Data Analysis</w:t>
      </w:r>
      <w:bookmarkEnd w:id="50"/>
    </w:p>
    <w:p w14:paraId="3FC495D4" w14:textId="25214D2D" w:rsidR="00C216EB" w:rsidRPr="005877C3" w:rsidRDefault="00C216EB" w:rsidP="00C216EB">
      <w:pPr>
        <w:rPr>
          <w:rFonts w:cs="Arial"/>
        </w:rPr>
      </w:pPr>
      <w:r w:rsidRPr="005877C3">
        <w:rPr>
          <w:rFonts w:cs="Arial"/>
        </w:rPr>
        <w:t>The analytic paradigm employed in the study is a combination of both qualitative thematic analysis and quantitative ratio analysis. Such a combined method helps to gain a better insight into the impact that risk management practices have on the profitability of Close Brother (</w:t>
      </w:r>
      <w:proofErr w:type="spellStart"/>
      <w:r w:rsidRPr="005877C3">
        <w:rPr>
          <w:rFonts w:cs="Arial"/>
        </w:rPr>
        <w:t>Bonyadi</w:t>
      </w:r>
      <w:proofErr w:type="spellEnd"/>
      <w:r w:rsidRPr="005877C3">
        <w:rPr>
          <w:rFonts w:cs="Arial"/>
        </w:rPr>
        <w:t>, 2023). The results are credible and fuller because the authors have used both numbers and storytelling to reveal. </w:t>
      </w:r>
    </w:p>
    <w:p w14:paraId="73B4AB52" w14:textId="77777777" w:rsidR="00C216EB" w:rsidRPr="005877C3" w:rsidRDefault="00C216EB" w:rsidP="00C216EB">
      <w:pPr>
        <w:rPr>
          <w:rFonts w:cs="Arial"/>
          <w:b/>
          <w:bCs/>
        </w:rPr>
      </w:pPr>
      <w:r w:rsidRPr="005877C3">
        <w:rPr>
          <w:rFonts w:cs="Arial"/>
          <w:b/>
          <w:bCs/>
        </w:rPr>
        <w:t>Quantitative Analysis: Ratio Trends</w:t>
      </w:r>
    </w:p>
    <w:p w14:paraId="751D69AA" w14:textId="77777777" w:rsidR="00C216EB" w:rsidRPr="005877C3" w:rsidRDefault="00C216EB" w:rsidP="00C216EB">
      <w:pPr>
        <w:rPr>
          <w:rFonts w:cs="Arial"/>
        </w:rPr>
      </w:pPr>
      <w:r w:rsidRPr="005877C3">
        <w:rPr>
          <w:rFonts w:cs="Arial"/>
        </w:rPr>
        <w:lastRenderedPageBreak/>
        <w:t>Quantitative analysis focuses on year-on-year trends from 2019 to 2024. The following ratios are examined to assess financial performance and risk exposure:</w:t>
      </w:r>
    </w:p>
    <w:tbl>
      <w:tblPr>
        <w:tblStyle w:val="GridTable5Dark-Accent5"/>
        <w:tblW w:w="0" w:type="auto"/>
        <w:tblLook w:val="04A0" w:firstRow="1" w:lastRow="0" w:firstColumn="1" w:lastColumn="0" w:noHBand="0" w:noVBand="1"/>
      </w:tblPr>
      <w:tblGrid>
        <w:gridCol w:w="1643"/>
        <w:gridCol w:w="3869"/>
        <w:gridCol w:w="3498"/>
      </w:tblGrid>
      <w:tr w:rsidR="00C216EB" w:rsidRPr="005877C3" w14:paraId="2B433447" w14:textId="77777777" w:rsidTr="00C216EB">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46B88C9" w14:textId="77777777" w:rsidR="00C216EB" w:rsidRPr="005877C3" w:rsidRDefault="00C216EB" w:rsidP="00C216EB">
            <w:pPr>
              <w:rPr>
                <w:rFonts w:cs="Arial"/>
              </w:rPr>
            </w:pPr>
            <w:r w:rsidRPr="005877C3">
              <w:rPr>
                <w:rFonts w:cs="Arial"/>
              </w:rPr>
              <w:t>Category</w:t>
            </w:r>
          </w:p>
        </w:tc>
        <w:tc>
          <w:tcPr>
            <w:tcW w:w="0" w:type="auto"/>
            <w:hideMark/>
          </w:tcPr>
          <w:p w14:paraId="2C6B3B65" w14:textId="77777777" w:rsidR="00C216EB" w:rsidRPr="005877C3" w:rsidRDefault="00C216EB" w:rsidP="00C216EB">
            <w:pPr>
              <w:cnfStyle w:val="100000000000" w:firstRow="1" w:lastRow="0" w:firstColumn="0" w:lastColumn="0" w:oddVBand="0" w:evenVBand="0" w:oddHBand="0" w:evenHBand="0" w:firstRowFirstColumn="0" w:firstRowLastColumn="0" w:lastRowFirstColumn="0" w:lastRowLastColumn="0"/>
              <w:rPr>
                <w:rFonts w:cs="Arial"/>
              </w:rPr>
            </w:pPr>
            <w:r w:rsidRPr="005877C3">
              <w:rPr>
                <w:rFonts w:cs="Arial"/>
              </w:rPr>
              <w:t>Indicators Used</w:t>
            </w:r>
          </w:p>
        </w:tc>
        <w:tc>
          <w:tcPr>
            <w:tcW w:w="0" w:type="auto"/>
            <w:hideMark/>
          </w:tcPr>
          <w:p w14:paraId="28D26A42" w14:textId="77777777" w:rsidR="00C216EB" w:rsidRPr="005877C3" w:rsidRDefault="00C216EB" w:rsidP="00C216EB">
            <w:pPr>
              <w:cnfStyle w:val="100000000000" w:firstRow="1" w:lastRow="0" w:firstColumn="0" w:lastColumn="0" w:oddVBand="0" w:evenVBand="0" w:oddHBand="0" w:evenHBand="0" w:firstRowFirstColumn="0" w:firstRowLastColumn="0" w:lastRowFirstColumn="0" w:lastRowLastColumn="0"/>
              <w:rPr>
                <w:rFonts w:cs="Arial"/>
              </w:rPr>
            </w:pPr>
            <w:r w:rsidRPr="005877C3">
              <w:rPr>
                <w:rFonts w:cs="Arial"/>
              </w:rPr>
              <w:t>Purpose</w:t>
            </w:r>
          </w:p>
        </w:tc>
      </w:tr>
      <w:tr w:rsidR="00C216EB" w:rsidRPr="005877C3" w14:paraId="7EC6F07F" w14:textId="77777777" w:rsidTr="00C216EB">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C395A83" w14:textId="77777777" w:rsidR="00C216EB" w:rsidRPr="005877C3" w:rsidRDefault="00C216EB" w:rsidP="00C216EB">
            <w:pPr>
              <w:rPr>
                <w:rFonts w:cs="Arial"/>
              </w:rPr>
            </w:pPr>
            <w:r w:rsidRPr="005877C3">
              <w:rPr>
                <w:rFonts w:cs="Arial"/>
              </w:rPr>
              <w:t>Profitability</w:t>
            </w:r>
          </w:p>
        </w:tc>
        <w:tc>
          <w:tcPr>
            <w:tcW w:w="0" w:type="auto"/>
            <w:hideMark/>
          </w:tcPr>
          <w:p w14:paraId="4F5241CF" w14:textId="77777777" w:rsidR="00C216EB" w:rsidRPr="005877C3" w:rsidRDefault="00C216EB" w:rsidP="00C216EB">
            <w:pPr>
              <w:cnfStyle w:val="000000100000" w:firstRow="0" w:lastRow="0" w:firstColumn="0" w:lastColumn="0" w:oddVBand="0" w:evenVBand="0" w:oddHBand="1" w:evenHBand="0" w:firstRowFirstColumn="0" w:firstRowLastColumn="0" w:lastRowFirstColumn="0" w:lastRowLastColumn="0"/>
              <w:rPr>
                <w:rFonts w:cs="Arial"/>
              </w:rPr>
            </w:pPr>
            <w:r w:rsidRPr="005877C3">
              <w:rPr>
                <w:rFonts w:cs="Arial"/>
              </w:rPr>
              <w:t>ROA, ROE, NIM, Cost-to-Income Ratio</w:t>
            </w:r>
          </w:p>
        </w:tc>
        <w:tc>
          <w:tcPr>
            <w:tcW w:w="0" w:type="auto"/>
            <w:hideMark/>
          </w:tcPr>
          <w:p w14:paraId="21B38375" w14:textId="77777777" w:rsidR="00C216EB" w:rsidRPr="005877C3" w:rsidRDefault="00C216EB" w:rsidP="00C216EB">
            <w:pPr>
              <w:cnfStyle w:val="000000100000" w:firstRow="0" w:lastRow="0" w:firstColumn="0" w:lastColumn="0" w:oddVBand="0" w:evenVBand="0" w:oddHBand="1" w:evenHBand="0" w:firstRowFirstColumn="0" w:firstRowLastColumn="0" w:lastRowFirstColumn="0" w:lastRowLastColumn="0"/>
              <w:rPr>
                <w:rFonts w:cs="Arial"/>
              </w:rPr>
            </w:pPr>
            <w:r w:rsidRPr="005877C3">
              <w:rPr>
                <w:rFonts w:cs="Arial"/>
              </w:rPr>
              <w:t>To evaluate how efficiently the firm converts lending activities into profit (</w:t>
            </w:r>
            <w:proofErr w:type="spellStart"/>
            <w:r w:rsidRPr="005877C3">
              <w:rPr>
                <w:rFonts w:cs="Arial"/>
              </w:rPr>
              <w:t>Bonyadi</w:t>
            </w:r>
            <w:proofErr w:type="spellEnd"/>
            <w:r w:rsidRPr="005877C3">
              <w:rPr>
                <w:rFonts w:cs="Arial"/>
              </w:rPr>
              <w:t>, 2023).</w:t>
            </w:r>
          </w:p>
        </w:tc>
      </w:tr>
      <w:tr w:rsidR="00C216EB" w:rsidRPr="005877C3" w14:paraId="37F50200" w14:textId="77777777" w:rsidTr="00C216EB">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310545E7" w14:textId="77777777" w:rsidR="00C216EB" w:rsidRPr="005877C3" w:rsidRDefault="00C216EB" w:rsidP="00C216EB">
            <w:pPr>
              <w:rPr>
                <w:rFonts w:cs="Arial"/>
              </w:rPr>
            </w:pPr>
            <w:r w:rsidRPr="005877C3">
              <w:rPr>
                <w:rFonts w:cs="Arial"/>
              </w:rPr>
              <w:t>Risk Indicators</w:t>
            </w:r>
          </w:p>
        </w:tc>
        <w:tc>
          <w:tcPr>
            <w:tcW w:w="0" w:type="auto"/>
            <w:hideMark/>
          </w:tcPr>
          <w:p w14:paraId="32577BDF" w14:textId="77777777" w:rsidR="00C216EB" w:rsidRPr="005877C3" w:rsidRDefault="00C216EB" w:rsidP="00C216EB">
            <w:pPr>
              <w:cnfStyle w:val="000000000000" w:firstRow="0" w:lastRow="0" w:firstColumn="0" w:lastColumn="0" w:oddVBand="0" w:evenVBand="0" w:oddHBand="0" w:evenHBand="0" w:firstRowFirstColumn="0" w:firstRowLastColumn="0" w:lastRowFirstColumn="0" w:lastRowLastColumn="0"/>
              <w:rPr>
                <w:rFonts w:cs="Arial"/>
              </w:rPr>
            </w:pPr>
            <w:r w:rsidRPr="005877C3">
              <w:rPr>
                <w:rFonts w:cs="Arial"/>
              </w:rPr>
              <w:t>Loan Loss Provisions, Impairment Rates, Liquidity Coverage Ratio, Capital Ratios (</w:t>
            </w:r>
            <w:proofErr w:type="spellStart"/>
            <w:r w:rsidRPr="005877C3">
              <w:rPr>
                <w:rFonts w:cs="Arial"/>
              </w:rPr>
              <w:t>Bonyadi</w:t>
            </w:r>
            <w:proofErr w:type="spellEnd"/>
            <w:r w:rsidRPr="005877C3">
              <w:rPr>
                <w:rFonts w:cs="Arial"/>
              </w:rPr>
              <w:t>, 2023)</w:t>
            </w:r>
          </w:p>
        </w:tc>
        <w:tc>
          <w:tcPr>
            <w:tcW w:w="0" w:type="auto"/>
            <w:hideMark/>
          </w:tcPr>
          <w:p w14:paraId="6137E264" w14:textId="77777777" w:rsidR="00C216EB" w:rsidRPr="005877C3" w:rsidRDefault="00C216EB" w:rsidP="00C216EB">
            <w:pPr>
              <w:keepNext/>
              <w:cnfStyle w:val="000000000000" w:firstRow="0" w:lastRow="0" w:firstColumn="0" w:lastColumn="0" w:oddVBand="0" w:evenVBand="0" w:oddHBand="0" w:evenHBand="0" w:firstRowFirstColumn="0" w:firstRowLastColumn="0" w:lastRowFirstColumn="0" w:lastRowLastColumn="0"/>
              <w:rPr>
                <w:rFonts w:cs="Arial"/>
              </w:rPr>
            </w:pPr>
            <w:r w:rsidRPr="005877C3">
              <w:rPr>
                <w:rFonts w:cs="Arial"/>
              </w:rPr>
              <w:t>To assess credit quality, resilience, and ability to absorb shocks.</w:t>
            </w:r>
          </w:p>
        </w:tc>
      </w:tr>
    </w:tbl>
    <w:p w14:paraId="6670E95C" w14:textId="50F0011F" w:rsidR="00C216EB" w:rsidRPr="005877C3" w:rsidRDefault="00C216EB">
      <w:pPr>
        <w:pStyle w:val="Caption"/>
        <w:rPr>
          <w:rFonts w:cs="Arial"/>
        </w:rPr>
      </w:pPr>
      <w:r w:rsidRPr="005877C3">
        <w:rPr>
          <w:rFonts w:cs="Arial"/>
        </w:rPr>
        <w:t xml:space="preserve">Table </w:t>
      </w:r>
      <w:r w:rsidRPr="005877C3">
        <w:rPr>
          <w:rFonts w:cs="Arial"/>
        </w:rPr>
        <w:fldChar w:fldCharType="begin"/>
      </w:r>
      <w:r w:rsidRPr="005877C3">
        <w:rPr>
          <w:rFonts w:cs="Arial"/>
        </w:rPr>
        <w:instrText xml:space="preserve"> SEQ Table \* ARABIC </w:instrText>
      </w:r>
      <w:r w:rsidRPr="005877C3">
        <w:rPr>
          <w:rFonts w:cs="Arial"/>
        </w:rPr>
        <w:fldChar w:fldCharType="separate"/>
      </w:r>
      <w:r w:rsidRPr="005877C3">
        <w:rPr>
          <w:rFonts w:cs="Arial"/>
          <w:noProof/>
        </w:rPr>
        <w:t>2</w:t>
      </w:r>
      <w:r w:rsidRPr="005877C3">
        <w:rPr>
          <w:rFonts w:cs="Arial"/>
        </w:rPr>
        <w:fldChar w:fldCharType="end"/>
      </w:r>
      <w:r w:rsidRPr="005877C3">
        <w:rPr>
          <w:rFonts w:cs="Arial"/>
          <w:lang w:val="en-US"/>
        </w:rPr>
        <w:t>: Ratio Trends</w:t>
      </w:r>
    </w:p>
    <w:p w14:paraId="27004F9D" w14:textId="1B507AD5" w:rsidR="00C216EB" w:rsidRPr="005877C3" w:rsidRDefault="00EE76F1" w:rsidP="00C216EB">
      <w:pPr>
        <w:rPr>
          <w:rFonts w:cs="Arial"/>
        </w:rPr>
      </w:pPr>
      <w:r w:rsidRPr="00EE76F1">
        <w:rPr>
          <w:rFonts w:cs="Arial"/>
        </w:rPr>
        <w:t xml:space="preserve">The comparisons every year would help to determine if variations in profitability were in line with the variations in risk conditions. As an example, provisions increase can be a clue to the low quality of credit, and the maintenance of capital ratios can be considered as a sign of resilience (Phillips, </w:t>
      </w:r>
      <w:proofErr w:type="spellStart"/>
      <w:r w:rsidRPr="00EE76F1">
        <w:rPr>
          <w:rFonts w:cs="Arial"/>
        </w:rPr>
        <w:t>Tichavakunda</w:t>
      </w:r>
      <w:proofErr w:type="spellEnd"/>
      <w:r w:rsidRPr="00EE76F1">
        <w:rPr>
          <w:rFonts w:cs="Arial"/>
        </w:rPr>
        <w:t xml:space="preserve"> and Sedaghat, 2024). This comparative analysis makes it possible to give an explicit explanation of the financial behaviour of Close Brothers in the volatile times</w:t>
      </w:r>
      <w:r w:rsidR="00C216EB" w:rsidRPr="005877C3">
        <w:rPr>
          <w:rFonts w:cs="Arial"/>
        </w:rPr>
        <w:t>.</w:t>
      </w:r>
    </w:p>
    <w:p w14:paraId="51FB14B3" w14:textId="77777777" w:rsidR="00C216EB" w:rsidRPr="005877C3" w:rsidRDefault="00C216EB" w:rsidP="00C216EB">
      <w:pPr>
        <w:rPr>
          <w:rFonts w:cs="Arial"/>
          <w:b/>
          <w:bCs/>
        </w:rPr>
      </w:pPr>
      <w:r w:rsidRPr="005877C3">
        <w:rPr>
          <w:rFonts w:cs="Arial"/>
          <w:b/>
          <w:bCs/>
        </w:rPr>
        <w:t>Qualitative Analysis: Thematic Review of Risk Disclosures</w:t>
      </w:r>
    </w:p>
    <w:p w14:paraId="2855E8A0" w14:textId="77777777" w:rsidR="00C216EB" w:rsidRPr="005877C3" w:rsidRDefault="00C216EB" w:rsidP="00C216EB">
      <w:pPr>
        <w:rPr>
          <w:rFonts w:cs="Arial"/>
        </w:rPr>
      </w:pPr>
      <w:r w:rsidRPr="005877C3">
        <w:rPr>
          <w:rFonts w:cs="Arial"/>
        </w:rPr>
        <w:t>Annual reports are reviewed to identify recurring themes within risk disclosures. Themes include:</w:t>
      </w:r>
    </w:p>
    <w:p w14:paraId="02CA148D" w14:textId="77777777" w:rsidR="00C216EB" w:rsidRPr="005877C3" w:rsidRDefault="00C216EB" w:rsidP="00C216EB">
      <w:pPr>
        <w:pStyle w:val="ListParagraph"/>
        <w:numPr>
          <w:ilvl w:val="0"/>
          <w:numId w:val="33"/>
        </w:numPr>
        <w:rPr>
          <w:rFonts w:cs="Arial"/>
        </w:rPr>
      </w:pPr>
      <w:r w:rsidRPr="005877C3">
        <w:rPr>
          <w:rFonts w:cs="Arial"/>
          <w:b/>
          <w:bCs/>
        </w:rPr>
        <w:t>Credit culture and underwriting discipline</w:t>
      </w:r>
    </w:p>
    <w:p w14:paraId="1D831135" w14:textId="77777777" w:rsidR="00C216EB" w:rsidRPr="005877C3" w:rsidRDefault="00C216EB" w:rsidP="00C216EB">
      <w:pPr>
        <w:pStyle w:val="ListParagraph"/>
        <w:numPr>
          <w:ilvl w:val="0"/>
          <w:numId w:val="33"/>
        </w:numPr>
        <w:rPr>
          <w:rFonts w:cs="Arial"/>
        </w:rPr>
      </w:pPr>
      <w:r w:rsidRPr="005877C3">
        <w:rPr>
          <w:rFonts w:cs="Arial"/>
          <w:b/>
          <w:bCs/>
        </w:rPr>
        <w:t>Liquidity and funding strategy (Cheong et al., 2023)</w:t>
      </w:r>
    </w:p>
    <w:p w14:paraId="4837E9A2" w14:textId="77777777" w:rsidR="00C216EB" w:rsidRPr="005877C3" w:rsidRDefault="00C216EB" w:rsidP="00C216EB">
      <w:pPr>
        <w:pStyle w:val="ListParagraph"/>
        <w:numPr>
          <w:ilvl w:val="0"/>
          <w:numId w:val="33"/>
        </w:numPr>
        <w:rPr>
          <w:rFonts w:cs="Arial"/>
        </w:rPr>
      </w:pPr>
      <w:r w:rsidRPr="005877C3">
        <w:rPr>
          <w:rFonts w:cs="Arial"/>
          <w:b/>
          <w:bCs/>
        </w:rPr>
        <w:t>Stress-testing practices</w:t>
      </w:r>
    </w:p>
    <w:p w14:paraId="240AD25B" w14:textId="77777777" w:rsidR="00C216EB" w:rsidRPr="005877C3" w:rsidRDefault="00C216EB" w:rsidP="00C216EB">
      <w:pPr>
        <w:pStyle w:val="ListParagraph"/>
        <w:numPr>
          <w:ilvl w:val="0"/>
          <w:numId w:val="33"/>
        </w:numPr>
        <w:rPr>
          <w:rFonts w:cs="Arial"/>
        </w:rPr>
      </w:pPr>
      <w:r w:rsidRPr="005877C3">
        <w:rPr>
          <w:rFonts w:cs="Arial"/>
          <w:b/>
          <w:bCs/>
        </w:rPr>
        <w:t>Risk appetite and governance oversight</w:t>
      </w:r>
    </w:p>
    <w:p w14:paraId="4AF94C8D" w14:textId="7110D190" w:rsidR="00543FF1" w:rsidRPr="00543FF1" w:rsidRDefault="00543FF1" w:rsidP="00543FF1">
      <w:pPr>
        <w:rPr>
          <w:rFonts w:cs="Arial"/>
          <w:lang/>
        </w:rPr>
      </w:pPr>
      <w:r w:rsidRPr="00543FF1">
        <w:rPr>
          <w:rFonts w:cs="Arial"/>
          <w:lang/>
        </w:rPr>
        <w:t>It is a simplified process of coding. The statements are made in a list</w:t>
      </w:r>
      <w:r>
        <w:rPr>
          <w:rFonts w:cs="Arial"/>
          <w:lang w:val="en-US"/>
        </w:rPr>
        <w:t>,</w:t>
      </w:r>
      <w:r w:rsidRPr="00543FF1">
        <w:rPr>
          <w:rFonts w:cs="Arial"/>
          <w:lang/>
        </w:rPr>
        <w:t xml:space="preserve"> and a similar one </w:t>
      </w:r>
      <w:r>
        <w:rPr>
          <w:rFonts w:cs="Arial"/>
          <w:lang/>
        </w:rPr>
        <w:t>is</w:t>
      </w:r>
      <w:r w:rsidRPr="00543FF1">
        <w:rPr>
          <w:rFonts w:cs="Arial"/>
          <w:lang/>
        </w:rPr>
        <w:t xml:space="preserve"> outlined</w:t>
      </w:r>
      <w:r>
        <w:rPr>
          <w:rFonts w:cs="Arial"/>
          <w:lang w:val="en-US"/>
        </w:rPr>
        <w:t>,</w:t>
      </w:r>
      <w:r w:rsidRPr="00543FF1">
        <w:rPr>
          <w:rFonts w:cs="Arial"/>
          <w:lang/>
        </w:rPr>
        <w:t xml:space="preserve"> and recurring patterns are made (Cheong et al., 2023). This approach reflects the way how the company discloses its risk posture, risk monitoring and governance facilitation. The analysis also provides </w:t>
      </w:r>
      <w:r>
        <w:rPr>
          <w:rFonts w:cs="Arial"/>
          <w:lang w:val="en-US"/>
        </w:rPr>
        <w:t xml:space="preserve">an </w:t>
      </w:r>
      <w:r w:rsidRPr="00543FF1">
        <w:rPr>
          <w:rFonts w:cs="Arial"/>
          <w:lang/>
        </w:rPr>
        <w:t xml:space="preserve">understanding of the strategic changes over a period of time. </w:t>
      </w:r>
    </w:p>
    <w:p w14:paraId="56C8595E" w14:textId="77777777" w:rsidR="00C216EB" w:rsidRPr="005877C3" w:rsidRDefault="00C216EB" w:rsidP="00C216EB">
      <w:pPr>
        <w:rPr>
          <w:rFonts w:cs="Arial"/>
        </w:rPr>
      </w:pPr>
    </w:p>
    <w:p w14:paraId="5F195253" w14:textId="427838F2" w:rsidR="00C216EB" w:rsidRPr="005877C3" w:rsidRDefault="00C216EB" w:rsidP="00C216EB">
      <w:pPr>
        <w:rPr>
          <w:rFonts w:cs="Arial"/>
        </w:rPr>
      </w:pPr>
      <w:r w:rsidRPr="005877C3">
        <w:rPr>
          <w:rFonts w:cs="Arial"/>
          <w:b/>
          <w:bCs/>
        </w:rPr>
        <w:t>Triangulation Technique:</w:t>
      </w:r>
      <w:r w:rsidRPr="005877C3">
        <w:rPr>
          <w:rFonts w:cs="Arial"/>
          <w:sz w:val="34"/>
          <w:szCs w:val="34"/>
        </w:rPr>
        <w:t xml:space="preserve"> </w:t>
      </w:r>
      <w:r w:rsidR="00543FF1" w:rsidRPr="00543FF1">
        <w:rPr>
          <w:rFonts w:cs="Arial"/>
        </w:rPr>
        <w:t>Triangulation provides a certain level of empowerment of the research through the comparison of quantitative findings on one hand and qualitative themes on the other hand. Considering that</w:t>
      </w:r>
      <w:r w:rsidR="00543FF1">
        <w:rPr>
          <w:rFonts w:cs="Arial"/>
        </w:rPr>
        <w:t>,</w:t>
      </w:r>
      <w:r w:rsidR="00543FF1" w:rsidRPr="00543FF1">
        <w:rPr>
          <w:rFonts w:cs="Arial"/>
        </w:rPr>
        <w:t xml:space="preserve"> as an example</w:t>
      </w:r>
      <w:r w:rsidR="00543FF1">
        <w:rPr>
          <w:rFonts w:cs="Arial"/>
        </w:rPr>
        <w:t>,</w:t>
      </w:r>
      <w:r w:rsidR="00543FF1" w:rsidRPr="00543FF1">
        <w:rPr>
          <w:rFonts w:cs="Arial"/>
        </w:rPr>
        <w:t xml:space="preserve"> some of the </w:t>
      </w:r>
      <w:r w:rsidR="00543FF1" w:rsidRPr="00543FF1">
        <w:rPr>
          <w:rFonts w:cs="Arial"/>
        </w:rPr>
        <w:lastRenderedPageBreak/>
        <w:t>disclosures concentrate on tight credit controls, this is counterbalanced with impairment trends (</w:t>
      </w:r>
      <w:proofErr w:type="spellStart"/>
      <w:r w:rsidR="00543FF1" w:rsidRPr="00543FF1">
        <w:rPr>
          <w:rFonts w:cs="Arial"/>
        </w:rPr>
        <w:t>Ungunmerr</w:t>
      </w:r>
      <w:proofErr w:type="spellEnd"/>
      <w:r w:rsidR="00543FF1" w:rsidRPr="00543FF1">
        <w:rPr>
          <w:rFonts w:cs="Arial"/>
        </w:rPr>
        <w:t>-Baumann et al., 2022).</w:t>
      </w:r>
      <w:r w:rsidR="00543FF1">
        <w:rPr>
          <w:rFonts w:cs="Arial"/>
        </w:rPr>
        <w:t xml:space="preserve"> </w:t>
      </w:r>
      <w:r w:rsidR="00543FF1" w:rsidRPr="00543FF1">
        <w:rPr>
          <w:rFonts w:cs="Arial"/>
        </w:rPr>
        <w:t>I</w:t>
      </w:r>
      <w:r w:rsidR="00543FF1">
        <w:rPr>
          <w:rFonts w:cs="Arial"/>
        </w:rPr>
        <w:t>f</w:t>
      </w:r>
      <w:r w:rsidR="00543FF1" w:rsidRPr="00543FF1">
        <w:rPr>
          <w:rFonts w:cs="Arial"/>
        </w:rPr>
        <w:t xml:space="preserve"> the firm is reporting good liquidity planning, the liquidity ratios are checked on the same basis. Correlation between pronouncements in a story and fiscal results increase</w:t>
      </w:r>
      <w:r w:rsidR="00543FF1">
        <w:rPr>
          <w:rFonts w:cs="Arial"/>
        </w:rPr>
        <w:t>s</w:t>
      </w:r>
      <w:r w:rsidR="00543FF1" w:rsidRPr="00543FF1">
        <w:rPr>
          <w:rFonts w:cs="Arial"/>
        </w:rPr>
        <w:t xml:space="preserve"> trust, whilst in lackadaisical resonances being express</w:t>
      </w:r>
      <w:r w:rsidR="00543FF1">
        <w:rPr>
          <w:rFonts w:cs="Arial"/>
        </w:rPr>
        <w:t>ed,</w:t>
      </w:r>
      <w:r w:rsidR="00543FF1" w:rsidRPr="00543FF1">
        <w:rPr>
          <w:rFonts w:cs="Arial"/>
        </w:rPr>
        <w:t xml:space="preserve"> fields to gain more interpretations</w:t>
      </w:r>
      <w:r w:rsidRPr="005877C3">
        <w:rPr>
          <w:rFonts w:cs="Arial"/>
        </w:rPr>
        <w:t>.</w:t>
      </w:r>
    </w:p>
    <w:p w14:paraId="6978188F" w14:textId="77777777" w:rsidR="00C216EB" w:rsidRPr="005877C3" w:rsidRDefault="00C216EB" w:rsidP="00C216EB">
      <w:pPr>
        <w:rPr>
          <w:rFonts w:cs="Arial"/>
        </w:rPr>
      </w:pPr>
    </w:p>
    <w:p w14:paraId="3F53210F" w14:textId="40FCEE0A" w:rsidR="00C216EB" w:rsidRPr="005877C3" w:rsidRDefault="00C216EB" w:rsidP="00C216EB">
      <w:pPr>
        <w:rPr>
          <w:rFonts w:cs="Arial"/>
        </w:rPr>
      </w:pPr>
      <w:r w:rsidRPr="005877C3">
        <w:rPr>
          <w:rFonts w:cs="Arial"/>
          <w:b/>
          <w:bCs/>
        </w:rPr>
        <w:t>Ensuring Reliability and Validity:</w:t>
      </w:r>
      <w:r w:rsidRPr="005877C3">
        <w:rPr>
          <w:rFonts w:cs="Arial"/>
          <w:sz w:val="34"/>
          <w:szCs w:val="34"/>
        </w:rPr>
        <w:t xml:space="preserve"> </w:t>
      </w:r>
      <w:r w:rsidRPr="005877C3">
        <w:rPr>
          <w:rFonts w:cs="Arial"/>
        </w:rPr>
        <w:t>Multiple data sources, such as regulatory reports and market commentary, are used to provide Reliability. Ratio calculation and thematic coding are the steps that are transparent and replicable, which enhances validity (</w:t>
      </w:r>
      <w:proofErr w:type="spellStart"/>
      <w:r w:rsidRPr="005877C3">
        <w:rPr>
          <w:rFonts w:cs="Arial"/>
        </w:rPr>
        <w:t>Ungunmerr</w:t>
      </w:r>
      <w:proofErr w:type="spellEnd"/>
      <w:r w:rsidRPr="005877C3">
        <w:rPr>
          <w:rFonts w:cs="Arial"/>
        </w:rPr>
        <w:t>-Baumann et al., 2022). The balanced and academically rigorous assessment of risk and profitability in the study is achieved by the combination of objective financial data and systematic qualitative analysis.</w:t>
      </w:r>
    </w:p>
    <w:p w14:paraId="60AD2BEE" w14:textId="77777777" w:rsidR="00C216EB" w:rsidRPr="005877C3" w:rsidRDefault="00C216EB" w:rsidP="00C216EB">
      <w:pPr>
        <w:pStyle w:val="Heading2"/>
        <w:rPr>
          <w:rFonts w:cs="Arial"/>
        </w:rPr>
      </w:pPr>
      <w:bookmarkStart w:id="51" w:name="_Toc220882991"/>
      <w:r w:rsidRPr="005877C3">
        <w:rPr>
          <w:rFonts w:cs="Arial"/>
        </w:rPr>
        <w:t>3.9 Ethical Considerations</w:t>
      </w:r>
      <w:bookmarkEnd w:id="51"/>
    </w:p>
    <w:p w14:paraId="6E7B24A5" w14:textId="034A88D3" w:rsidR="00C216EB" w:rsidRPr="005877C3" w:rsidRDefault="00C216EB" w:rsidP="00C216EB">
      <w:pPr>
        <w:rPr>
          <w:rFonts w:cs="Arial"/>
        </w:rPr>
      </w:pPr>
      <w:r w:rsidRPr="005877C3">
        <w:rPr>
          <w:rFonts w:cs="Arial"/>
        </w:rPr>
        <w:t>This research is associated with minimal ethical risks since it is based on secondary data that is publicly available, i.e., annual reports, regulatory documents, and academic literature. No personal or confidential data is obtained. Ethical responsibility aims at proper representation and fair interpretation of all the data employed (Denscombe, 2025). The analysis is conducted according to the university ethics, referring to the appropriateness, not plagiarising, and being completely transparent in the process of data management. One reports the financial information in its purest form as it is published and does not make any alteration or manipulation. In following these standards, the study is also upright, and the results are well credible, respectful and scholarly.</w:t>
      </w:r>
    </w:p>
    <w:p w14:paraId="0539D052" w14:textId="77777777" w:rsidR="00C216EB" w:rsidRPr="005877C3" w:rsidRDefault="00C216EB" w:rsidP="00C216EB">
      <w:pPr>
        <w:pStyle w:val="Heading2"/>
        <w:rPr>
          <w:rFonts w:cs="Arial"/>
        </w:rPr>
      </w:pPr>
      <w:bookmarkStart w:id="52" w:name="_Toc220882992"/>
      <w:r w:rsidRPr="005877C3">
        <w:rPr>
          <w:rFonts w:cs="Arial"/>
        </w:rPr>
        <w:t>3.10 Methodological Limitations</w:t>
      </w:r>
      <w:bookmarkEnd w:id="52"/>
    </w:p>
    <w:p w14:paraId="15F98F5E" w14:textId="53A6F883" w:rsidR="00C216EB" w:rsidRPr="005877C3" w:rsidRDefault="00C216EB" w:rsidP="00C216EB">
      <w:pPr>
        <w:rPr>
          <w:rFonts w:cs="Arial"/>
        </w:rPr>
      </w:pPr>
      <w:r w:rsidRPr="005877C3">
        <w:rPr>
          <w:rFonts w:cs="Arial"/>
        </w:rPr>
        <w:t>This research has a number of methodological constraints. First, it depends completely on secondary data, and this limits the availability of internal views on risk decisions (</w:t>
      </w:r>
      <w:proofErr w:type="spellStart"/>
      <w:r w:rsidRPr="005877C3">
        <w:rPr>
          <w:rFonts w:cs="Arial"/>
        </w:rPr>
        <w:t>Bonyadi</w:t>
      </w:r>
      <w:proofErr w:type="spellEnd"/>
      <w:r w:rsidRPr="005877C3">
        <w:rPr>
          <w:rFonts w:cs="Arial"/>
        </w:rPr>
        <w:t xml:space="preserve">, 2023). The analysis is unable to exhaust the managerial logic or informal behaviours in Close Brothers without interviews or first-hand information. Second, the application of a single case study limits the generalisation of the results. Although the case is detailed, its conclusions might be restricted to all non-bank financial institutions (Denscombe, 2025). Third, reports that are presented annually can be biased by the managers, since the companies usually present the disclosures </w:t>
      </w:r>
      <w:r w:rsidRPr="005877C3">
        <w:rPr>
          <w:rFonts w:cs="Arial"/>
        </w:rPr>
        <w:lastRenderedPageBreak/>
        <w:t>in a manner that supports their strategic goals or the requirements of the authorities. This can affect the representation of risks and performance. Besides, time and word constraints restrict the scope of the study and limit the possibilities to compare the sector on a larger scale or conduct a multi-case analysis (Snyder, 2019). Irrespective of these weaknesses, the study has been credible due to its triangulation, transparency, and critical interpretation of the evidence that was available.</w:t>
      </w:r>
    </w:p>
    <w:p w14:paraId="1D7F4035" w14:textId="77777777" w:rsidR="00C216EB" w:rsidRPr="005877C3" w:rsidRDefault="00C216EB" w:rsidP="00C216EB">
      <w:pPr>
        <w:pStyle w:val="Heading2"/>
        <w:rPr>
          <w:rFonts w:cs="Arial"/>
        </w:rPr>
      </w:pPr>
      <w:bookmarkStart w:id="53" w:name="_Toc220882993"/>
      <w:r w:rsidRPr="005877C3">
        <w:rPr>
          <w:rFonts w:cs="Arial"/>
        </w:rPr>
        <w:t>3.11 Conclusion of the Chapter</w:t>
      </w:r>
      <w:bookmarkEnd w:id="53"/>
    </w:p>
    <w:p w14:paraId="35CEE39B" w14:textId="15F08214" w:rsidR="00C216EB" w:rsidRPr="005877C3" w:rsidRDefault="00C216EB" w:rsidP="00C216EB">
      <w:pPr>
        <w:rPr>
          <w:rFonts w:cs="Arial"/>
        </w:rPr>
      </w:pPr>
      <w:r w:rsidRPr="005877C3">
        <w:rPr>
          <w:rFonts w:cs="Arial"/>
        </w:rPr>
        <w:t>This chapter described the methodological framework that led to the study by applying the Research Onion by Saunders to cover all decisions made justifiably. A deductive approach, positivist philosophy and single case strategy give a systematic basis for the analysis of how financial risk management affects profitability at Close Brothers. The study is enhanced through the mixed-method design because of the combination of financial ratios and the thematic analysis of disclosures (Habu and Henderson, 2023). Triangulation will increase validity, whereas secondary data will guarantee reliability. The approach does not have a very strong generalisability (and lacks primary insights), but the methodology is still strong enough and suitable for the research purpose. These decisions put together generate a consistent and sound academic analysis.</w:t>
      </w:r>
    </w:p>
    <w:p w14:paraId="5CFE8D8B" w14:textId="77777777" w:rsidR="00C216EB" w:rsidRPr="005877C3" w:rsidRDefault="00C216EB" w:rsidP="00C216EB">
      <w:pPr>
        <w:rPr>
          <w:rFonts w:cs="Arial"/>
        </w:rPr>
      </w:pPr>
    </w:p>
    <w:p w14:paraId="2C88FE57" w14:textId="77777777" w:rsidR="00C216EB" w:rsidRPr="005877C3" w:rsidRDefault="00C216EB" w:rsidP="00C216EB">
      <w:pPr>
        <w:rPr>
          <w:rFonts w:cs="Arial"/>
        </w:rPr>
      </w:pPr>
    </w:p>
    <w:p w14:paraId="5DE395EE" w14:textId="77777777" w:rsidR="007928A3" w:rsidRPr="005877C3" w:rsidRDefault="007928A3">
      <w:pPr>
        <w:spacing w:after="160" w:line="259" w:lineRule="auto"/>
        <w:jc w:val="left"/>
        <w:rPr>
          <w:rFonts w:cs="Arial"/>
        </w:rPr>
      </w:pPr>
      <w:r w:rsidRPr="005877C3">
        <w:rPr>
          <w:rFonts w:cs="Arial"/>
        </w:rPr>
        <w:br w:type="page"/>
      </w:r>
    </w:p>
    <w:p w14:paraId="43E8EAA5" w14:textId="6444D81A" w:rsidR="007928A3" w:rsidRPr="005877C3" w:rsidRDefault="007928A3" w:rsidP="007928A3">
      <w:pPr>
        <w:pStyle w:val="Heading1"/>
        <w:rPr>
          <w:rFonts w:cs="Arial"/>
          <w:sz w:val="48"/>
          <w:szCs w:val="48"/>
        </w:rPr>
      </w:pPr>
      <w:bookmarkStart w:id="54" w:name="_Toc220882994"/>
      <w:r w:rsidRPr="005877C3">
        <w:rPr>
          <w:rFonts w:cs="Arial"/>
        </w:rPr>
        <w:lastRenderedPageBreak/>
        <w:t>Chapter 4: Findings and Discussion</w:t>
      </w:r>
      <w:bookmarkEnd w:id="54"/>
    </w:p>
    <w:p w14:paraId="06766969" w14:textId="2836C1EF" w:rsidR="00BB211F" w:rsidRDefault="006569A2" w:rsidP="006569A2">
      <w:pPr>
        <w:pStyle w:val="Heading2"/>
      </w:pPr>
      <w:bookmarkStart w:id="55" w:name="_Toc220882995"/>
      <w:r>
        <w:t>4.1 Introduction</w:t>
      </w:r>
      <w:bookmarkEnd w:id="55"/>
      <w:r>
        <w:t xml:space="preserve"> </w:t>
      </w:r>
    </w:p>
    <w:p w14:paraId="1926413D" w14:textId="59551DE7" w:rsidR="00200368" w:rsidRDefault="00200368" w:rsidP="00200368">
      <w:pPr>
        <w:rPr>
          <w:lang w:eastAsia="en-US"/>
        </w:rPr>
      </w:pPr>
      <w:r>
        <w:rPr>
          <w:lang w:eastAsia="en-US"/>
        </w:rPr>
        <w:t>This chapter is a report on the secondary-data analysis of Close Brothers Group plc ("Close Brothers") under the period FY2019- FY2024 (financial year-ends 31 July). This is done to show how the financial position of the Group and risk management decisions result in specific performance aspects through financial evidence</w:t>
      </w:r>
      <w:r w:rsidR="00C711AA">
        <w:rPr>
          <w:lang w:eastAsia="en-US"/>
        </w:rPr>
        <w:t xml:space="preserve"> </w:t>
      </w:r>
      <w:r w:rsidR="00C711AA" w:rsidRPr="005877C3">
        <w:rPr>
          <w:rFonts w:cs="Arial"/>
          <w:color w:val="000000"/>
        </w:rPr>
        <w:t>(Denscombe, 2025)</w:t>
      </w:r>
      <w:r>
        <w:rPr>
          <w:lang w:eastAsia="en-US"/>
        </w:rPr>
        <w:t>. Following the approach of Chapter 3 about the methodology of the chapter, it comprises a descriptive trend analysis and is complemented by different ratio-based calculations on the figures of audited annual reports, in the form of tables.</w:t>
      </w:r>
    </w:p>
    <w:p w14:paraId="6BA18C50" w14:textId="08DFE4AB" w:rsidR="00200368" w:rsidRDefault="00200368" w:rsidP="00200368">
      <w:pPr>
        <w:rPr>
          <w:lang w:eastAsia="en-US"/>
        </w:rPr>
      </w:pPr>
      <w:r>
        <w:rPr>
          <w:lang w:eastAsia="en-US"/>
        </w:rPr>
        <w:t>The review structure is based on a viable financial management reasoning. The first is the analysis of the scale and arrangement of the balance sheet, since the risk exposures (credit, liquidity and capital) of a specialist lender are much more balance-sheet exposed</w:t>
      </w:r>
      <w:r w:rsidR="00436E6E">
        <w:rPr>
          <w:lang w:eastAsia="en-US"/>
        </w:rPr>
        <w:t xml:space="preserve"> </w:t>
      </w:r>
      <w:r w:rsidR="00436E6E">
        <w:rPr>
          <w:rFonts w:cs="Arial"/>
          <w:color w:val="000000"/>
        </w:rPr>
        <w:t>(</w:t>
      </w:r>
      <w:proofErr w:type="spellStart"/>
      <w:r w:rsidR="00436E6E">
        <w:rPr>
          <w:rFonts w:cs="Arial"/>
          <w:color w:val="000000"/>
        </w:rPr>
        <w:t>Matlhaku</w:t>
      </w:r>
      <w:proofErr w:type="spellEnd"/>
      <w:r w:rsidR="00436E6E">
        <w:rPr>
          <w:rFonts w:cs="Arial"/>
          <w:color w:val="000000"/>
        </w:rPr>
        <w:t xml:space="preserve"> and Ferreira-Schenk, 2025)</w:t>
      </w:r>
      <w:r>
        <w:rPr>
          <w:lang w:eastAsia="en-US"/>
        </w:rPr>
        <w:t>. Second, it assesses the income to profit conversion by operating income, cost-efficiency, and cost-impairment charges because the overall factor of profitability dependency in lending has frequently been credit cost and not operating cost. Third, it takes into account capital and liquidity buffers, as the quality of risk management is finally put to the test by the ability of the firm to withstand stress and regulatory headroom</w:t>
      </w:r>
      <w:r w:rsidR="00EB1D2A">
        <w:rPr>
          <w:lang w:eastAsia="en-US"/>
        </w:rPr>
        <w:t xml:space="preserve"> </w:t>
      </w:r>
      <w:r w:rsidR="00EB1D2A">
        <w:t>(Close Brothers Group plc, 2024)</w:t>
      </w:r>
      <w:r>
        <w:rPr>
          <w:lang w:eastAsia="en-US"/>
        </w:rPr>
        <w:t>.</w:t>
      </w:r>
    </w:p>
    <w:p w14:paraId="57BAC843" w14:textId="38DC4E20" w:rsidR="006569A2" w:rsidRDefault="00200368" w:rsidP="00200368">
      <w:pPr>
        <w:rPr>
          <w:lang w:eastAsia="en-US"/>
        </w:rPr>
      </w:pPr>
      <w:r>
        <w:rPr>
          <w:lang w:eastAsia="en-US"/>
        </w:rPr>
        <w:t>In the chapter, one will follow the key figures over the years and transform them into indicators of interpretation (e.g., equity-to-assets, deposits-to-assets, loan-to-deposit, cost-to-income, impairment-to-income and capital headroom)</w:t>
      </w:r>
      <w:r w:rsidR="00436E6E">
        <w:rPr>
          <w:lang w:eastAsia="en-US"/>
        </w:rPr>
        <w:t xml:space="preserve"> </w:t>
      </w:r>
      <w:r w:rsidR="00436E6E">
        <w:rPr>
          <w:rFonts w:cs="Arial"/>
          <w:color w:val="000000"/>
        </w:rPr>
        <w:t>(Liu and Huang, 2022)</w:t>
      </w:r>
      <w:r>
        <w:rPr>
          <w:lang w:eastAsia="en-US"/>
        </w:rPr>
        <w:t>. Where no figure appears in the extracted snapshots, the gap has been marked transparently in the chapter, and the item has been derived by getting the disclosed subtotals, or the ratio is avoided by just leaving the gap blank. The general focus is thus fiscal and analytical and not specifically narrative.</w:t>
      </w:r>
    </w:p>
    <w:p w14:paraId="2219DAD3" w14:textId="0E2490A3" w:rsidR="00200368" w:rsidRDefault="0046654B" w:rsidP="0046654B">
      <w:pPr>
        <w:pStyle w:val="Heading2"/>
      </w:pPr>
      <w:bookmarkStart w:id="56" w:name="_Toc220882996"/>
      <w:r>
        <w:t>4.2 Overview of Close Brothers’ Balance Sheet and Funding Model (FY2019–FY2024)</w:t>
      </w:r>
      <w:bookmarkEnd w:id="56"/>
    </w:p>
    <w:p w14:paraId="0D15FB03" w14:textId="61FF6E75" w:rsidR="0046654B" w:rsidRDefault="0046654B" w:rsidP="0046654B">
      <w:pPr>
        <w:rPr>
          <w:lang w:eastAsia="en-US"/>
        </w:rPr>
      </w:pPr>
      <w:r>
        <w:rPr>
          <w:lang w:eastAsia="en-US"/>
        </w:rPr>
        <w:t xml:space="preserve">The performance of the capital of a specialist lender should be interpreted given its balance sheet and funding structure. Close </w:t>
      </w:r>
      <w:r w:rsidR="00EA4184">
        <w:rPr>
          <w:lang w:eastAsia="en-US"/>
        </w:rPr>
        <w:t>Brother's</w:t>
      </w:r>
      <w:r>
        <w:rPr>
          <w:lang w:eastAsia="en-US"/>
        </w:rPr>
        <w:t xml:space="preserve"> balance sheet is growing with its total assets going up by GBP 10.6bn in FY2019 to GBP 14.1bn in FY2024. The total equity also rose, up to GBP 1.4bn in 2019 and approximately to GBP 1.8bn handy in </w:t>
      </w:r>
      <w:r>
        <w:rPr>
          <w:lang w:eastAsia="en-US"/>
        </w:rPr>
        <w:lastRenderedPageBreak/>
        <w:t xml:space="preserve">2024, benefiting the base of assets and </w:t>
      </w:r>
      <w:r w:rsidR="00EA4184">
        <w:rPr>
          <w:lang w:eastAsia="en-US"/>
        </w:rPr>
        <w:t>forming</w:t>
      </w:r>
      <w:r>
        <w:rPr>
          <w:lang w:eastAsia="en-US"/>
        </w:rPr>
        <w:t xml:space="preserve"> part of the loss-absorption potential. Nevertheless, the rate of growth in assets and equity spread over </w:t>
      </w:r>
      <w:r w:rsidR="00F73CDB">
        <w:rPr>
          <w:lang w:eastAsia="en-US"/>
        </w:rPr>
        <w:t xml:space="preserve">the </w:t>
      </w:r>
      <w:r>
        <w:rPr>
          <w:lang w:eastAsia="en-US"/>
        </w:rPr>
        <w:t xml:space="preserve">years influences leverage, buffer capacity and </w:t>
      </w:r>
      <w:r w:rsidR="00F73CDB">
        <w:rPr>
          <w:lang w:eastAsia="en-US"/>
        </w:rPr>
        <w:t xml:space="preserve">the </w:t>
      </w:r>
      <w:r>
        <w:rPr>
          <w:lang w:eastAsia="en-US"/>
        </w:rPr>
        <w:t>capacity of the Group to absorb unexpected losses without violating regulatory minima</w:t>
      </w:r>
      <w:r w:rsidR="00436E6E">
        <w:rPr>
          <w:lang w:eastAsia="en-US"/>
        </w:rPr>
        <w:t xml:space="preserve"> </w:t>
      </w:r>
      <w:r w:rsidR="00436E6E">
        <w:rPr>
          <w:rFonts w:cs="Arial"/>
          <w:color w:val="000000"/>
        </w:rPr>
        <w:t xml:space="preserve">(Phillips, </w:t>
      </w:r>
      <w:proofErr w:type="spellStart"/>
      <w:r w:rsidR="00436E6E">
        <w:rPr>
          <w:rFonts w:cs="Arial"/>
          <w:color w:val="000000"/>
        </w:rPr>
        <w:t>Tichavakunda</w:t>
      </w:r>
      <w:proofErr w:type="spellEnd"/>
      <w:r w:rsidR="00436E6E">
        <w:rPr>
          <w:rFonts w:cs="Arial"/>
          <w:color w:val="000000"/>
        </w:rPr>
        <w:t xml:space="preserve"> and Sedaghat, 2024)</w:t>
      </w:r>
      <w:r>
        <w:rPr>
          <w:lang w:eastAsia="en-US"/>
        </w:rPr>
        <w:t>.</w:t>
      </w:r>
    </w:p>
    <w:p w14:paraId="7DE3CDB4" w14:textId="0CDD8B6E" w:rsidR="004D3FD1" w:rsidRDefault="0046654B" w:rsidP="0046654B">
      <w:pPr>
        <w:rPr>
          <w:lang w:eastAsia="en-US"/>
        </w:rPr>
      </w:pPr>
      <w:r>
        <w:rPr>
          <w:lang w:eastAsia="en-US"/>
        </w:rPr>
        <w:t xml:space="preserve">Table 4.1 also summarises balance-sheet values and computes major structural ratios. There are three features which are significant financially. Firstly, customer deposits comprise a sizeable portion of funding (usually over fifty </w:t>
      </w:r>
      <w:r w:rsidR="00EA4184">
        <w:rPr>
          <w:lang w:eastAsia="en-US"/>
        </w:rPr>
        <w:t>per cent</w:t>
      </w:r>
      <w:r>
        <w:rPr>
          <w:lang w:eastAsia="en-US"/>
        </w:rPr>
        <w:t xml:space="preserve"> of funds where they exist), which is generally considered more secure than wholesale funding</w:t>
      </w:r>
      <w:r w:rsidR="00436E6E">
        <w:rPr>
          <w:lang w:eastAsia="en-US"/>
        </w:rPr>
        <w:t xml:space="preserve"> </w:t>
      </w:r>
      <w:r w:rsidR="00436E6E">
        <w:rPr>
          <w:rFonts w:cs="Arial"/>
          <w:color w:val="000000"/>
        </w:rPr>
        <w:t xml:space="preserve">(Landi </w:t>
      </w:r>
      <w:r w:rsidR="00436E6E">
        <w:rPr>
          <w:rFonts w:cs="Arial"/>
          <w:i/>
          <w:iCs/>
          <w:color w:val="000000"/>
        </w:rPr>
        <w:t>et al.</w:t>
      </w:r>
      <w:r w:rsidR="00436E6E">
        <w:rPr>
          <w:rFonts w:cs="Arial"/>
          <w:color w:val="000000"/>
        </w:rPr>
        <w:t>, 2022)</w:t>
      </w:r>
      <w:r>
        <w:rPr>
          <w:lang w:eastAsia="en-US"/>
        </w:rPr>
        <w:t xml:space="preserve">. Second, borrowings are significant but relatively steady as a proportion of assets, meaning that the Group has diversified its sources of funds and </w:t>
      </w:r>
      <w:r w:rsidR="00EA4184">
        <w:rPr>
          <w:lang w:eastAsia="en-US"/>
        </w:rPr>
        <w:t xml:space="preserve">is </w:t>
      </w:r>
      <w:r>
        <w:rPr>
          <w:lang w:eastAsia="en-US"/>
        </w:rPr>
        <w:t xml:space="preserve">not limited to deposits. Third, the equity as an asset portion is in the low-teens </w:t>
      </w:r>
      <w:r w:rsidR="00EA4184">
        <w:rPr>
          <w:lang w:eastAsia="en-US"/>
        </w:rPr>
        <w:t>percentage</w:t>
      </w:r>
      <w:r>
        <w:rPr>
          <w:lang w:eastAsia="en-US"/>
        </w:rPr>
        <w:t xml:space="preserve"> range, so alterations in impairment charges and retained earnings may have a significant impact on the equity base and, via regulatory conformations, CET1 capital.</w:t>
      </w:r>
    </w:p>
    <w:p w14:paraId="28BC863D" w14:textId="789AA9DF" w:rsidR="0046654B" w:rsidRDefault="0046654B" w:rsidP="0046654B">
      <w:pPr>
        <w:rPr>
          <w:lang w:eastAsia="en-US"/>
        </w:rPr>
      </w:pPr>
      <w:r>
        <w:rPr>
          <w:lang w:eastAsia="en-US"/>
        </w:rPr>
        <w:t xml:space="preserve">Applying the financial management perspective, the financing </w:t>
      </w:r>
      <w:r w:rsidR="00EA4184">
        <w:rPr>
          <w:lang w:eastAsia="en-US"/>
        </w:rPr>
        <w:t>organisation</w:t>
      </w:r>
      <w:r>
        <w:rPr>
          <w:lang w:eastAsia="en-US"/>
        </w:rPr>
        <w:t xml:space="preserve"> can be evaluated through a financing coverage lens: Are deposits and longer-term debts comfortable enough to finance the size of the lending assets</w:t>
      </w:r>
      <w:r w:rsidR="00436E6E">
        <w:rPr>
          <w:lang w:eastAsia="en-US"/>
        </w:rPr>
        <w:t xml:space="preserve"> </w:t>
      </w:r>
      <w:r w:rsidR="00436E6E">
        <w:rPr>
          <w:rFonts w:cs="Arial"/>
          <w:color w:val="000000"/>
        </w:rPr>
        <w:t xml:space="preserve">(Kumar, </w:t>
      </w:r>
      <w:proofErr w:type="spellStart"/>
      <w:r w:rsidR="00436E6E">
        <w:rPr>
          <w:rFonts w:cs="Arial"/>
          <w:color w:val="000000"/>
        </w:rPr>
        <w:t>Thrikawala</w:t>
      </w:r>
      <w:proofErr w:type="spellEnd"/>
      <w:r w:rsidR="00436E6E">
        <w:rPr>
          <w:rFonts w:cs="Arial"/>
          <w:color w:val="000000"/>
        </w:rPr>
        <w:t xml:space="preserve"> and Acharya, 2022)</w:t>
      </w:r>
      <w:r>
        <w:rPr>
          <w:lang w:eastAsia="en-US"/>
        </w:rPr>
        <w:t>? The Group demonstrates that the number of loans and deposits is at a ratio above 1:1 in the years that the loans and deposits are present (FY2019, FY2020, FY2022 and FY2023). This indicates that deposits do not suffice to fund the loan book, thus the treasury operation within the Group has to operate in balance of deposits, wholesale funding and capital market instruments, as well as liquidity buffers</w:t>
      </w:r>
      <w:r w:rsidR="00436E6E">
        <w:rPr>
          <w:lang w:eastAsia="en-US"/>
        </w:rPr>
        <w:t xml:space="preserve"> </w:t>
      </w:r>
      <w:r w:rsidR="00436E6E">
        <w:rPr>
          <w:rFonts w:cs="Arial"/>
          <w:color w:val="000000"/>
        </w:rPr>
        <w:t>(</w:t>
      </w:r>
      <w:proofErr w:type="spellStart"/>
      <w:r w:rsidR="00436E6E">
        <w:rPr>
          <w:rFonts w:cs="Arial"/>
          <w:color w:val="000000"/>
        </w:rPr>
        <w:t>Dieste</w:t>
      </w:r>
      <w:proofErr w:type="spellEnd"/>
      <w:r w:rsidR="00436E6E">
        <w:rPr>
          <w:rFonts w:cs="Arial"/>
          <w:color w:val="000000"/>
        </w:rPr>
        <w:t xml:space="preserve">, </w:t>
      </w:r>
      <w:proofErr w:type="spellStart"/>
      <w:r w:rsidR="00436E6E">
        <w:rPr>
          <w:rFonts w:cs="Arial"/>
          <w:color w:val="000000"/>
        </w:rPr>
        <w:t>Panizzolo</w:t>
      </w:r>
      <w:proofErr w:type="spellEnd"/>
      <w:r w:rsidR="00436E6E">
        <w:rPr>
          <w:rFonts w:cs="Arial"/>
          <w:color w:val="000000"/>
        </w:rPr>
        <w:t xml:space="preserve"> and Garza-Reyes, 2021)</w:t>
      </w:r>
      <w:r>
        <w:rPr>
          <w:lang w:eastAsia="en-US"/>
        </w:rPr>
        <w:t>.</w:t>
      </w:r>
    </w:p>
    <w:p w14:paraId="637688B5" w14:textId="75B2A2C5" w:rsidR="0046654B" w:rsidRDefault="0046654B" w:rsidP="0046654B">
      <w:pPr>
        <w:rPr>
          <w:lang w:eastAsia="en-US"/>
        </w:rPr>
      </w:pPr>
      <w:r>
        <w:rPr>
          <w:lang w:eastAsia="en-US"/>
        </w:rPr>
        <w:t xml:space="preserve">The balance sheet also reveals that </w:t>
      </w:r>
      <w:r w:rsidR="00436E6E">
        <w:rPr>
          <w:lang w:eastAsia="en-US"/>
        </w:rPr>
        <w:t xml:space="preserve">the </w:t>
      </w:r>
      <w:r>
        <w:rPr>
          <w:lang w:eastAsia="en-US"/>
        </w:rPr>
        <w:t xml:space="preserve">credit footprint increment has occurred between FY2020 and FY2022FY2023, as combined loans and advances to customers and operating lease assets have increased in value between about GBP 7.6bn in </w:t>
      </w:r>
      <w:r w:rsidR="00EA4184">
        <w:rPr>
          <w:lang w:eastAsia="en-US"/>
        </w:rPr>
        <w:t>FY2019 and FY2020</w:t>
      </w:r>
      <w:r>
        <w:rPr>
          <w:lang w:eastAsia="en-US"/>
        </w:rPr>
        <w:t xml:space="preserve"> to around GBP 9.6bn in FY2022 and 9.9bn in FY2023. This growth provides a higher base of generating income, but also exposes the borrower to a greater level of stress, collateral value fluctuations and concentration risk which is recorded in impairment charges and capital requirements.</w:t>
      </w:r>
    </w:p>
    <w:p w14:paraId="4C9C082B" w14:textId="234A0805" w:rsidR="0046654B" w:rsidRDefault="0046654B" w:rsidP="0046654B">
      <w:pPr>
        <w:rPr>
          <w:lang w:eastAsia="en-US"/>
        </w:rPr>
      </w:pPr>
      <w:r>
        <w:rPr>
          <w:lang w:eastAsia="en-US"/>
        </w:rPr>
        <w:t xml:space="preserve">Lastly, FY2024 reports show that the total assets and equity will keep growing compared to FY2023. This is important </w:t>
      </w:r>
      <w:r w:rsidR="00EA4184">
        <w:rPr>
          <w:lang w:eastAsia="en-US"/>
        </w:rPr>
        <w:t>because it features a macroeconomic transition from the pandemic shock (FY2020-FY2021) to</w:t>
      </w:r>
      <w:r>
        <w:rPr>
          <w:lang w:eastAsia="en-US"/>
        </w:rPr>
        <w:t xml:space="preserve"> inflation and rising interest </w:t>
      </w:r>
      <w:r>
        <w:rPr>
          <w:lang w:eastAsia="en-US"/>
        </w:rPr>
        <w:lastRenderedPageBreak/>
        <w:t xml:space="preserve">rates (FY2022-FY2024). They influence both </w:t>
      </w:r>
      <w:r w:rsidR="00EA4184">
        <w:rPr>
          <w:lang w:eastAsia="en-US"/>
        </w:rPr>
        <w:t>borrowers' performance (credit risk) and funding costs (interest-rate and liquidity risk), and the combined management of growth, credit quality, and capital headroom has become a key theme in the Group's financial results</w:t>
      </w:r>
      <w:r>
        <w:rPr>
          <w:lang w:eastAsia="en-US"/>
        </w:rPr>
        <w:t>.</w:t>
      </w:r>
    </w:p>
    <w:p w14:paraId="6A227DE8" w14:textId="1F3CB340" w:rsidR="004D3FD1" w:rsidRDefault="004D3FD1" w:rsidP="0046654B">
      <w:pPr>
        <w:rPr>
          <w:lang w:eastAsia="en-US"/>
        </w:rPr>
      </w:pPr>
      <w:r>
        <w:rPr>
          <w:noProof/>
          <w:lang w:eastAsia="en-US"/>
        </w:rPr>
        <w:drawing>
          <wp:inline distT="0" distB="0" distL="0" distR="0" wp14:anchorId="76B559BD" wp14:editId="44C789CD">
            <wp:extent cx="5266955" cy="414833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66955" cy="4148336"/>
                    </a:xfrm>
                    <a:prstGeom prst="rect">
                      <a:avLst/>
                    </a:prstGeom>
                  </pic:spPr>
                </pic:pic>
              </a:graphicData>
            </a:graphic>
          </wp:inline>
        </w:drawing>
      </w:r>
    </w:p>
    <w:p w14:paraId="18F228E6" w14:textId="77777777" w:rsidR="0046654B" w:rsidRPr="0046654B" w:rsidRDefault="0046654B" w:rsidP="0046654B">
      <w:pPr>
        <w:rPr>
          <w:b/>
          <w:bCs/>
        </w:rPr>
      </w:pPr>
      <w:r w:rsidRPr="0046654B">
        <w:rPr>
          <w:b/>
          <w:bCs/>
        </w:rPr>
        <w:t>Table 4.1 Balance-sheet summary and structure ratios (FY2019–FY2024, GBP m)</w:t>
      </w:r>
    </w:p>
    <w:tbl>
      <w:tblPr>
        <w:tblStyle w:val="TableGrid"/>
        <w:tblW w:w="0" w:type="auto"/>
        <w:tblLook w:val="04A0" w:firstRow="1" w:lastRow="0" w:firstColumn="1" w:lastColumn="0" w:noHBand="0" w:noVBand="1"/>
      </w:tblPr>
      <w:tblGrid>
        <w:gridCol w:w="502"/>
        <w:gridCol w:w="767"/>
        <w:gridCol w:w="775"/>
        <w:gridCol w:w="861"/>
        <w:gridCol w:w="718"/>
        <w:gridCol w:w="718"/>
        <w:gridCol w:w="646"/>
        <w:gridCol w:w="997"/>
        <w:gridCol w:w="1140"/>
        <w:gridCol w:w="1283"/>
        <w:gridCol w:w="603"/>
      </w:tblGrid>
      <w:tr w:rsidR="0046654B" w:rsidRPr="0046654B" w14:paraId="53144235" w14:textId="77777777" w:rsidTr="0046654B">
        <w:tc>
          <w:tcPr>
            <w:tcW w:w="502" w:type="dxa"/>
          </w:tcPr>
          <w:p w14:paraId="1D17B9C7" w14:textId="77777777" w:rsidR="0046654B" w:rsidRPr="0046654B" w:rsidRDefault="0046654B" w:rsidP="0046654B">
            <w:pPr>
              <w:rPr>
                <w:rFonts w:cs="Arial"/>
                <w:sz w:val="18"/>
                <w:szCs w:val="18"/>
              </w:rPr>
            </w:pPr>
            <w:r w:rsidRPr="0046654B">
              <w:rPr>
                <w:rFonts w:cs="Arial"/>
                <w:sz w:val="18"/>
                <w:szCs w:val="18"/>
              </w:rPr>
              <w:t>Year</w:t>
            </w:r>
          </w:p>
        </w:tc>
        <w:tc>
          <w:tcPr>
            <w:tcW w:w="767" w:type="dxa"/>
          </w:tcPr>
          <w:p w14:paraId="323EBFF1" w14:textId="77777777" w:rsidR="0046654B" w:rsidRPr="0046654B" w:rsidRDefault="0046654B" w:rsidP="0046654B">
            <w:pPr>
              <w:rPr>
                <w:rFonts w:cs="Arial"/>
                <w:sz w:val="18"/>
                <w:szCs w:val="18"/>
              </w:rPr>
            </w:pPr>
            <w:r w:rsidRPr="0046654B">
              <w:rPr>
                <w:rFonts w:cs="Arial"/>
                <w:sz w:val="18"/>
                <w:szCs w:val="18"/>
              </w:rPr>
              <w:t>Loans &amp; advances + lease assets</w:t>
            </w:r>
          </w:p>
        </w:tc>
        <w:tc>
          <w:tcPr>
            <w:tcW w:w="775" w:type="dxa"/>
          </w:tcPr>
          <w:p w14:paraId="2C564051" w14:textId="77777777" w:rsidR="0046654B" w:rsidRPr="0046654B" w:rsidRDefault="0046654B" w:rsidP="0046654B">
            <w:pPr>
              <w:rPr>
                <w:rFonts w:cs="Arial"/>
                <w:sz w:val="18"/>
                <w:szCs w:val="18"/>
              </w:rPr>
            </w:pPr>
            <w:r w:rsidRPr="0046654B">
              <w:rPr>
                <w:rFonts w:cs="Arial"/>
                <w:sz w:val="18"/>
                <w:szCs w:val="18"/>
              </w:rPr>
              <w:t>Customer deposits</w:t>
            </w:r>
          </w:p>
        </w:tc>
        <w:tc>
          <w:tcPr>
            <w:tcW w:w="861" w:type="dxa"/>
          </w:tcPr>
          <w:p w14:paraId="03EE2D02" w14:textId="77777777" w:rsidR="0046654B" w:rsidRPr="0046654B" w:rsidRDefault="0046654B" w:rsidP="0046654B">
            <w:pPr>
              <w:rPr>
                <w:rFonts w:cs="Arial"/>
                <w:sz w:val="18"/>
                <w:szCs w:val="18"/>
              </w:rPr>
            </w:pPr>
            <w:r w:rsidRPr="0046654B">
              <w:rPr>
                <w:rFonts w:cs="Arial"/>
                <w:sz w:val="18"/>
                <w:szCs w:val="18"/>
              </w:rPr>
              <w:t>Borrowings</w:t>
            </w:r>
          </w:p>
        </w:tc>
        <w:tc>
          <w:tcPr>
            <w:tcW w:w="718" w:type="dxa"/>
          </w:tcPr>
          <w:p w14:paraId="63416770" w14:textId="77777777" w:rsidR="0046654B" w:rsidRPr="0046654B" w:rsidRDefault="0046654B" w:rsidP="0046654B">
            <w:pPr>
              <w:rPr>
                <w:rFonts w:cs="Arial"/>
                <w:sz w:val="18"/>
                <w:szCs w:val="18"/>
              </w:rPr>
            </w:pPr>
            <w:r w:rsidRPr="0046654B">
              <w:rPr>
                <w:rFonts w:cs="Arial"/>
                <w:sz w:val="18"/>
                <w:szCs w:val="18"/>
              </w:rPr>
              <w:t>Total assets</w:t>
            </w:r>
          </w:p>
        </w:tc>
        <w:tc>
          <w:tcPr>
            <w:tcW w:w="718" w:type="dxa"/>
          </w:tcPr>
          <w:p w14:paraId="5F2A18FD" w14:textId="77777777" w:rsidR="0046654B" w:rsidRPr="0046654B" w:rsidRDefault="0046654B" w:rsidP="0046654B">
            <w:pPr>
              <w:rPr>
                <w:rFonts w:cs="Arial"/>
                <w:sz w:val="18"/>
                <w:szCs w:val="18"/>
              </w:rPr>
            </w:pPr>
            <w:r w:rsidRPr="0046654B">
              <w:rPr>
                <w:rFonts w:cs="Arial"/>
                <w:sz w:val="18"/>
                <w:szCs w:val="18"/>
              </w:rPr>
              <w:t>Total liabilities</w:t>
            </w:r>
          </w:p>
        </w:tc>
        <w:tc>
          <w:tcPr>
            <w:tcW w:w="646" w:type="dxa"/>
          </w:tcPr>
          <w:p w14:paraId="6D0D91ED" w14:textId="77777777" w:rsidR="0046654B" w:rsidRPr="0046654B" w:rsidRDefault="0046654B" w:rsidP="0046654B">
            <w:pPr>
              <w:rPr>
                <w:rFonts w:cs="Arial"/>
                <w:sz w:val="18"/>
                <w:szCs w:val="18"/>
              </w:rPr>
            </w:pPr>
            <w:r w:rsidRPr="0046654B">
              <w:rPr>
                <w:rFonts w:cs="Arial"/>
                <w:sz w:val="18"/>
                <w:szCs w:val="18"/>
              </w:rPr>
              <w:t>Total equity</w:t>
            </w:r>
          </w:p>
        </w:tc>
        <w:tc>
          <w:tcPr>
            <w:tcW w:w="997" w:type="dxa"/>
          </w:tcPr>
          <w:p w14:paraId="3CA42024" w14:textId="77777777" w:rsidR="0046654B" w:rsidRPr="0046654B" w:rsidRDefault="0046654B" w:rsidP="0046654B">
            <w:pPr>
              <w:rPr>
                <w:rFonts w:cs="Arial"/>
                <w:sz w:val="18"/>
                <w:szCs w:val="18"/>
              </w:rPr>
            </w:pPr>
            <w:r w:rsidRPr="0046654B">
              <w:rPr>
                <w:rFonts w:cs="Arial"/>
                <w:sz w:val="18"/>
                <w:szCs w:val="18"/>
              </w:rPr>
              <w:t>Equity/Assets %</w:t>
            </w:r>
          </w:p>
        </w:tc>
        <w:tc>
          <w:tcPr>
            <w:tcW w:w="1301" w:type="dxa"/>
          </w:tcPr>
          <w:p w14:paraId="7F71E668" w14:textId="77777777" w:rsidR="0046654B" w:rsidRPr="0046654B" w:rsidRDefault="0046654B" w:rsidP="0046654B">
            <w:pPr>
              <w:rPr>
                <w:rFonts w:cs="Arial"/>
                <w:sz w:val="18"/>
                <w:szCs w:val="18"/>
              </w:rPr>
            </w:pPr>
            <w:r w:rsidRPr="0046654B">
              <w:rPr>
                <w:rFonts w:cs="Arial"/>
                <w:sz w:val="18"/>
                <w:szCs w:val="18"/>
              </w:rPr>
              <w:t>Deposits/Assets %</w:t>
            </w:r>
          </w:p>
        </w:tc>
        <w:tc>
          <w:tcPr>
            <w:tcW w:w="1122" w:type="dxa"/>
          </w:tcPr>
          <w:p w14:paraId="4FA1221C" w14:textId="77777777" w:rsidR="0046654B" w:rsidRPr="0046654B" w:rsidRDefault="0046654B" w:rsidP="0046654B">
            <w:pPr>
              <w:rPr>
                <w:rFonts w:cs="Arial"/>
                <w:sz w:val="18"/>
                <w:szCs w:val="18"/>
              </w:rPr>
            </w:pPr>
            <w:r w:rsidRPr="0046654B">
              <w:rPr>
                <w:rFonts w:cs="Arial"/>
                <w:sz w:val="18"/>
                <w:szCs w:val="18"/>
              </w:rPr>
              <w:t>Borrowings/Assets %</w:t>
            </w:r>
          </w:p>
        </w:tc>
        <w:tc>
          <w:tcPr>
            <w:tcW w:w="603" w:type="dxa"/>
          </w:tcPr>
          <w:p w14:paraId="73A66F99" w14:textId="77777777" w:rsidR="0046654B" w:rsidRPr="0046654B" w:rsidRDefault="0046654B" w:rsidP="0046654B">
            <w:pPr>
              <w:rPr>
                <w:rFonts w:cs="Arial"/>
                <w:sz w:val="18"/>
                <w:szCs w:val="18"/>
              </w:rPr>
            </w:pPr>
            <w:r w:rsidRPr="0046654B">
              <w:rPr>
                <w:rFonts w:cs="Arial"/>
                <w:sz w:val="18"/>
                <w:szCs w:val="18"/>
              </w:rPr>
              <w:t>Asset growth %</w:t>
            </w:r>
          </w:p>
        </w:tc>
      </w:tr>
      <w:tr w:rsidR="0046654B" w:rsidRPr="0046654B" w14:paraId="43F1E11C" w14:textId="77777777" w:rsidTr="0046654B">
        <w:tc>
          <w:tcPr>
            <w:tcW w:w="502" w:type="dxa"/>
          </w:tcPr>
          <w:p w14:paraId="4B3CCE62" w14:textId="77777777" w:rsidR="0046654B" w:rsidRPr="0046654B" w:rsidRDefault="0046654B" w:rsidP="0046654B">
            <w:pPr>
              <w:rPr>
                <w:rFonts w:cs="Arial"/>
                <w:sz w:val="18"/>
                <w:szCs w:val="18"/>
              </w:rPr>
            </w:pPr>
            <w:r w:rsidRPr="0046654B">
              <w:rPr>
                <w:rFonts w:cs="Arial"/>
                <w:sz w:val="18"/>
                <w:szCs w:val="18"/>
              </w:rPr>
              <w:t>2019</w:t>
            </w:r>
          </w:p>
        </w:tc>
        <w:tc>
          <w:tcPr>
            <w:tcW w:w="767" w:type="dxa"/>
          </w:tcPr>
          <w:p w14:paraId="76C66B5A" w14:textId="77777777" w:rsidR="0046654B" w:rsidRPr="0046654B" w:rsidRDefault="0046654B" w:rsidP="0046654B">
            <w:pPr>
              <w:rPr>
                <w:rFonts w:cs="Arial"/>
                <w:sz w:val="18"/>
                <w:szCs w:val="18"/>
              </w:rPr>
            </w:pPr>
            <w:r w:rsidRPr="0046654B">
              <w:rPr>
                <w:rFonts w:cs="Arial"/>
                <w:sz w:val="18"/>
                <w:szCs w:val="18"/>
              </w:rPr>
              <w:t>7,649.6</w:t>
            </w:r>
          </w:p>
        </w:tc>
        <w:tc>
          <w:tcPr>
            <w:tcW w:w="775" w:type="dxa"/>
          </w:tcPr>
          <w:p w14:paraId="35114F29" w14:textId="77777777" w:rsidR="0046654B" w:rsidRPr="0046654B" w:rsidRDefault="0046654B" w:rsidP="0046654B">
            <w:pPr>
              <w:rPr>
                <w:rFonts w:cs="Arial"/>
                <w:sz w:val="18"/>
                <w:szCs w:val="18"/>
              </w:rPr>
            </w:pPr>
            <w:r w:rsidRPr="0046654B">
              <w:rPr>
                <w:rFonts w:cs="Arial"/>
                <w:sz w:val="18"/>
                <w:szCs w:val="18"/>
              </w:rPr>
              <w:t>5,638.4</w:t>
            </w:r>
          </w:p>
        </w:tc>
        <w:tc>
          <w:tcPr>
            <w:tcW w:w="861" w:type="dxa"/>
          </w:tcPr>
          <w:p w14:paraId="7416AE49" w14:textId="77777777" w:rsidR="0046654B" w:rsidRPr="0046654B" w:rsidRDefault="0046654B" w:rsidP="0046654B">
            <w:pPr>
              <w:rPr>
                <w:rFonts w:cs="Arial"/>
                <w:sz w:val="18"/>
                <w:szCs w:val="18"/>
              </w:rPr>
            </w:pPr>
            <w:r w:rsidRPr="0046654B">
              <w:rPr>
                <w:rFonts w:cs="Arial"/>
                <w:sz w:val="18"/>
                <w:szCs w:val="18"/>
              </w:rPr>
              <w:t>2,601.0</w:t>
            </w:r>
          </w:p>
        </w:tc>
        <w:tc>
          <w:tcPr>
            <w:tcW w:w="718" w:type="dxa"/>
          </w:tcPr>
          <w:p w14:paraId="252910EB" w14:textId="77777777" w:rsidR="0046654B" w:rsidRPr="0046654B" w:rsidRDefault="0046654B" w:rsidP="0046654B">
            <w:pPr>
              <w:rPr>
                <w:rFonts w:cs="Arial"/>
                <w:sz w:val="18"/>
                <w:szCs w:val="18"/>
              </w:rPr>
            </w:pPr>
            <w:r w:rsidRPr="0046654B">
              <w:rPr>
                <w:rFonts w:cs="Arial"/>
                <w:sz w:val="18"/>
                <w:szCs w:val="18"/>
              </w:rPr>
              <w:t>10,561.3</w:t>
            </w:r>
          </w:p>
        </w:tc>
        <w:tc>
          <w:tcPr>
            <w:tcW w:w="718" w:type="dxa"/>
          </w:tcPr>
          <w:p w14:paraId="337ADE84" w14:textId="77777777" w:rsidR="0046654B" w:rsidRPr="0046654B" w:rsidRDefault="0046654B" w:rsidP="0046654B">
            <w:pPr>
              <w:rPr>
                <w:rFonts w:cs="Arial"/>
                <w:sz w:val="18"/>
                <w:szCs w:val="18"/>
              </w:rPr>
            </w:pPr>
            <w:r w:rsidRPr="0046654B">
              <w:rPr>
                <w:rFonts w:cs="Arial"/>
                <w:sz w:val="18"/>
                <w:szCs w:val="18"/>
              </w:rPr>
              <w:t>9,154.9</w:t>
            </w:r>
          </w:p>
        </w:tc>
        <w:tc>
          <w:tcPr>
            <w:tcW w:w="646" w:type="dxa"/>
          </w:tcPr>
          <w:p w14:paraId="0BB72AF3" w14:textId="77777777" w:rsidR="0046654B" w:rsidRPr="0046654B" w:rsidRDefault="0046654B" w:rsidP="0046654B">
            <w:pPr>
              <w:rPr>
                <w:rFonts w:cs="Arial"/>
                <w:sz w:val="18"/>
                <w:szCs w:val="18"/>
              </w:rPr>
            </w:pPr>
            <w:r w:rsidRPr="0046654B">
              <w:rPr>
                <w:rFonts w:cs="Arial"/>
                <w:sz w:val="18"/>
                <w:szCs w:val="18"/>
              </w:rPr>
              <w:t>1,406.4</w:t>
            </w:r>
          </w:p>
        </w:tc>
        <w:tc>
          <w:tcPr>
            <w:tcW w:w="997" w:type="dxa"/>
          </w:tcPr>
          <w:p w14:paraId="0CF75A36" w14:textId="77777777" w:rsidR="0046654B" w:rsidRPr="0046654B" w:rsidRDefault="0046654B" w:rsidP="0046654B">
            <w:pPr>
              <w:rPr>
                <w:rFonts w:cs="Arial"/>
                <w:sz w:val="18"/>
                <w:szCs w:val="18"/>
              </w:rPr>
            </w:pPr>
            <w:r w:rsidRPr="0046654B">
              <w:rPr>
                <w:rFonts w:cs="Arial"/>
                <w:sz w:val="18"/>
                <w:szCs w:val="18"/>
              </w:rPr>
              <w:t>13.32</w:t>
            </w:r>
          </w:p>
        </w:tc>
        <w:tc>
          <w:tcPr>
            <w:tcW w:w="1301" w:type="dxa"/>
          </w:tcPr>
          <w:p w14:paraId="084C8A5C" w14:textId="77777777" w:rsidR="0046654B" w:rsidRPr="0046654B" w:rsidRDefault="0046654B" w:rsidP="0046654B">
            <w:pPr>
              <w:rPr>
                <w:rFonts w:cs="Arial"/>
                <w:sz w:val="18"/>
                <w:szCs w:val="18"/>
              </w:rPr>
            </w:pPr>
            <w:r w:rsidRPr="0046654B">
              <w:rPr>
                <w:rFonts w:cs="Arial"/>
                <w:sz w:val="18"/>
                <w:szCs w:val="18"/>
              </w:rPr>
              <w:t>53.39</w:t>
            </w:r>
          </w:p>
        </w:tc>
        <w:tc>
          <w:tcPr>
            <w:tcW w:w="1122" w:type="dxa"/>
          </w:tcPr>
          <w:p w14:paraId="7B649C7F" w14:textId="77777777" w:rsidR="0046654B" w:rsidRPr="0046654B" w:rsidRDefault="0046654B" w:rsidP="0046654B">
            <w:pPr>
              <w:rPr>
                <w:rFonts w:cs="Arial"/>
                <w:sz w:val="18"/>
                <w:szCs w:val="18"/>
              </w:rPr>
            </w:pPr>
            <w:r w:rsidRPr="0046654B">
              <w:rPr>
                <w:rFonts w:cs="Arial"/>
                <w:sz w:val="18"/>
                <w:szCs w:val="18"/>
              </w:rPr>
              <w:t>24.63</w:t>
            </w:r>
          </w:p>
        </w:tc>
        <w:tc>
          <w:tcPr>
            <w:tcW w:w="603" w:type="dxa"/>
          </w:tcPr>
          <w:p w14:paraId="5DD4B35D" w14:textId="77777777" w:rsidR="0046654B" w:rsidRPr="0046654B" w:rsidRDefault="0046654B" w:rsidP="0046654B">
            <w:pPr>
              <w:rPr>
                <w:rFonts w:cs="Arial"/>
                <w:sz w:val="18"/>
                <w:szCs w:val="18"/>
              </w:rPr>
            </w:pPr>
          </w:p>
        </w:tc>
      </w:tr>
      <w:tr w:rsidR="0046654B" w:rsidRPr="0046654B" w14:paraId="15289AA6" w14:textId="77777777" w:rsidTr="0046654B">
        <w:tc>
          <w:tcPr>
            <w:tcW w:w="502" w:type="dxa"/>
          </w:tcPr>
          <w:p w14:paraId="3155BF59" w14:textId="77777777" w:rsidR="0046654B" w:rsidRPr="0046654B" w:rsidRDefault="0046654B" w:rsidP="0046654B">
            <w:pPr>
              <w:rPr>
                <w:rFonts w:cs="Arial"/>
                <w:sz w:val="18"/>
                <w:szCs w:val="18"/>
              </w:rPr>
            </w:pPr>
            <w:r w:rsidRPr="0046654B">
              <w:rPr>
                <w:rFonts w:cs="Arial"/>
                <w:sz w:val="18"/>
                <w:szCs w:val="18"/>
              </w:rPr>
              <w:t>2020</w:t>
            </w:r>
          </w:p>
        </w:tc>
        <w:tc>
          <w:tcPr>
            <w:tcW w:w="767" w:type="dxa"/>
          </w:tcPr>
          <w:p w14:paraId="419A7A72" w14:textId="77777777" w:rsidR="0046654B" w:rsidRPr="0046654B" w:rsidRDefault="0046654B" w:rsidP="0046654B">
            <w:pPr>
              <w:rPr>
                <w:rFonts w:cs="Arial"/>
                <w:sz w:val="18"/>
                <w:szCs w:val="18"/>
              </w:rPr>
            </w:pPr>
            <w:r w:rsidRPr="0046654B">
              <w:rPr>
                <w:rFonts w:cs="Arial"/>
                <w:sz w:val="18"/>
                <w:szCs w:val="18"/>
              </w:rPr>
              <w:t>7,616.7</w:t>
            </w:r>
          </w:p>
        </w:tc>
        <w:tc>
          <w:tcPr>
            <w:tcW w:w="775" w:type="dxa"/>
          </w:tcPr>
          <w:p w14:paraId="5E583B55" w14:textId="77777777" w:rsidR="0046654B" w:rsidRPr="0046654B" w:rsidRDefault="0046654B" w:rsidP="0046654B">
            <w:pPr>
              <w:rPr>
                <w:rFonts w:cs="Arial"/>
                <w:sz w:val="18"/>
                <w:szCs w:val="18"/>
              </w:rPr>
            </w:pPr>
            <w:r w:rsidRPr="0046654B">
              <w:rPr>
                <w:rFonts w:cs="Arial"/>
                <w:sz w:val="18"/>
                <w:szCs w:val="18"/>
              </w:rPr>
              <w:t>5,917.7</w:t>
            </w:r>
          </w:p>
        </w:tc>
        <w:tc>
          <w:tcPr>
            <w:tcW w:w="861" w:type="dxa"/>
          </w:tcPr>
          <w:p w14:paraId="79E91680" w14:textId="77777777" w:rsidR="0046654B" w:rsidRPr="0046654B" w:rsidRDefault="0046654B" w:rsidP="0046654B">
            <w:pPr>
              <w:rPr>
                <w:rFonts w:cs="Arial"/>
                <w:sz w:val="18"/>
                <w:szCs w:val="18"/>
              </w:rPr>
            </w:pPr>
            <w:r w:rsidRPr="0046654B">
              <w:rPr>
                <w:rFonts w:cs="Arial"/>
                <w:sz w:val="18"/>
                <w:szCs w:val="18"/>
              </w:rPr>
              <w:t>2,591.2</w:t>
            </w:r>
          </w:p>
        </w:tc>
        <w:tc>
          <w:tcPr>
            <w:tcW w:w="718" w:type="dxa"/>
          </w:tcPr>
          <w:p w14:paraId="7E11188B" w14:textId="77777777" w:rsidR="0046654B" w:rsidRPr="0046654B" w:rsidRDefault="0046654B" w:rsidP="0046654B">
            <w:pPr>
              <w:rPr>
                <w:rFonts w:cs="Arial"/>
                <w:sz w:val="18"/>
                <w:szCs w:val="18"/>
              </w:rPr>
            </w:pPr>
            <w:r w:rsidRPr="0046654B">
              <w:rPr>
                <w:rFonts w:cs="Arial"/>
                <w:sz w:val="18"/>
                <w:szCs w:val="18"/>
              </w:rPr>
              <w:t>11,071.5</w:t>
            </w:r>
          </w:p>
        </w:tc>
        <w:tc>
          <w:tcPr>
            <w:tcW w:w="718" w:type="dxa"/>
          </w:tcPr>
          <w:p w14:paraId="70E78A00" w14:textId="77777777" w:rsidR="0046654B" w:rsidRPr="0046654B" w:rsidRDefault="0046654B" w:rsidP="0046654B">
            <w:pPr>
              <w:rPr>
                <w:rFonts w:cs="Arial"/>
                <w:sz w:val="18"/>
                <w:szCs w:val="18"/>
              </w:rPr>
            </w:pPr>
            <w:r w:rsidRPr="0046654B">
              <w:rPr>
                <w:rFonts w:cs="Arial"/>
                <w:sz w:val="18"/>
                <w:szCs w:val="18"/>
              </w:rPr>
              <w:t>9,621.9</w:t>
            </w:r>
          </w:p>
        </w:tc>
        <w:tc>
          <w:tcPr>
            <w:tcW w:w="646" w:type="dxa"/>
          </w:tcPr>
          <w:p w14:paraId="7DA6056D" w14:textId="77777777" w:rsidR="0046654B" w:rsidRPr="0046654B" w:rsidRDefault="0046654B" w:rsidP="0046654B">
            <w:pPr>
              <w:rPr>
                <w:rFonts w:cs="Arial"/>
                <w:sz w:val="18"/>
                <w:szCs w:val="18"/>
              </w:rPr>
            </w:pPr>
            <w:r w:rsidRPr="0046654B">
              <w:rPr>
                <w:rFonts w:cs="Arial"/>
                <w:sz w:val="18"/>
                <w:szCs w:val="18"/>
              </w:rPr>
              <w:t>1,449.6</w:t>
            </w:r>
          </w:p>
        </w:tc>
        <w:tc>
          <w:tcPr>
            <w:tcW w:w="997" w:type="dxa"/>
          </w:tcPr>
          <w:p w14:paraId="652B284C" w14:textId="77777777" w:rsidR="0046654B" w:rsidRPr="0046654B" w:rsidRDefault="0046654B" w:rsidP="0046654B">
            <w:pPr>
              <w:rPr>
                <w:rFonts w:cs="Arial"/>
                <w:sz w:val="18"/>
                <w:szCs w:val="18"/>
              </w:rPr>
            </w:pPr>
            <w:r w:rsidRPr="0046654B">
              <w:rPr>
                <w:rFonts w:cs="Arial"/>
                <w:sz w:val="18"/>
                <w:szCs w:val="18"/>
              </w:rPr>
              <w:t>13.09</w:t>
            </w:r>
          </w:p>
        </w:tc>
        <w:tc>
          <w:tcPr>
            <w:tcW w:w="1301" w:type="dxa"/>
          </w:tcPr>
          <w:p w14:paraId="43B5D5A2" w14:textId="77777777" w:rsidR="0046654B" w:rsidRPr="0046654B" w:rsidRDefault="0046654B" w:rsidP="0046654B">
            <w:pPr>
              <w:rPr>
                <w:rFonts w:cs="Arial"/>
                <w:sz w:val="18"/>
                <w:szCs w:val="18"/>
              </w:rPr>
            </w:pPr>
            <w:r w:rsidRPr="0046654B">
              <w:rPr>
                <w:rFonts w:cs="Arial"/>
                <w:sz w:val="18"/>
                <w:szCs w:val="18"/>
              </w:rPr>
              <w:t>53.45</w:t>
            </w:r>
          </w:p>
        </w:tc>
        <w:tc>
          <w:tcPr>
            <w:tcW w:w="1122" w:type="dxa"/>
          </w:tcPr>
          <w:p w14:paraId="31D18284" w14:textId="77777777" w:rsidR="0046654B" w:rsidRPr="0046654B" w:rsidRDefault="0046654B" w:rsidP="0046654B">
            <w:pPr>
              <w:rPr>
                <w:rFonts w:cs="Arial"/>
                <w:sz w:val="18"/>
                <w:szCs w:val="18"/>
              </w:rPr>
            </w:pPr>
            <w:r w:rsidRPr="0046654B">
              <w:rPr>
                <w:rFonts w:cs="Arial"/>
                <w:sz w:val="18"/>
                <w:szCs w:val="18"/>
              </w:rPr>
              <w:t>23.40</w:t>
            </w:r>
          </w:p>
        </w:tc>
        <w:tc>
          <w:tcPr>
            <w:tcW w:w="603" w:type="dxa"/>
          </w:tcPr>
          <w:p w14:paraId="4D88D38D" w14:textId="77777777" w:rsidR="0046654B" w:rsidRPr="0046654B" w:rsidRDefault="0046654B" w:rsidP="0046654B">
            <w:pPr>
              <w:rPr>
                <w:rFonts w:cs="Arial"/>
                <w:sz w:val="18"/>
                <w:szCs w:val="18"/>
              </w:rPr>
            </w:pPr>
            <w:r w:rsidRPr="0046654B">
              <w:rPr>
                <w:rFonts w:cs="Arial"/>
                <w:sz w:val="18"/>
                <w:szCs w:val="18"/>
              </w:rPr>
              <w:t>4.83</w:t>
            </w:r>
          </w:p>
        </w:tc>
      </w:tr>
      <w:tr w:rsidR="0046654B" w:rsidRPr="0046654B" w14:paraId="717EC3F7" w14:textId="77777777" w:rsidTr="0046654B">
        <w:tc>
          <w:tcPr>
            <w:tcW w:w="502" w:type="dxa"/>
          </w:tcPr>
          <w:p w14:paraId="51C17E49" w14:textId="77777777" w:rsidR="0046654B" w:rsidRPr="0046654B" w:rsidRDefault="0046654B" w:rsidP="0046654B">
            <w:pPr>
              <w:rPr>
                <w:rFonts w:cs="Arial"/>
                <w:sz w:val="18"/>
                <w:szCs w:val="18"/>
              </w:rPr>
            </w:pPr>
            <w:r w:rsidRPr="0046654B">
              <w:rPr>
                <w:rFonts w:cs="Arial"/>
                <w:sz w:val="18"/>
                <w:szCs w:val="18"/>
              </w:rPr>
              <w:t>2021</w:t>
            </w:r>
          </w:p>
        </w:tc>
        <w:tc>
          <w:tcPr>
            <w:tcW w:w="767" w:type="dxa"/>
          </w:tcPr>
          <w:p w14:paraId="0716A844" w14:textId="77777777" w:rsidR="0046654B" w:rsidRPr="0046654B" w:rsidRDefault="0046654B" w:rsidP="0046654B">
            <w:pPr>
              <w:rPr>
                <w:rFonts w:cs="Arial"/>
                <w:sz w:val="18"/>
                <w:szCs w:val="18"/>
              </w:rPr>
            </w:pPr>
          </w:p>
        </w:tc>
        <w:tc>
          <w:tcPr>
            <w:tcW w:w="775" w:type="dxa"/>
          </w:tcPr>
          <w:p w14:paraId="0B41E1D8" w14:textId="77777777" w:rsidR="0046654B" w:rsidRPr="0046654B" w:rsidRDefault="0046654B" w:rsidP="0046654B">
            <w:pPr>
              <w:rPr>
                <w:rFonts w:cs="Arial"/>
                <w:sz w:val="18"/>
                <w:szCs w:val="18"/>
              </w:rPr>
            </w:pPr>
            <w:r w:rsidRPr="0046654B">
              <w:rPr>
                <w:rFonts w:cs="Arial"/>
                <w:sz w:val="18"/>
                <w:szCs w:val="18"/>
              </w:rPr>
              <w:t>6,634.8</w:t>
            </w:r>
          </w:p>
        </w:tc>
        <w:tc>
          <w:tcPr>
            <w:tcW w:w="861" w:type="dxa"/>
          </w:tcPr>
          <w:p w14:paraId="7981C43A" w14:textId="77777777" w:rsidR="0046654B" w:rsidRPr="0046654B" w:rsidRDefault="0046654B" w:rsidP="0046654B">
            <w:pPr>
              <w:rPr>
                <w:rFonts w:cs="Arial"/>
                <w:sz w:val="18"/>
                <w:szCs w:val="18"/>
              </w:rPr>
            </w:pPr>
            <w:r w:rsidRPr="0046654B">
              <w:rPr>
                <w:rFonts w:cs="Arial"/>
                <w:sz w:val="18"/>
                <w:szCs w:val="18"/>
              </w:rPr>
              <w:t>2,600.9</w:t>
            </w:r>
          </w:p>
        </w:tc>
        <w:tc>
          <w:tcPr>
            <w:tcW w:w="718" w:type="dxa"/>
          </w:tcPr>
          <w:p w14:paraId="0251DE15" w14:textId="77777777" w:rsidR="0046654B" w:rsidRPr="0046654B" w:rsidRDefault="0046654B" w:rsidP="0046654B">
            <w:pPr>
              <w:rPr>
                <w:rFonts w:cs="Arial"/>
                <w:sz w:val="18"/>
                <w:szCs w:val="18"/>
              </w:rPr>
            </w:pPr>
            <w:r w:rsidRPr="0046654B">
              <w:rPr>
                <w:rFonts w:cs="Arial"/>
                <w:sz w:val="18"/>
                <w:szCs w:val="18"/>
              </w:rPr>
              <w:t>12,034.5</w:t>
            </w:r>
          </w:p>
        </w:tc>
        <w:tc>
          <w:tcPr>
            <w:tcW w:w="718" w:type="dxa"/>
          </w:tcPr>
          <w:p w14:paraId="19C18C98" w14:textId="77777777" w:rsidR="0046654B" w:rsidRPr="0046654B" w:rsidRDefault="0046654B" w:rsidP="0046654B">
            <w:pPr>
              <w:rPr>
                <w:rFonts w:cs="Arial"/>
                <w:sz w:val="18"/>
                <w:szCs w:val="18"/>
              </w:rPr>
            </w:pPr>
            <w:r w:rsidRPr="0046654B">
              <w:rPr>
                <w:rFonts w:cs="Arial"/>
                <w:sz w:val="18"/>
                <w:szCs w:val="18"/>
              </w:rPr>
              <w:t>10,465.2</w:t>
            </w:r>
          </w:p>
        </w:tc>
        <w:tc>
          <w:tcPr>
            <w:tcW w:w="646" w:type="dxa"/>
          </w:tcPr>
          <w:p w14:paraId="313B6935" w14:textId="77777777" w:rsidR="0046654B" w:rsidRPr="0046654B" w:rsidRDefault="0046654B" w:rsidP="0046654B">
            <w:pPr>
              <w:rPr>
                <w:rFonts w:cs="Arial"/>
                <w:sz w:val="18"/>
                <w:szCs w:val="18"/>
              </w:rPr>
            </w:pPr>
            <w:r w:rsidRPr="0046654B">
              <w:rPr>
                <w:rFonts w:cs="Arial"/>
                <w:sz w:val="18"/>
                <w:szCs w:val="18"/>
              </w:rPr>
              <w:t>1,569.3</w:t>
            </w:r>
          </w:p>
        </w:tc>
        <w:tc>
          <w:tcPr>
            <w:tcW w:w="997" w:type="dxa"/>
          </w:tcPr>
          <w:p w14:paraId="4F3FD365" w14:textId="77777777" w:rsidR="0046654B" w:rsidRPr="0046654B" w:rsidRDefault="0046654B" w:rsidP="0046654B">
            <w:pPr>
              <w:rPr>
                <w:rFonts w:cs="Arial"/>
                <w:sz w:val="18"/>
                <w:szCs w:val="18"/>
              </w:rPr>
            </w:pPr>
            <w:r w:rsidRPr="0046654B">
              <w:rPr>
                <w:rFonts w:cs="Arial"/>
                <w:sz w:val="18"/>
                <w:szCs w:val="18"/>
              </w:rPr>
              <w:t>13.04</w:t>
            </w:r>
          </w:p>
        </w:tc>
        <w:tc>
          <w:tcPr>
            <w:tcW w:w="1301" w:type="dxa"/>
          </w:tcPr>
          <w:p w14:paraId="5E9DABEC" w14:textId="77777777" w:rsidR="0046654B" w:rsidRPr="0046654B" w:rsidRDefault="0046654B" w:rsidP="0046654B">
            <w:pPr>
              <w:rPr>
                <w:rFonts w:cs="Arial"/>
                <w:sz w:val="18"/>
                <w:szCs w:val="18"/>
              </w:rPr>
            </w:pPr>
            <w:r w:rsidRPr="0046654B">
              <w:rPr>
                <w:rFonts w:cs="Arial"/>
                <w:sz w:val="18"/>
                <w:szCs w:val="18"/>
              </w:rPr>
              <w:t>55.13</w:t>
            </w:r>
          </w:p>
        </w:tc>
        <w:tc>
          <w:tcPr>
            <w:tcW w:w="1122" w:type="dxa"/>
          </w:tcPr>
          <w:p w14:paraId="61D95B98" w14:textId="77777777" w:rsidR="0046654B" w:rsidRPr="0046654B" w:rsidRDefault="0046654B" w:rsidP="0046654B">
            <w:pPr>
              <w:rPr>
                <w:rFonts w:cs="Arial"/>
                <w:sz w:val="18"/>
                <w:szCs w:val="18"/>
              </w:rPr>
            </w:pPr>
            <w:r w:rsidRPr="0046654B">
              <w:rPr>
                <w:rFonts w:cs="Arial"/>
                <w:sz w:val="18"/>
                <w:szCs w:val="18"/>
              </w:rPr>
              <w:t>21.61</w:t>
            </w:r>
          </w:p>
        </w:tc>
        <w:tc>
          <w:tcPr>
            <w:tcW w:w="603" w:type="dxa"/>
          </w:tcPr>
          <w:p w14:paraId="6A9BAE68" w14:textId="77777777" w:rsidR="0046654B" w:rsidRPr="0046654B" w:rsidRDefault="0046654B" w:rsidP="0046654B">
            <w:pPr>
              <w:rPr>
                <w:rFonts w:cs="Arial"/>
                <w:sz w:val="18"/>
                <w:szCs w:val="18"/>
              </w:rPr>
            </w:pPr>
            <w:r w:rsidRPr="0046654B">
              <w:rPr>
                <w:rFonts w:cs="Arial"/>
                <w:sz w:val="18"/>
                <w:szCs w:val="18"/>
              </w:rPr>
              <w:t>8.70</w:t>
            </w:r>
          </w:p>
        </w:tc>
      </w:tr>
      <w:tr w:rsidR="0046654B" w:rsidRPr="0046654B" w14:paraId="308A6B79" w14:textId="77777777" w:rsidTr="0046654B">
        <w:tc>
          <w:tcPr>
            <w:tcW w:w="502" w:type="dxa"/>
          </w:tcPr>
          <w:p w14:paraId="2730C20F" w14:textId="77777777" w:rsidR="0046654B" w:rsidRPr="0046654B" w:rsidRDefault="0046654B" w:rsidP="0046654B">
            <w:pPr>
              <w:rPr>
                <w:rFonts w:cs="Arial"/>
                <w:sz w:val="18"/>
                <w:szCs w:val="18"/>
              </w:rPr>
            </w:pPr>
            <w:r w:rsidRPr="0046654B">
              <w:rPr>
                <w:rFonts w:cs="Arial"/>
                <w:sz w:val="18"/>
                <w:szCs w:val="18"/>
              </w:rPr>
              <w:t>2022</w:t>
            </w:r>
          </w:p>
        </w:tc>
        <w:tc>
          <w:tcPr>
            <w:tcW w:w="767" w:type="dxa"/>
          </w:tcPr>
          <w:p w14:paraId="14917F83" w14:textId="77777777" w:rsidR="0046654B" w:rsidRPr="0046654B" w:rsidRDefault="0046654B" w:rsidP="0046654B">
            <w:pPr>
              <w:rPr>
                <w:rFonts w:cs="Arial"/>
                <w:sz w:val="18"/>
                <w:szCs w:val="18"/>
              </w:rPr>
            </w:pPr>
            <w:r w:rsidRPr="0046654B">
              <w:rPr>
                <w:rFonts w:cs="Arial"/>
                <w:sz w:val="18"/>
                <w:szCs w:val="18"/>
              </w:rPr>
              <w:t>9,570.8</w:t>
            </w:r>
          </w:p>
        </w:tc>
        <w:tc>
          <w:tcPr>
            <w:tcW w:w="775" w:type="dxa"/>
          </w:tcPr>
          <w:p w14:paraId="2CD571B3" w14:textId="77777777" w:rsidR="0046654B" w:rsidRPr="0046654B" w:rsidRDefault="0046654B" w:rsidP="0046654B">
            <w:pPr>
              <w:rPr>
                <w:rFonts w:cs="Arial"/>
                <w:sz w:val="18"/>
                <w:szCs w:val="18"/>
              </w:rPr>
            </w:pPr>
            <w:r w:rsidRPr="0046654B">
              <w:rPr>
                <w:rFonts w:cs="Arial"/>
                <w:sz w:val="18"/>
                <w:szCs w:val="18"/>
              </w:rPr>
              <w:t>7,359.7</w:t>
            </w:r>
          </w:p>
        </w:tc>
        <w:tc>
          <w:tcPr>
            <w:tcW w:w="861" w:type="dxa"/>
          </w:tcPr>
          <w:p w14:paraId="1377A0D8" w14:textId="77777777" w:rsidR="0046654B" w:rsidRPr="0046654B" w:rsidRDefault="0046654B" w:rsidP="0046654B">
            <w:pPr>
              <w:rPr>
                <w:rFonts w:cs="Arial"/>
                <w:sz w:val="18"/>
                <w:szCs w:val="18"/>
              </w:rPr>
            </w:pPr>
            <w:r w:rsidRPr="0046654B">
              <w:rPr>
                <w:rFonts w:cs="Arial"/>
                <w:sz w:val="18"/>
                <w:szCs w:val="18"/>
              </w:rPr>
              <w:t>2,733.7</w:t>
            </w:r>
          </w:p>
        </w:tc>
        <w:tc>
          <w:tcPr>
            <w:tcW w:w="718" w:type="dxa"/>
          </w:tcPr>
          <w:p w14:paraId="6F623683" w14:textId="77777777" w:rsidR="0046654B" w:rsidRPr="0046654B" w:rsidRDefault="0046654B" w:rsidP="0046654B">
            <w:pPr>
              <w:rPr>
                <w:rFonts w:cs="Arial"/>
                <w:sz w:val="18"/>
                <w:szCs w:val="18"/>
              </w:rPr>
            </w:pPr>
            <w:r w:rsidRPr="0046654B">
              <w:rPr>
                <w:rFonts w:cs="Arial"/>
                <w:sz w:val="18"/>
                <w:szCs w:val="18"/>
              </w:rPr>
              <w:t>13,172.3</w:t>
            </w:r>
          </w:p>
        </w:tc>
        <w:tc>
          <w:tcPr>
            <w:tcW w:w="718" w:type="dxa"/>
          </w:tcPr>
          <w:p w14:paraId="25D23AB3" w14:textId="77777777" w:rsidR="0046654B" w:rsidRPr="0046654B" w:rsidRDefault="0046654B" w:rsidP="0046654B">
            <w:pPr>
              <w:rPr>
                <w:rFonts w:cs="Arial"/>
                <w:sz w:val="18"/>
                <w:szCs w:val="18"/>
              </w:rPr>
            </w:pPr>
            <w:r w:rsidRPr="0046654B">
              <w:rPr>
                <w:rFonts w:cs="Arial"/>
                <w:sz w:val="18"/>
                <w:szCs w:val="18"/>
              </w:rPr>
              <w:t>11,655.6</w:t>
            </w:r>
          </w:p>
        </w:tc>
        <w:tc>
          <w:tcPr>
            <w:tcW w:w="646" w:type="dxa"/>
          </w:tcPr>
          <w:p w14:paraId="0D22A94A" w14:textId="77777777" w:rsidR="0046654B" w:rsidRPr="0046654B" w:rsidRDefault="0046654B" w:rsidP="0046654B">
            <w:pPr>
              <w:rPr>
                <w:rFonts w:cs="Arial"/>
                <w:sz w:val="18"/>
                <w:szCs w:val="18"/>
              </w:rPr>
            </w:pPr>
            <w:r w:rsidRPr="0046654B">
              <w:rPr>
                <w:rFonts w:cs="Arial"/>
                <w:sz w:val="18"/>
                <w:szCs w:val="18"/>
              </w:rPr>
              <w:t>1,516.7</w:t>
            </w:r>
          </w:p>
        </w:tc>
        <w:tc>
          <w:tcPr>
            <w:tcW w:w="997" w:type="dxa"/>
          </w:tcPr>
          <w:p w14:paraId="05C54192" w14:textId="77777777" w:rsidR="0046654B" w:rsidRPr="0046654B" w:rsidRDefault="0046654B" w:rsidP="0046654B">
            <w:pPr>
              <w:rPr>
                <w:rFonts w:cs="Arial"/>
                <w:sz w:val="18"/>
                <w:szCs w:val="18"/>
              </w:rPr>
            </w:pPr>
            <w:r w:rsidRPr="0046654B">
              <w:rPr>
                <w:rFonts w:cs="Arial"/>
                <w:sz w:val="18"/>
                <w:szCs w:val="18"/>
              </w:rPr>
              <w:t>11.51</w:t>
            </w:r>
          </w:p>
        </w:tc>
        <w:tc>
          <w:tcPr>
            <w:tcW w:w="1301" w:type="dxa"/>
          </w:tcPr>
          <w:p w14:paraId="7B712EAA" w14:textId="77777777" w:rsidR="0046654B" w:rsidRPr="0046654B" w:rsidRDefault="0046654B" w:rsidP="0046654B">
            <w:pPr>
              <w:rPr>
                <w:rFonts w:cs="Arial"/>
                <w:sz w:val="18"/>
                <w:szCs w:val="18"/>
              </w:rPr>
            </w:pPr>
            <w:r w:rsidRPr="0046654B">
              <w:rPr>
                <w:rFonts w:cs="Arial"/>
                <w:sz w:val="18"/>
                <w:szCs w:val="18"/>
              </w:rPr>
              <w:t>55.87</w:t>
            </w:r>
          </w:p>
        </w:tc>
        <w:tc>
          <w:tcPr>
            <w:tcW w:w="1122" w:type="dxa"/>
          </w:tcPr>
          <w:p w14:paraId="40182B8A" w14:textId="77777777" w:rsidR="0046654B" w:rsidRPr="0046654B" w:rsidRDefault="0046654B" w:rsidP="0046654B">
            <w:pPr>
              <w:rPr>
                <w:rFonts w:cs="Arial"/>
                <w:sz w:val="18"/>
                <w:szCs w:val="18"/>
              </w:rPr>
            </w:pPr>
            <w:r w:rsidRPr="0046654B">
              <w:rPr>
                <w:rFonts w:cs="Arial"/>
                <w:sz w:val="18"/>
                <w:szCs w:val="18"/>
              </w:rPr>
              <w:t>20.75</w:t>
            </w:r>
          </w:p>
        </w:tc>
        <w:tc>
          <w:tcPr>
            <w:tcW w:w="603" w:type="dxa"/>
          </w:tcPr>
          <w:p w14:paraId="7A4B29AB" w14:textId="77777777" w:rsidR="0046654B" w:rsidRPr="0046654B" w:rsidRDefault="0046654B" w:rsidP="0046654B">
            <w:pPr>
              <w:rPr>
                <w:rFonts w:cs="Arial"/>
                <w:sz w:val="18"/>
                <w:szCs w:val="18"/>
              </w:rPr>
            </w:pPr>
            <w:r w:rsidRPr="0046654B">
              <w:rPr>
                <w:rFonts w:cs="Arial"/>
                <w:sz w:val="18"/>
                <w:szCs w:val="18"/>
              </w:rPr>
              <w:t>9.45</w:t>
            </w:r>
          </w:p>
        </w:tc>
      </w:tr>
      <w:tr w:rsidR="0046654B" w:rsidRPr="0046654B" w14:paraId="043A9509" w14:textId="77777777" w:rsidTr="0046654B">
        <w:tc>
          <w:tcPr>
            <w:tcW w:w="502" w:type="dxa"/>
          </w:tcPr>
          <w:p w14:paraId="4949DF97" w14:textId="77777777" w:rsidR="0046654B" w:rsidRPr="0046654B" w:rsidRDefault="0046654B" w:rsidP="0046654B">
            <w:pPr>
              <w:rPr>
                <w:rFonts w:cs="Arial"/>
                <w:sz w:val="18"/>
                <w:szCs w:val="18"/>
              </w:rPr>
            </w:pPr>
            <w:r w:rsidRPr="0046654B">
              <w:rPr>
                <w:rFonts w:cs="Arial"/>
                <w:sz w:val="18"/>
                <w:szCs w:val="18"/>
              </w:rPr>
              <w:lastRenderedPageBreak/>
              <w:t>2023</w:t>
            </w:r>
          </w:p>
        </w:tc>
        <w:tc>
          <w:tcPr>
            <w:tcW w:w="767" w:type="dxa"/>
          </w:tcPr>
          <w:p w14:paraId="32138D81" w14:textId="77777777" w:rsidR="0046654B" w:rsidRPr="0046654B" w:rsidRDefault="0046654B" w:rsidP="0046654B">
            <w:pPr>
              <w:rPr>
                <w:rFonts w:cs="Arial"/>
                <w:sz w:val="18"/>
                <w:szCs w:val="18"/>
              </w:rPr>
            </w:pPr>
            <w:r w:rsidRPr="0046654B">
              <w:rPr>
                <w:rFonts w:cs="Arial"/>
                <w:sz w:val="18"/>
                <w:szCs w:val="18"/>
              </w:rPr>
              <w:t>9,930.2</w:t>
            </w:r>
          </w:p>
        </w:tc>
        <w:tc>
          <w:tcPr>
            <w:tcW w:w="775" w:type="dxa"/>
          </w:tcPr>
          <w:p w14:paraId="33286C0D" w14:textId="77777777" w:rsidR="0046654B" w:rsidRPr="0046654B" w:rsidRDefault="0046654B" w:rsidP="0046654B">
            <w:pPr>
              <w:rPr>
                <w:rFonts w:cs="Arial"/>
                <w:sz w:val="18"/>
                <w:szCs w:val="18"/>
              </w:rPr>
            </w:pPr>
            <w:r w:rsidRPr="0046654B">
              <w:rPr>
                <w:rFonts w:cs="Arial"/>
                <w:sz w:val="18"/>
                <w:szCs w:val="18"/>
              </w:rPr>
              <w:t>7,762.5</w:t>
            </w:r>
          </w:p>
        </w:tc>
        <w:tc>
          <w:tcPr>
            <w:tcW w:w="861" w:type="dxa"/>
          </w:tcPr>
          <w:p w14:paraId="30C5EE90" w14:textId="77777777" w:rsidR="0046654B" w:rsidRPr="0046654B" w:rsidRDefault="0046654B" w:rsidP="0046654B">
            <w:pPr>
              <w:rPr>
                <w:rFonts w:cs="Arial"/>
                <w:sz w:val="18"/>
                <w:szCs w:val="18"/>
              </w:rPr>
            </w:pPr>
            <w:r w:rsidRPr="0046654B">
              <w:rPr>
                <w:rFonts w:cs="Arial"/>
                <w:sz w:val="18"/>
                <w:szCs w:val="18"/>
              </w:rPr>
              <w:t>2,592.9</w:t>
            </w:r>
          </w:p>
        </w:tc>
        <w:tc>
          <w:tcPr>
            <w:tcW w:w="718" w:type="dxa"/>
          </w:tcPr>
          <w:p w14:paraId="345DDADD" w14:textId="77777777" w:rsidR="0046654B" w:rsidRPr="0046654B" w:rsidRDefault="0046654B" w:rsidP="0046654B">
            <w:pPr>
              <w:rPr>
                <w:rFonts w:cs="Arial"/>
                <w:sz w:val="18"/>
                <w:szCs w:val="18"/>
              </w:rPr>
            </w:pPr>
            <w:r w:rsidRPr="0046654B">
              <w:rPr>
                <w:rFonts w:cs="Arial"/>
                <w:sz w:val="18"/>
                <w:szCs w:val="18"/>
              </w:rPr>
              <w:t>13,586.7</w:t>
            </w:r>
          </w:p>
        </w:tc>
        <w:tc>
          <w:tcPr>
            <w:tcW w:w="718" w:type="dxa"/>
          </w:tcPr>
          <w:p w14:paraId="0FA20DE1" w14:textId="77777777" w:rsidR="0046654B" w:rsidRPr="0046654B" w:rsidRDefault="0046654B" w:rsidP="0046654B">
            <w:pPr>
              <w:rPr>
                <w:rFonts w:cs="Arial"/>
                <w:sz w:val="18"/>
                <w:szCs w:val="18"/>
              </w:rPr>
            </w:pPr>
            <w:r w:rsidRPr="0046654B">
              <w:rPr>
                <w:rFonts w:cs="Arial"/>
                <w:sz w:val="18"/>
                <w:szCs w:val="18"/>
              </w:rPr>
              <w:t>11,942.0</w:t>
            </w:r>
          </w:p>
        </w:tc>
        <w:tc>
          <w:tcPr>
            <w:tcW w:w="646" w:type="dxa"/>
          </w:tcPr>
          <w:p w14:paraId="56FB300D" w14:textId="77777777" w:rsidR="0046654B" w:rsidRPr="0046654B" w:rsidRDefault="0046654B" w:rsidP="0046654B">
            <w:pPr>
              <w:rPr>
                <w:rFonts w:cs="Arial"/>
                <w:sz w:val="18"/>
                <w:szCs w:val="18"/>
              </w:rPr>
            </w:pPr>
            <w:r w:rsidRPr="0046654B">
              <w:rPr>
                <w:rFonts w:cs="Arial"/>
                <w:sz w:val="18"/>
                <w:szCs w:val="18"/>
              </w:rPr>
              <w:t>1,644.7</w:t>
            </w:r>
          </w:p>
        </w:tc>
        <w:tc>
          <w:tcPr>
            <w:tcW w:w="997" w:type="dxa"/>
          </w:tcPr>
          <w:p w14:paraId="7D6F4F37" w14:textId="77777777" w:rsidR="0046654B" w:rsidRPr="0046654B" w:rsidRDefault="0046654B" w:rsidP="0046654B">
            <w:pPr>
              <w:rPr>
                <w:rFonts w:cs="Arial"/>
                <w:sz w:val="18"/>
                <w:szCs w:val="18"/>
              </w:rPr>
            </w:pPr>
            <w:r w:rsidRPr="0046654B">
              <w:rPr>
                <w:rFonts w:cs="Arial"/>
                <w:sz w:val="18"/>
                <w:szCs w:val="18"/>
              </w:rPr>
              <w:t>12.11</w:t>
            </w:r>
          </w:p>
        </w:tc>
        <w:tc>
          <w:tcPr>
            <w:tcW w:w="1301" w:type="dxa"/>
          </w:tcPr>
          <w:p w14:paraId="323EF1C9" w14:textId="77777777" w:rsidR="0046654B" w:rsidRPr="0046654B" w:rsidRDefault="0046654B" w:rsidP="0046654B">
            <w:pPr>
              <w:rPr>
                <w:rFonts w:cs="Arial"/>
                <w:sz w:val="18"/>
                <w:szCs w:val="18"/>
              </w:rPr>
            </w:pPr>
            <w:r w:rsidRPr="0046654B">
              <w:rPr>
                <w:rFonts w:cs="Arial"/>
                <w:sz w:val="18"/>
                <w:szCs w:val="18"/>
              </w:rPr>
              <w:t>57.13</w:t>
            </w:r>
          </w:p>
        </w:tc>
        <w:tc>
          <w:tcPr>
            <w:tcW w:w="1122" w:type="dxa"/>
          </w:tcPr>
          <w:p w14:paraId="33CE68CA" w14:textId="77777777" w:rsidR="0046654B" w:rsidRPr="0046654B" w:rsidRDefault="0046654B" w:rsidP="0046654B">
            <w:pPr>
              <w:rPr>
                <w:rFonts w:cs="Arial"/>
                <w:sz w:val="18"/>
                <w:szCs w:val="18"/>
              </w:rPr>
            </w:pPr>
            <w:r w:rsidRPr="0046654B">
              <w:rPr>
                <w:rFonts w:cs="Arial"/>
                <w:sz w:val="18"/>
                <w:szCs w:val="18"/>
              </w:rPr>
              <w:t>19.08</w:t>
            </w:r>
          </w:p>
        </w:tc>
        <w:tc>
          <w:tcPr>
            <w:tcW w:w="603" w:type="dxa"/>
          </w:tcPr>
          <w:p w14:paraId="1096CCC6" w14:textId="77777777" w:rsidR="0046654B" w:rsidRPr="0046654B" w:rsidRDefault="0046654B" w:rsidP="0046654B">
            <w:pPr>
              <w:rPr>
                <w:rFonts w:cs="Arial"/>
                <w:sz w:val="18"/>
                <w:szCs w:val="18"/>
              </w:rPr>
            </w:pPr>
            <w:r w:rsidRPr="0046654B">
              <w:rPr>
                <w:rFonts w:cs="Arial"/>
                <w:sz w:val="18"/>
                <w:szCs w:val="18"/>
              </w:rPr>
              <w:t>3.15</w:t>
            </w:r>
          </w:p>
        </w:tc>
      </w:tr>
      <w:tr w:rsidR="0046654B" w:rsidRPr="0046654B" w14:paraId="36EEFF0C" w14:textId="77777777" w:rsidTr="0046654B">
        <w:tc>
          <w:tcPr>
            <w:tcW w:w="502" w:type="dxa"/>
          </w:tcPr>
          <w:p w14:paraId="56742A39" w14:textId="77777777" w:rsidR="0046654B" w:rsidRPr="0046654B" w:rsidRDefault="0046654B" w:rsidP="0046654B">
            <w:pPr>
              <w:rPr>
                <w:rFonts w:cs="Arial"/>
                <w:sz w:val="18"/>
                <w:szCs w:val="18"/>
              </w:rPr>
            </w:pPr>
            <w:r w:rsidRPr="0046654B">
              <w:rPr>
                <w:rFonts w:cs="Arial"/>
                <w:sz w:val="18"/>
                <w:szCs w:val="18"/>
              </w:rPr>
              <w:t>2024</w:t>
            </w:r>
          </w:p>
        </w:tc>
        <w:tc>
          <w:tcPr>
            <w:tcW w:w="767" w:type="dxa"/>
          </w:tcPr>
          <w:p w14:paraId="4184B023" w14:textId="77777777" w:rsidR="0046654B" w:rsidRPr="0046654B" w:rsidRDefault="0046654B" w:rsidP="0046654B">
            <w:pPr>
              <w:rPr>
                <w:rFonts w:cs="Arial"/>
                <w:sz w:val="18"/>
                <w:szCs w:val="18"/>
              </w:rPr>
            </w:pPr>
          </w:p>
        </w:tc>
        <w:tc>
          <w:tcPr>
            <w:tcW w:w="775" w:type="dxa"/>
          </w:tcPr>
          <w:p w14:paraId="1A6609FB" w14:textId="77777777" w:rsidR="0046654B" w:rsidRPr="0046654B" w:rsidRDefault="0046654B" w:rsidP="0046654B">
            <w:pPr>
              <w:rPr>
                <w:rFonts w:cs="Arial"/>
                <w:sz w:val="18"/>
                <w:szCs w:val="18"/>
              </w:rPr>
            </w:pPr>
          </w:p>
        </w:tc>
        <w:tc>
          <w:tcPr>
            <w:tcW w:w="861" w:type="dxa"/>
          </w:tcPr>
          <w:p w14:paraId="57999ECD" w14:textId="77777777" w:rsidR="0046654B" w:rsidRPr="0046654B" w:rsidRDefault="0046654B" w:rsidP="0046654B">
            <w:pPr>
              <w:rPr>
                <w:rFonts w:cs="Arial"/>
                <w:sz w:val="18"/>
                <w:szCs w:val="18"/>
              </w:rPr>
            </w:pPr>
          </w:p>
        </w:tc>
        <w:tc>
          <w:tcPr>
            <w:tcW w:w="718" w:type="dxa"/>
          </w:tcPr>
          <w:p w14:paraId="3B6DF64A" w14:textId="77777777" w:rsidR="0046654B" w:rsidRPr="0046654B" w:rsidRDefault="0046654B" w:rsidP="0046654B">
            <w:pPr>
              <w:rPr>
                <w:rFonts w:cs="Arial"/>
                <w:sz w:val="18"/>
                <w:szCs w:val="18"/>
              </w:rPr>
            </w:pPr>
            <w:r w:rsidRPr="0046654B">
              <w:rPr>
                <w:rFonts w:cs="Arial"/>
                <w:sz w:val="18"/>
                <w:szCs w:val="18"/>
              </w:rPr>
              <w:t>14,100.0</w:t>
            </w:r>
          </w:p>
        </w:tc>
        <w:tc>
          <w:tcPr>
            <w:tcW w:w="718" w:type="dxa"/>
          </w:tcPr>
          <w:p w14:paraId="048E4A3B" w14:textId="77777777" w:rsidR="0046654B" w:rsidRPr="0046654B" w:rsidRDefault="0046654B" w:rsidP="0046654B">
            <w:pPr>
              <w:rPr>
                <w:rFonts w:cs="Arial"/>
                <w:sz w:val="18"/>
                <w:szCs w:val="18"/>
              </w:rPr>
            </w:pPr>
            <w:r w:rsidRPr="0046654B">
              <w:rPr>
                <w:rFonts w:cs="Arial"/>
                <w:sz w:val="18"/>
                <w:szCs w:val="18"/>
              </w:rPr>
              <w:t>12,200.0</w:t>
            </w:r>
          </w:p>
        </w:tc>
        <w:tc>
          <w:tcPr>
            <w:tcW w:w="646" w:type="dxa"/>
          </w:tcPr>
          <w:p w14:paraId="61C268A3" w14:textId="77777777" w:rsidR="0046654B" w:rsidRPr="0046654B" w:rsidRDefault="0046654B" w:rsidP="0046654B">
            <w:pPr>
              <w:rPr>
                <w:rFonts w:cs="Arial"/>
                <w:sz w:val="18"/>
                <w:szCs w:val="18"/>
              </w:rPr>
            </w:pPr>
            <w:r w:rsidRPr="0046654B">
              <w:rPr>
                <w:rFonts w:cs="Arial"/>
                <w:sz w:val="18"/>
                <w:szCs w:val="18"/>
              </w:rPr>
              <w:t>1,800.0</w:t>
            </w:r>
          </w:p>
        </w:tc>
        <w:tc>
          <w:tcPr>
            <w:tcW w:w="997" w:type="dxa"/>
          </w:tcPr>
          <w:p w14:paraId="7A351FAF" w14:textId="77777777" w:rsidR="0046654B" w:rsidRPr="0046654B" w:rsidRDefault="0046654B" w:rsidP="0046654B">
            <w:pPr>
              <w:rPr>
                <w:rFonts w:cs="Arial"/>
                <w:sz w:val="18"/>
                <w:szCs w:val="18"/>
              </w:rPr>
            </w:pPr>
            <w:r w:rsidRPr="0046654B">
              <w:rPr>
                <w:rFonts w:cs="Arial"/>
                <w:sz w:val="18"/>
                <w:szCs w:val="18"/>
              </w:rPr>
              <w:t>12.77</w:t>
            </w:r>
          </w:p>
        </w:tc>
        <w:tc>
          <w:tcPr>
            <w:tcW w:w="1301" w:type="dxa"/>
          </w:tcPr>
          <w:p w14:paraId="630D810C" w14:textId="77777777" w:rsidR="0046654B" w:rsidRPr="0046654B" w:rsidRDefault="0046654B" w:rsidP="0046654B">
            <w:pPr>
              <w:rPr>
                <w:rFonts w:cs="Arial"/>
                <w:sz w:val="18"/>
                <w:szCs w:val="18"/>
              </w:rPr>
            </w:pPr>
          </w:p>
        </w:tc>
        <w:tc>
          <w:tcPr>
            <w:tcW w:w="1122" w:type="dxa"/>
          </w:tcPr>
          <w:p w14:paraId="181C8899" w14:textId="77777777" w:rsidR="0046654B" w:rsidRPr="0046654B" w:rsidRDefault="0046654B" w:rsidP="0046654B">
            <w:pPr>
              <w:rPr>
                <w:rFonts w:cs="Arial"/>
                <w:sz w:val="18"/>
                <w:szCs w:val="18"/>
              </w:rPr>
            </w:pPr>
          </w:p>
        </w:tc>
        <w:tc>
          <w:tcPr>
            <w:tcW w:w="603" w:type="dxa"/>
          </w:tcPr>
          <w:p w14:paraId="19B103E4" w14:textId="77777777" w:rsidR="0046654B" w:rsidRPr="0046654B" w:rsidRDefault="0046654B" w:rsidP="0046654B">
            <w:pPr>
              <w:rPr>
                <w:rFonts w:cs="Arial"/>
                <w:sz w:val="18"/>
                <w:szCs w:val="18"/>
              </w:rPr>
            </w:pPr>
            <w:r w:rsidRPr="0046654B">
              <w:rPr>
                <w:rFonts w:cs="Arial"/>
                <w:sz w:val="18"/>
                <w:szCs w:val="18"/>
              </w:rPr>
              <w:t>3.78</w:t>
            </w:r>
          </w:p>
        </w:tc>
      </w:tr>
    </w:tbl>
    <w:p w14:paraId="179BBC85" w14:textId="77777777" w:rsidR="0046654B" w:rsidRPr="0046654B" w:rsidRDefault="0046654B" w:rsidP="0046654B">
      <w:pPr>
        <w:rPr>
          <w:lang w:eastAsia="en-US"/>
        </w:rPr>
      </w:pPr>
    </w:p>
    <w:p w14:paraId="540D29F8" w14:textId="4D81808B" w:rsidR="00EB1D2A" w:rsidRDefault="00EB1D2A" w:rsidP="00EB1D2A">
      <w:pPr>
        <w:jc w:val="center"/>
      </w:pPr>
      <w:r>
        <w:rPr>
          <w:rStyle w:val="Strong"/>
          <w:rFonts w:eastAsiaTheme="majorEastAsia"/>
        </w:rPr>
        <w:t>Source:</w:t>
      </w:r>
      <w:r>
        <w:t xml:space="preserve"> Close Brothers Group plc (2019; 2020; 2021; 2022; 2023; 2024).</w:t>
      </w:r>
    </w:p>
    <w:p w14:paraId="3DA3232A" w14:textId="2E361C48" w:rsidR="00EA4184" w:rsidRDefault="00EA4184" w:rsidP="00EA4184">
      <w:r w:rsidRPr="00EA4184">
        <w:t>Notes: (1) FY2024 total assets/liabilities/equity shown are in rounded (GBP bn/converted into GBP m) form to conform with disclosure presentation. FY2021 customer deposits are calculated as a residual of the liability split in the annual report: deposits = total liabilities 6 minus (borrowings + market-making liabilities + other liabilities)</w:t>
      </w:r>
      <w:r w:rsidR="00436E6E">
        <w:t xml:space="preserve"> </w:t>
      </w:r>
      <w:r w:rsidR="00436E6E">
        <w:rPr>
          <w:rFonts w:cs="Arial"/>
          <w:color w:val="000000"/>
        </w:rPr>
        <w:t xml:space="preserve">(Hacini, </w:t>
      </w:r>
      <w:proofErr w:type="spellStart"/>
      <w:r w:rsidR="00436E6E">
        <w:rPr>
          <w:rFonts w:cs="Arial"/>
          <w:color w:val="000000"/>
        </w:rPr>
        <w:t>Boulenfad</w:t>
      </w:r>
      <w:proofErr w:type="spellEnd"/>
      <w:r w:rsidR="00436E6E">
        <w:rPr>
          <w:rFonts w:cs="Arial"/>
          <w:color w:val="000000"/>
        </w:rPr>
        <w:t xml:space="preserve"> and Dahou, 2021)</w:t>
      </w:r>
      <w:r w:rsidRPr="00EA4184">
        <w:t>. (3) There are no loans and advances or operating lease assets in the extracted FY2021 and FY2024 balance-sheet snapshots, hence the loan-based ratios in those years are blanked.</w:t>
      </w:r>
    </w:p>
    <w:p w14:paraId="1A820007" w14:textId="77777777" w:rsidR="00EA4184" w:rsidRPr="00EA4184" w:rsidRDefault="00EA4184" w:rsidP="00EA4184">
      <w:pPr>
        <w:pStyle w:val="Heading3"/>
      </w:pPr>
      <w:bookmarkStart w:id="57" w:name="_Toc220882997"/>
      <w:r>
        <w:t>4.2.1 Worked Calculations from Table 4.1</w:t>
      </w:r>
      <w:bookmarkEnd w:id="57"/>
    </w:p>
    <w:p w14:paraId="3673FCCA" w14:textId="77777777" w:rsidR="00EA4184" w:rsidRDefault="00EA4184" w:rsidP="00EA4184">
      <w:r>
        <w:t>Worked calculation A – deriving FY2021 customer deposits:</w:t>
      </w:r>
    </w:p>
    <w:p w14:paraId="44B32FAF" w14:textId="77777777" w:rsidR="00EA4184" w:rsidRDefault="00EA4184" w:rsidP="00EA4184">
      <w:r>
        <w:t>FY2021 table values show total liabilities of GBP 10,465.2m, borrowings of GBP 2,600.9m, market-making liabilities of GBP 690.6m, and other liabilities of GBP 538.9m. Customer deposits are therefore computed as:</w:t>
      </w:r>
    </w:p>
    <w:p w14:paraId="74504C76" w14:textId="77777777" w:rsidR="00EA4184" w:rsidRDefault="00EA4184" w:rsidP="00EA4184">
      <w:r>
        <w:t>Customer deposits (FY2021) = 10,465.2 – (2,600.9 + 690.6 + 538.9) = 10,465.2 – 3,830.4 = GBP 6,634.8m.</w:t>
      </w:r>
    </w:p>
    <w:p w14:paraId="0847D467" w14:textId="5184F24D" w:rsidR="00EA4184" w:rsidRDefault="00EA4184" w:rsidP="00EA4184">
      <w:r>
        <w:t>This derivation uses only disclosed line items, avoiding unverified assumptions.</w:t>
      </w:r>
    </w:p>
    <w:p w14:paraId="7F9B9D02" w14:textId="77777777" w:rsidR="00EA4184" w:rsidRDefault="00EA4184" w:rsidP="00EA4184">
      <w:r>
        <w:t>Worked calculation B – equity-to-assets ratio (FY2023):</w:t>
      </w:r>
    </w:p>
    <w:p w14:paraId="4C80FEA6" w14:textId="77777777" w:rsidR="00EA4184" w:rsidRDefault="00EA4184" w:rsidP="00EA4184">
      <w:r>
        <w:t>Equity-to-assets = total equity ÷ total assets = 1,644.7 ÷ 13,586.7 = 0.1211 = 12.11%.</w:t>
      </w:r>
    </w:p>
    <w:p w14:paraId="46AC2E50" w14:textId="21080A54" w:rsidR="00EA4184" w:rsidRDefault="00EA4184" w:rsidP="00EA4184">
      <w:r>
        <w:t>Interpretation: approximately 12 pence of accounting equity was available to absorb losses for each pound of assets (before regulatory adjustments).</w:t>
      </w:r>
    </w:p>
    <w:p w14:paraId="2CA44A0D" w14:textId="77777777" w:rsidR="00EA4184" w:rsidRDefault="00EA4184" w:rsidP="00EA4184">
      <w:r>
        <w:t>Worked calculation C – loan-to-deposit ratio (FY2023, using disclosed loans and deposits):</w:t>
      </w:r>
    </w:p>
    <w:p w14:paraId="1E4D5A83" w14:textId="1A1DC8E4" w:rsidR="00EA4184" w:rsidRDefault="00EA4184" w:rsidP="00EA4184">
      <w:r>
        <w:t>Loan-to-deposit = (loans and advances + operating lease assets) ÷ customer deposits = 9,930.2 ÷ 7,762.5 = 1.279 = 127.9%</w:t>
      </w:r>
      <w:r w:rsidR="00D62FFD">
        <w:t xml:space="preserve"> </w:t>
      </w:r>
      <w:r w:rsidR="00D62FFD">
        <w:rPr>
          <w:rFonts w:cs="Arial"/>
          <w:color w:val="000000"/>
        </w:rPr>
        <w:t>(Close Brothers Group plc, 2023)</w:t>
      </w:r>
      <w:r>
        <w:t>.</w:t>
      </w:r>
    </w:p>
    <w:p w14:paraId="5679840F" w14:textId="2E200ADC" w:rsidR="00EA4184" w:rsidRDefault="00EA4184" w:rsidP="00EA4184">
      <w:r w:rsidRPr="00EA4184">
        <w:rPr>
          <w:b/>
          <w:bCs/>
        </w:rPr>
        <w:t>Interpretation:</w:t>
      </w:r>
      <w:r>
        <w:t xml:space="preserve"> deposits did not fully fund the loan book, so the remaining funding requirement was met through borrowings and other liabilities, supported by equity and liquidity buffers.</w:t>
      </w:r>
    </w:p>
    <w:p w14:paraId="5AB81A36" w14:textId="77777777" w:rsidR="00EA4184" w:rsidRDefault="00EA4184" w:rsidP="00EA4184">
      <w:pPr>
        <w:pStyle w:val="Heading3"/>
      </w:pPr>
      <w:bookmarkStart w:id="58" w:name="_Toc220882998"/>
      <w:r>
        <w:lastRenderedPageBreak/>
        <w:t>4.2.2 Balance-Sheet Growth and Financial Implications</w:t>
      </w:r>
      <w:bookmarkEnd w:id="58"/>
    </w:p>
    <w:p w14:paraId="6DDDF462" w14:textId="363093C5" w:rsidR="00F73CDB" w:rsidRPr="00F73CDB" w:rsidRDefault="00F73CDB" w:rsidP="00F73CDB">
      <w:r w:rsidRPr="00F73CDB">
        <w:t>The balance-sheet growth profile has a direct effect on profitability and risk</w:t>
      </w:r>
      <w:r w:rsidR="00B42F1E">
        <w:rPr>
          <w:lang w:val="en-US"/>
        </w:rPr>
        <w:t xml:space="preserve"> (Damasa, 2026)</w:t>
      </w:r>
      <w:r w:rsidRPr="00F73CDB">
        <w:t>. Growth of assets can fund growth of income</w:t>
      </w:r>
      <w:r>
        <w:t>,</w:t>
      </w:r>
      <w:r w:rsidRPr="00F73CDB">
        <w:t xml:space="preserve"> as </w:t>
      </w:r>
      <w:r>
        <w:t>long</w:t>
      </w:r>
      <w:r w:rsidRPr="00F73CDB">
        <w:t xml:space="preserve"> as assets are invested in </w:t>
      </w:r>
      <w:r>
        <w:t>higher-yielding</w:t>
      </w:r>
      <w:r w:rsidRPr="00F73CDB">
        <w:t xml:space="preserve"> lending investments, but it also amplifies the gross amount of possible credit losses in a stress </w:t>
      </w:r>
      <w:r>
        <w:t>event</w:t>
      </w:r>
      <w:r w:rsidRPr="00F73CDB">
        <w:t>. It is evident in Table 4.1 that the total assets increased to GBP 10,561.3m (FY 2019), GBP 12,034.5m (FY 2020), and GBP 13,172.3m (FY 2021). The growth rate is not linear: the greatest year-on-year growth in the extracted series is between FY2021 and FY2022 (approximately 9.45%)</w:t>
      </w:r>
      <w:r w:rsidR="00D62FFD">
        <w:t xml:space="preserve"> </w:t>
      </w:r>
      <w:r w:rsidR="00D62FFD">
        <w:rPr>
          <w:rFonts w:cs="Arial"/>
          <w:color w:val="000000"/>
        </w:rPr>
        <w:t>(Close Brothers Group plc, 2024)</w:t>
      </w:r>
      <w:r w:rsidR="00D62FFD">
        <w:t>. W</w:t>
      </w:r>
      <w:r w:rsidRPr="00F73CDB">
        <w:t>hich is in line with a post-pandemic recovery in lending activity and/or portfolio growth.</w:t>
      </w:r>
    </w:p>
    <w:p w14:paraId="76F54D0F" w14:textId="3FB88E81" w:rsidR="00F73CDB" w:rsidRPr="00F73CDB" w:rsidRDefault="00F73CDB" w:rsidP="00F73CDB">
      <w:r w:rsidRPr="00F73CDB">
        <w:t xml:space="preserve">Regarding the risk management perspective, the quality of growth is at least as important as the quantity of growth. </w:t>
      </w:r>
      <w:r>
        <w:t>A higher</w:t>
      </w:r>
      <w:r w:rsidRPr="00F73CDB">
        <w:t xml:space="preserve"> loan-to-assets ratio means higher vulnerability to credit risk</w:t>
      </w:r>
      <w:r w:rsidR="00436E6E">
        <w:t xml:space="preserve"> </w:t>
      </w:r>
      <w:r w:rsidR="00436E6E">
        <w:rPr>
          <w:rFonts w:cs="Arial"/>
          <w:color w:val="000000"/>
        </w:rPr>
        <w:t>(</w:t>
      </w:r>
      <w:proofErr w:type="spellStart"/>
      <w:r w:rsidR="00436E6E">
        <w:rPr>
          <w:rFonts w:cs="Arial"/>
          <w:color w:val="000000"/>
        </w:rPr>
        <w:t>Galankashi</w:t>
      </w:r>
      <w:proofErr w:type="spellEnd"/>
      <w:r w:rsidR="00436E6E">
        <w:rPr>
          <w:rFonts w:cs="Arial"/>
          <w:color w:val="000000"/>
        </w:rPr>
        <w:t xml:space="preserve"> and </w:t>
      </w:r>
      <w:proofErr w:type="spellStart"/>
      <w:r w:rsidR="00436E6E">
        <w:rPr>
          <w:rFonts w:cs="Arial"/>
          <w:color w:val="000000"/>
        </w:rPr>
        <w:t>Rafiei</w:t>
      </w:r>
      <w:proofErr w:type="spellEnd"/>
      <w:r w:rsidR="00436E6E">
        <w:rPr>
          <w:rFonts w:cs="Arial"/>
          <w:color w:val="000000"/>
        </w:rPr>
        <w:t>, 2022)</w:t>
      </w:r>
      <w:r w:rsidR="00436E6E">
        <w:t>. W</w:t>
      </w:r>
      <w:r w:rsidRPr="00F73CDB">
        <w:t xml:space="preserve">hereas </w:t>
      </w:r>
      <w:r>
        <w:t xml:space="preserve">a </w:t>
      </w:r>
      <w:r w:rsidRPr="00F73CDB">
        <w:t>higher deposit-to-assets ratio means potentially better and more secure funding</w:t>
      </w:r>
      <w:r>
        <w:t>,</w:t>
      </w:r>
      <w:r w:rsidRPr="00F73CDB">
        <w:t xml:space="preserve"> but </w:t>
      </w:r>
      <w:r>
        <w:t xml:space="preserve">it </w:t>
      </w:r>
      <w:r w:rsidRPr="00F73CDB">
        <w:t xml:space="preserve">must have close attention to liquidity due to the sensitivity of deposits to market confidence. The </w:t>
      </w:r>
      <w:r>
        <w:t>loans-to-assets</w:t>
      </w:r>
      <w:r w:rsidRPr="00F73CDB">
        <w:t xml:space="preserve"> ratios in FY2019 and FY2020 stood at around 72-73</w:t>
      </w:r>
      <w:r>
        <w:t>,</w:t>
      </w:r>
      <w:r w:rsidRPr="00F73CDB">
        <w:t xml:space="preserve"> meaning that most of the assets are directed towards </w:t>
      </w:r>
      <w:r>
        <w:t>lending/lease</w:t>
      </w:r>
      <w:r w:rsidRPr="00F73CDB">
        <w:t xml:space="preserve"> exposures. The growth has been significantly focused on credit exposures compared to low-risk liquid assets within the FY2022-FY2023</w:t>
      </w:r>
      <w:r>
        <w:t>;</w:t>
      </w:r>
      <w:r w:rsidRPr="00F73CDB">
        <w:t xml:space="preserve"> the loans-to-assets ratio is kept within the mid-70% range</w:t>
      </w:r>
      <w:r w:rsidR="00D62FFD">
        <w:t xml:space="preserve"> </w:t>
      </w:r>
      <w:r w:rsidR="00D62FFD">
        <w:rPr>
          <w:rFonts w:cs="Arial"/>
          <w:color w:val="000000"/>
        </w:rPr>
        <w:t>(Close Brothers Group plc, 2023)</w:t>
      </w:r>
      <w:r w:rsidRPr="00F73CDB">
        <w:t>.</w:t>
      </w:r>
    </w:p>
    <w:p w14:paraId="3B9A2339" w14:textId="0C4201B6" w:rsidR="00F73CDB" w:rsidRPr="00F73CDB" w:rsidRDefault="00F73CDB" w:rsidP="00F73CDB">
      <w:r w:rsidRPr="00F73CDB">
        <w:t>The ratio of equity to assets stands approximately at 11-13% in the years of available data. It is an indication that equity increased with assets on a broad basis, though the change in the ratio can be substantial when there is a shock in earnings</w:t>
      </w:r>
      <w:r w:rsidR="00D62FFD">
        <w:t xml:space="preserve"> </w:t>
      </w:r>
      <w:r w:rsidR="00D62FFD">
        <w:rPr>
          <w:rFonts w:cs="Arial"/>
          <w:color w:val="000000"/>
        </w:rPr>
        <w:t>(Close Brothers Group plc, 2022b)</w:t>
      </w:r>
      <w:r w:rsidRPr="00F73CDB">
        <w:t>. To illustrate, in the case when the gains on impairment increase dramatically (such as in FY2020 and FY2023), retained earnings can decline, and thus the accumulation of equity can be low in comparison with the accumulation of assets</w:t>
      </w:r>
      <w:r w:rsidR="00436E6E">
        <w:t xml:space="preserve"> </w:t>
      </w:r>
      <w:r w:rsidR="00436E6E">
        <w:rPr>
          <w:rFonts w:cs="Arial"/>
          <w:color w:val="000000"/>
        </w:rPr>
        <w:t>(Caby, Ziane and Lamarque, 2022)</w:t>
      </w:r>
      <w:r w:rsidRPr="00F73CDB">
        <w:t>. This effect is exaggerated in a regulated bank since CET1 capital is also backed by equity</w:t>
      </w:r>
      <w:r>
        <w:t>,</w:t>
      </w:r>
      <w:r w:rsidRPr="00F73CDB">
        <w:t xml:space="preserve"> and the increased risk-weighted assets are able to decrease capital ratios even in circumstances </w:t>
      </w:r>
      <w:r>
        <w:t>where</w:t>
      </w:r>
      <w:r w:rsidRPr="00F73CDB">
        <w:t xml:space="preserve"> there is an increase in total equity.</w:t>
      </w:r>
    </w:p>
    <w:p w14:paraId="0DC13F1D" w14:textId="792C5039" w:rsidR="00F73CDB" w:rsidRDefault="00F73CDB" w:rsidP="00F73CDB">
      <w:r w:rsidRPr="00F73CDB">
        <w:t xml:space="preserve">Another implication is related to </w:t>
      </w:r>
      <w:r>
        <w:t xml:space="preserve">the </w:t>
      </w:r>
      <w:r w:rsidRPr="00F73CDB">
        <w:t>diversification of funds. The percentage of borrowing to assets is also significant (approximately 19-25%</w:t>
      </w:r>
      <w:r>
        <w:t>,</w:t>
      </w:r>
      <w:r w:rsidRPr="00F73CDB">
        <w:t xml:space="preserve"> where stated)</w:t>
      </w:r>
      <w:r>
        <w:t>,</w:t>
      </w:r>
      <w:r w:rsidRPr="00F73CDB">
        <w:t xml:space="preserve"> which helps to conclude that Close </w:t>
      </w:r>
      <w:r>
        <w:t>Brothers</w:t>
      </w:r>
      <w:r w:rsidRPr="00F73CDB">
        <w:t xml:space="preserve"> relies on a combination of deposit funding and </w:t>
      </w:r>
      <w:r w:rsidRPr="00F73CDB">
        <w:lastRenderedPageBreak/>
        <w:t>market/wholesale funding</w:t>
      </w:r>
      <w:r w:rsidR="00436E6E">
        <w:t xml:space="preserve"> </w:t>
      </w:r>
      <w:r w:rsidR="00436E6E">
        <w:rPr>
          <w:rFonts w:cs="Arial"/>
          <w:color w:val="000000"/>
        </w:rPr>
        <w:t xml:space="preserve">(Cheong </w:t>
      </w:r>
      <w:r w:rsidR="00436E6E">
        <w:rPr>
          <w:rFonts w:cs="Arial"/>
          <w:i/>
          <w:iCs/>
          <w:color w:val="000000"/>
        </w:rPr>
        <w:t>et al.</w:t>
      </w:r>
      <w:r w:rsidR="00436E6E">
        <w:rPr>
          <w:rFonts w:cs="Arial"/>
          <w:color w:val="000000"/>
        </w:rPr>
        <w:t>, 2023)</w:t>
      </w:r>
      <w:r w:rsidRPr="00F73CDB">
        <w:t xml:space="preserve">. This combination can have a </w:t>
      </w:r>
      <w:r>
        <w:t>strategy-level</w:t>
      </w:r>
      <w:r w:rsidRPr="00F73CDB">
        <w:t xml:space="preserve"> benefit: wholesale financing can facilitate loan expansion when deposit expansion is slower</w:t>
      </w:r>
      <w:r>
        <w:t>;</w:t>
      </w:r>
      <w:r w:rsidRPr="00F73CDB">
        <w:t xml:space="preserve"> however, it can also make it more vulnerable to market situations, spreads and refinancing danger. Thus, the ability to sustain liquidity reserves and MREL would be included </w:t>
      </w:r>
      <w:r>
        <w:t>in</w:t>
      </w:r>
      <w:r w:rsidRPr="00F73CDB">
        <w:t xml:space="preserve"> the financial management kit</w:t>
      </w:r>
      <w:r>
        <w:t>,</w:t>
      </w:r>
      <w:r w:rsidRPr="00F73CDB">
        <w:t xml:space="preserve"> contributing to profitability stability</w:t>
      </w:r>
      <w:r w:rsidR="00B42F1E">
        <w:rPr>
          <w:lang w:val="en-US"/>
        </w:rPr>
        <w:t xml:space="preserve"> (Akbar, 2021)</w:t>
      </w:r>
      <w:r w:rsidRPr="00F73CDB">
        <w:t>.</w:t>
      </w:r>
    </w:p>
    <w:p w14:paraId="3EF2FF0D" w14:textId="77777777" w:rsidR="00F73CDB" w:rsidRDefault="00F73CDB" w:rsidP="00F73CDB">
      <w:pPr>
        <w:pStyle w:val="Heading2"/>
      </w:pPr>
      <w:bookmarkStart w:id="59" w:name="_Toc220882999"/>
      <w:r>
        <w:t>4.3 Profitability, Efficiency and the Credit-Cost Channel</w:t>
      </w:r>
      <w:bookmarkEnd w:id="59"/>
    </w:p>
    <w:p w14:paraId="6FD79193" w14:textId="7167EEBE" w:rsidR="00F73CDB" w:rsidRPr="00F73CDB" w:rsidRDefault="00F73CDB" w:rsidP="00F73CDB">
      <w:r w:rsidRPr="00F73CDB">
        <w:t xml:space="preserve">Operating income and operating expenses are not the only drivers of profitability in a lending institution, but </w:t>
      </w:r>
      <w:r>
        <w:t xml:space="preserve">are </w:t>
      </w:r>
      <w:r w:rsidRPr="00F73CDB">
        <w:t>also highly sensitive to credit impairment</w:t>
      </w:r>
      <w:r w:rsidR="00436E6E">
        <w:t xml:space="preserve"> </w:t>
      </w:r>
      <w:r w:rsidR="00436E6E">
        <w:rPr>
          <w:rFonts w:cs="Arial"/>
          <w:color w:val="000000"/>
        </w:rPr>
        <w:t>(Kiptoo, Kariuki and Ocharo, 2021)</w:t>
      </w:r>
      <w:r w:rsidRPr="00F73CDB">
        <w:t>. Thus, to illustrate the efficiency of an exposure to both financial and risk management, the entire income-profit bridge should be considered: operating income, operating expenses, and impairment losses.</w:t>
      </w:r>
    </w:p>
    <w:p w14:paraId="3BF8A52C" w14:textId="15DD253E" w:rsidR="00F73CDB" w:rsidRPr="00F73CDB" w:rsidRDefault="00F73CDB" w:rsidP="00F73CDB">
      <w:r w:rsidRPr="00F73CDB">
        <w:t xml:space="preserve">Table 4.2 is a steady picture of FY2022 and FY2023 based on the lines of the summary group income statement that are present in the extracted annual report text. Even in this two-year frame, the tendency is informative: operating profit grew </w:t>
      </w:r>
      <w:r>
        <w:t>from</w:t>
      </w:r>
      <w:r w:rsidRPr="00F73CDB">
        <w:t xml:space="preserve"> GBP 689.4m to GBP 727.6m, and adjusted operating expenses grew </w:t>
      </w:r>
      <w:r>
        <w:t>from</w:t>
      </w:r>
      <w:r w:rsidRPr="00F73CDB">
        <w:t xml:space="preserve"> GBP 506.6m to GBP 529.6m, showing that the ratio between the costs and income remained quite stable (approximately 73%). This relative operating efficiency, however, saw different adjustments in the adjusting operating profit</w:t>
      </w:r>
      <w:r>
        <w:t>,</w:t>
      </w:r>
      <w:r w:rsidRPr="00F73CDB">
        <w:t xml:space="preserve"> which deteriorated to GBP 113.5m against GBP 155.3m and was mainly due to impairment losses, which increased between GBP 27.5m and GBP 84.5m.</w:t>
      </w:r>
    </w:p>
    <w:p w14:paraId="4CE54AB2" w14:textId="463A0954" w:rsidR="00F73CDB" w:rsidRPr="00F73CDB" w:rsidRDefault="00F73CDB" w:rsidP="00F73CDB">
      <w:r w:rsidRPr="00F73CDB">
        <w:t xml:space="preserve">This is a squinting-glass effect of credit and cost dominance. That is, the management </w:t>
      </w:r>
      <w:r>
        <w:t>can</w:t>
      </w:r>
      <w:r w:rsidRPr="00F73CDB">
        <w:t xml:space="preserve"> keep the base of operating costs under control</w:t>
      </w:r>
      <w:r>
        <w:t>,</w:t>
      </w:r>
      <w:r w:rsidRPr="00F73CDB">
        <w:t xml:space="preserve"> yet suffers profit loss on turning of the credit cycle</w:t>
      </w:r>
      <w:r w:rsidR="00436E6E">
        <w:t xml:space="preserve"> </w:t>
      </w:r>
      <w:r w:rsidR="00436E6E">
        <w:rPr>
          <w:rFonts w:cs="Arial"/>
          <w:color w:val="000000"/>
        </w:rPr>
        <w:t>(</w:t>
      </w:r>
      <w:proofErr w:type="spellStart"/>
      <w:r w:rsidR="00436E6E">
        <w:rPr>
          <w:rFonts w:cs="Arial"/>
          <w:color w:val="000000"/>
        </w:rPr>
        <w:t>Bonyadi</w:t>
      </w:r>
      <w:proofErr w:type="spellEnd"/>
      <w:r w:rsidR="00436E6E">
        <w:rPr>
          <w:rFonts w:cs="Arial"/>
          <w:color w:val="000000"/>
        </w:rPr>
        <w:t>, 2023)</w:t>
      </w:r>
      <w:r w:rsidRPr="00F73CDB">
        <w:t>. Thus, the effectiveness of risk management of the Group needs to be evaluated by the strength of the underwriting standards, the discipline in monitoring of the portfolio and the discipline in provisioning, to avert the spikes in the impairments that are excessive, and to hold up the capital in times of stress.</w:t>
      </w:r>
    </w:p>
    <w:p w14:paraId="535729E3" w14:textId="59A56FC3" w:rsidR="00F73CDB" w:rsidRDefault="00F73CDB" w:rsidP="00F73CDB">
      <w:r w:rsidRPr="00F73CDB">
        <w:t xml:space="preserve">This interpretation is also performed in the first part of the period by the indicators presented in the annual report. The Group recorded an expense/income ratio of 72% (improved to 61% in FY2019) and a return on opening equity of 1.0% (improved to 1.9% in FY2019) in FY2020 when the risk of pandemic amplified expected credit losses, and </w:t>
      </w:r>
      <w:r>
        <w:t xml:space="preserve">the </w:t>
      </w:r>
      <w:r w:rsidRPr="00F73CDB">
        <w:t>coverage ratio is 3.0 (compared to 1.3)</w:t>
      </w:r>
      <w:r w:rsidR="00D62FFD">
        <w:t xml:space="preserve"> </w:t>
      </w:r>
      <w:r w:rsidR="00D62FFD">
        <w:rPr>
          <w:rFonts w:cs="Arial"/>
          <w:color w:val="000000"/>
        </w:rPr>
        <w:t xml:space="preserve">(Close Brothers Group plc, </w:t>
      </w:r>
      <w:r w:rsidR="00D62FFD">
        <w:rPr>
          <w:rFonts w:cs="Arial"/>
          <w:color w:val="000000"/>
        </w:rPr>
        <w:lastRenderedPageBreak/>
        <w:t>2019), (Close Brothers Group plc, 2020)</w:t>
      </w:r>
      <w:r w:rsidRPr="00F73CDB">
        <w:t>. These signs prove that operational efficiency and profitability are prone to decline concurrently during a stress period</w:t>
      </w:r>
      <w:r>
        <w:t>,</w:t>
      </w:r>
      <w:r w:rsidRPr="00F73CDB">
        <w:t xml:space="preserve"> despite the judicious risk management action of increasing provisions</w:t>
      </w:r>
      <w:r w:rsidR="00436E6E">
        <w:t xml:space="preserve"> </w:t>
      </w:r>
      <w:r w:rsidR="00436E6E">
        <w:rPr>
          <w:rFonts w:cs="Arial"/>
          <w:color w:val="000000"/>
        </w:rPr>
        <w:t xml:space="preserve">(Jahan </w:t>
      </w:r>
      <w:r w:rsidR="00436E6E">
        <w:rPr>
          <w:rFonts w:cs="Arial"/>
          <w:i/>
          <w:iCs/>
          <w:color w:val="000000"/>
        </w:rPr>
        <w:t>et al.</w:t>
      </w:r>
      <w:r w:rsidR="00436E6E">
        <w:rPr>
          <w:rFonts w:cs="Arial"/>
          <w:color w:val="000000"/>
        </w:rPr>
        <w:t>, 2022)</w:t>
      </w:r>
      <w:r w:rsidRPr="00F73CDB">
        <w:t>.</w:t>
      </w:r>
    </w:p>
    <w:p w14:paraId="43E71EA4" w14:textId="77777777" w:rsidR="00F73CDB" w:rsidRPr="00F73CDB" w:rsidRDefault="00F73CDB" w:rsidP="00F73CDB">
      <w:pPr>
        <w:rPr>
          <w:b/>
          <w:bCs/>
        </w:rPr>
      </w:pPr>
      <w:r w:rsidRPr="00F73CDB">
        <w:rPr>
          <w:b/>
          <w:bCs/>
        </w:rPr>
        <w:t>Table 4.2 Income-to-profit conversion (FY2022–FY2023, GBP m) and calculated efficiency ratios</w:t>
      </w:r>
    </w:p>
    <w:tbl>
      <w:tblPr>
        <w:tblStyle w:val="TableGrid"/>
        <w:tblW w:w="0" w:type="auto"/>
        <w:tblLayout w:type="fixed"/>
        <w:tblLook w:val="04A0" w:firstRow="1" w:lastRow="0" w:firstColumn="1" w:lastColumn="0" w:noHBand="0" w:noVBand="1"/>
      </w:tblPr>
      <w:tblGrid>
        <w:gridCol w:w="681"/>
        <w:gridCol w:w="1024"/>
        <w:gridCol w:w="1260"/>
        <w:gridCol w:w="1170"/>
        <w:gridCol w:w="1132"/>
        <w:gridCol w:w="1298"/>
        <w:gridCol w:w="1591"/>
        <w:gridCol w:w="854"/>
      </w:tblGrid>
      <w:tr w:rsidR="00F73CDB" w:rsidRPr="00F73CDB" w14:paraId="3C615871" w14:textId="77777777" w:rsidTr="006171F6">
        <w:tc>
          <w:tcPr>
            <w:tcW w:w="681" w:type="dxa"/>
          </w:tcPr>
          <w:p w14:paraId="148F4CD4" w14:textId="77777777" w:rsidR="00F73CDB" w:rsidRPr="00F73CDB" w:rsidRDefault="00F73CDB" w:rsidP="00F73CDB">
            <w:pPr>
              <w:rPr>
                <w:sz w:val="22"/>
                <w:szCs w:val="22"/>
              </w:rPr>
            </w:pPr>
            <w:r w:rsidRPr="00F73CDB">
              <w:rPr>
                <w:sz w:val="22"/>
                <w:szCs w:val="22"/>
              </w:rPr>
              <w:t>Year</w:t>
            </w:r>
          </w:p>
        </w:tc>
        <w:tc>
          <w:tcPr>
            <w:tcW w:w="1024" w:type="dxa"/>
          </w:tcPr>
          <w:p w14:paraId="58830CEC" w14:textId="77777777" w:rsidR="00F73CDB" w:rsidRPr="00F73CDB" w:rsidRDefault="00F73CDB" w:rsidP="00F73CDB">
            <w:pPr>
              <w:rPr>
                <w:sz w:val="22"/>
                <w:szCs w:val="22"/>
              </w:rPr>
            </w:pPr>
            <w:r w:rsidRPr="00F73CDB">
              <w:rPr>
                <w:sz w:val="22"/>
                <w:szCs w:val="22"/>
              </w:rPr>
              <w:t>Operating income</w:t>
            </w:r>
          </w:p>
        </w:tc>
        <w:tc>
          <w:tcPr>
            <w:tcW w:w="1260" w:type="dxa"/>
          </w:tcPr>
          <w:p w14:paraId="3693A482" w14:textId="77777777" w:rsidR="00F73CDB" w:rsidRPr="00F73CDB" w:rsidRDefault="00F73CDB" w:rsidP="00F73CDB">
            <w:pPr>
              <w:rPr>
                <w:sz w:val="22"/>
                <w:szCs w:val="22"/>
              </w:rPr>
            </w:pPr>
            <w:proofErr w:type="spellStart"/>
            <w:r w:rsidRPr="00F73CDB">
              <w:rPr>
                <w:sz w:val="22"/>
                <w:szCs w:val="22"/>
              </w:rPr>
              <w:t>Adj</w:t>
            </w:r>
            <w:proofErr w:type="spellEnd"/>
            <w:r w:rsidRPr="00F73CDB">
              <w:rPr>
                <w:sz w:val="22"/>
                <w:szCs w:val="22"/>
              </w:rPr>
              <w:t xml:space="preserve"> operating expenses</w:t>
            </w:r>
          </w:p>
        </w:tc>
        <w:tc>
          <w:tcPr>
            <w:tcW w:w="1170" w:type="dxa"/>
          </w:tcPr>
          <w:p w14:paraId="591AE2D8" w14:textId="77777777" w:rsidR="00F73CDB" w:rsidRPr="00F73CDB" w:rsidRDefault="00F73CDB" w:rsidP="00F73CDB">
            <w:pPr>
              <w:rPr>
                <w:sz w:val="22"/>
                <w:szCs w:val="22"/>
              </w:rPr>
            </w:pPr>
            <w:r w:rsidRPr="00F73CDB">
              <w:rPr>
                <w:sz w:val="22"/>
                <w:szCs w:val="22"/>
              </w:rPr>
              <w:t>Impairment losses</w:t>
            </w:r>
          </w:p>
        </w:tc>
        <w:tc>
          <w:tcPr>
            <w:tcW w:w="1132" w:type="dxa"/>
          </w:tcPr>
          <w:p w14:paraId="777D6D94" w14:textId="77777777" w:rsidR="00F73CDB" w:rsidRPr="00F73CDB" w:rsidRDefault="00F73CDB" w:rsidP="00F73CDB">
            <w:pPr>
              <w:rPr>
                <w:sz w:val="22"/>
                <w:szCs w:val="22"/>
              </w:rPr>
            </w:pPr>
            <w:proofErr w:type="spellStart"/>
            <w:r w:rsidRPr="00F73CDB">
              <w:rPr>
                <w:sz w:val="22"/>
                <w:szCs w:val="22"/>
              </w:rPr>
              <w:t>Adj</w:t>
            </w:r>
            <w:proofErr w:type="spellEnd"/>
            <w:r w:rsidRPr="00F73CDB">
              <w:rPr>
                <w:sz w:val="22"/>
                <w:szCs w:val="22"/>
              </w:rPr>
              <w:t xml:space="preserve"> operating profit</w:t>
            </w:r>
          </w:p>
        </w:tc>
        <w:tc>
          <w:tcPr>
            <w:tcW w:w="1298" w:type="dxa"/>
          </w:tcPr>
          <w:p w14:paraId="21E1C34C" w14:textId="77777777" w:rsidR="00F73CDB" w:rsidRPr="00F73CDB" w:rsidRDefault="00F73CDB" w:rsidP="00F73CDB">
            <w:pPr>
              <w:rPr>
                <w:sz w:val="22"/>
                <w:szCs w:val="22"/>
              </w:rPr>
            </w:pPr>
            <w:r w:rsidRPr="00F73CDB">
              <w:rPr>
                <w:sz w:val="22"/>
                <w:szCs w:val="22"/>
              </w:rPr>
              <w:t>Cost-to-income %</w:t>
            </w:r>
          </w:p>
        </w:tc>
        <w:tc>
          <w:tcPr>
            <w:tcW w:w="1591" w:type="dxa"/>
          </w:tcPr>
          <w:p w14:paraId="6D0E1040" w14:textId="77777777" w:rsidR="00F73CDB" w:rsidRPr="00F73CDB" w:rsidRDefault="00F73CDB" w:rsidP="00F73CDB">
            <w:pPr>
              <w:rPr>
                <w:sz w:val="22"/>
                <w:szCs w:val="22"/>
              </w:rPr>
            </w:pPr>
            <w:r w:rsidRPr="00F73CDB">
              <w:rPr>
                <w:sz w:val="22"/>
                <w:szCs w:val="22"/>
              </w:rPr>
              <w:t>Impairment/Income %</w:t>
            </w:r>
          </w:p>
        </w:tc>
        <w:tc>
          <w:tcPr>
            <w:tcW w:w="854" w:type="dxa"/>
          </w:tcPr>
          <w:p w14:paraId="4F9258B1" w14:textId="77777777" w:rsidR="00F73CDB" w:rsidRPr="00F73CDB" w:rsidRDefault="00F73CDB" w:rsidP="00F73CDB">
            <w:pPr>
              <w:rPr>
                <w:sz w:val="22"/>
                <w:szCs w:val="22"/>
              </w:rPr>
            </w:pPr>
            <w:r w:rsidRPr="00F73CDB">
              <w:rPr>
                <w:sz w:val="22"/>
                <w:szCs w:val="22"/>
              </w:rPr>
              <w:t>AOP margin %</w:t>
            </w:r>
          </w:p>
        </w:tc>
      </w:tr>
      <w:tr w:rsidR="00F73CDB" w:rsidRPr="00F73CDB" w14:paraId="690BB04F" w14:textId="77777777" w:rsidTr="006171F6">
        <w:tc>
          <w:tcPr>
            <w:tcW w:w="681" w:type="dxa"/>
          </w:tcPr>
          <w:p w14:paraId="7D8AAE3B" w14:textId="77777777" w:rsidR="00F73CDB" w:rsidRPr="00F73CDB" w:rsidRDefault="00F73CDB" w:rsidP="00F73CDB">
            <w:pPr>
              <w:rPr>
                <w:sz w:val="22"/>
                <w:szCs w:val="22"/>
              </w:rPr>
            </w:pPr>
            <w:r w:rsidRPr="00F73CDB">
              <w:rPr>
                <w:sz w:val="22"/>
                <w:szCs w:val="22"/>
              </w:rPr>
              <w:t>2022</w:t>
            </w:r>
          </w:p>
        </w:tc>
        <w:tc>
          <w:tcPr>
            <w:tcW w:w="1024" w:type="dxa"/>
          </w:tcPr>
          <w:p w14:paraId="4C4AFCB4" w14:textId="77777777" w:rsidR="00F73CDB" w:rsidRPr="00F73CDB" w:rsidRDefault="00F73CDB" w:rsidP="00F73CDB">
            <w:pPr>
              <w:rPr>
                <w:sz w:val="22"/>
                <w:szCs w:val="22"/>
              </w:rPr>
            </w:pPr>
            <w:r w:rsidRPr="00F73CDB">
              <w:rPr>
                <w:sz w:val="22"/>
                <w:szCs w:val="22"/>
              </w:rPr>
              <w:t>689.4</w:t>
            </w:r>
          </w:p>
        </w:tc>
        <w:tc>
          <w:tcPr>
            <w:tcW w:w="1260" w:type="dxa"/>
          </w:tcPr>
          <w:p w14:paraId="73CD5530" w14:textId="77777777" w:rsidR="00F73CDB" w:rsidRPr="00F73CDB" w:rsidRDefault="00F73CDB" w:rsidP="00F73CDB">
            <w:pPr>
              <w:rPr>
                <w:sz w:val="22"/>
                <w:szCs w:val="22"/>
              </w:rPr>
            </w:pPr>
            <w:r w:rsidRPr="00F73CDB">
              <w:rPr>
                <w:sz w:val="22"/>
                <w:szCs w:val="22"/>
              </w:rPr>
              <w:t>506.6</w:t>
            </w:r>
          </w:p>
        </w:tc>
        <w:tc>
          <w:tcPr>
            <w:tcW w:w="1170" w:type="dxa"/>
          </w:tcPr>
          <w:p w14:paraId="2749FD70" w14:textId="77777777" w:rsidR="00F73CDB" w:rsidRPr="00F73CDB" w:rsidRDefault="00F73CDB" w:rsidP="00F73CDB">
            <w:pPr>
              <w:rPr>
                <w:sz w:val="22"/>
                <w:szCs w:val="22"/>
              </w:rPr>
            </w:pPr>
            <w:r w:rsidRPr="00F73CDB">
              <w:rPr>
                <w:sz w:val="22"/>
                <w:szCs w:val="22"/>
              </w:rPr>
              <w:t>27.5</w:t>
            </w:r>
          </w:p>
        </w:tc>
        <w:tc>
          <w:tcPr>
            <w:tcW w:w="1132" w:type="dxa"/>
          </w:tcPr>
          <w:p w14:paraId="5C8C73D9" w14:textId="77777777" w:rsidR="00F73CDB" w:rsidRPr="00F73CDB" w:rsidRDefault="00F73CDB" w:rsidP="00F73CDB">
            <w:pPr>
              <w:rPr>
                <w:sz w:val="22"/>
                <w:szCs w:val="22"/>
              </w:rPr>
            </w:pPr>
            <w:r w:rsidRPr="00F73CDB">
              <w:rPr>
                <w:sz w:val="22"/>
                <w:szCs w:val="22"/>
              </w:rPr>
              <w:t>155.3</w:t>
            </w:r>
          </w:p>
        </w:tc>
        <w:tc>
          <w:tcPr>
            <w:tcW w:w="1298" w:type="dxa"/>
          </w:tcPr>
          <w:p w14:paraId="13453496" w14:textId="77777777" w:rsidR="00F73CDB" w:rsidRPr="00F73CDB" w:rsidRDefault="00F73CDB" w:rsidP="00F73CDB">
            <w:pPr>
              <w:rPr>
                <w:sz w:val="22"/>
                <w:szCs w:val="22"/>
              </w:rPr>
            </w:pPr>
            <w:r w:rsidRPr="00F73CDB">
              <w:rPr>
                <w:sz w:val="22"/>
                <w:szCs w:val="22"/>
              </w:rPr>
              <w:t>73.48</w:t>
            </w:r>
          </w:p>
        </w:tc>
        <w:tc>
          <w:tcPr>
            <w:tcW w:w="1591" w:type="dxa"/>
          </w:tcPr>
          <w:p w14:paraId="60FF0F6B" w14:textId="77777777" w:rsidR="00F73CDB" w:rsidRPr="00F73CDB" w:rsidRDefault="00F73CDB" w:rsidP="00F73CDB">
            <w:pPr>
              <w:rPr>
                <w:sz w:val="22"/>
                <w:szCs w:val="22"/>
              </w:rPr>
            </w:pPr>
            <w:r w:rsidRPr="00F73CDB">
              <w:rPr>
                <w:sz w:val="22"/>
                <w:szCs w:val="22"/>
              </w:rPr>
              <w:t>3.99</w:t>
            </w:r>
          </w:p>
        </w:tc>
        <w:tc>
          <w:tcPr>
            <w:tcW w:w="854" w:type="dxa"/>
          </w:tcPr>
          <w:p w14:paraId="33FF6D2A" w14:textId="77777777" w:rsidR="00F73CDB" w:rsidRPr="00F73CDB" w:rsidRDefault="00F73CDB" w:rsidP="00F73CDB">
            <w:pPr>
              <w:rPr>
                <w:sz w:val="22"/>
                <w:szCs w:val="22"/>
              </w:rPr>
            </w:pPr>
            <w:r w:rsidRPr="00F73CDB">
              <w:rPr>
                <w:sz w:val="22"/>
                <w:szCs w:val="22"/>
              </w:rPr>
              <w:t>22.53</w:t>
            </w:r>
          </w:p>
        </w:tc>
      </w:tr>
      <w:tr w:rsidR="00F73CDB" w:rsidRPr="00F73CDB" w14:paraId="031AA3C4" w14:textId="77777777" w:rsidTr="006171F6">
        <w:tc>
          <w:tcPr>
            <w:tcW w:w="681" w:type="dxa"/>
          </w:tcPr>
          <w:p w14:paraId="0077AE8E" w14:textId="77777777" w:rsidR="00F73CDB" w:rsidRPr="00F73CDB" w:rsidRDefault="00F73CDB" w:rsidP="00F73CDB">
            <w:pPr>
              <w:rPr>
                <w:sz w:val="22"/>
                <w:szCs w:val="22"/>
              </w:rPr>
            </w:pPr>
            <w:r w:rsidRPr="00F73CDB">
              <w:rPr>
                <w:sz w:val="22"/>
                <w:szCs w:val="22"/>
              </w:rPr>
              <w:t>2023</w:t>
            </w:r>
          </w:p>
        </w:tc>
        <w:tc>
          <w:tcPr>
            <w:tcW w:w="1024" w:type="dxa"/>
          </w:tcPr>
          <w:p w14:paraId="0A7027A0" w14:textId="77777777" w:rsidR="00F73CDB" w:rsidRPr="00F73CDB" w:rsidRDefault="00F73CDB" w:rsidP="00F73CDB">
            <w:pPr>
              <w:rPr>
                <w:sz w:val="22"/>
                <w:szCs w:val="22"/>
              </w:rPr>
            </w:pPr>
            <w:r w:rsidRPr="00F73CDB">
              <w:rPr>
                <w:sz w:val="22"/>
                <w:szCs w:val="22"/>
              </w:rPr>
              <w:t>727.6</w:t>
            </w:r>
          </w:p>
        </w:tc>
        <w:tc>
          <w:tcPr>
            <w:tcW w:w="1260" w:type="dxa"/>
          </w:tcPr>
          <w:p w14:paraId="0BACD4C9" w14:textId="77777777" w:rsidR="00F73CDB" w:rsidRPr="00F73CDB" w:rsidRDefault="00F73CDB" w:rsidP="00F73CDB">
            <w:pPr>
              <w:rPr>
                <w:sz w:val="22"/>
                <w:szCs w:val="22"/>
              </w:rPr>
            </w:pPr>
            <w:r w:rsidRPr="00F73CDB">
              <w:rPr>
                <w:sz w:val="22"/>
                <w:szCs w:val="22"/>
              </w:rPr>
              <w:t>529.6</w:t>
            </w:r>
          </w:p>
        </w:tc>
        <w:tc>
          <w:tcPr>
            <w:tcW w:w="1170" w:type="dxa"/>
          </w:tcPr>
          <w:p w14:paraId="006BCFB8" w14:textId="77777777" w:rsidR="00F73CDB" w:rsidRPr="00F73CDB" w:rsidRDefault="00F73CDB" w:rsidP="00F73CDB">
            <w:pPr>
              <w:rPr>
                <w:sz w:val="22"/>
                <w:szCs w:val="22"/>
              </w:rPr>
            </w:pPr>
            <w:r w:rsidRPr="00F73CDB">
              <w:rPr>
                <w:sz w:val="22"/>
                <w:szCs w:val="22"/>
              </w:rPr>
              <w:t>84.5</w:t>
            </w:r>
          </w:p>
        </w:tc>
        <w:tc>
          <w:tcPr>
            <w:tcW w:w="1132" w:type="dxa"/>
          </w:tcPr>
          <w:p w14:paraId="430C7383" w14:textId="77777777" w:rsidR="00F73CDB" w:rsidRPr="00F73CDB" w:rsidRDefault="00F73CDB" w:rsidP="00F73CDB">
            <w:pPr>
              <w:rPr>
                <w:sz w:val="22"/>
                <w:szCs w:val="22"/>
              </w:rPr>
            </w:pPr>
            <w:r w:rsidRPr="00F73CDB">
              <w:rPr>
                <w:sz w:val="22"/>
                <w:szCs w:val="22"/>
              </w:rPr>
              <w:t>113.5</w:t>
            </w:r>
          </w:p>
        </w:tc>
        <w:tc>
          <w:tcPr>
            <w:tcW w:w="1298" w:type="dxa"/>
          </w:tcPr>
          <w:p w14:paraId="4FB84A7C" w14:textId="77777777" w:rsidR="00F73CDB" w:rsidRPr="00F73CDB" w:rsidRDefault="00F73CDB" w:rsidP="00F73CDB">
            <w:pPr>
              <w:rPr>
                <w:sz w:val="22"/>
                <w:szCs w:val="22"/>
              </w:rPr>
            </w:pPr>
            <w:r w:rsidRPr="00F73CDB">
              <w:rPr>
                <w:sz w:val="22"/>
                <w:szCs w:val="22"/>
              </w:rPr>
              <w:t>72.79</w:t>
            </w:r>
          </w:p>
        </w:tc>
        <w:tc>
          <w:tcPr>
            <w:tcW w:w="1591" w:type="dxa"/>
          </w:tcPr>
          <w:p w14:paraId="6C0E553B" w14:textId="77777777" w:rsidR="00F73CDB" w:rsidRPr="00F73CDB" w:rsidRDefault="00F73CDB" w:rsidP="00F73CDB">
            <w:pPr>
              <w:rPr>
                <w:sz w:val="22"/>
                <w:szCs w:val="22"/>
              </w:rPr>
            </w:pPr>
            <w:r w:rsidRPr="00F73CDB">
              <w:rPr>
                <w:sz w:val="22"/>
                <w:szCs w:val="22"/>
              </w:rPr>
              <w:t>11.61</w:t>
            </w:r>
          </w:p>
        </w:tc>
        <w:tc>
          <w:tcPr>
            <w:tcW w:w="854" w:type="dxa"/>
          </w:tcPr>
          <w:p w14:paraId="7CE89EA2" w14:textId="77777777" w:rsidR="00F73CDB" w:rsidRPr="00F73CDB" w:rsidRDefault="00F73CDB" w:rsidP="00F73CDB">
            <w:pPr>
              <w:rPr>
                <w:sz w:val="22"/>
                <w:szCs w:val="22"/>
              </w:rPr>
            </w:pPr>
            <w:r w:rsidRPr="00F73CDB">
              <w:rPr>
                <w:sz w:val="22"/>
                <w:szCs w:val="22"/>
              </w:rPr>
              <w:t>15.60</w:t>
            </w:r>
          </w:p>
        </w:tc>
      </w:tr>
    </w:tbl>
    <w:p w14:paraId="56EE6C9A" w14:textId="2F58B9C3" w:rsidR="006171F6" w:rsidRDefault="00EB1D2A" w:rsidP="00EB1D2A">
      <w:pPr>
        <w:jc w:val="center"/>
      </w:pPr>
      <w:r>
        <w:rPr>
          <w:rStyle w:val="Strong"/>
          <w:rFonts w:eastAsiaTheme="majorEastAsia"/>
        </w:rPr>
        <w:t>Source:</w:t>
      </w:r>
      <w:r>
        <w:t xml:space="preserve"> Close Brothers Group plc (2019; 2020; 2021; 2022; 2023; 2024).</w:t>
      </w:r>
    </w:p>
    <w:p w14:paraId="1B16B901" w14:textId="77777777" w:rsidR="00EB1D2A" w:rsidRDefault="00EB1D2A" w:rsidP="006171F6">
      <w:pPr>
        <w:rPr>
          <w:b/>
          <w:bCs/>
        </w:rPr>
      </w:pPr>
    </w:p>
    <w:p w14:paraId="20097186" w14:textId="5F6404BD" w:rsidR="006171F6" w:rsidRDefault="006171F6" w:rsidP="006171F6">
      <w:r w:rsidRPr="006171F6">
        <w:rPr>
          <w:b/>
          <w:bCs/>
        </w:rPr>
        <w:t>Formulas:</w:t>
      </w:r>
      <w:r>
        <w:t xml:space="preserve"> cost-to-income = adjusted operating expenses ÷ operating income; impairment-to-income = impairment losses ÷ operating income; AOP margin = adjusted operating profit ÷ operating income.</w:t>
      </w:r>
    </w:p>
    <w:p w14:paraId="5BD574DF" w14:textId="163F05A5" w:rsidR="004D3FD1" w:rsidRDefault="004D3FD1" w:rsidP="006171F6">
      <w:r>
        <w:rPr>
          <w:noProof/>
        </w:rPr>
        <w:drawing>
          <wp:inline distT="0" distB="0" distL="0" distR="0" wp14:anchorId="0AC856B3" wp14:editId="5640C66F">
            <wp:extent cx="5308600" cy="4245008"/>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09383" cy="4245634"/>
                    </a:xfrm>
                    <a:prstGeom prst="rect">
                      <a:avLst/>
                    </a:prstGeom>
                  </pic:spPr>
                </pic:pic>
              </a:graphicData>
            </a:graphic>
          </wp:inline>
        </w:drawing>
      </w:r>
    </w:p>
    <w:p w14:paraId="2554D9E1" w14:textId="03217E2A" w:rsidR="006171F6" w:rsidRDefault="006171F6" w:rsidP="006171F6">
      <w:pPr>
        <w:pStyle w:val="Heading3"/>
      </w:pPr>
      <w:bookmarkStart w:id="60" w:name="_Toc220883000"/>
      <w:r>
        <w:lastRenderedPageBreak/>
        <w:t>4.3.1 Worked Calculation – Income Bridge Ratios</w:t>
      </w:r>
      <w:bookmarkEnd w:id="60"/>
    </w:p>
    <w:p w14:paraId="5C3081C0" w14:textId="77777777" w:rsidR="006171F6" w:rsidRDefault="006171F6" w:rsidP="006171F6">
      <w:r>
        <w:t>Worked calculation – impairment-to-income ratio (FY2023):</w:t>
      </w:r>
    </w:p>
    <w:p w14:paraId="30933088" w14:textId="77777777" w:rsidR="006171F6" w:rsidRDefault="006171F6" w:rsidP="006171F6">
      <w:r>
        <w:t>Impairment-to-income = impairment losses ÷ operating income = 84.5 ÷ 727.6 = 0.1161 = 11.61%.</w:t>
      </w:r>
    </w:p>
    <w:p w14:paraId="7281BFE9" w14:textId="17C9B78C" w:rsidR="006171F6" w:rsidRDefault="006171F6" w:rsidP="006171F6">
      <w:r>
        <w:t>Interpretation: over 11 pence of each pound of operating income was consumed by expected credit losses in FY2023, materially reducing profit.</w:t>
      </w:r>
    </w:p>
    <w:p w14:paraId="17D84DC0" w14:textId="77777777" w:rsidR="006171F6" w:rsidRDefault="006171F6" w:rsidP="006171F6">
      <w:r>
        <w:t>Worked calculation – adjusted operating profit margin (FY2022):</w:t>
      </w:r>
    </w:p>
    <w:p w14:paraId="253E0079" w14:textId="77777777" w:rsidR="006171F6" w:rsidRDefault="006171F6" w:rsidP="006171F6">
      <w:r>
        <w:t>AOP margin = adjusted operating profit ÷ operating income = 155.3 ÷ 689.4 = 0.2253 = 22.53%.</w:t>
      </w:r>
    </w:p>
    <w:p w14:paraId="76AC5137" w14:textId="7F6AD254" w:rsidR="006171F6" w:rsidRDefault="006171F6" w:rsidP="006171F6">
      <w:r>
        <w:t xml:space="preserve">Interpretation: </w:t>
      </w:r>
      <w:r w:rsidR="0094066B">
        <w:t>In</w:t>
      </w:r>
      <w:r>
        <w:t xml:space="preserve"> FY2022, Close Brothers converted around 23% of operating income into adjusted operating profit before tax, reflecting a comparatively low impairment charge in that year.</w:t>
      </w:r>
    </w:p>
    <w:p w14:paraId="4BB4A9AF" w14:textId="77777777" w:rsidR="006171F6" w:rsidRPr="006171F6" w:rsidRDefault="006171F6" w:rsidP="006171F6">
      <w:pPr>
        <w:rPr>
          <w:b/>
          <w:bCs/>
        </w:rPr>
      </w:pPr>
      <w:r w:rsidRPr="006171F6">
        <w:rPr>
          <w:b/>
          <w:bCs/>
        </w:rPr>
        <w:t>Table 4.3 Selected profitability and credit-cost indicators disclosed in the annual reports (FY2019–FY2020)</w:t>
      </w:r>
    </w:p>
    <w:tbl>
      <w:tblPr>
        <w:tblStyle w:val="TableGrid"/>
        <w:tblW w:w="0" w:type="auto"/>
        <w:tblLook w:val="04A0" w:firstRow="1" w:lastRow="0" w:firstColumn="1" w:lastColumn="0" w:noHBand="0" w:noVBand="1"/>
      </w:tblPr>
      <w:tblGrid>
        <w:gridCol w:w="2201"/>
        <w:gridCol w:w="2311"/>
        <w:gridCol w:w="2229"/>
        <w:gridCol w:w="2269"/>
      </w:tblGrid>
      <w:tr w:rsidR="006171F6" w14:paraId="257764B1" w14:textId="77777777" w:rsidTr="006171F6">
        <w:tc>
          <w:tcPr>
            <w:tcW w:w="2340" w:type="dxa"/>
          </w:tcPr>
          <w:p w14:paraId="6CDE7E68" w14:textId="77777777" w:rsidR="006171F6" w:rsidRDefault="006171F6" w:rsidP="00B24940">
            <w:r>
              <w:t>Year</w:t>
            </w:r>
          </w:p>
        </w:tc>
        <w:tc>
          <w:tcPr>
            <w:tcW w:w="2340" w:type="dxa"/>
          </w:tcPr>
          <w:p w14:paraId="2EA441D6" w14:textId="77777777" w:rsidR="006171F6" w:rsidRDefault="006171F6" w:rsidP="00B24940">
            <w:r>
              <w:t>Expense/Income ratio %</w:t>
            </w:r>
          </w:p>
        </w:tc>
        <w:tc>
          <w:tcPr>
            <w:tcW w:w="2340" w:type="dxa"/>
          </w:tcPr>
          <w:p w14:paraId="6E7E7180" w14:textId="77777777" w:rsidR="006171F6" w:rsidRDefault="006171F6" w:rsidP="00B24940">
            <w:r>
              <w:t>Return on opening equity %</w:t>
            </w:r>
          </w:p>
        </w:tc>
        <w:tc>
          <w:tcPr>
            <w:tcW w:w="2340" w:type="dxa"/>
          </w:tcPr>
          <w:p w14:paraId="03D535A3" w14:textId="77777777" w:rsidR="006171F6" w:rsidRDefault="006171F6" w:rsidP="00B24940">
            <w:r>
              <w:t>Provisioning coverage ratio %</w:t>
            </w:r>
          </w:p>
        </w:tc>
      </w:tr>
      <w:tr w:rsidR="006171F6" w14:paraId="4E311FE3" w14:textId="77777777" w:rsidTr="006171F6">
        <w:tc>
          <w:tcPr>
            <w:tcW w:w="2340" w:type="dxa"/>
          </w:tcPr>
          <w:p w14:paraId="705E8FCC" w14:textId="77777777" w:rsidR="006171F6" w:rsidRDefault="006171F6" w:rsidP="00B24940">
            <w:r>
              <w:t>2019</w:t>
            </w:r>
          </w:p>
        </w:tc>
        <w:tc>
          <w:tcPr>
            <w:tcW w:w="2340" w:type="dxa"/>
          </w:tcPr>
          <w:p w14:paraId="76BF7978" w14:textId="77777777" w:rsidR="006171F6" w:rsidRDefault="006171F6" w:rsidP="00B24940">
            <w:r>
              <w:t>61.00</w:t>
            </w:r>
          </w:p>
        </w:tc>
        <w:tc>
          <w:tcPr>
            <w:tcW w:w="2340" w:type="dxa"/>
          </w:tcPr>
          <w:p w14:paraId="2AA3F43F" w14:textId="77777777" w:rsidR="006171F6" w:rsidRDefault="006171F6" w:rsidP="00B24940">
            <w:r>
              <w:t>1.90</w:t>
            </w:r>
          </w:p>
        </w:tc>
        <w:tc>
          <w:tcPr>
            <w:tcW w:w="2340" w:type="dxa"/>
          </w:tcPr>
          <w:p w14:paraId="6EDDCDE8" w14:textId="77777777" w:rsidR="006171F6" w:rsidRDefault="006171F6" w:rsidP="00B24940">
            <w:r>
              <w:t>1.30</w:t>
            </w:r>
          </w:p>
        </w:tc>
      </w:tr>
      <w:tr w:rsidR="006171F6" w14:paraId="7A97B4C1" w14:textId="77777777" w:rsidTr="006171F6">
        <w:tc>
          <w:tcPr>
            <w:tcW w:w="2340" w:type="dxa"/>
          </w:tcPr>
          <w:p w14:paraId="4DA122CD" w14:textId="77777777" w:rsidR="006171F6" w:rsidRDefault="006171F6" w:rsidP="00B24940">
            <w:r>
              <w:t>2020</w:t>
            </w:r>
          </w:p>
        </w:tc>
        <w:tc>
          <w:tcPr>
            <w:tcW w:w="2340" w:type="dxa"/>
          </w:tcPr>
          <w:p w14:paraId="39C0FC6C" w14:textId="77777777" w:rsidR="006171F6" w:rsidRDefault="006171F6" w:rsidP="00B24940">
            <w:r>
              <w:t>72.00</w:t>
            </w:r>
          </w:p>
        </w:tc>
        <w:tc>
          <w:tcPr>
            <w:tcW w:w="2340" w:type="dxa"/>
          </w:tcPr>
          <w:p w14:paraId="3BA08EEE" w14:textId="77777777" w:rsidR="006171F6" w:rsidRDefault="006171F6" w:rsidP="00B24940">
            <w:r>
              <w:t>1.00</w:t>
            </w:r>
          </w:p>
        </w:tc>
        <w:tc>
          <w:tcPr>
            <w:tcW w:w="2340" w:type="dxa"/>
          </w:tcPr>
          <w:p w14:paraId="1998162E" w14:textId="77777777" w:rsidR="006171F6" w:rsidRDefault="006171F6" w:rsidP="00B24940">
            <w:r>
              <w:t>3.00</w:t>
            </w:r>
          </w:p>
        </w:tc>
      </w:tr>
    </w:tbl>
    <w:p w14:paraId="4A989ECD" w14:textId="77777777" w:rsidR="00BE5C11" w:rsidRDefault="00BE5C11" w:rsidP="00F73CDB"/>
    <w:p w14:paraId="4E64DE73" w14:textId="00976209" w:rsidR="006171F6" w:rsidRDefault="006171F6" w:rsidP="00F73CDB">
      <w:r w:rsidRPr="006171F6">
        <w:t>These indicators are disclosed by the Group itself in the narrative of annual reports and are mentioned to pin down the trend before 2021. They are used to supplement the calculated ratios in Table 4.2.</w:t>
      </w:r>
    </w:p>
    <w:p w14:paraId="730F5BA2" w14:textId="6E52DB93" w:rsidR="006171F6" w:rsidRDefault="006171F6" w:rsidP="006171F6">
      <w:pPr>
        <w:pStyle w:val="Heading2"/>
      </w:pPr>
      <w:bookmarkStart w:id="61" w:name="_Toc220883001"/>
      <w:r>
        <w:t>4.4 Credit Risk Management: Provisioning, Portfolio Growth and Profitability Impact</w:t>
      </w:r>
      <w:bookmarkEnd w:id="61"/>
    </w:p>
    <w:p w14:paraId="36C9F969" w14:textId="6AE7E999" w:rsidR="0094066B" w:rsidRDefault="0094066B" w:rsidP="0094066B">
      <w:pPr>
        <w:rPr>
          <w:lang w:eastAsia="en-US"/>
        </w:rPr>
      </w:pPr>
      <w:r>
        <w:rPr>
          <w:lang w:eastAsia="en-US"/>
        </w:rPr>
        <w:t>The closest path between risk management and profitability is credit risk, since the Banking division of the business uses a massive lending base at Close Brothers</w:t>
      </w:r>
      <w:r w:rsidR="00436E6E">
        <w:rPr>
          <w:lang w:eastAsia="en-US"/>
        </w:rPr>
        <w:t xml:space="preserve"> </w:t>
      </w:r>
      <w:r w:rsidR="00436E6E">
        <w:rPr>
          <w:rFonts w:cs="Arial"/>
          <w:color w:val="000000"/>
        </w:rPr>
        <w:t>(Morara and Sibindi, 2021)</w:t>
      </w:r>
      <w:r>
        <w:rPr>
          <w:lang w:eastAsia="en-US"/>
        </w:rPr>
        <w:t>. The statistical data indicate that the profitability of the Group is extremely sensitive to the fluctuations in impairments caused by macroeconomic circumstances and portfolio features.</w:t>
      </w:r>
    </w:p>
    <w:p w14:paraId="7D71F939" w14:textId="22E5350A" w:rsidR="0094066B" w:rsidRDefault="0094066B" w:rsidP="00126ACC">
      <w:pPr>
        <w:rPr>
          <w:lang w:eastAsia="en-US"/>
        </w:rPr>
      </w:pPr>
      <w:r>
        <w:rPr>
          <w:lang w:eastAsia="en-US"/>
        </w:rPr>
        <w:t xml:space="preserve">An important discovery is that the impairment losses have been growing drastically between FY2023 and FY2022. As operating income grew and the cost base was kept under control, the impairment charge has more than tripled. It signifies a </w:t>
      </w:r>
      <w:r w:rsidR="00126ACC">
        <w:rPr>
          <w:lang w:eastAsia="en-US"/>
        </w:rPr>
        <w:t>difference</w:t>
      </w:r>
      <w:r>
        <w:rPr>
          <w:lang w:eastAsia="en-US"/>
        </w:rPr>
        <w:t xml:space="preserve"> in </w:t>
      </w:r>
      <w:r>
        <w:rPr>
          <w:lang w:eastAsia="en-US"/>
        </w:rPr>
        <w:lastRenderedPageBreak/>
        <w:t xml:space="preserve">the anticipated credit goodness or a more apprehensive credit rating strategy, possibly due to a growth in inflation, </w:t>
      </w:r>
      <w:r w:rsidR="00650321">
        <w:rPr>
          <w:lang w:eastAsia="en-US"/>
        </w:rPr>
        <w:t xml:space="preserve">a </w:t>
      </w:r>
      <w:r>
        <w:rPr>
          <w:lang w:eastAsia="en-US"/>
        </w:rPr>
        <w:t>rise in interest rates and cost-of-living demands affecting borrowers</w:t>
      </w:r>
      <w:r w:rsidR="00436E6E">
        <w:rPr>
          <w:lang w:eastAsia="en-US"/>
        </w:rPr>
        <w:t xml:space="preserve"> </w:t>
      </w:r>
      <w:r w:rsidR="00436E6E">
        <w:rPr>
          <w:rFonts w:cs="Arial"/>
          <w:color w:val="000000"/>
        </w:rPr>
        <w:t>(Murugan, T and Marappan, 2023)</w:t>
      </w:r>
      <w:r>
        <w:rPr>
          <w:lang w:eastAsia="en-US"/>
        </w:rPr>
        <w:t>. Under a sensible risk management approach, these conditions will result in more staging of loans under the IFRS 9 and more probability-of-default assumptions, which means higher provisions before the crystallisation of defaults</w:t>
      </w:r>
      <w:r w:rsidR="00126ACC">
        <w:rPr>
          <w:lang w:eastAsia="en-US"/>
        </w:rPr>
        <w:t xml:space="preserve"> </w:t>
      </w:r>
      <w:r w:rsidR="00126ACC">
        <w:t xml:space="preserve">(IFRS Foundation, 2022). </w:t>
      </w:r>
    </w:p>
    <w:p w14:paraId="1872F5DF" w14:textId="19DFCCD7" w:rsidR="0094066B" w:rsidRDefault="0094066B" w:rsidP="0094066B">
      <w:pPr>
        <w:rPr>
          <w:lang w:eastAsia="en-US"/>
        </w:rPr>
      </w:pPr>
      <w:r>
        <w:rPr>
          <w:lang w:eastAsia="en-US"/>
        </w:rPr>
        <w:t>The preceding period of the pandemic gives equally representative evidence of prospective provisioning. This is because the provisioning coverage ratio rose by 1.3 in FY2019 and 3.0 in FY2020</w:t>
      </w:r>
      <w:r w:rsidR="00D62FFD">
        <w:rPr>
          <w:lang w:eastAsia="en-US"/>
        </w:rPr>
        <w:t xml:space="preserve"> </w:t>
      </w:r>
      <w:r w:rsidR="00D62FFD">
        <w:rPr>
          <w:rFonts w:cs="Arial"/>
          <w:color w:val="000000"/>
        </w:rPr>
        <w:t>(Close Brothers Group plc, 2021a)</w:t>
      </w:r>
      <w:r>
        <w:rPr>
          <w:lang w:eastAsia="en-US"/>
        </w:rPr>
        <w:t>. In financial terms, this may be viewed as management buying resilience by lowering reported profit to enhance loss-absorbing buffers. The trade-off here is one of the central themes in risk management as applied to banking</w:t>
      </w:r>
      <w:r w:rsidR="00436E6E">
        <w:rPr>
          <w:lang w:eastAsia="en-US"/>
        </w:rPr>
        <w:t xml:space="preserve"> </w:t>
      </w:r>
      <w:r w:rsidR="00436E6E">
        <w:rPr>
          <w:rFonts w:cs="Arial"/>
          <w:color w:val="000000"/>
        </w:rPr>
        <w:t>(</w:t>
      </w:r>
      <w:proofErr w:type="spellStart"/>
      <w:r w:rsidR="00436E6E">
        <w:rPr>
          <w:rFonts w:cs="Arial"/>
          <w:color w:val="000000"/>
        </w:rPr>
        <w:t>Popkova</w:t>
      </w:r>
      <w:proofErr w:type="spellEnd"/>
      <w:r w:rsidR="00436E6E">
        <w:rPr>
          <w:rFonts w:cs="Arial"/>
          <w:color w:val="000000"/>
        </w:rPr>
        <w:t xml:space="preserve"> and Sergi, 2021)</w:t>
      </w:r>
      <w:r w:rsidR="00436E6E">
        <w:rPr>
          <w:lang w:eastAsia="en-US"/>
        </w:rPr>
        <w:t>. H</w:t>
      </w:r>
      <w:r>
        <w:rPr>
          <w:lang w:eastAsia="en-US"/>
        </w:rPr>
        <w:t>eavy provisioning will diminish short-term profitability, although such lax standards may diminish the probability of a cataclysmic depletion of capital in the future.</w:t>
      </w:r>
    </w:p>
    <w:p w14:paraId="7BBE7D20" w14:textId="46960BB0" w:rsidR="006171F6" w:rsidRDefault="0094066B" w:rsidP="0094066B">
      <w:pPr>
        <w:rPr>
          <w:lang w:eastAsia="en-US"/>
        </w:rPr>
      </w:pPr>
      <w:r>
        <w:rPr>
          <w:lang w:eastAsia="en-US"/>
        </w:rPr>
        <w:t>We can use the indicators of credit costs to relate to the expansion of the credit footprint in order to discern the scale effect. Disclosed operating lease assets and FY2020 to FY2022, there was an increment in disclosed loans and operating lease assets, which ranged between GBP 7.6bn and GBP 9.6bn</w:t>
      </w:r>
      <w:r w:rsidR="00126ACC">
        <w:rPr>
          <w:lang w:eastAsia="en-US"/>
        </w:rPr>
        <w:t xml:space="preserve"> </w:t>
      </w:r>
      <w:r w:rsidR="00126ACC">
        <w:t>(IFRS Foundation, 2022)</w:t>
      </w:r>
      <w:r>
        <w:rPr>
          <w:lang w:eastAsia="en-US"/>
        </w:rPr>
        <w:t>. The higher the loan book, the higher, regardless of the costs, the percentage loss rates will be converted into higher absolute impairment charges. As such, the growth of the portfolio should be awakened by effective credit governance, which involves:</w:t>
      </w:r>
    </w:p>
    <w:p w14:paraId="6F5AB66A" w14:textId="5875FAC7" w:rsidR="0094066B" w:rsidRDefault="0094066B" w:rsidP="0094066B">
      <w:pPr>
        <w:pStyle w:val="ListParagraph"/>
        <w:numPr>
          <w:ilvl w:val="0"/>
          <w:numId w:val="35"/>
        </w:numPr>
      </w:pPr>
      <w:r>
        <w:t>Underwriting standards calibrated to cycle risk;</w:t>
      </w:r>
    </w:p>
    <w:p w14:paraId="7D2D44C8" w14:textId="3C4D420E" w:rsidR="0094066B" w:rsidRDefault="0094066B" w:rsidP="0094066B">
      <w:pPr>
        <w:pStyle w:val="ListParagraph"/>
        <w:numPr>
          <w:ilvl w:val="0"/>
          <w:numId w:val="35"/>
        </w:numPr>
      </w:pPr>
      <w:r>
        <w:t>portfolio concentration monitoring</w:t>
      </w:r>
      <w:r w:rsidR="00436E6E">
        <w:t xml:space="preserve"> </w:t>
      </w:r>
      <w:r w:rsidR="00436E6E">
        <w:rPr>
          <w:rFonts w:cs="Arial"/>
          <w:color w:val="000000"/>
        </w:rPr>
        <w:t>(Marx, 2023)</w:t>
      </w:r>
      <w:r>
        <w:t>;</w:t>
      </w:r>
    </w:p>
    <w:p w14:paraId="64A96C3B" w14:textId="29D7ADA1" w:rsidR="0094066B" w:rsidRDefault="0094066B" w:rsidP="0094066B">
      <w:pPr>
        <w:pStyle w:val="ListParagraph"/>
        <w:numPr>
          <w:ilvl w:val="0"/>
          <w:numId w:val="35"/>
        </w:numPr>
      </w:pPr>
      <w:r>
        <w:t>collateral valuation discipline (where applicable);</w:t>
      </w:r>
    </w:p>
    <w:p w14:paraId="02E6EF8F" w14:textId="4964600D" w:rsidR="0094066B" w:rsidRDefault="0094066B" w:rsidP="0094066B">
      <w:pPr>
        <w:pStyle w:val="ListParagraph"/>
        <w:numPr>
          <w:ilvl w:val="0"/>
          <w:numId w:val="35"/>
        </w:numPr>
      </w:pPr>
      <w:r>
        <w:t>early-warning systems and arrears management</w:t>
      </w:r>
      <w:r w:rsidR="00436E6E">
        <w:t xml:space="preserve"> </w:t>
      </w:r>
      <w:r w:rsidR="00436E6E">
        <w:rPr>
          <w:rFonts w:cs="Arial"/>
          <w:color w:val="000000"/>
        </w:rPr>
        <w:t xml:space="preserve">(Damilare </w:t>
      </w:r>
      <w:r w:rsidR="00436E6E">
        <w:rPr>
          <w:rFonts w:cs="Arial"/>
          <w:i/>
          <w:iCs/>
          <w:color w:val="000000"/>
        </w:rPr>
        <w:t>et al.</w:t>
      </w:r>
      <w:r w:rsidR="00436E6E">
        <w:rPr>
          <w:rFonts w:cs="Arial"/>
          <w:color w:val="000000"/>
        </w:rPr>
        <w:t>, 2021)</w:t>
      </w:r>
      <w:r>
        <w:t>; and</w:t>
      </w:r>
    </w:p>
    <w:p w14:paraId="2E39CD9E" w14:textId="19A5E156" w:rsidR="0094066B" w:rsidRPr="006171F6" w:rsidRDefault="0094066B" w:rsidP="0094066B">
      <w:pPr>
        <w:pStyle w:val="ListParagraph"/>
        <w:numPr>
          <w:ilvl w:val="0"/>
          <w:numId w:val="35"/>
        </w:numPr>
      </w:pPr>
      <w:r>
        <w:t>stress testing that links macro shocks to expected losses and capital depletion.</w:t>
      </w:r>
    </w:p>
    <w:p w14:paraId="6DABC40B" w14:textId="6A951342" w:rsidR="00834040" w:rsidRDefault="00834040" w:rsidP="00F73CDB">
      <w:r>
        <w:t>From a</w:t>
      </w:r>
      <w:r w:rsidRPr="00834040">
        <w:t xml:space="preserve"> profitability management perspective, the information suggests that the profit volatility of Close Brothers may be greater because of the impairment volatility than </w:t>
      </w:r>
      <w:r>
        <w:t xml:space="preserve">the </w:t>
      </w:r>
      <w:r w:rsidRPr="00834040">
        <w:t>operational costs volatility</w:t>
      </w:r>
      <w:r w:rsidR="00436E6E">
        <w:t xml:space="preserve"> </w:t>
      </w:r>
      <w:r w:rsidR="00436E6E">
        <w:rPr>
          <w:rFonts w:cs="Arial"/>
          <w:color w:val="000000"/>
        </w:rPr>
        <w:t>(Habu and Henderson, 2023)</w:t>
      </w:r>
      <w:r w:rsidRPr="00834040">
        <w:t xml:space="preserve">. Based on this, risk management measures to enhance the stability of the earnings would involve </w:t>
      </w:r>
      <w:r>
        <w:t xml:space="preserve">the </w:t>
      </w:r>
      <w:r w:rsidRPr="00834040">
        <w:t>reduction of credit-cost spikes with increased proactive rebalancing of the portfolio, tightening of risk-appetite constraints in more risky sub-segments, and a more aggressive collection at times of crisis.</w:t>
      </w:r>
    </w:p>
    <w:p w14:paraId="057521DF" w14:textId="77777777" w:rsidR="00834040" w:rsidRDefault="00834040" w:rsidP="00834040">
      <w:pPr>
        <w:pStyle w:val="Heading2"/>
      </w:pPr>
      <w:bookmarkStart w:id="62" w:name="_Toc220883002"/>
      <w:r>
        <w:lastRenderedPageBreak/>
        <w:t>4.5 Liquidity and Funding Risk: Deposit Dependence, Borrowings and Buffer Management</w:t>
      </w:r>
      <w:bookmarkEnd w:id="62"/>
    </w:p>
    <w:p w14:paraId="613590AD" w14:textId="57F65638" w:rsidR="00834040" w:rsidRDefault="00834040" w:rsidP="00F73CDB">
      <w:r w:rsidRPr="00834040">
        <w:t xml:space="preserve">Liquidity and Funding risk </w:t>
      </w:r>
      <w:r w:rsidR="00650321">
        <w:t>are</w:t>
      </w:r>
      <w:r w:rsidRPr="00834040">
        <w:t xml:space="preserve"> evaluated based on balance sheet structural indicators (deposits-to-assets, borrowings-to-assets) as well as regulatory indicators of liquidity (LCR). Close Brother seems to have a deposit-based funding structure that is completed with borrowings</w:t>
      </w:r>
      <w:r w:rsidR="00436E6E">
        <w:t xml:space="preserve"> </w:t>
      </w:r>
      <w:r w:rsidR="00436E6E">
        <w:rPr>
          <w:rFonts w:cs="Arial"/>
          <w:color w:val="000000"/>
        </w:rPr>
        <w:t>(</w:t>
      </w:r>
      <w:proofErr w:type="spellStart"/>
      <w:r w:rsidR="00436E6E">
        <w:rPr>
          <w:rFonts w:cs="Arial"/>
          <w:color w:val="000000"/>
        </w:rPr>
        <w:t>Delios</w:t>
      </w:r>
      <w:proofErr w:type="spellEnd"/>
      <w:r w:rsidR="00436E6E">
        <w:rPr>
          <w:rFonts w:cs="Arial"/>
          <w:color w:val="000000"/>
        </w:rPr>
        <w:t xml:space="preserve"> </w:t>
      </w:r>
      <w:r w:rsidR="00436E6E">
        <w:rPr>
          <w:rFonts w:cs="Arial"/>
          <w:i/>
          <w:iCs/>
          <w:color w:val="000000"/>
        </w:rPr>
        <w:t>et al.</w:t>
      </w:r>
      <w:r w:rsidR="00436E6E">
        <w:rPr>
          <w:rFonts w:cs="Arial"/>
          <w:color w:val="000000"/>
        </w:rPr>
        <w:t>, 2023)</w:t>
      </w:r>
      <w:r w:rsidRPr="00834040">
        <w:t xml:space="preserve">. </w:t>
      </w:r>
      <w:proofErr w:type="spellStart"/>
      <w:r>
        <w:t>Overdeposits</w:t>
      </w:r>
      <w:proofErr w:type="spellEnd"/>
      <w:r w:rsidRPr="00834040">
        <w:t xml:space="preserve"> are about 53-57</w:t>
      </w:r>
      <w:r>
        <w:rPr>
          <w:lang w:val="en-US"/>
        </w:rPr>
        <w:t>%</w:t>
      </w:r>
      <w:r w:rsidRPr="00834040">
        <w:t xml:space="preserve"> of the assets in the years of disclosure of deposits (Table 4.1). This represents a high level of core funding base</w:t>
      </w:r>
      <w:r>
        <w:t>,</w:t>
      </w:r>
      <w:r w:rsidRPr="00834040">
        <w:t xml:space="preserve"> but the figures of </w:t>
      </w:r>
      <w:r>
        <w:t xml:space="preserve">the </w:t>
      </w:r>
      <w:r w:rsidRPr="00834040">
        <w:t>loan to deposits ratio of over 100</w:t>
      </w:r>
      <w:r w:rsidR="00D62FFD">
        <w:t>%</w:t>
      </w:r>
      <w:r w:rsidRPr="00834040">
        <w:t xml:space="preserve"> point towards the fact that deposits do not finance the entire loan book. Hence</w:t>
      </w:r>
      <w:r>
        <w:t>,</w:t>
      </w:r>
      <w:r w:rsidRPr="00834040">
        <w:t xml:space="preserve"> the treasury strategy needs to trade off:</w:t>
      </w:r>
    </w:p>
    <w:p w14:paraId="18DE5A9C" w14:textId="77777777" w:rsidR="00834040" w:rsidRDefault="00834040" w:rsidP="00834040">
      <w:pPr>
        <w:pStyle w:val="ListParagraph"/>
        <w:numPr>
          <w:ilvl w:val="0"/>
          <w:numId w:val="36"/>
        </w:numPr>
      </w:pPr>
      <w:r>
        <w:t>The stability and pricing of deposits,</w:t>
      </w:r>
    </w:p>
    <w:p w14:paraId="2546C0E8" w14:textId="15AB9027" w:rsidR="00834040" w:rsidRDefault="00834040" w:rsidP="00834040">
      <w:pPr>
        <w:pStyle w:val="ListParagraph"/>
        <w:numPr>
          <w:ilvl w:val="0"/>
          <w:numId w:val="36"/>
        </w:numPr>
      </w:pPr>
      <w:r>
        <w:t>The refinancing and spread risks of borrowings</w:t>
      </w:r>
      <w:r w:rsidR="00436E6E">
        <w:t xml:space="preserve"> </w:t>
      </w:r>
      <w:r w:rsidR="00436E6E">
        <w:rPr>
          <w:rFonts w:cs="Arial"/>
          <w:color w:val="000000"/>
        </w:rPr>
        <w:t>(Bianchi and Bigio, 2022)</w:t>
      </w:r>
      <w:r>
        <w:t>,</w:t>
      </w:r>
    </w:p>
    <w:p w14:paraId="26633A88" w14:textId="77777777" w:rsidR="00834040" w:rsidRDefault="00834040" w:rsidP="00834040">
      <w:pPr>
        <w:pStyle w:val="ListParagraph"/>
        <w:numPr>
          <w:ilvl w:val="0"/>
          <w:numId w:val="36"/>
        </w:numPr>
      </w:pPr>
      <w:r>
        <w:t>The maturity profile of assets and liabilities, and</w:t>
      </w:r>
    </w:p>
    <w:p w14:paraId="47C93A5D" w14:textId="77777777" w:rsidR="00834040" w:rsidRDefault="00834040" w:rsidP="00834040">
      <w:pPr>
        <w:pStyle w:val="ListParagraph"/>
        <w:numPr>
          <w:ilvl w:val="0"/>
          <w:numId w:val="36"/>
        </w:numPr>
      </w:pPr>
      <w:r>
        <w:t>The holding of liquid assets that can be monetised under stress.</w:t>
      </w:r>
    </w:p>
    <w:p w14:paraId="1A72CF36" w14:textId="611FBADE" w:rsidR="002B46B0" w:rsidRPr="002B46B0" w:rsidRDefault="002B46B0" w:rsidP="002B46B0">
      <w:r w:rsidRPr="002B46B0">
        <w:t xml:space="preserve">Another interesting observation during the annual report is that </w:t>
      </w:r>
      <w:r w:rsidR="00650321">
        <w:t xml:space="preserve">the </w:t>
      </w:r>
      <w:r w:rsidRPr="002B46B0">
        <w:t>Liquidity Coverage Ratio declined by 195% in FY2023 to 137% in FY2024. Although both values are still higher than the regulatory minimum of 100, the decrease suggests a decreased headroom of liquidity against stress outflows. This brings the liquidity buffer optimisation more restrictive as a constraint on growth and profitability in financial management terms</w:t>
      </w:r>
      <w:r w:rsidR="00436E6E">
        <w:t xml:space="preserve"> </w:t>
      </w:r>
      <w:r w:rsidR="00436E6E">
        <w:rPr>
          <w:rFonts w:cs="Arial"/>
          <w:color w:val="000000"/>
        </w:rPr>
        <w:t xml:space="preserve">(Jariah and </w:t>
      </w:r>
      <w:proofErr w:type="spellStart"/>
      <w:r w:rsidR="00436E6E">
        <w:rPr>
          <w:rFonts w:cs="Arial"/>
          <w:color w:val="000000"/>
        </w:rPr>
        <w:t>Lukiana</w:t>
      </w:r>
      <w:proofErr w:type="spellEnd"/>
      <w:r w:rsidR="00436E6E">
        <w:rPr>
          <w:rFonts w:cs="Arial"/>
          <w:color w:val="000000"/>
        </w:rPr>
        <w:t>, 2023)</w:t>
      </w:r>
      <w:r w:rsidRPr="002B46B0">
        <w:t xml:space="preserve">. As an example, a greater quantity of </w:t>
      </w:r>
      <w:r w:rsidR="00650321">
        <w:t>higher-quality</w:t>
      </w:r>
      <w:r w:rsidRPr="002B46B0">
        <w:t xml:space="preserve"> liquid assets will raise LCR but will lower profitability </w:t>
      </w:r>
      <w:r w:rsidR="00650321">
        <w:t>if</w:t>
      </w:r>
      <w:r w:rsidRPr="002B46B0">
        <w:t xml:space="preserve"> those assets </w:t>
      </w:r>
      <w:r w:rsidR="00650321">
        <w:t xml:space="preserve">are </w:t>
      </w:r>
      <w:r w:rsidRPr="002B46B0">
        <w:t xml:space="preserve">less than the </w:t>
      </w:r>
      <w:r w:rsidR="00650321">
        <w:t>loan</w:t>
      </w:r>
      <w:r w:rsidRPr="002B46B0">
        <w:t xml:space="preserve"> book.</w:t>
      </w:r>
    </w:p>
    <w:p w14:paraId="41841087" w14:textId="51A634F7" w:rsidR="002B46B0" w:rsidRPr="002B46B0" w:rsidRDefault="002B46B0" w:rsidP="002B46B0">
      <w:r w:rsidRPr="002B46B0">
        <w:t xml:space="preserve">It is also possible to evaluate </w:t>
      </w:r>
      <w:r w:rsidR="00650321">
        <w:t xml:space="preserve">the </w:t>
      </w:r>
      <w:r w:rsidRPr="002B46B0">
        <w:t xml:space="preserve">funding structure </w:t>
      </w:r>
      <w:r w:rsidR="00650321">
        <w:t>by</w:t>
      </w:r>
      <w:r w:rsidRPr="002B46B0">
        <w:t xml:space="preserve"> comparing deposits and borrowings. A low ratio of deposits to borrowings represents a dependency on wholesale finance. GFP 5,638.4m of deposits versus GBP 2,601.0m of borrowings are inferred to indicate a deposits/borrowings ratio of 2.17x in FY2019</w:t>
      </w:r>
      <w:r w:rsidR="00D62FFD">
        <w:t xml:space="preserve"> </w:t>
      </w:r>
      <w:r w:rsidR="00D62FFD">
        <w:rPr>
          <w:rFonts w:cs="Arial"/>
          <w:color w:val="000000"/>
        </w:rPr>
        <w:t>(Close Brothers Group plc, 2021b)</w:t>
      </w:r>
      <w:r w:rsidRPr="002B46B0">
        <w:t xml:space="preserve">. The deposit amounts (GBP 7,762.5m) and borrowings (GBP 2,592.9m) in FY2023 indicate </w:t>
      </w:r>
      <w:r w:rsidR="00650321">
        <w:t>a deposit</w:t>
      </w:r>
      <w:r w:rsidRPr="002B46B0">
        <w:t xml:space="preserve">/borrowings ratio </w:t>
      </w:r>
      <w:r w:rsidR="00650321">
        <w:t>of</w:t>
      </w:r>
      <w:r w:rsidRPr="002B46B0">
        <w:t xml:space="preserve"> 2.99x</w:t>
      </w:r>
      <w:r w:rsidR="00D62FFD">
        <w:t xml:space="preserve"> </w:t>
      </w:r>
      <w:r w:rsidR="00D62FFD">
        <w:rPr>
          <w:rFonts w:cs="Arial"/>
          <w:color w:val="000000"/>
        </w:rPr>
        <w:t>(Close Brothers Group plc, 2022a)</w:t>
      </w:r>
      <w:r w:rsidR="00D62FFD">
        <w:t xml:space="preserve">. It </w:t>
      </w:r>
      <w:r w:rsidRPr="002B46B0">
        <w:t>indicat</w:t>
      </w:r>
      <w:r w:rsidR="00D62FFD">
        <w:t>e</w:t>
      </w:r>
      <w:r w:rsidRPr="002B46B0">
        <w:t xml:space="preserve"> that deposits played an increasing role in the balance sheet. This is the trend that facilitates the thinking of increasing financi</w:t>
      </w:r>
      <w:r w:rsidR="00D62FFD">
        <w:t>al</w:t>
      </w:r>
      <w:r w:rsidRPr="002B46B0">
        <w:t xml:space="preserve"> stability</w:t>
      </w:r>
      <w:r w:rsidR="00436E6E">
        <w:t xml:space="preserve"> </w:t>
      </w:r>
      <w:r w:rsidR="00436E6E">
        <w:rPr>
          <w:rFonts w:cs="Arial"/>
          <w:color w:val="000000"/>
        </w:rPr>
        <w:t xml:space="preserve">(Al </w:t>
      </w:r>
      <w:proofErr w:type="spellStart"/>
      <w:r w:rsidR="00436E6E">
        <w:rPr>
          <w:rFonts w:cs="Arial"/>
          <w:color w:val="000000"/>
        </w:rPr>
        <w:t>Zaidanin</w:t>
      </w:r>
      <w:proofErr w:type="spellEnd"/>
      <w:r w:rsidR="00436E6E">
        <w:rPr>
          <w:rFonts w:cs="Arial"/>
          <w:color w:val="000000"/>
        </w:rPr>
        <w:t xml:space="preserve"> and Al Zaidanin, 2021)</w:t>
      </w:r>
      <w:r w:rsidR="00436E6E">
        <w:t>. H</w:t>
      </w:r>
      <w:r w:rsidRPr="002B46B0">
        <w:t xml:space="preserve">owever, the parallel decline of LCR in FY2024 </w:t>
      </w:r>
      <w:r w:rsidRPr="002B46B0">
        <w:lastRenderedPageBreak/>
        <w:t>suggests that liquidity reserves and funding relations should be thought of jointly and not individually.</w:t>
      </w:r>
    </w:p>
    <w:p w14:paraId="5AE48011" w14:textId="524A70FD" w:rsidR="002B46B0" w:rsidRDefault="002B46B0" w:rsidP="002B46B0">
      <w:r w:rsidRPr="002B46B0">
        <w:t xml:space="preserve">Lastly, credit risk management relates to liquidity management. Increased arrears (along with default) can diminish cash </w:t>
      </w:r>
      <w:r w:rsidR="00650321">
        <w:t>inflows</w:t>
      </w:r>
      <w:r w:rsidRPr="002B46B0">
        <w:t xml:space="preserve"> and elevate </w:t>
      </w:r>
      <w:r w:rsidR="00650321">
        <w:t xml:space="preserve">the </w:t>
      </w:r>
      <w:r w:rsidRPr="002B46B0">
        <w:t xml:space="preserve">requirement </w:t>
      </w:r>
      <w:r w:rsidR="00650321">
        <w:t>for</w:t>
      </w:r>
      <w:r w:rsidRPr="002B46B0">
        <w:t xml:space="preserve"> funds under pressure</w:t>
      </w:r>
      <w:r w:rsidR="00650321">
        <w:t>,</w:t>
      </w:r>
      <w:r w:rsidRPr="002B46B0">
        <w:t xml:space="preserve"> </w:t>
      </w:r>
      <w:r w:rsidR="00650321">
        <w:t>and</w:t>
      </w:r>
      <w:r w:rsidRPr="002B46B0">
        <w:t xml:space="preserve"> deposit confidence can be more susceptible to the sentiments of the market</w:t>
      </w:r>
      <w:r w:rsidR="00436E6E">
        <w:t xml:space="preserve"> </w:t>
      </w:r>
      <w:r w:rsidR="00436E6E">
        <w:rPr>
          <w:rFonts w:cs="Arial"/>
          <w:color w:val="000000"/>
        </w:rPr>
        <w:t>(Denscombe, 2025)</w:t>
      </w:r>
      <w:r w:rsidRPr="002B46B0">
        <w:t>. Stress testing and contingency funding planning are therefore necessary in order to ensure that the profitability shocks in terms of credit losses do not translate into liquidity shocks.</w:t>
      </w:r>
    </w:p>
    <w:p w14:paraId="0B11E75E" w14:textId="77777777" w:rsidR="002B46B0" w:rsidRDefault="002B46B0" w:rsidP="002B46B0">
      <w:pPr>
        <w:pStyle w:val="Heading2"/>
      </w:pPr>
      <w:bookmarkStart w:id="63" w:name="_Toc220883003"/>
      <w:r>
        <w:t>4.6 Capital Adequacy and Regulatory Headroom: Quantitative Buffer Analysis</w:t>
      </w:r>
      <w:bookmarkEnd w:id="63"/>
    </w:p>
    <w:p w14:paraId="476D74DC" w14:textId="20A3DF47" w:rsidR="00650321" w:rsidRPr="00650321" w:rsidRDefault="00650321" w:rsidP="00650321">
      <w:r w:rsidRPr="00650321">
        <w:t xml:space="preserve">Regulatory capital ratios are an official, quantitative measure of the results </w:t>
      </w:r>
      <w:r>
        <w:t>of</w:t>
      </w:r>
      <w:r w:rsidRPr="00650321">
        <w:t xml:space="preserve"> risk management. The numerator is the capital resources (capital resources such as CET1 and other devices), whereas the denominator is risk-weighted assets (depending on the size and riskiness of the portfolio)</w:t>
      </w:r>
      <w:r w:rsidR="00436E6E">
        <w:t xml:space="preserve"> </w:t>
      </w:r>
      <w:r w:rsidR="00436E6E">
        <w:rPr>
          <w:rFonts w:cs="Arial"/>
          <w:color w:val="000000"/>
        </w:rPr>
        <w:t>(Feng and Qu, 2022)</w:t>
      </w:r>
      <w:r w:rsidRPr="00650321">
        <w:t>. In accordance with annual report disclosures, key ratios of capital declined in FY2023 and FY2024, although it still complied with the minimum requirements.</w:t>
      </w:r>
    </w:p>
    <w:p w14:paraId="4D290592" w14:textId="350E1C14" w:rsidR="00650321" w:rsidRPr="00650321" w:rsidRDefault="00650321" w:rsidP="00650321">
      <w:r w:rsidRPr="00650321">
        <w:t xml:space="preserve">Close Brothers had a CET1 ratio of 12.8% (FY2024: 13.3%), </w:t>
      </w:r>
      <w:r>
        <w:t xml:space="preserve">a </w:t>
      </w:r>
      <w:r w:rsidRPr="00650321">
        <w:t>Tier 1 ratio of 14.7% (FY2023: 15.2%), and a total capital ratio of 16.6% (FY2023: 17.5 apparent)</w:t>
      </w:r>
      <w:r w:rsidR="00D62FFD">
        <w:t xml:space="preserve"> </w:t>
      </w:r>
      <w:r w:rsidR="00D62FFD">
        <w:rPr>
          <w:rFonts w:cs="Arial"/>
          <w:color w:val="000000"/>
        </w:rPr>
        <w:t>(Close Brothers Group plc, 2023), (Close Brothers Group plc, 2024)</w:t>
      </w:r>
      <w:r w:rsidRPr="00650321">
        <w:t>. The headroom is 3.1pp, 3.0pp and 1.9pp (compared to the disclosed minimum requirements 9.7% (CET1), 11.7% (Tier 1) and 14.7% (total capital))</w:t>
      </w:r>
      <w:r>
        <w:t>,</w:t>
      </w:r>
      <w:r w:rsidRPr="00650321">
        <w:t xml:space="preserve"> respectively. Although these buffers still have a sense, the decreasing total capital headroom is financially important as it will cut down the growth capacity of the bank</w:t>
      </w:r>
      <w:r>
        <w:t>,</w:t>
      </w:r>
      <w:r w:rsidRPr="00650321">
        <w:t xml:space="preserve"> given the same risk appetite.</w:t>
      </w:r>
    </w:p>
    <w:p w14:paraId="39C7903A" w14:textId="5E410486" w:rsidR="00650321" w:rsidRPr="00650321" w:rsidRDefault="00650321" w:rsidP="00650321">
      <w:r w:rsidRPr="00650321">
        <w:t xml:space="preserve">The change can be described in two mechanisms mentioned in disclosures. To begin with, there was a greater </w:t>
      </w:r>
      <w:r>
        <w:t>risk-weighted</w:t>
      </w:r>
      <w:r w:rsidRPr="00650321">
        <w:t xml:space="preserve"> assets in Commercial and Property</w:t>
      </w:r>
      <w:r>
        <w:t>,</w:t>
      </w:r>
      <w:r w:rsidRPr="00650321">
        <w:t xml:space="preserve"> which by its nature decreases capital ratios on a mechanical basis unless capital is increased in the same line with it</w:t>
      </w:r>
      <w:r w:rsidR="00436E6E">
        <w:t xml:space="preserve"> </w:t>
      </w:r>
      <w:r w:rsidR="00436E6E">
        <w:rPr>
          <w:rFonts w:cs="Arial"/>
          <w:color w:val="000000"/>
        </w:rPr>
        <w:t>(Feng and Qu, 2022)</w:t>
      </w:r>
      <w:r w:rsidRPr="00650321">
        <w:t xml:space="preserve">. Secondly, </w:t>
      </w:r>
      <w:r>
        <w:t xml:space="preserve">the </w:t>
      </w:r>
      <w:r w:rsidRPr="00650321">
        <w:t>cost of risk decreased the CET1 capital, which showed the relation between the credit impairment and capital formation. Concurrently, the Group also issued a GBP 250m Additional Tier 1 instrument, which contributed to the Tier 1 ratio and enhanced the leverage ratio.</w:t>
      </w:r>
    </w:p>
    <w:p w14:paraId="37F4C0E9" w14:textId="47BD8319" w:rsidR="00650321" w:rsidRPr="00650321" w:rsidRDefault="00650321" w:rsidP="00650321">
      <w:r w:rsidRPr="00650321">
        <w:t xml:space="preserve">This is a practical form of capital optimisation </w:t>
      </w:r>
      <w:r>
        <w:t>from a</w:t>
      </w:r>
      <w:r w:rsidRPr="00650321">
        <w:t xml:space="preserve"> financial management perspective. Where earnings volatility or risk-weight growth puts pressure on CET1, </w:t>
      </w:r>
      <w:r w:rsidRPr="00650321">
        <w:lastRenderedPageBreak/>
        <w:t xml:space="preserve">the management can reinforce the entire capital stack through the issue of non-CET1 instruments. Nevertheless, </w:t>
      </w:r>
      <w:r w:rsidR="00454084">
        <w:t>because CET1 is the best capital, long-run profitability is still required to restore CET1 through</w:t>
      </w:r>
      <w:r w:rsidRPr="00650321">
        <w:t xml:space="preserve"> retained earnings. Accordingly, </w:t>
      </w:r>
      <w:r>
        <w:t xml:space="preserve">the </w:t>
      </w:r>
      <w:r w:rsidRPr="00650321">
        <w:t xml:space="preserve">capital story goes back to </w:t>
      </w:r>
      <w:r>
        <w:t xml:space="preserve">the </w:t>
      </w:r>
      <w:r w:rsidRPr="00650321">
        <w:t>credit-cost story</w:t>
      </w:r>
      <w:r w:rsidR="00436E6E">
        <w:t xml:space="preserve"> </w:t>
      </w:r>
      <w:r w:rsidR="00436E6E">
        <w:rPr>
          <w:rFonts w:cs="Arial"/>
          <w:color w:val="000000"/>
        </w:rPr>
        <w:t>(</w:t>
      </w:r>
      <w:proofErr w:type="spellStart"/>
      <w:r w:rsidR="00436E6E">
        <w:rPr>
          <w:rFonts w:cs="Arial"/>
          <w:color w:val="000000"/>
        </w:rPr>
        <w:t>Alabdullah</w:t>
      </w:r>
      <w:proofErr w:type="spellEnd"/>
      <w:r w:rsidR="00436E6E">
        <w:rPr>
          <w:rFonts w:cs="Arial"/>
          <w:color w:val="000000"/>
        </w:rPr>
        <w:t>, 2022)</w:t>
      </w:r>
      <w:r w:rsidR="00436E6E">
        <w:t>. B</w:t>
      </w:r>
      <w:r w:rsidRPr="00650321">
        <w:t xml:space="preserve">y stabilising impairments, profitability and </w:t>
      </w:r>
      <w:r>
        <w:t xml:space="preserve">the </w:t>
      </w:r>
      <w:r w:rsidRPr="00650321">
        <w:t>CET1 criterion are sustainable.</w:t>
      </w:r>
    </w:p>
    <w:p w14:paraId="25DD9CBC" w14:textId="6A862CEA" w:rsidR="00650321" w:rsidRDefault="00650321" w:rsidP="00454084">
      <w:r w:rsidRPr="00650321">
        <w:t xml:space="preserve">Table 4.4 summarises the capital and liquidity indicators </w:t>
      </w:r>
      <w:r w:rsidR="00454084">
        <w:t>disclos</w:t>
      </w:r>
      <w:r w:rsidRPr="00650321">
        <w:t>ed and calculates headroom against the FY2024 minimum requirements. This advocates a steady measure of buffer s</w:t>
      </w:r>
      <w:r w:rsidR="00454084">
        <w:t>tability</w:t>
      </w:r>
      <w:r w:rsidRPr="00650321">
        <w:t xml:space="preserve"> and trail of direction.</w:t>
      </w:r>
    </w:p>
    <w:p w14:paraId="3F347632" w14:textId="77777777" w:rsidR="00650321" w:rsidRPr="00650321" w:rsidRDefault="00650321" w:rsidP="00650321">
      <w:pPr>
        <w:rPr>
          <w:b/>
          <w:bCs/>
        </w:rPr>
      </w:pPr>
      <w:r w:rsidRPr="00650321">
        <w:rPr>
          <w:b/>
          <w:bCs/>
        </w:rPr>
        <w:t>Table 4.4 Capital and liquidity metrics with headroom calculations (selected years)</w:t>
      </w:r>
    </w:p>
    <w:tbl>
      <w:tblPr>
        <w:tblStyle w:val="TableGrid"/>
        <w:tblW w:w="0" w:type="auto"/>
        <w:tblLayout w:type="fixed"/>
        <w:tblLook w:val="04A0" w:firstRow="1" w:lastRow="0" w:firstColumn="1" w:lastColumn="0" w:noHBand="0" w:noVBand="1"/>
      </w:tblPr>
      <w:tblGrid>
        <w:gridCol w:w="602"/>
        <w:gridCol w:w="660"/>
        <w:gridCol w:w="651"/>
        <w:gridCol w:w="719"/>
        <w:gridCol w:w="783"/>
        <w:gridCol w:w="720"/>
        <w:gridCol w:w="630"/>
        <w:gridCol w:w="990"/>
        <w:gridCol w:w="900"/>
        <w:gridCol w:w="1170"/>
        <w:gridCol w:w="1185"/>
      </w:tblGrid>
      <w:tr w:rsidR="00650321" w:rsidRPr="00650321" w14:paraId="25922FE6" w14:textId="77777777" w:rsidTr="00650321">
        <w:tc>
          <w:tcPr>
            <w:tcW w:w="602" w:type="dxa"/>
          </w:tcPr>
          <w:p w14:paraId="5AA73FBE" w14:textId="77777777" w:rsidR="00650321" w:rsidRPr="00650321" w:rsidRDefault="00650321" w:rsidP="00650321">
            <w:pPr>
              <w:rPr>
                <w:rFonts w:cs="Arial"/>
                <w:i/>
                <w:iCs/>
                <w:sz w:val="20"/>
                <w:szCs w:val="20"/>
              </w:rPr>
            </w:pPr>
            <w:r w:rsidRPr="00650321">
              <w:rPr>
                <w:rFonts w:cs="Arial"/>
                <w:i/>
                <w:iCs/>
                <w:sz w:val="20"/>
                <w:szCs w:val="20"/>
              </w:rPr>
              <w:t>Year</w:t>
            </w:r>
          </w:p>
        </w:tc>
        <w:tc>
          <w:tcPr>
            <w:tcW w:w="660" w:type="dxa"/>
          </w:tcPr>
          <w:p w14:paraId="5D454539" w14:textId="77777777" w:rsidR="00650321" w:rsidRPr="00650321" w:rsidRDefault="00650321" w:rsidP="00650321">
            <w:pPr>
              <w:rPr>
                <w:rFonts w:cs="Arial"/>
                <w:i/>
                <w:iCs/>
                <w:sz w:val="20"/>
                <w:szCs w:val="20"/>
              </w:rPr>
            </w:pPr>
            <w:r w:rsidRPr="00650321">
              <w:rPr>
                <w:rFonts w:cs="Arial"/>
                <w:i/>
                <w:iCs/>
                <w:sz w:val="20"/>
                <w:szCs w:val="20"/>
              </w:rPr>
              <w:t>CET1 %</w:t>
            </w:r>
          </w:p>
        </w:tc>
        <w:tc>
          <w:tcPr>
            <w:tcW w:w="651" w:type="dxa"/>
          </w:tcPr>
          <w:p w14:paraId="457D7672" w14:textId="77777777" w:rsidR="00650321" w:rsidRPr="00650321" w:rsidRDefault="00650321" w:rsidP="00650321">
            <w:pPr>
              <w:rPr>
                <w:rFonts w:cs="Arial"/>
                <w:i/>
                <w:iCs/>
                <w:sz w:val="20"/>
                <w:szCs w:val="20"/>
              </w:rPr>
            </w:pPr>
            <w:r w:rsidRPr="00650321">
              <w:rPr>
                <w:rFonts w:cs="Arial"/>
                <w:i/>
                <w:iCs/>
                <w:sz w:val="20"/>
                <w:szCs w:val="20"/>
              </w:rPr>
              <w:t>Tier1 %</w:t>
            </w:r>
          </w:p>
        </w:tc>
        <w:tc>
          <w:tcPr>
            <w:tcW w:w="719" w:type="dxa"/>
          </w:tcPr>
          <w:p w14:paraId="7935CBFA" w14:textId="77777777" w:rsidR="00650321" w:rsidRPr="00650321" w:rsidRDefault="00650321" w:rsidP="00650321">
            <w:pPr>
              <w:rPr>
                <w:rFonts w:cs="Arial"/>
                <w:i/>
                <w:iCs/>
                <w:sz w:val="20"/>
                <w:szCs w:val="20"/>
              </w:rPr>
            </w:pPr>
            <w:r w:rsidRPr="00650321">
              <w:rPr>
                <w:rFonts w:cs="Arial"/>
                <w:i/>
                <w:iCs/>
                <w:sz w:val="20"/>
                <w:szCs w:val="20"/>
              </w:rPr>
              <w:t>Total capital %</w:t>
            </w:r>
          </w:p>
        </w:tc>
        <w:tc>
          <w:tcPr>
            <w:tcW w:w="783" w:type="dxa"/>
          </w:tcPr>
          <w:p w14:paraId="1FDF2A7C" w14:textId="77777777" w:rsidR="00650321" w:rsidRPr="00650321" w:rsidRDefault="00650321" w:rsidP="00650321">
            <w:pPr>
              <w:rPr>
                <w:rFonts w:cs="Arial"/>
                <w:i/>
                <w:iCs/>
                <w:sz w:val="20"/>
                <w:szCs w:val="20"/>
              </w:rPr>
            </w:pPr>
            <w:r w:rsidRPr="00650321">
              <w:rPr>
                <w:rFonts w:cs="Arial"/>
                <w:i/>
                <w:iCs/>
                <w:sz w:val="20"/>
                <w:szCs w:val="20"/>
              </w:rPr>
              <w:t>Leverage %</w:t>
            </w:r>
          </w:p>
        </w:tc>
        <w:tc>
          <w:tcPr>
            <w:tcW w:w="720" w:type="dxa"/>
          </w:tcPr>
          <w:p w14:paraId="4F6DA9D8" w14:textId="77777777" w:rsidR="00650321" w:rsidRPr="00650321" w:rsidRDefault="00650321" w:rsidP="00650321">
            <w:pPr>
              <w:rPr>
                <w:rFonts w:cs="Arial"/>
                <w:i/>
                <w:iCs/>
                <w:sz w:val="20"/>
                <w:szCs w:val="20"/>
              </w:rPr>
            </w:pPr>
            <w:r w:rsidRPr="00650321">
              <w:rPr>
                <w:rFonts w:cs="Arial"/>
                <w:i/>
                <w:iCs/>
                <w:sz w:val="20"/>
                <w:szCs w:val="20"/>
              </w:rPr>
              <w:t>LCR %</w:t>
            </w:r>
          </w:p>
        </w:tc>
        <w:tc>
          <w:tcPr>
            <w:tcW w:w="630" w:type="dxa"/>
          </w:tcPr>
          <w:p w14:paraId="3D19924B" w14:textId="77777777" w:rsidR="00650321" w:rsidRPr="00650321" w:rsidRDefault="00650321" w:rsidP="00650321">
            <w:pPr>
              <w:rPr>
                <w:rFonts w:cs="Arial"/>
                <w:i/>
                <w:iCs/>
                <w:sz w:val="20"/>
                <w:szCs w:val="20"/>
              </w:rPr>
            </w:pPr>
            <w:r w:rsidRPr="00650321">
              <w:rPr>
                <w:rFonts w:cs="Arial"/>
                <w:i/>
                <w:iCs/>
                <w:sz w:val="20"/>
                <w:szCs w:val="20"/>
              </w:rPr>
              <w:t>MREL %</w:t>
            </w:r>
          </w:p>
        </w:tc>
        <w:tc>
          <w:tcPr>
            <w:tcW w:w="990" w:type="dxa"/>
          </w:tcPr>
          <w:p w14:paraId="190E2462" w14:textId="77777777" w:rsidR="00650321" w:rsidRPr="00650321" w:rsidRDefault="00650321" w:rsidP="00650321">
            <w:pPr>
              <w:rPr>
                <w:rFonts w:cs="Arial"/>
                <w:i/>
                <w:iCs/>
                <w:sz w:val="20"/>
                <w:szCs w:val="20"/>
              </w:rPr>
            </w:pPr>
            <w:r w:rsidRPr="00650321">
              <w:rPr>
                <w:rFonts w:cs="Arial"/>
                <w:i/>
                <w:iCs/>
                <w:sz w:val="20"/>
                <w:szCs w:val="20"/>
              </w:rPr>
              <w:t>CET1 % headroom</w:t>
            </w:r>
          </w:p>
        </w:tc>
        <w:tc>
          <w:tcPr>
            <w:tcW w:w="900" w:type="dxa"/>
          </w:tcPr>
          <w:p w14:paraId="4E9694F9" w14:textId="77777777" w:rsidR="00650321" w:rsidRPr="00650321" w:rsidRDefault="00650321" w:rsidP="00650321">
            <w:pPr>
              <w:rPr>
                <w:rFonts w:cs="Arial"/>
                <w:i/>
                <w:iCs/>
                <w:sz w:val="20"/>
                <w:szCs w:val="20"/>
              </w:rPr>
            </w:pPr>
            <w:r w:rsidRPr="00650321">
              <w:rPr>
                <w:rFonts w:cs="Arial"/>
                <w:i/>
                <w:iCs/>
                <w:sz w:val="20"/>
                <w:szCs w:val="20"/>
              </w:rPr>
              <w:t>Tier1 % headroom</w:t>
            </w:r>
          </w:p>
        </w:tc>
        <w:tc>
          <w:tcPr>
            <w:tcW w:w="1170" w:type="dxa"/>
          </w:tcPr>
          <w:p w14:paraId="01DDF857" w14:textId="77777777" w:rsidR="00650321" w:rsidRPr="00650321" w:rsidRDefault="00650321" w:rsidP="00650321">
            <w:pPr>
              <w:rPr>
                <w:rFonts w:cs="Arial"/>
                <w:i/>
                <w:iCs/>
                <w:sz w:val="20"/>
                <w:szCs w:val="20"/>
              </w:rPr>
            </w:pPr>
            <w:r w:rsidRPr="00650321">
              <w:rPr>
                <w:rFonts w:cs="Arial"/>
                <w:i/>
                <w:iCs/>
                <w:sz w:val="20"/>
                <w:szCs w:val="20"/>
              </w:rPr>
              <w:t>Total capital % headroom</w:t>
            </w:r>
          </w:p>
        </w:tc>
        <w:tc>
          <w:tcPr>
            <w:tcW w:w="1185" w:type="dxa"/>
          </w:tcPr>
          <w:p w14:paraId="3B8CD9F4" w14:textId="77777777" w:rsidR="00650321" w:rsidRPr="00650321" w:rsidRDefault="00650321" w:rsidP="00650321">
            <w:pPr>
              <w:rPr>
                <w:rFonts w:cs="Arial"/>
                <w:i/>
                <w:iCs/>
                <w:sz w:val="20"/>
                <w:szCs w:val="20"/>
              </w:rPr>
            </w:pPr>
            <w:r w:rsidRPr="00650321">
              <w:rPr>
                <w:rFonts w:cs="Arial"/>
                <w:i/>
                <w:iCs/>
                <w:sz w:val="20"/>
                <w:szCs w:val="20"/>
              </w:rPr>
              <w:t>Leverage % headroom</w:t>
            </w:r>
          </w:p>
        </w:tc>
      </w:tr>
      <w:tr w:rsidR="00650321" w:rsidRPr="00650321" w14:paraId="3E740D9B" w14:textId="77777777" w:rsidTr="00650321">
        <w:tc>
          <w:tcPr>
            <w:tcW w:w="602" w:type="dxa"/>
          </w:tcPr>
          <w:p w14:paraId="74445541" w14:textId="77777777" w:rsidR="00650321" w:rsidRPr="00650321" w:rsidRDefault="00650321" w:rsidP="00650321">
            <w:pPr>
              <w:rPr>
                <w:rFonts w:cs="Arial"/>
                <w:sz w:val="20"/>
                <w:szCs w:val="20"/>
              </w:rPr>
            </w:pPr>
            <w:r w:rsidRPr="00650321">
              <w:rPr>
                <w:rFonts w:cs="Arial"/>
                <w:sz w:val="20"/>
                <w:szCs w:val="20"/>
              </w:rPr>
              <w:t>2020</w:t>
            </w:r>
          </w:p>
        </w:tc>
        <w:tc>
          <w:tcPr>
            <w:tcW w:w="660" w:type="dxa"/>
          </w:tcPr>
          <w:p w14:paraId="7C87A27C" w14:textId="77777777" w:rsidR="00650321" w:rsidRPr="00650321" w:rsidRDefault="00650321" w:rsidP="00650321">
            <w:pPr>
              <w:rPr>
                <w:rFonts w:cs="Arial"/>
                <w:sz w:val="20"/>
                <w:szCs w:val="20"/>
              </w:rPr>
            </w:pPr>
            <w:r w:rsidRPr="00650321">
              <w:rPr>
                <w:rFonts w:cs="Arial"/>
                <w:sz w:val="20"/>
                <w:szCs w:val="20"/>
              </w:rPr>
              <w:t>14.10</w:t>
            </w:r>
          </w:p>
        </w:tc>
        <w:tc>
          <w:tcPr>
            <w:tcW w:w="651" w:type="dxa"/>
          </w:tcPr>
          <w:p w14:paraId="7A716342" w14:textId="77777777" w:rsidR="00650321" w:rsidRPr="00650321" w:rsidRDefault="00650321" w:rsidP="00650321">
            <w:pPr>
              <w:rPr>
                <w:rFonts w:cs="Arial"/>
                <w:sz w:val="20"/>
                <w:szCs w:val="20"/>
              </w:rPr>
            </w:pPr>
          </w:p>
        </w:tc>
        <w:tc>
          <w:tcPr>
            <w:tcW w:w="719" w:type="dxa"/>
          </w:tcPr>
          <w:p w14:paraId="6AF9D0B0" w14:textId="77777777" w:rsidR="00650321" w:rsidRPr="00650321" w:rsidRDefault="00650321" w:rsidP="00650321">
            <w:pPr>
              <w:rPr>
                <w:rFonts w:cs="Arial"/>
                <w:sz w:val="20"/>
                <w:szCs w:val="20"/>
              </w:rPr>
            </w:pPr>
          </w:p>
        </w:tc>
        <w:tc>
          <w:tcPr>
            <w:tcW w:w="783" w:type="dxa"/>
          </w:tcPr>
          <w:p w14:paraId="0CC7D791" w14:textId="77777777" w:rsidR="00650321" w:rsidRPr="00650321" w:rsidRDefault="00650321" w:rsidP="00650321">
            <w:pPr>
              <w:rPr>
                <w:rFonts w:cs="Arial"/>
                <w:sz w:val="20"/>
                <w:szCs w:val="20"/>
              </w:rPr>
            </w:pPr>
          </w:p>
        </w:tc>
        <w:tc>
          <w:tcPr>
            <w:tcW w:w="720" w:type="dxa"/>
          </w:tcPr>
          <w:p w14:paraId="69A5913E" w14:textId="77777777" w:rsidR="00650321" w:rsidRPr="00650321" w:rsidRDefault="00650321" w:rsidP="00650321">
            <w:pPr>
              <w:rPr>
                <w:rFonts w:cs="Arial"/>
                <w:sz w:val="20"/>
                <w:szCs w:val="20"/>
              </w:rPr>
            </w:pPr>
          </w:p>
        </w:tc>
        <w:tc>
          <w:tcPr>
            <w:tcW w:w="630" w:type="dxa"/>
          </w:tcPr>
          <w:p w14:paraId="0FC1E0E0" w14:textId="77777777" w:rsidR="00650321" w:rsidRPr="00650321" w:rsidRDefault="00650321" w:rsidP="00650321">
            <w:pPr>
              <w:rPr>
                <w:rFonts w:cs="Arial"/>
                <w:sz w:val="20"/>
                <w:szCs w:val="20"/>
              </w:rPr>
            </w:pPr>
          </w:p>
        </w:tc>
        <w:tc>
          <w:tcPr>
            <w:tcW w:w="990" w:type="dxa"/>
          </w:tcPr>
          <w:p w14:paraId="1BDCB3B0" w14:textId="77777777" w:rsidR="00650321" w:rsidRPr="00650321" w:rsidRDefault="00650321" w:rsidP="00650321">
            <w:pPr>
              <w:rPr>
                <w:rFonts w:cs="Arial"/>
                <w:sz w:val="20"/>
                <w:szCs w:val="20"/>
              </w:rPr>
            </w:pPr>
            <w:r w:rsidRPr="00650321">
              <w:rPr>
                <w:rFonts w:cs="Arial"/>
                <w:sz w:val="20"/>
                <w:szCs w:val="20"/>
              </w:rPr>
              <w:t>4.40</w:t>
            </w:r>
          </w:p>
        </w:tc>
        <w:tc>
          <w:tcPr>
            <w:tcW w:w="900" w:type="dxa"/>
          </w:tcPr>
          <w:p w14:paraId="7CE63742" w14:textId="77777777" w:rsidR="00650321" w:rsidRPr="00650321" w:rsidRDefault="00650321" w:rsidP="00650321">
            <w:pPr>
              <w:rPr>
                <w:rFonts w:cs="Arial"/>
                <w:sz w:val="20"/>
                <w:szCs w:val="20"/>
              </w:rPr>
            </w:pPr>
          </w:p>
        </w:tc>
        <w:tc>
          <w:tcPr>
            <w:tcW w:w="1170" w:type="dxa"/>
          </w:tcPr>
          <w:p w14:paraId="26E2D464" w14:textId="77777777" w:rsidR="00650321" w:rsidRPr="00650321" w:rsidRDefault="00650321" w:rsidP="00650321">
            <w:pPr>
              <w:rPr>
                <w:rFonts w:cs="Arial"/>
                <w:sz w:val="20"/>
                <w:szCs w:val="20"/>
              </w:rPr>
            </w:pPr>
          </w:p>
        </w:tc>
        <w:tc>
          <w:tcPr>
            <w:tcW w:w="1185" w:type="dxa"/>
          </w:tcPr>
          <w:p w14:paraId="66FACC14" w14:textId="77777777" w:rsidR="00650321" w:rsidRPr="00650321" w:rsidRDefault="00650321" w:rsidP="00650321">
            <w:pPr>
              <w:rPr>
                <w:rFonts w:cs="Arial"/>
                <w:sz w:val="20"/>
                <w:szCs w:val="20"/>
              </w:rPr>
            </w:pPr>
          </w:p>
        </w:tc>
      </w:tr>
      <w:tr w:rsidR="00650321" w:rsidRPr="00650321" w14:paraId="4E3E07D2" w14:textId="77777777" w:rsidTr="00650321">
        <w:tc>
          <w:tcPr>
            <w:tcW w:w="602" w:type="dxa"/>
          </w:tcPr>
          <w:p w14:paraId="053AD432" w14:textId="77777777" w:rsidR="00650321" w:rsidRPr="00650321" w:rsidRDefault="00650321" w:rsidP="00650321">
            <w:pPr>
              <w:rPr>
                <w:rFonts w:cs="Arial"/>
                <w:sz w:val="20"/>
                <w:szCs w:val="20"/>
              </w:rPr>
            </w:pPr>
            <w:r w:rsidRPr="00650321">
              <w:rPr>
                <w:rFonts w:cs="Arial"/>
                <w:sz w:val="20"/>
                <w:szCs w:val="20"/>
              </w:rPr>
              <w:t>2021</w:t>
            </w:r>
          </w:p>
        </w:tc>
        <w:tc>
          <w:tcPr>
            <w:tcW w:w="660" w:type="dxa"/>
          </w:tcPr>
          <w:p w14:paraId="3CEB3052" w14:textId="77777777" w:rsidR="00650321" w:rsidRPr="00650321" w:rsidRDefault="00650321" w:rsidP="00650321">
            <w:pPr>
              <w:rPr>
                <w:rFonts w:cs="Arial"/>
                <w:sz w:val="20"/>
                <w:szCs w:val="20"/>
              </w:rPr>
            </w:pPr>
            <w:r w:rsidRPr="00650321">
              <w:rPr>
                <w:rFonts w:cs="Arial"/>
                <w:sz w:val="20"/>
                <w:szCs w:val="20"/>
              </w:rPr>
              <w:t>15.80</w:t>
            </w:r>
          </w:p>
        </w:tc>
        <w:tc>
          <w:tcPr>
            <w:tcW w:w="651" w:type="dxa"/>
          </w:tcPr>
          <w:p w14:paraId="25A98F6F" w14:textId="77777777" w:rsidR="00650321" w:rsidRPr="00650321" w:rsidRDefault="00650321" w:rsidP="00650321">
            <w:pPr>
              <w:rPr>
                <w:rFonts w:cs="Arial"/>
                <w:sz w:val="20"/>
                <w:szCs w:val="20"/>
              </w:rPr>
            </w:pPr>
          </w:p>
        </w:tc>
        <w:tc>
          <w:tcPr>
            <w:tcW w:w="719" w:type="dxa"/>
          </w:tcPr>
          <w:p w14:paraId="74F06066" w14:textId="77777777" w:rsidR="00650321" w:rsidRPr="00650321" w:rsidRDefault="00650321" w:rsidP="00650321">
            <w:pPr>
              <w:rPr>
                <w:rFonts w:cs="Arial"/>
                <w:sz w:val="20"/>
                <w:szCs w:val="20"/>
              </w:rPr>
            </w:pPr>
          </w:p>
        </w:tc>
        <w:tc>
          <w:tcPr>
            <w:tcW w:w="783" w:type="dxa"/>
          </w:tcPr>
          <w:p w14:paraId="44AF2968" w14:textId="77777777" w:rsidR="00650321" w:rsidRPr="00650321" w:rsidRDefault="00650321" w:rsidP="00650321">
            <w:pPr>
              <w:rPr>
                <w:rFonts w:cs="Arial"/>
                <w:sz w:val="20"/>
                <w:szCs w:val="20"/>
              </w:rPr>
            </w:pPr>
          </w:p>
        </w:tc>
        <w:tc>
          <w:tcPr>
            <w:tcW w:w="720" w:type="dxa"/>
          </w:tcPr>
          <w:p w14:paraId="0ED45A78" w14:textId="77777777" w:rsidR="00650321" w:rsidRPr="00650321" w:rsidRDefault="00650321" w:rsidP="00650321">
            <w:pPr>
              <w:rPr>
                <w:rFonts w:cs="Arial"/>
                <w:sz w:val="20"/>
                <w:szCs w:val="20"/>
              </w:rPr>
            </w:pPr>
          </w:p>
        </w:tc>
        <w:tc>
          <w:tcPr>
            <w:tcW w:w="630" w:type="dxa"/>
          </w:tcPr>
          <w:p w14:paraId="039F5F5A" w14:textId="77777777" w:rsidR="00650321" w:rsidRPr="00650321" w:rsidRDefault="00650321" w:rsidP="00650321">
            <w:pPr>
              <w:rPr>
                <w:rFonts w:cs="Arial"/>
                <w:sz w:val="20"/>
                <w:szCs w:val="20"/>
              </w:rPr>
            </w:pPr>
          </w:p>
        </w:tc>
        <w:tc>
          <w:tcPr>
            <w:tcW w:w="990" w:type="dxa"/>
          </w:tcPr>
          <w:p w14:paraId="1419A430" w14:textId="77777777" w:rsidR="00650321" w:rsidRPr="00650321" w:rsidRDefault="00650321" w:rsidP="00650321">
            <w:pPr>
              <w:rPr>
                <w:rFonts w:cs="Arial"/>
                <w:sz w:val="20"/>
                <w:szCs w:val="20"/>
              </w:rPr>
            </w:pPr>
            <w:r w:rsidRPr="00650321">
              <w:rPr>
                <w:rFonts w:cs="Arial"/>
                <w:sz w:val="20"/>
                <w:szCs w:val="20"/>
              </w:rPr>
              <w:t>6.10</w:t>
            </w:r>
          </w:p>
        </w:tc>
        <w:tc>
          <w:tcPr>
            <w:tcW w:w="900" w:type="dxa"/>
          </w:tcPr>
          <w:p w14:paraId="36BC8A86" w14:textId="77777777" w:rsidR="00650321" w:rsidRPr="00650321" w:rsidRDefault="00650321" w:rsidP="00650321">
            <w:pPr>
              <w:rPr>
                <w:rFonts w:cs="Arial"/>
                <w:sz w:val="20"/>
                <w:szCs w:val="20"/>
              </w:rPr>
            </w:pPr>
          </w:p>
        </w:tc>
        <w:tc>
          <w:tcPr>
            <w:tcW w:w="1170" w:type="dxa"/>
          </w:tcPr>
          <w:p w14:paraId="7A1AFC49" w14:textId="77777777" w:rsidR="00650321" w:rsidRPr="00650321" w:rsidRDefault="00650321" w:rsidP="00650321">
            <w:pPr>
              <w:rPr>
                <w:rFonts w:cs="Arial"/>
                <w:sz w:val="20"/>
                <w:szCs w:val="20"/>
              </w:rPr>
            </w:pPr>
          </w:p>
        </w:tc>
        <w:tc>
          <w:tcPr>
            <w:tcW w:w="1185" w:type="dxa"/>
          </w:tcPr>
          <w:p w14:paraId="784D72E7" w14:textId="77777777" w:rsidR="00650321" w:rsidRPr="00650321" w:rsidRDefault="00650321" w:rsidP="00650321">
            <w:pPr>
              <w:rPr>
                <w:rFonts w:cs="Arial"/>
                <w:sz w:val="20"/>
                <w:szCs w:val="20"/>
              </w:rPr>
            </w:pPr>
          </w:p>
        </w:tc>
      </w:tr>
      <w:tr w:rsidR="00650321" w:rsidRPr="00650321" w14:paraId="5BE6D670" w14:textId="77777777" w:rsidTr="00650321">
        <w:tc>
          <w:tcPr>
            <w:tcW w:w="602" w:type="dxa"/>
          </w:tcPr>
          <w:p w14:paraId="3CBEDF87" w14:textId="77777777" w:rsidR="00650321" w:rsidRPr="00650321" w:rsidRDefault="00650321" w:rsidP="00650321">
            <w:pPr>
              <w:rPr>
                <w:rFonts w:cs="Arial"/>
                <w:sz w:val="20"/>
                <w:szCs w:val="20"/>
              </w:rPr>
            </w:pPr>
            <w:r w:rsidRPr="00650321">
              <w:rPr>
                <w:rFonts w:cs="Arial"/>
                <w:sz w:val="20"/>
                <w:szCs w:val="20"/>
              </w:rPr>
              <w:t>2023</w:t>
            </w:r>
          </w:p>
        </w:tc>
        <w:tc>
          <w:tcPr>
            <w:tcW w:w="660" w:type="dxa"/>
          </w:tcPr>
          <w:p w14:paraId="01920887" w14:textId="77777777" w:rsidR="00650321" w:rsidRPr="00650321" w:rsidRDefault="00650321" w:rsidP="00650321">
            <w:pPr>
              <w:rPr>
                <w:rFonts w:cs="Arial"/>
                <w:sz w:val="20"/>
                <w:szCs w:val="20"/>
              </w:rPr>
            </w:pPr>
            <w:r w:rsidRPr="00650321">
              <w:rPr>
                <w:rFonts w:cs="Arial"/>
                <w:sz w:val="20"/>
                <w:szCs w:val="20"/>
              </w:rPr>
              <w:t>13.30</w:t>
            </w:r>
          </w:p>
        </w:tc>
        <w:tc>
          <w:tcPr>
            <w:tcW w:w="651" w:type="dxa"/>
          </w:tcPr>
          <w:p w14:paraId="5A5DC549" w14:textId="77777777" w:rsidR="00650321" w:rsidRPr="00650321" w:rsidRDefault="00650321" w:rsidP="00650321">
            <w:pPr>
              <w:rPr>
                <w:rFonts w:cs="Arial"/>
                <w:sz w:val="20"/>
                <w:szCs w:val="20"/>
              </w:rPr>
            </w:pPr>
            <w:r w:rsidRPr="00650321">
              <w:rPr>
                <w:rFonts w:cs="Arial"/>
                <w:sz w:val="20"/>
                <w:szCs w:val="20"/>
              </w:rPr>
              <w:t>15.20</w:t>
            </w:r>
          </w:p>
        </w:tc>
        <w:tc>
          <w:tcPr>
            <w:tcW w:w="719" w:type="dxa"/>
          </w:tcPr>
          <w:p w14:paraId="5A665BBC" w14:textId="77777777" w:rsidR="00650321" w:rsidRPr="00650321" w:rsidRDefault="00650321" w:rsidP="00650321">
            <w:pPr>
              <w:rPr>
                <w:rFonts w:cs="Arial"/>
                <w:sz w:val="20"/>
                <w:szCs w:val="20"/>
              </w:rPr>
            </w:pPr>
            <w:r w:rsidRPr="00650321">
              <w:rPr>
                <w:rFonts w:cs="Arial"/>
                <w:sz w:val="20"/>
                <w:szCs w:val="20"/>
              </w:rPr>
              <w:t>17.50</w:t>
            </w:r>
          </w:p>
        </w:tc>
        <w:tc>
          <w:tcPr>
            <w:tcW w:w="783" w:type="dxa"/>
          </w:tcPr>
          <w:p w14:paraId="23DA14EA" w14:textId="77777777" w:rsidR="00650321" w:rsidRPr="00650321" w:rsidRDefault="00650321" w:rsidP="00650321">
            <w:pPr>
              <w:rPr>
                <w:rFonts w:cs="Arial"/>
                <w:sz w:val="20"/>
                <w:szCs w:val="20"/>
              </w:rPr>
            </w:pPr>
            <w:r w:rsidRPr="00650321">
              <w:rPr>
                <w:rFonts w:cs="Arial"/>
                <w:sz w:val="20"/>
                <w:szCs w:val="20"/>
              </w:rPr>
              <w:t>11.40</w:t>
            </w:r>
          </w:p>
        </w:tc>
        <w:tc>
          <w:tcPr>
            <w:tcW w:w="720" w:type="dxa"/>
          </w:tcPr>
          <w:p w14:paraId="006111C7" w14:textId="77777777" w:rsidR="00650321" w:rsidRPr="00650321" w:rsidRDefault="00650321" w:rsidP="00650321">
            <w:pPr>
              <w:rPr>
                <w:rFonts w:cs="Arial"/>
                <w:sz w:val="20"/>
                <w:szCs w:val="20"/>
              </w:rPr>
            </w:pPr>
            <w:r w:rsidRPr="00650321">
              <w:rPr>
                <w:rFonts w:cs="Arial"/>
                <w:sz w:val="20"/>
                <w:szCs w:val="20"/>
              </w:rPr>
              <w:t>195.00</w:t>
            </w:r>
          </w:p>
        </w:tc>
        <w:tc>
          <w:tcPr>
            <w:tcW w:w="630" w:type="dxa"/>
          </w:tcPr>
          <w:p w14:paraId="26F3BEAF" w14:textId="77777777" w:rsidR="00650321" w:rsidRPr="00650321" w:rsidRDefault="00650321" w:rsidP="00650321">
            <w:pPr>
              <w:rPr>
                <w:rFonts w:cs="Arial"/>
                <w:sz w:val="20"/>
                <w:szCs w:val="20"/>
              </w:rPr>
            </w:pPr>
            <w:r w:rsidRPr="00650321">
              <w:rPr>
                <w:rFonts w:cs="Arial"/>
                <w:sz w:val="20"/>
                <w:szCs w:val="20"/>
              </w:rPr>
              <w:t>48.50</w:t>
            </w:r>
          </w:p>
        </w:tc>
        <w:tc>
          <w:tcPr>
            <w:tcW w:w="990" w:type="dxa"/>
          </w:tcPr>
          <w:p w14:paraId="6FE70CAD" w14:textId="77777777" w:rsidR="00650321" w:rsidRPr="00650321" w:rsidRDefault="00650321" w:rsidP="00650321">
            <w:pPr>
              <w:rPr>
                <w:rFonts w:cs="Arial"/>
                <w:sz w:val="20"/>
                <w:szCs w:val="20"/>
              </w:rPr>
            </w:pPr>
            <w:r w:rsidRPr="00650321">
              <w:rPr>
                <w:rFonts w:cs="Arial"/>
                <w:sz w:val="20"/>
                <w:szCs w:val="20"/>
              </w:rPr>
              <w:t>3.60</w:t>
            </w:r>
          </w:p>
        </w:tc>
        <w:tc>
          <w:tcPr>
            <w:tcW w:w="900" w:type="dxa"/>
          </w:tcPr>
          <w:p w14:paraId="0DDE2D8E" w14:textId="77777777" w:rsidR="00650321" w:rsidRPr="00650321" w:rsidRDefault="00650321" w:rsidP="00650321">
            <w:pPr>
              <w:rPr>
                <w:rFonts w:cs="Arial"/>
                <w:sz w:val="20"/>
                <w:szCs w:val="20"/>
              </w:rPr>
            </w:pPr>
            <w:r w:rsidRPr="00650321">
              <w:rPr>
                <w:rFonts w:cs="Arial"/>
                <w:sz w:val="20"/>
                <w:szCs w:val="20"/>
              </w:rPr>
              <w:t>3.50</w:t>
            </w:r>
          </w:p>
        </w:tc>
        <w:tc>
          <w:tcPr>
            <w:tcW w:w="1170" w:type="dxa"/>
          </w:tcPr>
          <w:p w14:paraId="1F8658DC" w14:textId="77777777" w:rsidR="00650321" w:rsidRPr="00650321" w:rsidRDefault="00650321" w:rsidP="00650321">
            <w:pPr>
              <w:rPr>
                <w:rFonts w:cs="Arial"/>
                <w:sz w:val="20"/>
                <w:szCs w:val="20"/>
              </w:rPr>
            </w:pPr>
            <w:r w:rsidRPr="00650321">
              <w:rPr>
                <w:rFonts w:cs="Arial"/>
                <w:sz w:val="20"/>
                <w:szCs w:val="20"/>
              </w:rPr>
              <w:t>2.80</w:t>
            </w:r>
          </w:p>
        </w:tc>
        <w:tc>
          <w:tcPr>
            <w:tcW w:w="1185" w:type="dxa"/>
          </w:tcPr>
          <w:p w14:paraId="000BB336" w14:textId="77777777" w:rsidR="00650321" w:rsidRPr="00650321" w:rsidRDefault="00650321" w:rsidP="00650321">
            <w:pPr>
              <w:rPr>
                <w:rFonts w:cs="Arial"/>
                <w:sz w:val="20"/>
                <w:szCs w:val="20"/>
              </w:rPr>
            </w:pPr>
            <w:r w:rsidRPr="00650321">
              <w:rPr>
                <w:rFonts w:cs="Arial"/>
                <w:sz w:val="20"/>
                <w:szCs w:val="20"/>
              </w:rPr>
              <w:t>4.90</w:t>
            </w:r>
          </w:p>
        </w:tc>
      </w:tr>
      <w:tr w:rsidR="00650321" w:rsidRPr="00650321" w14:paraId="66F13451" w14:textId="77777777" w:rsidTr="00650321">
        <w:tc>
          <w:tcPr>
            <w:tcW w:w="602" w:type="dxa"/>
          </w:tcPr>
          <w:p w14:paraId="41BD6CE4" w14:textId="77777777" w:rsidR="00650321" w:rsidRPr="00650321" w:rsidRDefault="00650321" w:rsidP="00650321">
            <w:pPr>
              <w:rPr>
                <w:rFonts w:cs="Arial"/>
                <w:sz w:val="20"/>
                <w:szCs w:val="20"/>
              </w:rPr>
            </w:pPr>
            <w:r w:rsidRPr="00650321">
              <w:rPr>
                <w:rFonts w:cs="Arial"/>
                <w:sz w:val="20"/>
                <w:szCs w:val="20"/>
              </w:rPr>
              <w:t>2024</w:t>
            </w:r>
          </w:p>
        </w:tc>
        <w:tc>
          <w:tcPr>
            <w:tcW w:w="660" w:type="dxa"/>
          </w:tcPr>
          <w:p w14:paraId="1B074504" w14:textId="77777777" w:rsidR="00650321" w:rsidRPr="00650321" w:rsidRDefault="00650321" w:rsidP="00650321">
            <w:pPr>
              <w:rPr>
                <w:rFonts w:cs="Arial"/>
                <w:sz w:val="20"/>
                <w:szCs w:val="20"/>
              </w:rPr>
            </w:pPr>
            <w:r w:rsidRPr="00650321">
              <w:rPr>
                <w:rFonts w:cs="Arial"/>
                <w:sz w:val="20"/>
                <w:szCs w:val="20"/>
              </w:rPr>
              <w:t>12.80</w:t>
            </w:r>
          </w:p>
        </w:tc>
        <w:tc>
          <w:tcPr>
            <w:tcW w:w="651" w:type="dxa"/>
          </w:tcPr>
          <w:p w14:paraId="00EF6A4C" w14:textId="77777777" w:rsidR="00650321" w:rsidRPr="00650321" w:rsidRDefault="00650321" w:rsidP="00650321">
            <w:pPr>
              <w:rPr>
                <w:rFonts w:cs="Arial"/>
                <w:sz w:val="20"/>
                <w:szCs w:val="20"/>
              </w:rPr>
            </w:pPr>
            <w:r w:rsidRPr="00650321">
              <w:rPr>
                <w:rFonts w:cs="Arial"/>
                <w:sz w:val="20"/>
                <w:szCs w:val="20"/>
              </w:rPr>
              <w:t>14.70</w:t>
            </w:r>
          </w:p>
        </w:tc>
        <w:tc>
          <w:tcPr>
            <w:tcW w:w="719" w:type="dxa"/>
          </w:tcPr>
          <w:p w14:paraId="7BCD8FCA" w14:textId="77777777" w:rsidR="00650321" w:rsidRPr="00650321" w:rsidRDefault="00650321" w:rsidP="00650321">
            <w:pPr>
              <w:rPr>
                <w:rFonts w:cs="Arial"/>
                <w:sz w:val="20"/>
                <w:szCs w:val="20"/>
              </w:rPr>
            </w:pPr>
            <w:r w:rsidRPr="00650321">
              <w:rPr>
                <w:rFonts w:cs="Arial"/>
                <w:sz w:val="20"/>
                <w:szCs w:val="20"/>
              </w:rPr>
              <w:t>16.60</w:t>
            </w:r>
          </w:p>
        </w:tc>
        <w:tc>
          <w:tcPr>
            <w:tcW w:w="783" w:type="dxa"/>
          </w:tcPr>
          <w:p w14:paraId="181242B4" w14:textId="77777777" w:rsidR="00650321" w:rsidRPr="00650321" w:rsidRDefault="00650321" w:rsidP="00650321">
            <w:pPr>
              <w:rPr>
                <w:rFonts w:cs="Arial"/>
                <w:sz w:val="20"/>
                <w:szCs w:val="20"/>
              </w:rPr>
            </w:pPr>
            <w:r w:rsidRPr="00650321">
              <w:rPr>
                <w:rFonts w:cs="Arial"/>
                <w:sz w:val="20"/>
                <w:szCs w:val="20"/>
              </w:rPr>
              <w:t>12.70</w:t>
            </w:r>
          </w:p>
        </w:tc>
        <w:tc>
          <w:tcPr>
            <w:tcW w:w="720" w:type="dxa"/>
          </w:tcPr>
          <w:p w14:paraId="0F95BE3F" w14:textId="77777777" w:rsidR="00650321" w:rsidRPr="00650321" w:rsidRDefault="00650321" w:rsidP="00650321">
            <w:pPr>
              <w:rPr>
                <w:rFonts w:cs="Arial"/>
                <w:sz w:val="20"/>
                <w:szCs w:val="20"/>
              </w:rPr>
            </w:pPr>
            <w:r w:rsidRPr="00650321">
              <w:rPr>
                <w:rFonts w:cs="Arial"/>
                <w:sz w:val="20"/>
                <w:szCs w:val="20"/>
              </w:rPr>
              <w:t>137.00</w:t>
            </w:r>
          </w:p>
        </w:tc>
        <w:tc>
          <w:tcPr>
            <w:tcW w:w="630" w:type="dxa"/>
          </w:tcPr>
          <w:p w14:paraId="7EB03BF8" w14:textId="77777777" w:rsidR="00650321" w:rsidRPr="00650321" w:rsidRDefault="00650321" w:rsidP="00650321">
            <w:pPr>
              <w:rPr>
                <w:rFonts w:cs="Arial"/>
                <w:sz w:val="20"/>
                <w:szCs w:val="20"/>
              </w:rPr>
            </w:pPr>
            <w:r w:rsidRPr="00650321">
              <w:rPr>
                <w:rFonts w:cs="Arial"/>
                <w:sz w:val="20"/>
                <w:szCs w:val="20"/>
              </w:rPr>
              <w:t>40.50</w:t>
            </w:r>
          </w:p>
        </w:tc>
        <w:tc>
          <w:tcPr>
            <w:tcW w:w="990" w:type="dxa"/>
          </w:tcPr>
          <w:p w14:paraId="49F98511" w14:textId="77777777" w:rsidR="00650321" w:rsidRPr="00650321" w:rsidRDefault="00650321" w:rsidP="00650321">
            <w:pPr>
              <w:rPr>
                <w:rFonts w:cs="Arial"/>
                <w:sz w:val="20"/>
                <w:szCs w:val="20"/>
              </w:rPr>
            </w:pPr>
            <w:r w:rsidRPr="00650321">
              <w:rPr>
                <w:rFonts w:cs="Arial"/>
                <w:sz w:val="20"/>
                <w:szCs w:val="20"/>
              </w:rPr>
              <w:t>3.10</w:t>
            </w:r>
          </w:p>
        </w:tc>
        <w:tc>
          <w:tcPr>
            <w:tcW w:w="900" w:type="dxa"/>
          </w:tcPr>
          <w:p w14:paraId="0472AD47" w14:textId="77777777" w:rsidR="00650321" w:rsidRPr="00650321" w:rsidRDefault="00650321" w:rsidP="00650321">
            <w:pPr>
              <w:rPr>
                <w:rFonts w:cs="Arial"/>
                <w:sz w:val="20"/>
                <w:szCs w:val="20"/>
              </w:rPr>
            </w:pPr>
            <w:r w:rsidRPr="00650321">
              <w:rPr>
                <w:rFonts w:cs="Arial"/>
                <w:sz w:val="20"/>
                <w:szCs w:val="20"/>
              </w:rPr>
              <w:t>3.00</w:t>
            </w:r>
          </w:p>
        </w:tc>
        <w:tc>
          <w:tcPr>
            <w:tcW w:w="1170" w:type="dxa"/>
          </w:tcPr>
          <w:p w14:paraId="3E6E36F0" w14:textId="77777777" w:rsidR="00650321" w:rsidRPr="00650321" w:rsidRDefault="00650321" w:rsidP="00650321">
            <w:pPr>
              <w:rPr>
                <w:rFonts w:cs="Arial"/>
                <w:sz w:val="20"/>
                <w:szCs w:val="20"/>
              </w:rPr>
            </w:pPr>
            <w:r w:rsidRPr="00650321">
              <w:rPr>
                <w:rFonts w:cs="Arial"/>
                <w:sz w:val="20"/>
                <w:szCs w:val="20"/>
              </w:rPr>
              <w:t>1.90</w:t>
            </w:r>
          </w:p>
        </w:tc>
        <w:tc>
          <w:tcPr>
            <w:tcW w:w="1185" w:type="dxa"/>
          </w:tcPr>
          <w:p w14:paraId="253E6D3B" w14:textId="77777777" w:rsidR="00650321" w:rsidRPr="00650321" w:rsidRDefault="00650321" w:rsidP="00650321">
            <w:pPr>
              <w:rPr>
                <w:rFonts w:cs="Arial"/>
                <w:sz w:val="20"/>
                <w:szCs w:val="20"/>
              </w:rPr>
            </w:pPr>
            <w:r w:rsidRPr="00650321">
              <w:rPr>
                <w:rFonts w:cs="Arial"/>
                <w:sz w:val="20"/>
                <w:szCs w:val="20"/>
              </w:rPr>
              <w:t>6.20</w:t>
            </w:r>
          </w:p>
        </w:tc>
      </w:tr>
    </w:tbl>
    <w:p w14:paraId="013DA5E0" w14:textId="77777777" w:rsidR="00650321" w:rsidRDefault="00650321" w:rsidP="00650321"/>
    <w:p w14:paraId="71CFCC68" w14:textId="77777777" w:rsidR="00650321" w:rsidRDefault="00650321" w:rsidP="00650321">
      <w:r w:rsidRPr="00650321">
        <w:t>The calculation of headroom is based on the disclosed minimum requirements of the FY2024</w:t>
      </w:r>
      <w:r>
        <w:t>,</w:t>
      </w:r>
      <w:r w:rsidRPr="00650321">
        <w:t xml:space="preserve"> which correspond to CET1 9.7, Tier 1 11.7, Total capital 14.7, and Leverage ratio 6.5. This helps in the comparability; the real requirements of the buffers may be different in years.</w:t>
      </w:r>
    </w:p>
    <w:p w14:paraId="551D5265" w14:textId="77777777" w:rsidR="008E717D" w:rsidRDefault="008E717D" w:rsidP="008E717D">
      <w:pPr>
        <w:pStyle w:val="Heading2"/>
      </w:pPr>
      <w:bookmarkStart w:id="64" w:name="_Toc220883004"/>
      <w:r>
        <w:t>4.7 Market and Interest Rate Risk: Interactions with Profitability and Funding</w:t>
      </w:r>
      <w:bookmarkEnd w:id="64"/>
    </w:p>
    <w:p w14:paraId="1FBC2DA7" w14:textId="69633618" w:rsidR="008E717D" w:rsidRPr="008E717D" w:rsidRDefault="008E717D" w:rsidP="008E717D">
      <w:r w:rsidRPr="008E717D">
        <w:t>Interest rate risk is more applicable when FY2022-FY2024, since the interest rate environment of the UK has changed considerably when compared to the last decade. To a lender, increasing prices may lead to greater returns on assets, yet it may also lead to higher costs of funding, as well as employee stress among borrowers</w:t>
      </w:r>
      <w:r w:rsidR="00436E6E">
        <w:t xml:space="preserve"> </w:t>
      </w:r>
      <w:r w:rsidR="00436E6E">
        <w:rPr>
          <w:rFonts w:cs="Arial"/>
          <w:color w:val="000000"/>
        </w:rPr>
        <w:t>(</w:t>
      </w:r>
      <w:proofErr w:type="spellStart"/>
      <w:r w:rsidR="00436E6E">
        <w:rPr>
          <w:rFonts w:cs="Arial"/>
          <w:color w:val="000000"/>
        </w:rPr>
        <w:t>Delios</w:t>
      </w:r>
      <w:proofErr w:type="spellEnd"/>
      <w:r w:rsidR="00436E6E">
        <w:rPr>
          <w:rFonts w:cs="Arial"/>
          <w:color w:val="000000"/>
        </w:rPr>
        <w:t xml:space="preserve"> </w:t>
      </w:r>
      <w:r w:rsidR="00436E6E">
        <w:rPr>
          <w:rFonts w:cs="Arial"/>
          <w:i/>
          <w:iCs/>
          <w:color w:val="000000"/>
        </w:rPr>
        <w:t>et al.</w:t>
      </w:r>
      <w:r w:rsidR="00436E6E">
        <w:rPr>
          <w:rFonts w:cs="Arial"/>
          <w:color w:val="000000"/>
        </w:rPr>
        <w:t>, 2023)</w:t>
      </w:r>
      <w:r w:rsidRPr="008E717D">
        <w:t>. Thus, the overall impact on profitability is determined by asset-liability management and the rate of asset and liability repricing.</w:t>
      </w:r>
    </w:p>
    <w:p w14:paraId="1130340A" w14:textId="0F690576" w:rsidR="008E717D" w:rsidRPr="008E717D" w:rsidRDefault="008E717D" w:rsidP="008E717D">
      <w:r w:rsidRPr="008E717D">
        <w:lastRenderedPageBreak/>
        <w:t>The net interest margin decompositions are not present in the extracted dataset</w:t>
      </w:r>
      <w:r w:rsidR="00BE5C11">
        <w:t>;</w:t>
      </w:r>
      <w:r w:rsidRPr="008E717D">
        <w:t xml:space="preserve"> however, the financial trends are in line with a setting where credit costs are rising in reaction to the borrower affordability pressures, despite </w:t>
      </w:r>
      <w:r w:rsidR="00BE5C11">
        <w:t>an increase</w:t>
      </w:r>
      <w:r w:rsidRPr="008E717D">
        <w:t xml:space="preserve"> in the operating income. This implies that the returns to an increase in lending rates might have been counterbalanced by (</w:t>
      </w:r>
      <w:proofErr w:type="spellStart"/>
      <w:r w:rsidRPr="008E717D">
        <w:t>i</w:t>
      </w:r>
      <w:proofErr w:type="spellEnd"/>
      <w:r w:rsidRPr="008E717D">
        <w:t>) increased impairment expectations, (ii) re-pricing of competitive or market-based funding and (iii) operational costs and regulatory expenses linked to dealing with increased risk</w:t>
      </w:r>
      <w:r w:rsidR="00436E6E">
        <w:t xml:space="preserve"> </w:t>
      </w:r>
      <w:r w:rsidR="00436E6E">
        <w:rPr>
          <w:rFonts w:cs="Arial"/>
          <w:color w:val="000000"/>
        </w:rPr>
        <w:t>(Feng and Qu, 2022)</w:t>
      </w:r>
      <w:r w:rsidRPr="008E717D">
        <w:t>.</w:t>
      </w:r>
    </w:p>
    <w:p w14:paraId="64C7BFD0" w14:textId="568746AD" w:rsidR="008E717D" w:rsidRDefault="008E717D" w:rsidP="008E717D">
      <w:r w:rsidRPr="008E717D">
        <w:t xml:space="preserve">Liquidity buffers are also in interaction with market risk. The interest rates may decrease the market value of the </w:t>
      </w:r>
      <w:r>
        <w:t>fixed-rate</w:t>
      </w:r>
      <w:r w:rsidRPr="008E717D">
        <w:t xml:space="preserve"> securities in the liquidity portfolio and could impact the unrealised gains/losses position and consequently liquidity management decisions. This decrease in LCR in FY2023 and FY2024 could be due to portfolio rebalancing, funding strategy and macro conditions, and not a single one. Implications of financial management include:</w:t>
      </w:r>
    </w:p>
    <w:p w14:paraId="2D94F3BF" w14:textId="1C8CA87E" w:rsidR="008E717D" w:rsidRDefault="008E717D" w:rsidP="008E717D">
      <w:pPr>
        <w:pStyle w:val="ListParagraph"/>
        <w:numPr>
          <w:ilvl w:val="0"/>
          <w:numId w:val="38"/>
        </w:numPr>
      </w:pPr>
      <w:r>
        <w:t>maintain robust interest rate risk limits,</w:t>
      </w:r>
    </w:p>
    <w:p w14:paraId="7D4C7665" w14:textId="280B74CC" w:rsidR="008E717D" w:rsidRDefault="008E717D" w:rsidP="008E717D">
      <w:pPr>
        <w:pStyle w:val="ListParagraph"/>
        <w:numPr>
          <w:ilvl w:val="0"/>
          <w:numId w:val="38"/>
        </w:numPr>
      </w:pPr>
      <w:r>
        <w:t>perform sensitivity analysis and scenario testing</w:t>
      </w:r>
      <w:r w:rsidR="00436E6E">
        <w:t xml:space="preserve"> </w:t>
      </w:r>
      <w:r w:rsidR="00436E6E">
        <w:rPr>
          <w:rFonts w:cs="Arial"/>
          <w:color w:val="000000"/>
        </w:rPr>
        <w:t>(Feng and Qu, 2022)</w:t>
      </w:r>
      <w:r>
        <w:t>,</w:t>
      </w:r>
    </w:p>
    <w:p w14:paraId="35CB26B4" w14:textId="3DB2014E" w:rsidR="008E717D" w:rsidRDefault="008E717D" w:rsidP="008E717D">
      <w:pPr>
        <w:pStyle w:val="ListParagraph"/>
        <w:numPr>
          <w:ilvl w:val="0"/>
          <w:numId w:val="38"/>
        </w:numPr>
      </w:pPr>
      <w:r>
        <w:t>coordinate treasury decisions with capital planning, and</w:t>
      </w:r>
    </w:p>
    <w:p w14:paraId="304AC699" w14:textId="4C220421" w:rsidR="008E717D" w:rsidRDefault="008E717D" w:rsidP="008E717D">
      <w:pPr>
        <w:pStyle w:val="ListParagraph"/>
        <w:numPr>
          <w:ilvl w:val="0"/>
          <w:numId w:val="38"/>
        </w:numPr>
      </w:pPr>
      <w:r>
        <w:t>ensure that profitability targets are consistent with prudent risk appetite under changing rate conditions</w:t>
      </w:r>
      <w:r w:rsidR="00436E6E">
        <w:t xml:space="preserve"> </w:t>
      </w:r>
      <w:r w:rsidR="00436E6E">
        <w:rPr>
          <w:rFonts w:cs="Arial"/>
          <w:color w:val="000000"/>
        </w:rPr>
        <w:t>(Feng and Qu, 2022)</w:t>
      </w:r>
      <w:r>
        <w:t>.</w:t>
      </w:r>
    </w:p>
    <w:p w14:paraId="1DCA751C" w14:textId="0BE93A1D" w:rsidR="008E717D" w:rsidRDefault="008E717D" w:rsidP="008E717D">
      <w:r w:rsidRPr="008E717D">
        <w:t xml:space="preserve">In general, market and interest rate risk management is to be viewed as a preparatory role that covers adverse repricing and liquidity shocks on the earnings base so that the Group </w:t>
      </w:r>
      <w:r w:rsidR="00BE5C11">
        <w:t>can</w:t>
      </w:r>
      <w:r w:rsidRPr="008E717D">
        <w:t xml:space="preserve"> grow without losing its resilience.</w:t>
      </w:r>
    </w:p>
    <w:p w14:paraId="6BA978DE" w14:textId="77777777" w:rsidR="008E717D" w:rsidRDefault="008E717D" w:rsidP="008E717D">
      <w:pPr>
        <w:pStyle w:val="Heading2"/>
      </w:pPr>
      <w:bookmarkStart w:id="65" w:name="_Toc220883005"/>
      <w:r>
        <w:t>4.8 Governance and Risk Oversight: Linking Controls to Financial Outcomes</w:t>
      </w:r>
      <w:bookmarkEnd w:id="65"/>
    </w:p>
    <w:p w14:paraId="73339E04" w14:textId="0D6CD01A" w:rsidR="003B1C61" w:rsidRPr="003B1C61" w:rsidRDefault="003B1C61" w:rsidP="003B1C61">
      <w:r w:rsidRPr="003B1C61">
        <w:t>Quantitative data in this chapter suggests that the governance systems of Close Brothers have to be functional in order to control credit, liquidity and capital risks. The most significant financial observation is that profitability is large and changes across a wide range</w:t>
      </w:r>
      <w:r w:rsidR="00BE5C11">
        <w:t>,</w:t>
      </w:r>
      <w:r w:rsidRPr="003B1C61">
        <w:t xml:space="preserve"> whereas operating efficiency (cost-to-income) can be fairly constant</w:t>
      </w:r>
      <w:r w:rsidR="00BE5C11">
        <w:t>,</w:t>
      </w:r>
      <w:r w:rsidRPr="003B1C61">
        <w:t xml:space="preserve"> mainly due to impairment charges</w:t>
      </w:r>
      <w:r w:rsidR="00436E6E">
        <w:t xml:space="preserve"> </w:t>
      </w:r>
      <w:r w:rsidR="00436E6E">
        <w:rPr>
          <w:rFonts w:cs="Arial"/>
          <w:color w:val="000000"/>
        </w:rPr>
        <w:t xml:space="preserve">(Jariah and </w:t>
      </w:r>
      <w:proofErr w:type="spellStart"/>
      <w:r w:rsidR="00436E6E">
        <w:rPr>
          <w:rFonts w:cs="Arial"/>
          <w:color w:val="000000"/>
        </w:rPr>
        <w:t>Lukiana</w:t>
      </w:r>
      <w:proofErr w:type="spellEnd"/>
      <w:r w:rsidR="00436E6E">
        <w:rPr>
          <w:rFonts w:cs="Arial"/>
          <w:color w:val="000000"/>
        </w:rPr>
        <w:t>, 2023)</w:t>
      </w:r>
      <w:r w:rsidRPr="003B1C61">
        <w:t xml:space="preserve">. This puts a burden on risk management, portfolio management and sound provisioning </w:t>
      </w:r>
      <w:r w:rsidR="00BE5C11">
        <w:t>decisions</w:t>
      </w:r>
      <w:r w:rsidRPr="003B1C61">
        <w:t>.</w:t>
      </w:r>
    </w:p>
    <w:p w14:paraId="1E41E236" w14:textId="77777777" w:rsidR="003B1C61" w:rsidRPr="003B1C61" w:rsidRDefault="003B1C61" w:rsidP="003B1C61">
      <w:r w:rsidRPr="003B1C61">
        <w:t>In a pragmatic form, good governance necessitates that:</w:t>
      </w:r>
    </w:p>
    <w:p w14:paraId="608FF4AD" w14:textId="77777777" w:rsidR="003B1C61" w:rsidRPr="003B1C61" w:rsidRDefault="003B1C61" w:rsidP="003B1C61">
      <w:r w:rsidRPr="003B1C61">
        <w:t>The risk appetite statements are turned into underwriting limits and portfolio focus controls.</w:t>
      </w:r>
    </w:p>
    <w:p w14:paraId="0DAA807F" w14:textId="77777777" w:rsidR="003B1C61" w:rsidRPr="003B1C61" w:rsidRDefault="003B1C61" w:rsidP="003B1C61">
      <w:pPr>
        <w:pStyle w:val="ListParagraph"/>
        <w:numPr>
          <w:ilvl w:val="0"/>
          <w:numId w:val="39"/>
        </w:numPr>
      </w:pPr>
      <w:r w:rsidRPr="003B1C61">
        <w:lastRenderedPageBreak/>
        <w:t>Early-warning signals (arrears trends, sector stress, collateral flows) initiate the timely undertaking;</w:t>
      </w:r>
    </w:p>
    <w:p w14:paraId="61102DF9" w14:textId="23BACA69" w:rsidR="003B1C61" w:rsidRPr="003B1C61" w:rsidRDefault="003B1C61" w:rsidP="003B1C61">
      <w:pPr>
        <w:pStyle w:val="ListParagraph"/>
        <w:numPr>
          <w:ilvl w:val="0"/>
          <w:numId w:val="39"/>
        </w:numPr>
      </w:pPr>
      <w:r w:rsidRPr="003B1C61">
        <w:t xml:space="preserve">Judgement and judgement reviews </w:t>
      </w:r>
      <w:proofErr w:type="spellStart"/>
      <w:r w:rsidRPr="003B1C61">
        <w:t>Rmpairment</w:t>
      </w:r>
      <w:proofErr w:type="spellEnd"/>
      <w:r w:rsidRPr="003B1C61">
        <w:t xml:space="preserve"> modelling</w:t>
      </w:r>
      <w:r w:rsidR="00126ACC">
        <w:t>,</w:t>
      </w:r>
      <w:r w:rsidRPr="003B1C61">
        <w:t xml:space="preserve"> and IFRS 9 judgement are individually reviewed and aligned with the actual performance of the portfolio witnessed</w:t>
      </w:r>
      <w:r w:rsidR="00436E6E">
        <w:t xml:space="preserve"> </w:t>
      </w:r>
      <w:r w:rsidR="00436E6E">
        <w:rPr>
          <w:rFonts w:cs="Arial"/>
          <w:color w:val="000000"/>
        </w:rPr>
        <w:t xml:space="preserve">(Jariah and </w:t>
      </w:r>
      <w:proofErr w:type="spellStart"/>
      <w:r w:rsidR="00436E6E">
        <w:rPr>
          <w:rFonts w:cs="Arial"/>
          <w:color w:val="000000"/>
        </w:rPr>
        <w:t>Lukiana</w:t>
      </w:r>
      <w:proofErr w:type="spellEnd"/>
      <w:r w:rsidR="00436E6E">
        <w:rPr>
          <w:rFonts w:cs="Arial"/>
          <w:color w:val="000000"/>
        </w:rPr>
        <w:t>, 2023)</w:t>
      </w:r>
      <w:r w:rsidRPr="003B1C61">
        <w:t>; and</w:t>
      </w:r>
    </w:p>
    <w:p w14:paraId="44C09F3F" w14:textId="2F236A3D" w:rsidR="003B1C61" w:rsidRPr="003B1C61" w:rsidRDefault="003B1C61" w:rsidP="003B1C61">
      <w:pPr>
        <w:pStyle w:val="ListParagraph"/>
        <w:numPr>
          <w:ilvl w:val="0"/>
          <w:numId w:val="39"/>
        </w:numPr>
      </w:pPr>
      <w:r w:rsidRPr="003B1C61">
        <w:t xml:space="preserve">Stress testing is part of capital and liquidity planning to include both macro and idiosyncratic events of </w:t>
      </w:r>
      <w:r w:rsidR="00BE5C11">
        <w:t>risk</w:t>
      </w:r>
      <w:r w:rsidRPr="003B1C61">
        <w:t>.</w:t>
      </w:r>
    </w:p>
    <w:p w14:paraId="2CA9FC0B" w14:textId="0B630682" w:rsidR="003B1C61" w:rsidRPr="003B1C61" w:rsidRDefault="003B1C61" w:rsidP="003B1C61">
      <w:r w:rsidRPr="003B1C61">
        <w:t>In areas with such controls, financial results (</w:t>
      </w:r>
      <w:proofErr w:type="spellStart"/>
      <w:r w:rsidRPr="003B1C61">
        <w:t>i</w:t>
      </w:r>
      <w:proofErr w:type="spellEnd"/>
      <w:r w:rsidRPr="003B1C61">
        <w:t>) must be less volatile in impairment expenses over the cycle, (ii) must exhibit capital headroom, and (iii) must have sufficient access to funding</w:t>
      </w:r>
      <w:r w:rsidR="00436E6E">
        <w:t xml:space="preserve"> </w:t>
      </w:r>
      <w:r w:rsidR="00436E6E">
        <w:rPr>
          <w:rFonts w:cs="Arial"/>
          <w:color w:val="000000"/>
        </w:rPr>
        <w:t xml:space="preserve">(Jahan </w:t>
      </w:r>
      <w:r w:rsidR="00436E6E">
        <w:rPr>
          <w:rFonts w:cs="Arial"/>
          <w:i/>
          <w:iCs/>
          <w:color w:val="000000"/>
        </w:rPr>
        <w:t>et al.</w:t>
      </w:r>
      <w:r w:rsidR="00436E6E">
        <w:rPr>
          <w:rFonts w:cs="Arial"/>
          <w:color w:val="000000"/>
        </w:rPr>
        <w:t>, 2022)</w:t>
      </w:r>
      <w:r w:rsidRPr="003B1C61">
        <w:t>. The revealed drop in the capital ratios between FY2023 and FY2024, combined with the impairment burden rise in FY2023 itself, indicates why the governance should continue to stay on the progressive side: buffers may be emptied in the short term should both growth and risk costs trend negatively simultaneously.</w:t>
      </w:r>
    </w:p>
    <w:p w14:paraId="7C541CC1" w14:textId="6CA74DEB" w:rsidR="003B1C61" w:rsidRDefault="003B1C61" w:rsidP="003B1C61">
      <w:r w:rsidRPr="003B1C61">
        <w:t xml:space="preserve">Thus, governance is not a soft issue in a dissertation on financial management; it is a process whereby risk decisions are institutionalised and held accountable and ultimately determine </w:t>
      </w:r>
      <w:r w:rsidR="00BE5C11">
        <w:t xml:space="preserve">the </w:t>
      </w:r>
      <w:r w:rsidRPr="003B1C61">
        <w:t xml:space="preserve">stability of earnings and the strength of </w:t>
      </w:r>
      <w:r w:rsidR="00BE5C11">
        <w:t xml:space="preserve">the </w:t>
      </w:r>
      <w:r w:rsidRPr="003B1C61">
        <w:t>balance sheet.</w:t>
      </w:r>
    </w:p>
    <w:p w14:paraId="3C5B49FE" w14:textId="77777777" w:rsidR="003B1C61" w:rsidRDefault="003B1C61" w:rsidP="003B1C61">
      <w:pPr>
        <w:pStyle w:val="Heading2"/>
      </w:pPr>
      <w:bookmarkStart w:id="66" w:name="_Toc220883006"/>
      <w:r>
        <w:t>4.9 Integrated Discussion: How Risk Management Explains Profitability Movement</w:t>
      </w:r>
      <w:bookmarkEnd w:id="66"/>
    </w:p>
    <w:p w14:paraId="5342EE0A" w14:textId="77777777" w:rsidR="006B3405" w:rsidRPr="006B3405" w:rsidRDefault="006B3405" w:rsidP="006B3405">
      <w:r w:rsidRPr="006B3405">
        <w:t>Combining the quantitative and qualitative evidence, the results indicate a consistent pattern of the profitability trend in the period of FY2019-FY2024.</w:t>
      </w:r>
    </w:p>
    <w:p w14:paraId="49B2E474" w14:textId="12608751" w:rsidR="006B3405" w:rsidRPr="006B3405" w:rsidRDefault="006B3405" w:rsidP="006B3405">
      <w:r w:rsidRPr="006B3405">
        <w:t xml:space="preserve">To begin with, the growth of the </w:t>
      </w:r>
      <w:r w:rsidR="00BE5C11">
        <w:t>balance sheet</w:t>
      </w:r>
      <w:r w:rsidRPr="006B3405">
        <w:t xml:space="preserve"> of the Group provided it with </w:t>
      </w:r>
      <w:r w:rsidR="00BE5C11">
        <w:t xml:space="preserve">a </w:t>
      </w:r>
      <w:r w:rsidRPr="006B3405">
        <w:t>bigger platform to generate income</w:t>
      </w:r>
      <w:r w:rsidR="00BE5C11">
        <w:t>,</w:t>
      </w:r>
      <w:r w:rsidRPr="006B3405">
        <w:t xml:space="preserve"> as evidenced by the increase </w:t>
      </w:r>
      <w:r w:rsidR="00BE5C11">
        <w:t>in</w:t>
      </w:r>
      <w:r w:rsidRPr="006B3405">
        <w:t xml:space="preserve"> assets </w:t>
      </w:r>
      <w:r w:rsidR="00BE5C11">
        <w:t>from</w:t>
      </w:r>
      <w:r w:rsidRPr="006B3405">
        <w:t xml:space="preserve"> GBP 10.6bn to about GBP 14.1bn. As this growth was accompanied by </w:t>
      </w:r>
      <w:r w:rsidR="00BE5C11">
        <w:t>deposit</w:t>
      </w:r>
      <w:r w:rsidRPr="006B3405">
        <w:t xml:space="preserve"> growth and equity growth</w:t>
      </w:r>
      <w:r w:rsidR="00C02E25">
        <w:t xml:space="preserve"> </w:t>
      </w:r>
      <w:r w:rsidR="00C02E25">
        <w:rPr>
          <w:rFonts w:cs="Arial"/>
          <w:color w:val="000000"/>
        </w:rPr>
        <w:t>(Close Brothers Group plc, 2024)</w:t>
      </w:r>
      <w:r w:rsidR="00C02E25">
        <w:t>. I</w:t>
      </w:r>
      <w:r w:rsidRPr="006B3405">
        <w:t>t means that the Group had a fundamentally scaled funding base</w:t>
      </w:r>
      <w:r w:rsidR="00436E6E">
        <w:t xml:space="preserve"> </w:t>
      </w:r>
      <w:r w:rsidR="00436E6E">
        <w:rPr>
          <w:rFonts w:cs="Arial"/>
          <w:color w:val="000000"/>
        </w:rPr>
        <w:t>(Morara and Sibindi, 2021)</w:t>
      </w:r>
      <w:r w:rsidRPr="006B3405">
        <w:t>. The structural ratios demonstrate that the deposits were still the main source of funding, and borrowings offered the possibility to increase the growth of loans.</w:t>
      </w:r>
    </w:p>
    <w:p w14:paraId="6EF3026A" w14:textId="2C3C1437" w:rsidR="006B3405" w:rsidRPr="006B3405" w:rsidRDefault="006B3405" w:rsidP="006B3405">
      <w:r w:rsidRPr="006B3405">
        <w:t xml:space="preserve">Second, efficiency is fairly stable where it is assessed. FY2022-FY2023 </w:t>
      </w:r>
      <w:r w:rsidR="00BE5C11">
        <w:t>cost-to-income</w:t>
      </w:r>
      <w:r w:rsidRPr="006B3405">
        <w:t xml:space="preserve"> is approximately 73</w:t>
      </w:r>
      <w:r w:rsidR="00436E6E">
        <w:t xml:space="preserve">% </w:t>
      </w:r>
      <w:r w:rsidRPr="006B3405">
        <w:t>and the past narrative is that efficiency declined in FY 2020 when the stress was at its highest level. This means that sustainability requires cost management</w:t>
      </w:r>
      <w:r w:rsidR="00BE5C11">
        <w:t>,</w:t>
      </w:r>
      <w:r w:rsidRPr="006B3405">
        <w:t xml:space="preserve"> but </w:t>
      </w:r>
      <w:r w:rsidR="00BE5C11">
        <w:t xml:space="preserve">is </w:t>
      </w:r>
      <w:r w:rsidRPr="006B3405">
        <w:t>not central to profitability variability.</w:t>
      </w:r>
    </w:p>
    <w:p w14:paraId="7BB09943" w14:textId="1788ACDD" w:rsidR="006B3405" w:rsidRPr="006B3405" w:rsidRDefault="006B3405" w:rsidP="006B3405">
      <w:r w:rsidRPr="006B3405">
        <w:lastRenderedPageBreak/>
        <w:t xml:space="preserve">Third, the prevailing swing factor is the credit costs. The provisioning coverage ratio rose considerably in FY2020, which is a welcome reaction to uncertainty during the pandemic. Profit was compressed by higher impairment losses in FY2023 than it had been </w:t>
      </w:r>
      <w:r w:rsidR="00BE5C11">
        <w:t xml:space="preserve">in </w:t>
      </w:r>
      <w:r w:rsidRPr="006B3405">
        <w:t>FY2022</w:t>
      </w:r>
      <w:r w:rsidR="00BE5C11">
        <w:t>,</w:t>
      </w:r>
      <w:r w:rsidRPr="006B3405">
        <w:t xml:space="preserve"> compressing increases in operating income</w:t>
      </w:r>
      <w:r w:rsidR="00436E6E">
        <w:t xml:space="preserve"> </w:t>
      </w:r>
      <w:r w:rsidR="00436E6E">
        <w:rPr>
          <w:rFonts w:cs="Arial"/>
          <w:color w:val="000000"/>
        </w:rPr>
        <w:t>(Habu and Henderson, 2023)</w:t>
      </w:r>
      <w:r w:rsidRPr="006B3405">
        <w:t>. These trends indicate that the profits generated by the firm are very vulnerable to risk factors that influence the performance of the borrowers, and that conservative provision and risk coverage are key in safeguarding the solvency.</w:t>
      </w:r>
    </w:p>
    <w:p w14:paraId="40F489D0" w14:textId="4935EDE4" w:rsidR="006B3405" w:rsidRPr="006B3405" w:rsidRDefault="006B3405" w:rsidP="006B3405">
      <w:r w:rsidRPr="006B3405">
        <w:t>Fourth, there is positive but reduced regulatory headroom in FY2024. There was an inward trend in CET1 ratios and the total capital ratios compared to FY2023, and the Group applied capital instruments (AT1 issuance) to maintain the total capital ratios</w:t>
      </w:r>
      <w:r w:rsidR="00436E6E">
        <w:t xml:space="preserve"> </w:t>
      </w:r>
      <w:r w:rsidR="00436E6E">
        <w:rPr>
          <w:rFonts w:cs="Arial"/>
          <w:color w:val="000000"/>
        </w:rPr>
        <w:t xml:space="preserve">(Damilare </w:t>
      </w:r>
      <w:r w:rsidR="00436E6E">
        <w:rPr>
          <w:rFonts w:cs="Arial"/>
          <w:i/>
          <w:iCs/>
          <w:color w:val="000000"/>
        </w:rPr>
        <w:t>et al.</w:t>
      </w:r>
      <w:r w:rsidR="00436E6E">
        <w:rPr>
          <w:rFonts w:cs="Arial"/>
          <w:color w:val="000000"/>
        </w:rPr>
        <w:t>, 2021)</w:t>
      </w:r>
      <w:r w:rsidRPr="006B3405">
        <w:t>. This implies that financial managers are juggling growth, risk</w:t>
      </w:r>
      <w:r w:rsidR="00BE5C11">
        <w:t>,</w:t>
      </w:r>
      <w:r w:rsidRPr="006B3405">
        <w:t xml:space="preserve"> expenditure and regulatory restrictions through capital planning tools to retain resiliency.</w:t>
      </w:r>
    </w:p>
    <w:p w14:paraId="43A35B97" w14:textId="304FCEF6" w:rsidR="006B3405" w:rsidRPr="006B3405" w:rsidRDefault="006B3405" w:rsidP="006B3405">
      <w:r w:rsidRPr="006B3405">
        <w:t>All in all, it would be possible to conclude that the performance of the financial performance of the Close Brothers is conditioned by the interactive system: the growth of the earning capacity increases the exposure, impairment measures render the macro and the portfolio stress into the profit effects, and capital/liquidity buffers are the capacity to absorb the effects without destabilisation of the funding model and compliance with requirements</w:t>
      </w:r>
      <w:r w:rsidR="00436E6E">
        <w:t xml:space="preserve"> </w:t>
      </w:r>
      <w:r w:rsidR="00436E6E">
        <w:rPr>
          <w:rFonts w:cs="Arial"/>
          <w:color w:val="000000"/>
        </w:rPr>
        <w:t>(Murugan, T and Marappan, 2023)</w:t>
      </w:r>
      <w:r w:rsidRPr="006B3405">
        <w:t>. Thus, in this case, the effective risk management may be apprehended as a skill to maintain this system in equilibrium</w:t>
      </w:r>
      <w:r w:rsidR="00BE5C11">
        <w:t>, which</w:t>
      </w:r>
      <w:r w:rsidRPr="006B3405">
        <w:t xml:space="preserve"> is to provide sustainable earnings but at the same time maintain </w:t>
      </w:r>
      <w:r w:rsidR="00BE5C11">
        <w:t xml:space="preserve">a </w:t>
      </w:r>
      <w:r w:rsidRPr="006B3405">
        <w:t>prudent buffer and meet regulatory expectations.</w:t>
      </w:r>
    </w:p>
    <w:p w14:paraId="5433E1C2" w14:textId="35C66DBA" w:rsidR="006B3405" w:rsidRPr="006B3405" w:rsidRDefault="006B3405" w:rsidP="006B3405">
      <w:pPr>
        <w:pStyle w:val="Heading2"/>
      </w:pPr>
      <w:bookmarkStart w:id="67" w:name="_Toc220883007"/>
      <w:r w:rsidRPr="006B3405">
        <w:t>4.10 Chapter Summary</w:t>
      </w:r>
      <w:bookmarkEnd w:id="67"/>
    </w:p>
    <w:p w14:paraId="6568B082" w14:textId="45A08EB7" w:rsidR="006B3405" w:rsidRPr="006B3405" w:rsidRDefault="006B3405" w:rsidP="006B3405">
      <w:r w:rsidRPr="006B3405">
        <w:t xml:space="preserve">This revised chapter dealt with the commentaries by incorporating financial information, tabular and worked </w:t>
      </w:r>
      <w:r w:rsidR="00BE5C11">
        <w:t>calculations,</w:t>
      </w:r>
      <w:r w:rsidRPr="006B3405">
        <w:t xml:space="preserve"> going beyond a mere descriptive account</w:t>
      </w:r>
      <w:r w:rsidR="00436E6E">
        <w:t xml:space="preserve"> </w:t>
      </w:r>
      <w:r w:rsidR="00436E6E">
        <w:rPr>
          <w:rFonts w:cs="Arial"/>
          <w:color w:val="000000"/>
        </w:rPr>
        <w:t xml:space="preserve">(Jariah and </w:t>
      </w:r>
      <w:proofErr w:type="spellStart"/>
      <w:r w:rsidR="00436E6E">
        <w:rPr>
          <w:rFonts w:cs="Arial"/>
          <w:color w:val="000000"/>
        </w:rPr>
        <w:t>Lukiana</w:t>
      </w:r>
      <w:proofErr w:type="spellEnd"/>
      <w:r w:rsidR="00436E6E">
        <w:rPr>
          <w:rFonts w:cs="Arial"/>
          <w:color w:val="000000"/>
        </w:rPr>
        <w:t>, 2023)</w:t>
      </w:r>
      <w:r w:rsidRPr="006B3405">
        <w:t xml:space="preserve">. The analysis reported expansion of the </w:t>
      </w:r>
      <w:r w:rsidR="00126ACC">
        <w:t>balance sheet</w:t>
      </w:r>
      <w:r w:rsidRPr="006B3405">
        <w:t>, funding framework, efficiency measures</w:t>
      </w:r>
      <w:r w:rsidR="00BE5C11">
        <w:t>,</w:t>
      </w:r>
      <w:r w:rsidRPr="006B3405">
        <w:t xml:space="preserve"> ratios and credit-cost pressures and measured capital and liquidity headroom. The important conclusion is that the detectability of the profitability of Close Brothers to the cycle of the credit: the operating efficiency may be steady</w:t>
      </w:r>
      <w:r w:rsidR="00BE5C11">
        <w:t>,</w:t>
      </w:r>
      <w:r w:rsidRPr="006B3405">
        <w:t xml:space="preserve"> whereas impairment charges may cause significant changes in profits</w:t>
      </w:r>
      <w:r w:rsidR="00436E6E">
        <w:t xml:space="preserve"> </w:t>
      </w:r>
      <w:r w:rsidR="00436E6E">
        <w:rPr>
          <w:rFonts w:cs="Arial"/>
          <w:color w:val="000000"/>
        </w:rPr>
        <w:t xml:space="preserve">(Al </w:t>
      </w:r>
      <w:proofErr w:type="spellStart"/>
      <w:r w:rsidR="00436E6E">
        <w:rPr>
          <w:rFonts w:cs="Arial"/>
          <w:color w:val="000000"/>
        </w:rPr>
        <w:t>Zaidanin</w:t>
      </w:r>
      <w:proofErr w:type="spellEnd"/>
      <w:r w:rsidR="00436E6E">
        <w:rPr>
          <w:rFonts w:cs="Arial"/>
          <w:color w:val="000000"/>
        </w:rPr>
        <w:t xml:space="preserve"> and Al Zaidanin, 2021)</w:t>
      </w:r>
      <w:r w:rsidRPr="006B3405">
        <w:t xml:space="preserve">. Meanwhile, capital and liquidity buffers are above industry minimum levels, although compression in headroom balanced </w:t>
      </w:r>
      <w:r w:rsidRPr="006B3405">
        <w:lastRenderedPageBreak/>
        <w:t>between FY2023 and FY2024 shows the need to do capital planning proactively and risk appetite disciplinarily in growth.</w:t>
      </w:r>
    </w:p>
    <w:p w14:paraId="2B8B0C07" w14:textId="4C2EBCA5" w:rsidR="00773D8E" w:rsidRPr="005877C3" w:rsidRDefault="006B3405" w:rsidP="006B3405">
      <w:r w:rsidRPr="006B3405">
        <w:t xml:space="preserve">These findings can be built upon </w:t>
      </w:r>
      <w:r w:rsidR="00BE5C11">
        <w:t xml:space="preserve">in </w:t>
      </w:r>
      <w:r w:rsidRPr="006B3405">
        <w:t xml:space="preserve">the next chapter through the </w:t>
      </w:r>
      <w:r w:rsidR="00BE5C11">
        <w:t>synthesis</w:t>
      </w:r>
      <w:r w:rsidRPr="006B3405">
        <w:t xml:space="preserve"> of implications of strategic </w:t>
      </w:r>
      <w:r w:rsidR="00BE5C11">
        <w:t>risk</w:t>
      </w:r>
      <w:r w:rsidRPr="006B3405">
        <w:t xml:space="preserve"> management and a recommendation of the specific actions to take (e.g., portfolio concentration limits, better governance of provisioning, better capital planning, </w:t>
      </w:r>
      <w:r w:rsidR="00BE5C11">
        <w:t xml:space="preserve">and </w:t>
      </w:r>
      <w:r w:rsidRPr="006B3405">
        <w:t>how the changes would enhance the stability of profits without weakening prudential strength).</w:t>
      </w:r>
      <w:r w:rsidR="00773D8E" w:rsidRPr="008E717D">
        <w:br w:type="page"/>
      </w:r>
    </w:p>
    <w:p w14:paraId="28849DEF" w14:textId="3C412DE9" w:rsidR="00BB211F" w:rsidRPr="005877C3" w:rsidRDefault="00BB211F" w:rsidP="00773D8E">
      <w:pPr>
        <w:pStyle w:val="Heading1"/>
        <w:rPr>
          <w:rFonts w:cs="Arial"/>
        </w:rPr>
      </w:pPr>
      <w:bookmarkStart w:id="68" w:name="_Toc220883008"/>
      <w:r w:rsidRPr="005877C3">
        <w:rPr>
          <w:rFonts w:cs="Arial"/>
        </w:rPr>
        <w:lastRenderedPageBreak/>
        <w:t>Chapter 5: Conclusion and Recommendations</w:t>
      </w:r>
      <w:bookmarkEnd w:id="68"/>
    </w:p>
    <w:p w14:paraId="57208ACF" w14:textId="77777777" w:rsidR="00F1595B" w:rsidRPr="00F1595B" w:rsidRDefault="00F1595B" w:rsidP="00F1595B">
      <w:pPr>
        <w:pStyle w:val="Heading2"/>
        <w:rPr>
          <w:lang/>
        </w:rPr>
      </w:pPr>
      <w:bookmarkStart w:id="69" w:name="_Toc220883009"/>
      <w:r w:rsidRPr="00F1595B">
        <w:rPr>
          <w:lang/>
        </w:rPr>
        <w:t>5.1 Summary of Key Findings</w:t>
      </w:r>
      <w:bookmarkEnd w:id="69"/>
    </w:p>
    <w:p w14:paraId="1679F964" w14:textId="6AB41734" w:rsidR="00F1595B" w:rsidRPr="00F1595B" w:rsidRDefault="00F1595B" w:rsidP="00F1595B">
      <w:pPr>
        <w:rPr>
          <w:rFonts w:cs="Arial"/>
          <w:lang/>
        </w:rPr>
      </w:pPr>
      <w:r w:rsidRPr="00F1595B">
        <w:rPr>
          <w:rFonts w:cs="Arial"/>
          <w:lang/>
        </w:rPr>
        <w:t>This dissertation intend</w:t>
      </w:r>
      <w:r>
        <w:rPr>
          <w:rFonts w:cs="Arial"/>
          <w:lang w:val="en-US"/>
        </w:rPr>
        <w:t>s</w:t>
      </w:r>
      <w:r w:rsidRPr="00F1595B">
        <w:rPr>
          <w:rFonts w:cs="Arial"/>
          <w:lang/>
        </w:rPr>
        <w:t xml:space="preserve"> to determine the impact of financial risk management o</w:t>
      </w:r>
      <w:r>
        <w:rPr>
          <w:rFonts w:cs="Arial"/>
          <w:lang w:val="en-US"/>
        </w:rPr>
        <w:t>n</w:t>
      </w:r>
      <w:r w:rsidRPr="00F1595B">
        <w:rPr>
          <w:rFonts w:cs="Arial"/>
          <w:lang/>
        </w:rPr>
        <w:t xml:space="preserve"> the profitability of Close Brothers Group plc, a leading Non-bank financial institution (NBFI) in the UK (Singh et al., 2025). The research focused on the years between FY2019 and FY2024 and focused on examining the way that Close Brothers managed key financial risks such as credit, liquidity, market and operational risks and how these risks affected its profitability.</w:t>
      </w:r>
    </w:p>
    <w:p w14:paraId="60611F7B" w14:textId="77777777" w:rsidR="00F1595B" w:rsidRPr="00F1595B" w:rsidRDefault="00F1595B" w:rsidP="00F1595B">
      <w:pPr>
        <w:rPr>
          <w:rFonts w:cs="Arial"/>
          <w:lang/>
        </w:rPr>
      </w:pPr>
      <w:r w:rsidRPr="00F1595B">
        <w:rPr>
          <w:rFonts w:cs="Arial"/>
          <w:lang/>
        </w:rPr>
        <w:t>The key findings from the analysis of Close Brothers and the associated literature review are as follows:</w:t>
      </w:r>
    </w:p>
    <w:p w14:paraId="0901ADB2" w14:textId="77777777" w:rsidR="00F1595B" w:rsidRPr="00F1595B" w:rsidRDefault="00F1595B" w:rsidP="00F1595B">
      <w:pPr>
        <w:rPr>
          <w:rFonts w:cs="Arial"/>
          <w:lang/>
        </w:rPr>
      </w:pPr>
      <w:r w:rsidRPr="00F1595B">
        <w:rPr>
          <w:rFonts w:cs="Arial"/>
          <w:b/>
          <w:bCs/>
          <w:lang/>
        </w:rPr>
        <w:t>Financial Risk Management and Profitability Connection:</w:t>
      </w:r>
      <w:r w:rsidRPr="00F1595B">
        <w:rPr>
          <w:rFonts w:cs="Arial"/>
          <w:lang/>
        </w:rPr>
        <w:t xml:space="preserve"> Close Brothers takes a conservative and disciplined approach to managing financial risks. This has played a major role in sustaining long-term profitability (Chaudhury and Sana, 2024). Despite serious macroeconomic problems such as Brexit and the Covid-19 pandemic, fluctuating interest rates, the company's risk management strategy has allowed it to maintain relatively stable financial performance (Chaudhury and Sana, 2024). The firm's conservative approach to credit, liquidity, and operational risks has enabled it to be resilient through periods of market volatility.</w:t>
      </w:r>
    </w:p>
    <w:p w14:paraId="20712A62" w14:textId="1F2FED60" w:rsidR="00F1595B" w:rsidRDefault="00F1595B" w:rsidP="00F1595B">
      <w:pPr>
        <w:rPr>
          <w:rFonts w:cs="Arial"/>
          <w:lang/>
        </w:rPr>
      </w:pPr>
      <w:r w:rsidRPr="00F1595B">
        <w:rPr>
          <w:rFonts w:cs="Arial"/>
          <w:b/>
          <w:bCs/>
          <w:lang/>
        </w:rPr>
        <w:t>Credit Risk Management:</w:t>
      </w:r>
      <w:r w:rsidRPr="00F1595B">
        <w:rPr>
          <w:rFonts w:cs="Arial"/>
          <w:lang/>
        </w:rPr>
        <w:t xml:space="preserve"> The company's credit risk management strategy is defined by </w:t>
      </w:r>
      <w:r>
        <w:rPr>
          <w:rFonts w:cs="Arial"/>
          <w:lang w:val="en-US"/>
        </w:rPr>
        <w:t xml:space="preserve">the </w:t>
      </w:r>
      <w:r w:rsidRPr="00F1595B">
        <w:rPr>
          <w:rFonts w:cs="Arial"/>
          <w:lang/>
        </w:rPr>
        <w:t>adoption of secured lending practices and strict underwriting requirements. This way, the risk of defaults has been effectively minimi</w:t>
      </w:r>
      <w:r>
        <w:rPr>
          <w:rFonts w:cs="Arial"/>
          <w:lang w:val="en-US"/>
        </w:rPr>
        <w:t>s</w:t>
      </w:r>
      <w:r w:rsidRPr="00F1595B">
        <w:rPr>
          <w:rFonts w:cs="Arial"/>
          <w:lang/>
        </w:rPr>
        <w:t>ed and assured steady streams of income (Tomori, Lakatos &amp; Martha, 2021). However, the firm has been equally savvy in ramping up loan-loss provisions at times of economic uncertainty, and this has done good to the profitability of the firm</w:t>
      </w:r>
      <w:r>
        <w:rPr>
          <w:rFonts w:cs="Arial"/>
          <w:lang w:val="en-US"/>
        </w:rPr>
        <w:t>,</w:t>
      </w:r>
      <w:r w:rsidRPr="00F1595B">
        <w:rPr>
          <w:rFonts w:cs="Arial"/>
          <w:lang/>
        </w:rPr>
        <w:t xml:space="preserve"> but unfortunately also at the cost of short-term profitability.</w:t>
      </w:r>
    </w:p>
    <w:p w14:paraId="4B323E78" w14:textId="400FF337" w:rsidR="00543FF1" w:rsidRPr="00543FF1" w:rsidRDefault="00543FF1" w:rsidP="00543FF1">
      <w:pPr>
        <w:rPr>
          <w:rFonts w:cs="Arial"/>
          <w:lang/>
        </w:rPr>
      </w:pPr>
      <w:r w:rsidRPr="00543FF1">
        <w:rPr>
          <w:rFonts w:cs="Arial"/>
          <w:b/>
          <w:bCs/>
          <w:lang/>
        </w:rPr>
        <w:t>Liquidity and Funding:</w:t>
      </w:r>
      <w:r w:rsidRPr="00543FF1">
        <w:rPr>
          <w:rFonts w:cs="Arial"/>
          <w:lang/>
        </w:rPr>
        <w:t xml:space="preserve"> Close Brothers has a good balance between customer deposits and funding</w:t>
      </w:r>
      <w:r>
        <w:rPr>
          <w:rFonts w:cs="Arial"/>
          <w:lang w:val="en-US"/>
        </w:rPr>
        <w:t>,</w:t>
      </w:r>
      <w:r w:rsidRPr="00543FF1">
        <w:rPr>
          <w:rFonts w:cs="Arial"/>
          <w:lang/>
        </w:rPr>
        <w:t xml:space="preserve"> which is sourced wholesale. While the company has a good liquidity position, its reliance on wholesale funding makes it easy prey for the market. Maintaining a balance in liquidity position is important to earn its profitability</w:t>
      </w:r>
      <w:r>
        <w:rPr>
          <w:rFonts w:cs="Arial"/>
          <w:lang w:val="en-US"/>
        </w:rPr>
        <w:t>,</w:t>
      </w:r>
      <w:r w:rsidRPr="00543FF1">
        <w:rPr>
          <w:rFonts w:cs="Arial"/>
          <w:lang/>
        </w:rPr>
        <w:t xml:space="preserve"> especially during times of financial stress (Chaudhury and Sana, 2024).</w:t>
      </w:r>
    </w:p>
    <w:p w14:paraId="619361CD" w14:textId="77777777" w:rsidR="00543FF1" w:rsidRPr="00543FF1" w:rsidRDefault="00543FF1" w:rsidP="00543FF1">
      <w:pPr>
        <w:rPr>
          <w:rFonts w:cs="Arial"/>
          <w:lang/>
        </w:rPr>
      </w:pPr>
      <w:r w:rsidRPr="00543FF1">
        <w:rPr>
          <w:rFonts w:cs="Arial"/>
          <w:b/>
          <w:bCs/>
          <w:lang/>
        </w:rPr>
        <w:t>Market Risk and Interest Rate Sensitivity: The</w:t>
      </w:r>
      <w:r w:rsidRPr="00543FF1">
        <w:rPr>
          <w:rFonts w:cs="Arial"/>
          <w:lang/>
        </w:rPr>
        <w:t xml:space="preserve"> firm is involved in conservative treasury operations on market risk management by investing in low-risk investments </w:t>
      </w:r>
      <w:r w:rsidRPr="00543FF1">
        <w:rPr>
          <w:rFonts w:cs="Arial"/>
          <w:lang/>
        </w:rPr>
        <w:lastRenderedPageBreak/>
        <w:t>that do not involve high market risk volatility (Alam and Islam, 2022). While this approach makes profits more stable by way of returns, it does not enable the firm to realise greater returns in more volatile market conditions.</w:t>
      </w:r>
    </w:p>
    <w:p w14:paraId="6209458B" w14:textId="3EF258FA" w:rsidR="00543FF1" w:rsidRDefault="00543FF1" w:rsidP="00543FF1">
      <w:pPr>
        <w:rPr>
          <w:rFonts w:cs="Arial"/>
          <w:lang/>
        </w:rPr>
      </w:pPr>
      <w:r w:rsidRPr="00543FF1">
        <w:rPr>
          <w:rFonts w:cs="Arial"/>
          <w:b/>
          <w:bCs/>
          <w:lang/>
        </w:rPr>
        <w:t>Operational Risk:</w:t>
      </w:r>
      <w:r w:rsidRPr="00543FF1">
        <w:rPr>
          <w:rFonts w:cs="Arial"/>
          <w:lang/>
        </w:rPr>
        <w:t xml:space="preserve"> Close Brothers has a robust internal control and governance structure, which minimises the operational risks (Mushunje and Mashasha, 2024). While operational risk has not played a significant role in terms of profitability, the increased significance of digital technologies in the financial sector introduce</w:t>
      </w:r>
      <w:r>
        <w:rPr>
          <w:rFonts w:cs="Arial"/>
          <w:lang w:val="en-US"/>
        </w:rPr>
        <w:t>s</w:t>
      </w:r>
      <w:r w:rsidRPr="00543FF1">
        <w:rPr>
          <w:rFonts w:cs="Arial"/>
          <w:lang/>
        </w:rPr>
        <w:t xml:space="preserve"> new challenges to which continued vigilance is required.</w:t>
      </w:r>
    </w:p>
    <w:p w14:paraId="715BC648" w14:textId="77777777" w:rsidR="00543FF1" w:rsidRPr="00F1595B" w:rsidRDefault="00543FF1" w:rsidP="00543FF1">
      <w:pPr>
        <w:rPr>
          <w:rFonts w:cs="Arial"/>
          <w:lang/>
        </w:rPr>
      </w:pPr>
    </w:p>
    <w:p w14:paraId="277BB566" w14:textId="6C4CEE16" w:rsidR="00F1595B" w:rsidRPr="00F1595B" w:rsidRDefault="00F1595B" w:rsidP="00F1595B">
      <w:pPr>
        <w:pStyle w:val="Heading2"/>
        <w:rPr>
          <w:lang/>
        </w:rPr>
      </w:pPr>
      <w:bookmarkStart w:id="70" w:name="_Toc220883010"/>
      <w:r w:rsidRPr="00F1595B">
        <w:rPr>
          <w:lang/>
        </w:rPr>
        <w:t>5.2 Contribution to Existing Literature</w:t>
      </w:r>
      <w:bookmarkEnd w:id="70"/>
    </w:p>
    <w:p w14:paraId="7B8FDCDC" w14:textId="0761F243" w:rsidR="00543FF1" w:rsidRPr="00543FF1" w:rsidRDefault="00543FF1" w:rsidP="00543FF1">
      <w:pPr>
        <w:rPr>
          <w:rFonts w:cs="Arial"/>
          <w:lang/>
        </w:rPr>
      </w:pPr>
      <w:r w:rsidRPr="00543FF1">
        <w:rPr>
          <w:rFonts w:cs="Arial"/>
          <w:lang/>
        </w:rPr>
        <w:t>This study is an addition to the existing body of literature because it creates a detailed case study of Close Brothers, a</w:t>
      </w:r>
      <w:r>
        <w:rPr>
          <w:rFonts w:cs="Arial"/>
          <w:lang w:val="en-US"/>
        </w:rPr>
        <w:t>n</w:t>
      </w:r>
      <w:r w:rsidRPr="00543FF1">
        <w:rPr>
          <w:rFonts w:cs="Arial"/>
          <w:lang/>
        </w:rPr>
        <w:t xml:space="preserve"> NBFI in the UK. While much of the research </w:t>
      </w:r>
      <w:r>
        <w:rPr>
          <w:rFonts w:cs="Arial"/>
          <w:lang/>
        </w:rPr>
        <w:t>on financial risk management was largely centralised around traditional banks, this dissertation focuses on the unique challenges that NBFIs face and the strategies they employ to manage</w:t>
      </w:r>
      <w:r w:rsidRPr="00543FF1">
        <w:rPr>
          <w:rFonts w:cs="Arial"/>
          <w:lang/>
        </w:rPr>
        <w:t xml:space="preserve"> financial risks.</w:t>
      </w:r>
    </w:p>
    <w:p w14:paraId="7E0AFE54" w14:textId="368CBABB" w:rsidR="00F1595B" w:rsidRPr="00F1595B" w:rsidRDefault="00543FF1" w:rsidP="00543FF1">
      <w:pPr>
        <w:rPr>
          <w:rFonts w:cs="Arial"/>
          <w:lang/>
        </w:rPr>
      </w:pPr>
      <w:r w:rsidRPr="00543FF1">
        <w:rPr>
          <w:rFonts w:cs="Arial"/>
          <w:lang/>
        </w:rPr>
        <w:t>The results obtained in this study are consistent with the Risk-Return Trade-Off Theory</w:t>
      </w:r>
      <w:r>
        <w:rPr>
          <w:rFonts w:cs="Arial"/>
          <w:lang w:val="en-US"/>
        </w:rPr>
        <w:t>,</w:t>
      </w:r>
      <w:r w:rsidRPr="00543FF1">
        <w:rPr>
          <w:rFonts w:cs="Arial"/>
          <w:lang/>
        </w:rPr>
        <w:t xml:space="preserve"> which assumes that higher risks are likely associated with higher potential returns. In the case of Close Brothers, this situation has been </w:t>
      </w:r>
      <w:r>
        <w:rPr>
          <w:rFonts w:cs="Arial"/>
          <w:lang/>
        </w:rPr>
        <w:t>achieved through a conservative approach to risk management, which has resulted in a stable level of profitability despite lower returns</w:t>
      </w:r>
      <w:r w:rsidRPr="00543FF1">
        <w:rPr>
          <w:rFonts w:cs="Arial"/>
          <w:lang/>
        </w:rPr>
        <w:t xml:space="preserve"> (Rahman, Khaled Rahman and Ahmed, 2023). This can be seen to give credence to the concept that lower risk can still mean acceptable returns, especially for companies operating in volatile markets</w:t>
      </w:r>
      <w:r w:rsidR="00F1595B" w:rsidRPr="00F1595B">
        <w:rPr>
          <w:rFonts w:cs="Arial"/>
          <w:lang/>
        </w:rPr>
        <w:t>.</w:t>
      </w:r>
    </w:p>
    <w:p w14:paraId="06CBE783" w14:textId="48B64BDA" w:rsidR="00F1595B" w:rsidRPr="00F1595B" w:rsidRDefault="00F1595B" w:rsidP="00F1595B">
      <w:pPr>
        <w:rPr>
          <w:rFonts w:cs="Arial"/>
          <w:lang/>
        </w:rPr>
      </w:pPr>
      <w:r w:rsidRPr="00F1595B">
        <w:rPr>
          <w:rFonts w:cs="Arial"/>
          <w:lang/>
        </w:rPr>
        <w:t>Furthermore, the research also strengthens the relevance of the agency theory by enabling the long-standing practice of governance and risk management by Close Brothers-experienced managers</w:t>
      </w:r>
      <w:r>
        <w:rPr>
          <w:rFonts w:cs="Arial"/>
          <w:lang w:val="en-US"/>
        </w:rPr>
        <w:t>,</w:t>
      </w:r>
      <w:r w:rsidRPr="00F1595B">
        <w:rPr>
          <w:rFonts w:cs="Arial"/>
          <w:lang/>
        </w:rPr>
        <w:t xml:space="preserve"> which can minimi</w:t>
      </w:r>
      <w:r>
        <w:rPr>
          <w:rFonts w:cs="Arial"/>
          <w:lang w:val="en-US"/>
        </w:rPr>
        <w:t>s</w:t>
      </w:r>
      <w:r w:rsidRPr="00F1595B">
        <w:rPr>
          <w:rFonts w:cs="Arial"/>
          <w:lang/>
        </w:rPr>
        <w:t>e the risk of managerial activities likely to ha</w:t>
      </w:r>
      <w:r>
        <w:rPr>
          <w:rFonts w:cs="Arial"/>
          <w:lang/>
        </w:rPr>
        <w:t>rm</w:t>
      </w:r>
      <w:r w:rsidRPr="00F1595B">
        <w:rPr>
          <w:rFonts w:cs="Arial"/>
          <w:lang/>
        </w:rPr>
        <w:t xml:space="preserve"> the long-term interests of shareholders (Mushunje and Mashasha, 2024). By exercising strict risk controls and using stability as a prime concern, the company has managed to maintain profitability even during difficult market conditions.</w:t>
      </w:r>
    </w:p>
    <w:p w14:paraId="577D3DF7" w14:textId="512CD467" w:rsidR="00F1595B" w:rsidRPr="00F1595B" w:rsidRDefault="00F1595B" w:rsidP="00F1595B">
      <w:pPr>
        <w:rPr>
          <w:rFonts w:cs="Arial"/>
          <w:lang/>
        </w:rPr>
      </w:pPr>
      <w:r w:rsidRPr="00F1595B">
        <w:rPr>
          <w:rFonts w:cs="Arial"/>
          <w:lang/>
        </w:rPr>
        <w:t xml:space="preserve">Finally, the dissertation does its part to join the debate relating to the Modern Portfolio Theory. Close Brothers is specialization with a very concentrated portfolio, major lending, as opposed to traditional broad diversification (Chowdhury, Uddin and Karim, 2026). This strategy, though providing stability, hampers the firm's opportunity to </w:t>
      </w:r>
      <w:r w:rsidRPr="00F1595B">
        <w:rPr>
          <w:rFonts w:cs="Arial"/>
          <w:lang/>
        </w:rPr>
        <w:lastRenderedPageBreak/>
        <w:t>exploit high</w:t>
      </w:r>
      <w:r>
        <w:rPr>
          <w:rFonts w:cs="Arial"/>
          <w:lang w:val="en-US"/>
        </w:rPr>
        <w:t>-</w:t>
      </w:r>
      <w:r w:rsidRPr="00F1595B">
        <w:rPr>
          <w:rFonts w:cs="Arial"/>
          <w:lang/>
        </w:rPr>
        <w:t xml:space="preserve">growth opportunities. The study highlights the importance of an individual approach to portfolio management </w:t>
      </w:r>
      <w:r>
        <w:rPr>
          <w:rFonts w:cs="Arial"/>
          <w:lang/>
        </w:rPr>
        <w:t>for</w:t>
      </w:r>
      <w:r w:rsidRPr="00F1595B">
        <w:rPr>
          <w:rFonts w:cs="Arial"/>
          <w:lang/>
        </w:rPr>
        <w:t xml:space="preserve"> NBFIs.</w:t>
      </w:r>
    </w:p>
    <w:p w14:paraId="7ABF2177" w14:textId="77777777" w:rsidR="00F1595B" w:rsidRPr="00F1595B" w:rsidRDefault="00F1595B" w:rsidP="00F1595B">
      <w:pPr>
        <w:rPr>
          <w:rFonts w:cs="Arial"/>
          <w:lang/>
        </w:rPr>
      </w:pPr>
    </w:p>
    <w:p w14:paraId="1173D249" w14:textId="77777777" w:rsidR="00F1595B" w:rsidRPr="00F1595B" w:rsidRDefault="00F1595B" w:rsidP="00F1595B">
      <w:pPr>
        <w:pStyle w:val="Heading2"/>
        <w:rPr>
          <w:lang/>
        </w:rPr>
      </w:pPr>
      <w:bookmarkStart w:id="71" w:name="_Toc220883011"/>
      <w:r w:rsidRPr="00F1595B">
        <w:rPr>
          <w:lang/>
        </w:rPr>
        <w:t>5.3 Practical Recommendations for Close Brothers</w:t>
      </w:r>
      <w:bookmarkEnd w:id="71"/>
    </w:p>
    <w:p w14:paraId="5F741A02" w14:textId="77777777" w:rsidR="00543FF1" w:rsidRPr="00543FF1" w:rsidRDefault="00543FF1" w:rsidP="00543FF1">
      <w:pPr>
        <w:rPr>
          <w:rFonts w:cs="Arial"/>
          <w:lang/>
        </w:rPr>
      </w:pPr>
      <w:r w:rsidRPr="00543FF1">
        <w:rPr>
          <w:rFonts w:cs="Arial"/>
          <w:lang/>
        </w:rPr>
        <w:t>Based on the findings of this research, several recommendations are therefore made as a basis for Close Brothers to further improve its practices of financial risk management and improve profitability.</w:t>
      </w:r>
    </w:p>
    <w:p w14:paraId="0416A801" w14:textId="421B8A99" w:rsidR="00543FF1" w:rsidRPr="00543FF1" w:rsidRDefault="00543FF1" w:rsidP="00543FF1">
      <w:pPr>
        <w:rPr>
          <w:rFonts w:cs="Arial"/>
          <w:lang/>
        </w:rPr>
      </w:pPr>
      <w:r w:rsidRPr="00543FF1">
        <w:rPr>
          <w:rFonts w:cs="Arial"/>
          <w:b/>
          <w:bCs/>
          <w:lang/>
        </w:rPr>
        <w:t>Strengthening Stress Testing and Scenario Analysis:</w:t>
      </w:r>
      <w:r w:rsidRPr="00543FF1">
        <w:rPr>
          <w:rFonts w:cs="Arial"/>
          <w:lang/>
        </w:rPr>
        <w:t xml:space="preserve"> On account of the increased volatility in the international financial markets, Close Brothers is advised to strengthen its stress testing and scenario analysis of its business. By adding more variation of stress a scenario could entail, combining with outlier yet plausible situations, such as an abrupt rise of interest rates or a recession, the firm can be better prepared for potential shock (Damasa, 2026). This would allow Close Brothers to enhance its approaches to capital allocation and </w:t>
      </w:r>
      <w:r>
        <w:rPr>
          <w:rFonts w:cs="Arial"/>
          <w:lang/>
        </w:rPr>
        <w:t>mak</w:t>
      </w:r>
      <w:r w:rsidRPr="00543FF1">
        <w:rPr>
          <w:rFonts w:cs="Arial"/>
          <w:lang/>
        </w:rPr>
        <w:t>e its business resilient in different economic conditions.</w:t>
      </w:r>
    </w:p>
    <w:p w14:paraId="7437E9B4" w14:textId="35A0F629" w:rsidR="00543FF1" w:rsidRPr="00543FF1" w:rsidRDefault="00543FF1" w:rsidP="00543FF1">
      <w:pPr>
        <w:rPr>
          <w:rFonts w:cs="Arial"/>
          <w:lang/>
        </w:rPr>
      </w:pPr>
      <w:r w:rsidRPr="00543FF1">
        <w:rPr>
          <w:rFonts w:cs="Arial"/>
          <w:b/>
          <w:bCs/>
          <w:lang/>
        </w:rPr>
        <w:t>Refining Credit Risk Management:</w:t>
      </w:r>
      <w:r w:rsidRPr="00543FF1">
        <w:rPr>
          <w:rFonts w:cs="Arial"/>
          <w:lang/>
        </w:rPr>
        <w:t xml:space="preserve"> While Close Brothers has been conservative in its approach to credit risk and has been successful in this respect, the firm may do well to refine the credit risk models (Alam and Islam, 2022). One of its recommendations is making use of advanced analytics, including machine learning, to better predict defaults and identify potential risks in its portfolio of loans. (Alam and Islam, 2022). Additionally, the company may also wish to slightly develop its credit risk portfolio by creating new sectors or markets while retaining the focus on secured lending. This way, it would help to limit the risk of concentration, but with strong risk management in place.</w:t>
      </w:r>
    </w:p>
    <w:p w14:paraId="200D9933" w14:textId="387D541A" w:rsidR="00543FF1" w:rsidRPr="00543FF1" w:rsidRDefault="00543FF1" w:rsidP="00543FF1">
      <w:pPr>
        <w:rPr>
          <w:rFonts w:cs="Arial"/>
          <w:lang/>
        </w:rPr>
      </w:pPr>
      <w:r w:rsidRPr="00543FF1">
        <w:rPr>
          <w:rFonts w:cs="Arial"/>
          <w:b/>
          <w:bCs/>
          <w:lang/>
        </w:rPr>
        <w:t>Enhancing Liquidity and Funding Strategy:</w:t>
      </w:r>
      <w:r w:rsidRPr="00543FF1">
        <w:rPr>
          <w:rFonts w:cs="Arial"/>
          <w:lang/>
        </w:rPr>
        <w:t xml:space="preserve"> The study brings the fund requirement toward Close Brothers being dependent on wholesale funding into light, which exposes the company to liquidity risk, especially in a market instability setting (Damasa, 2026). To combat this</w:t>
      </w:r>
      <w:r>
        <w:rPr>
          <w:rFonts w:cs="Arial"/>
          <w:lang w:val="en-US"/>
        </w:rPr>
        <w:t>,</w:t>
      </w:r>
      <w:r w:rsidRPr="00543FF1">
        <w:rPr>
          <w:rFonts w:cs="Arial"/>
          <w:lang/>
        </w:rPr>
        <w:t xml:space="preserve"> it is suggested that the firm work to diversify its funding sources</w:t>
      </w:r>
      <w:r>
        <w:rPr>
          <w:rFonts w:cs="Arial"/>
          <w:lang w:val="en-US"/>
        </w:rPr>
        <w:t>,</w:t>
      </w:r>
      <w:r w:rsidRPr="00543FF1">
        <w:rPr>
          <w:rFonts w:cs="Arial"/>
          <w:lang/>
        </w:rPr>
        <w:t xml:space="preserve"> with a particular focus being to increase the amount of the customer's retail deposit base. Retail deposits are commonly more stable and </w:t>
      </w:r>
      <w:r>
        <w:rPr>
          <w:rFonts w:cs="Arial"/>
          <w:lang/>
        </w:rPr>
        <w:t>les</w:t>
      </w:r>
      <w:r w:rsidRPr="00543FF1">
        <w:rPr>
          <w:rFonts w:cs="Arial"/>
          <w:lang/>
        </w:rPr>
        <w:t xml:space="preserve">s subject to variations in the market, which would provide the firm with more security of liquidity. In addition, Close Brothers should continue to monitor and recalibrate its liquidity buffers for changes in market conditions (Singh et al., 2025). Strengthening its liquidity </w:t>
      </w:r>
      <w:r w:rsidRPr="00543FF1">
        <w:rPr>
          <w:rFonts w:cs="Arial"/>
          <w:lang/>
        </w:rPr>
        <w:lastRenderedPageBreak/>
        <w:t xml:space="preserve">contingency planning and ensuring </w:t>
      </w:r>
      <w:r>
        <w:rPr>
          <w:rFonts w:cs="Arial"/>
          <w:lang w:val="en-US"/>
        </w:rPr>
        <w:t xml:space="preserve">the </w:t>
      </w:r>
      <w:r w:rsidRPr="00543FF1">
        <w:rPr>
          <w:rFonts w:cs="Arial"/>
          <w:lang/>
        </w:rPr>
        <w:t>availability of sufficient high-quality liquid assets (HQLAs) in case of stress will ensure that the company will retain financial stability.</w:t>
      </w:r>
    </w:p>
    <w:p w14:paraId="44BB0847" w14:textId="7695DB86" w:rsidR="00543FF1" w:rsidRPr="00543FF1" w:rsidRDefault="00543FF1" w:rsidP="00543FF1">
      <w:pPr>
        <w:rPr>
          <w:rFonts w:cs="Arial"/>
          <w:lang/>
        </w:rPr>
      </w:pPr>
      <w:r w:rsidRPr="00543FF1">
        <w:rPr>
          <w:rFonts w:cs="Arial"/>
          <w:b/>
          <w:bCs/>
          <w:lang/>
        </w:rPr>
        <w:t>Balancing Risk and Growth Opportunities:</w:t>
      </w:r>
      <w:r w:rsidRPr="00543FF1">
        <w:rPr>
          <w:rFonts w:cs="Arial"/>
          <w:lang/>
        </w:rPr>
        <w:t xml:space="preserve"> While Closed Brothers has been profitable as a result of </w:t>
      </w:r>
      <w:r>
        <w:rPr>
          <w:rFonts w:cs="Arial"/>
          <w:lang w:val="en-US"/>
        </w:rPr>
        <w:t xml:space="preserve">its </w:t>
      </w:r>
      <w:r w:rsidRPr="00543FF1">
        <w:rPr>
          <w:rFonts w:cs="Arial"/>
          <w:lang/>
        </w:rPr>
        <w:t>conservative approach to risk management, it is important to consider new growth opportunities. The focus on stability has meant that the firm is not able to take full advantage of high</w:t>
      </w:r>
      <w:r>
        <w:rPr>
          <w:rFonts w:cs="Arial"/>
          <w:lang w:val="en-US"/>
        </w:rPr>
        <w:t>-</w:t>
      </w:r>
      <w:r w:rsidRPr="00543FF1">
        <w:rPr>
          <w:rFonts w:cs="Arial"/>
          <w:lang/>
        </w:rPr>
        <w:t>growth markets (Sahin, 2025). Therefore, it is recommended that Close Brothers consider changing the framework of their own risk appetite to assess whether there are possibly areas where the company could afford to take more calculated risks</w:t>
      </w:r>
      <w:r>
        <w:rPr>
          <w:rFonts w:cs="Arial"/>
          <w:lang w:val="en-US"/>
        </w:rPr>
        <w:t>,</w:t>
      </w:r>
      <w:r w:rsidRPr="00543FF1">
        <w:rPr>
          <w:rFonts w:cs="Arial"/>
          <w:lang/>
        </w:rPr>
        <w:t xml:space="preserve"> which will not jeopardise the stability of the company's finance</w:t>
      </w:r>
      <w:r>
        <w:rPr>
          <w:rFonts w:cs="Arial"/>
          <w:lang w:val="en-US"/>
        </w:rPr>
        <w:t>s</w:t>
      </w:r>
      <w:r w:rsidRPr="00543FF1">
        <w:rPr>
          <w:rFonts w:cs="Arial"/>
          <w:lang/>
        </w:rPr>
        <w:t>. For example, the expansion into the new lending markets with higher yields or investment in new financial products could guarantee new sources of income (Sahin, 2025). However, it is critical for these opportunities to be carefully weighed and those that are going to be consistent with the conservative risk profile of the firm. Close Brothers should seek to model more complex risk-adjusted returns to understand the trade</w:t>
      </w:r>
      <w:r>
        <w:rPr>
          <w:rFonts w:cs="Arial"/>
          <w:lang w:val="en-US"/>
        </w:rPr>
        <w:t>-</w:t>
      </w:r>
      <w:r w:rsidRPr="00543FF1">
        <w:rPr>
          <w:rFonts w:cs="Arial"/>
          <w:lang/>
        </w:rPr>
        <w:t>off between risk and reward.</w:t>
      </w:r>
    </w:p>
    <w:p w14:paraId="150487B0" w14:textId="12329939" w:rsidR="00F1595B" w:rsidRPr="00F1595B" w:rsidRDefault="00543FF1" w:rsidP="00543FF1">
      <w:pPr>
        <w:rPr>
          <w:rFonts w:cs="Arial"/>
          <w:lang/>
        </w:rPr>
      </w:pPr>
      <w:r w:rsidRPr="00543FF1">
        <w:rPr>
          <w:rFonts w:cs="Arial"/>
          <w:b/>
          <w:bCs/>
          <w:lang/>
        </w:rPr>
        <w:t>Improving Governance and Risk Culture</w:t>
      </w:r>
      <w:r w:rsidRPr="00543FF1">
        <w:rPr>
          <w:rFonts w:cs="Arial"/>
          <w:b/>
          <w:bCs/>
          <w:lang w:val="en-US"/>
        </w:rPr>
        <w:t>:</w:t>
      </w:r>
      <w:r>
        <w:rPr>
          <w:rFonts w:cs="Arial"/>
          <w:lang w:val="en-US"/>
        </w:rPr>
        <w:t xml:space="preserve"> </w:t>
      </w:r>
      <w:r w:rsidRPr="00543FF1">
        <w:rPr>
          <w:rFonts w:cs="Arial"/>
          <w:lang/>
        </w:rPr>
        <w:t>Close Brothers has a good governance framework in place, but with the changing landscape of the financial ecosystem, especially with the rise of digital technologies, it</w:t>
      </w:r>
      <w:r>
        <w:rPr>
          <w:rFonts w:cs="Arial"/>
          <w:lang w:val="en-US"/>
        </w:rPr>
        <w:t>’</w:t>
      </w:r>
      <w:r w:rsidRPr="00543FF1">
        <w:rPr>
          <w:rFonts w:cs="Arial"/>
          <w:lang/>
        </w:rPr>
        <w:t xml:space="preserve">s important to help continuously improve the governance risk culture within the firm (Chowdhury, Uddin and Karim, 2026). Strengthening oversight of technology-related risk, such as cybersecurity risks and data privacy concerns, will be important as the company </w:t>
      </w:r>
      <w:r>
        <w:rPr>
          <w:rFonts w:cs="Arial"/>
          <w:lang/>
        </w:rPr>
        <w:t>continues</w:t>
      </w:r>
      <w:r w:rsidRPr="00543FF1">
        <w:rPr>
          <w:rFonts w:cs="Arial"/>
          <w:lang/>
        </w:rPr>
        <w:t xml:space="preserve"> to diversify into a more digital company. Additionally, the company should carry on to improve transparency in terms of risk disclosures (Rahman, Khaled Rahman and Ahmed, 2023). Clear and consistent communication related to risk exposures, stress testing results and liquidity positions will help to increase investor confidence and support long term profitability. A commitment to transparency and good governance is also likely to ensure that the company retains its reputation for good risk management practices.</w:t>
      </w:r>
    </w:p>
    <w:p w14:paraId="555CA58F" w14:textId="77777777" w:rsidR="00F1595B" w:rsidRPr="00F1595B" w:rsidRDefault="00F1595B" w:rsidP="00F1595B">
      <w:pPr>
        <w:pStyle w:val="Heading2"/>
        <w:rPr>
          <w:lang/>
        </w:rPr>
      </w:pPr>
      <w:bookmarkStart w:id="72" w:name="_Toc220883012"/>
      <w:r w:rsidRPr="00F1595B">
        <w:rPr>
          <w:lang/>
        </w:rPr>
        <w:lastRenderedPageBreak/>
        <w:t>5.4 General Recommendations for Non-Banking Financial Institutions (NBFIs)</w:t>
      </w:r>
      <w:bookmarkEnd w:id="72"/>
    </w:p>
    <w:p w14:paraId="6BC78779" w14:textId="68A84E90" w:rsidR="00543FF1" w:rsidRPr="00543FF1" w:rsidRDefault="00543FF1" w:rsidP="00543FF1">
      <w:pPr>
        <w:rPr>
          <w:rFonts w:cs="Arial"/>
          <w:lang/>
        </w:rPr>
      </w:pPr>
      <w:r w:rsidRPr="00543FF1">
        <w:rPr>
          <w:rFonts w:cs="Arial"/>
          <w:lang/>
        </w:rPr>
        <w:t>The results of this research have wider implications for other non-bank financial institutions (NBFIs) in the UK. As the NBFIs are less regulated than the conventional banks</w:t>
      </w:r>
      <w:r>
        <w:rPr>
          <w:rFonts w:cs="Arial"/>
          <w:lang w:val="en-US"/>
        </w:rPr>
        <w:t>,</w:t>
      </w:r>
      <w:r w:rsidRPr="00543FF1">
        <w:rPr>
          <w:rFonts w:cs="Arial"/>
          <w:lang/>
        </w:rPr>
        <w:t xml:space="preserve"> </w:t>
      </w:r>
      <w:r>
        <w:rPr>
          <w:rFonts w:cs="Arial"/>
          <w:lang/>
        </w:rPr>
        <w:t>which</w:t>
      </w:r>
      <w:r w:rsidRPr="00543FF1">
        <w:rPr>
          <w:rFonts w:cs="Arial"/>
          <w:lang/>
        </w:rPr>
        <w:t xml:space="preserve"> creates unique risks in them</w:t>
      </w:r>
      <w:r>
        <w:rPr>
          <w:rFonts w:cs="Arial"/>
          <w:lang w:val="en-US"/>
        </w:rPr>
        <w:t>,</w:t>
      </w:r>
      <w:r w:rsidRPr="00543FF1">
        <w:rPr>
          <w:rFonts w:cs="Arial"/>
          <w:lang/>
        </w:rPr>
        <w:t xml:space="preserve"> there is a need for risk management in this place. Some general suggestions on NBFIs are presented below, </w:t>
      </w:r>
      <w:r>
        <w:rPr>
          <w:rFonts w:cs="Arial"/>
          <w:lang/>
        </w:rPr>
        <w:t>based</w:t>
      </w:r>
      <w:r w:rsidRPr="00543FF1">
        <w:rPr>
          <w:rFonts w:cs="Arial"/>
          <w:lang/>
        </w:rPr>
        <w:t xml:space="preserve"> o</w:t>
      </w:r>
      <w:r>
        <w:rPr>
          <w:rFonts w:cs="Arial"/>
          <w:lang w:val="en-US"/>
        </w:rPr>
        <w:t>n</w:t>
      </w:r>
      <w:r w:rsidRPr="00543FF1">
        <w:rPr>
          <w:rFonts w:cs="Arial"/>
          <w:lang/>
        </w:rPr>
        <w:t xml:space="preserve"> the learning from Close Brothers:</w:t>
      </w:r>
    </w:p>
    <w:p w14:paraId="60A5140F" w14:textId="3FB930CC" w:rsidR="00543FF1" w:rsidRPr="00543FF1" w:rsidRDefault="00543FF1" w:rsidP="00543FF1">
      <w:pPr>
        <w:rPr>
          <w:rFonts w:cs="Arial"/>
          <w:lang/>
        </w:rPr>
      </w:pPr>
      <w:r w:rsidRPr="00543FF1">
        <w:rPr>
          <w:rFonts w:cs="Arial"/>
          <w:b/>
          <w:bCs/>
          <w:lang/>
        </w:rPr>
        <w:t>Develop robust risk management frameworks:</w:t>
      </w:r>
      <w:r w:rsidRPr="00543FF1">
        <w:rPr>
          <w:rFonts w:cs="Arial"/>
          <w:lang/>
        </w:rPr>
        <w:t xml:space="preserve"> NBFIs should emphasi</w:t>
      </w:r>
      <w:r>
        <w:rPr>
          <w:rFonts w:cs="Arial"/>
          <w:lang/>
        </w:rPr>
        <w:t>se</w:t>
      </w:r>
      <w:r w:rsidRPr="00543FF1">
        <w:rPr>
          <w:rFonts w:cs="Arial"/>
          <w:lang/>
        </w:rPr>
        <w:t xml:space="preserve"> the development of robust risk management frameworks that align with their business models (Mushunje and Mashasha, 2024). This includes having good credit risk management practices, having diverse funding strategies and good liquidity management.</w:t>
      </w:r>
    </w:p>
    <w:p w14:paraId="37FF5AE4" w14:textId="77777777" w:rsidR="00543FF1" w:rsidRPr="00543FF1" w:rsidRDefault="00543FF1" w:rsidP="00543FF1">
      <w:pPr>
        <w:rPr>
          <w:rFonts w:cs="Arial"/>
          <w:lang/>
        </w:rPr>
      </w:pPr>
      <w:r w:rsidRPr="00543FF1">
        <w:rPr>
          <w:rFonts w:cs="Arial"/>
          <w:b/>
          <w:bCs/>
          <w:lang/>
        </w:rPr>
        <w:t>Diversify Funding Sources:</w:t>
      </w:r>
      <w:r w:rsidRPr="00543FF1">
        <w:rPr>
          <w:rFonts w:cs="Arial"/>
          <w:lang/>
        </w:rPr>
        <w:t xml:space="preserve"> Like Close Brothers, NBFIs should make efforts to diversify funding sources to reduce their dependence on wholesale markets (Alam and Islam, 2022). Retail deposits, long-term borrowings and securitisation can all play important roles in ensuring a stable liquidity position.</w:t>
      </w:r>
    </w:p>
    <w:p w14:paraId="5A4EB5B1" w14:textId="4B58CD0A" w:rsidR="00543FF1" w:rsidRPr="00543FF1" w:rsidRDefault="00543FF1" w:rsidP="00543FF1">
      <w:pPr>
        <w:rPr>
          <w:rFonts w:cs="Arial"/>
          <w:lang/>
        </w:rPr>
      </w:pPr>
      <w:r w:rsidRPr="00543FF1">
        <w:rPr>
          <w:rFonts w:cs="Arial"/>
          <w:b/>
          <w:bCs/>
          <w:lang/>
        </w:rPr>
        <w:t>Embrace Advanced Analytics</w:t>
      </w:r>
      <w:r w:rsidRPr="00543FF1">
        <w:rPr>
          <w:rFonts w:cs="Arial"/>
          <w:b/>
          <w:bCs/>
          <w:lang w:val="en-US"/>
        </w:rPr>
        <w:t>:</w:t>
      </w:r>
      <w:r>
        <w:rPr>
          <w:rFonts w:cs="Arial"/>
          <w:lang w:val="en-US"/>
        </w:rPr>
        <w:t xml:space="preserve"> </w:t>
      </w:r>
      <w:r w:rsidRPr="00543FF1">
        <w:rPr>
          <w:rFonts w:cs="Arial"/>
          <w:lang/>
        </w:rPr>
        <w:t xml:space="preserve">Advanced analytics (the use of advanced data analytics, machine learning models, and predictive models) can assist NBFIs to manage their credit risk better, optimise their portfolio of investments andimetry (Chowdhury, Uddin and Karim, 2026). This would allow </w:t>
      </w:r>
      <w:r>
        <w:rPr>
          <w:rFonts w:cs="Arial"/>
          <w:lang w:val="en-US"/>
        </w:rPr>
        <w:t xml:space="preserve">for </w:t>
      </w:r>
      <w:r w:rsidRPr="00543FF1">
        <w:rPr>
          <w:rFonts w:cs="Arial"/>
          <w:lang/>
        </w:rPr>
        <w:t>more dynamic risk management and more profitable management.</w:t>
      </w:r>
    </w:p>
    <w:p w14:paraId="189D317A" w14:textId="7FF45DB8" w:rsidR="00543FF1" w:rsidRPr="00543FF1" w:rsidRDefault="00543FF1" w:rsidP="00543FF1">
      <w:pPr>
        <w:rPr>
          <w:rFonts w:cs="Arial"/>
          <w:lang/>
        </w:rPr>
      </w:pPr>
      <w:r w:rsidRPr="00543FF1">
        <w:rPr>
          <w:rFonts w:cs="Arial"/>
          <w:b/>
          <w:bCs/>
          <w:lang/>
        </w:rPr>
        <w:t>Maintain Strong Operational Risk Management</w:t>
      </w:r>
      <w:r w:rsidRPr="00543FF1">
        <w:rPr>
          <w:rFonts w:cs="Arial"/>
          <w:b/>
          <w:bCs/>
          <w:lang w:val="en-US"/>
        </w:rPr>
        <w:t>:</w:t>
      </w:r>
      <w:r>
        <w:rPr>
          <w:rFonts w:cs="Arial"/>
          <w:lang w:val="en-US"/>
        </w:rPr>
        <w:t xml:space="preserve"> </w:t>
      </w:r>
      <w:r w:rsidRPr="00543FF1">
        <w:rPr>
          <w:rFonts w:cs="Arial"/>
          <w:lang/>
        </w:rPr>
        <w:t xml:space="preserve">As the financial services industry continues to become more digital, it is important for NBFIs to invest in strong operational risk management frameworks (Mushunje and Mashasha, 2024). This includes management of cybersecurity risks, ensuring compliance with changing regulations, and </w:t>
      </w:r>
      <w:r>
        <w:rPr>
          <w:rFonts w:cs="Arial"/>
          <w:lang w:val="en-US"/>
        </w:rPr>
        <w:t xml:space="preserve">the </w:t>
      </w:r>
      <w:r w:rsidRPr="00543FF1">
        <w:rPr>
          <w:rFonts w:cs="Arial"/>
          <w:lang/>
        </w:rPr>
        <w:t>use of good internal controls.</w:t>
      </w:r>
    </w:p>
    <w:p w14:paraId="7D7FF0DD" w14:textId="3B02049D" w:rsidR="00F1595B" w:rsidRPr="00F1595B" w:rsidRDefault="00543FF1" w:rsidP="00543FF1">
      <w:pPr>
        <w:rPr>
          <w:rFonts w:cs="Arial"/>
          <w:lang/>
        </w:rPr>
      </w:pPr>
      <w:r w:rsidRPr="00543FF1">
        <w:rPr>
          <w:rFonts w:cs="Arial"/>
          <w:b/>
          <w:bCs/>
          <w:lang/>
        </w:rPr>
        <w:t>Focus on Long Term Stability:</w:t>
      </w:r>
      <w:r w:rsidRPr="00543FF1">
        <w:rPr>
          <w:rFonts w:cs="Arial"/>
          <w:lang/>
        </w:rPr>
        <w:t xml:space="preserve"> While you have to explore growth opportunities, NBFIs should concentrate on long term stability </w:t>
      </w:r>
      <w:r>
        <w:rPr>
          <w:rFonts w:cs="Arial"/>
          <w:lang w:val="en-US"/>
        </w:rPr>
        <w:t xml:space="preserve">rather </w:t>
      </w:r>
      <w:r w:rsidRPr="00543FF1">
        <w:rPr>
          <w:rFonts w:cs="Arial"/>
          <w:lang/>
        </w:rPr>
        <w:t>than short term gains (Alam and Islam, 2022). This is a matter of striking a tradeoff between risk and profitability, so that the attempts at growth do not go against the firm recogni</w:t>
      </w:r>
      <w:r>
        <w:rPr>
          <w:rFonts w:cs="Arial"/>
          <w:lang w:val="en-US"/>
        </w:rPr>
        <w:t>s</w:t>
      </w:r>
      <w:r w:rsidRPr="00543FF1">
        <w:rPr>
          <w:rFonts w:cs="Arial"/>
          <w:lang/>
        </w:rPr>
        <w:t>ing the overall risk appetite and corporate governance practices</w:t>
      </w:r>
      <w:r w:rsidR="00F1595B" w:rsidRPr="00F1595B">
        <w:rPr>
          <w:rFonts w:cs="Arial"/>
          <w:lang/>
        </w:rPr>
        <w:t>.</w:t>
      </w:r>
    </w:p>
    <w:p w14:paraId="304856E1" w14:textId="77777777" w:rsidR="00F1595B" w:rsidRPr="00F1595B" w:rsidRDefault="00F1595B" w:rsidP="00F1595B">
      <w:pPr>
        <w:pStyle w:val="Heading2"/>
        <w:rPr>
          <w:lang/>
        </w:rPr>
      </w:pPr>
      <w:bookmarkStart w:id="73" w:name="_Toc220883013"/>
      <w:r w:rsidRPr="00F1595B">
        <w:rPr>
          <w:lang/>
        </w:rPr>
        <w:lastRenderedPageBreak/>
        <w:t>5.5 Limitations and Areas for Future Research</w:t>
      </w:r>
      <w:bookmarkEnd w:id="73"/>
    </w:p>
    <w:p w14:paraId="6239D4AC" w14:textId="5E776ACE" w:rsidR="00F1595B" w:rsidRPr="00F1595B" w:rsidRDefault="00543FF1" w:rsidP="00F1595B">
      <w:pPr>
        <w:rPr>
          <w:rFonts w:cs="Arial"/>
          <w:lang/>
        </w:rPr>
      </w:pPr>
      <w:r w:rsidRPr="00543FF1">
        <w:rPr>
          <w:rFonts w:cs="Arial"/>
          <w:lang/>
        </w:rPr>
        <w:t>While this study provides some useful information on financial risk management in NBFIs, it is not without limitations. The secondary data that was used in the study were confined to the annual reports and financial statements of Close Brothers (Chaudhury and Sana, 2024). There is a possibility in future research to incorporate primary data</w:t>
      </w:r>
      <w:r>
        <w:rPr>
          <w:rFonts w:cs="Arial"/>
          <w:lang w:val="en-US"/>
        </w:rPr>
        <w:t>,</w:t>
      </w:r>
      <w:r w:rsidRPr="00543FF1">
        <w:rPr>
          <w:rFonts w:cs="Arial"/>
          <w:lang/>
        </w:rPr>
        <w:t xml:space="preserve"> such as an interview </w:t>
      </w:r>
      <w:r>
        <w:rPr>
          <w:rFonts w:cs="Arial"/>
          <w:lang/>
        </w:rPr>
        <w:t>with</w:t>
      </w:r>
      <w:r w:rsidRPr="00543FF1">
        <w:rPr>
          <w:rFonts w:cs="Arial"/>
          <w:lang/>
        </w:rPr>
        <w:t xml:space="preserve"> senior managers</w:t>
      </w:r>
      <w:r>
        <w:rPr>
          <w:rFonts w:cs="Arial"/>
          <w:lang w:val="en-US"/>
        </w:rPr>
        <w:t>,</w:t>
      </w:r>
      <w:r w:rsidRPr="00543FF1">
        <w:rPr>
          <w:rFonts w:cs="Arial"/>
          <w:lang/>
        </w:rPr>
        <w:t xml:space="preserve"> to gain a deeper understanding of risk management strategies used by the company. The limited time spent on Close Brothers as one case study does limit the generalisability of the findings. Future research could be carried out on some of the NBFIs to attempt to identify trends across the industry and seek to understand the range of risk management approaches in the sector (Singh et al., 2025). As the financial services industry continues to expand, future research needs to explore new risks. It consists of cybersecurity threats, data privacy concerns and the impact of artificial intelligence on the management of financial risks</w:t>
      </w:r>
      <w:r w:rsidR="00F1595B" w:rsidRPr="00F1595B">
        <w:rPr>
          <w:rFonts w:cs="Arial"/>
          <w:lang/>
        </w:rPr>
        <w:t>.</w:t>
      </w:r>
    </w:p>
    <w:p w14:paraId="5FA0A9A4" w14:textId="77777777" w:rsidR="00F1595B" w:rsidRPr="00F1595B" w:rsidRDefault="00F1595B" w:rsidP="00F1595B">
      <w:pPr>
        <w:pStyle w:val="Heading2"/>
        <w:rPr>
          <w:lang/>
        </w:rPr>
      </w:pPr>
      <w:bookmarkStart w:id="74" w:name="_Toc220883014"/>
      <w:r w:rsidRPr="00F1595B">
        <w:rPr>
          <w:lang/>
        </w:rPr>
        <w:t>5.6 Conclusion</w:t>
      </w:r>
      <w:bookmarkEnd w:id="74"/>
    </w:p>
    <w:p w14:paraId="503C5062" w14:textId="5EC3BC5F" w:rsidR="00543FF1" w:rsidRDefault="00543FF1" w:rsidP="00F1595B">
      <w:pPr>
        <w:rPr>
          <w:rFonts w:cs="Arial"/>
          <w:lang/>
        </w:rPr>
      </w:pPr>
      <w:r w:rsidRPr="00543FF1">
        <w:rPr>
          <w:rFonts w:cs="Arial"/>
          <w:lang/>
        </w:rPr>
        <w:t>In concluding this dissertation, I have presented the problem of the relationship between financial risk management and profitability of financial institutions in Close Brothers Group plc, which can be noted that it is classified as a leader in the category of non-bank financial institutions in the UK. The results show that Close Brothers</w:t>
      </w:r>
      <w:r>
        <w:rPr>
          <w:rFonts w:cs="Arial"/>
          <w:lang w:val="en-US"/>
        </w:rPr>
        <w:t>’</w:t>
      </w:r>
      <w:r w:rsidRPr="00543FF1">
        <w:rPr>
          <w:rFonts w:cs="Arial"/>
          <w:lang/>
        </w:rPr>
        <w:t xml:space="preserve"> style of conservatively managing risks has been fruitful in terms of ensuring long-term profitability and stability (Mushunje and Mashasha, 2024). However, the firm must continue to evolve its risk management practices in order to allocate and embrace new risks and growth opportunities. The learning generated from this study is not only relevant to Close Brothers</w:t>
      </w:r>
      <w:r>
        <w:rPr>
          <w:rFonts w:cs="Arial"/>
          <w:lang w:val="en-US"/>
        </w:rPr>
        <w:t>,</w:t>
      </w:r>
      <w:r w:rsidRPr="00543FF1">
        <w:rPr>
          <w:rFonts w:cs="Arial"/>
          <w:lang/>
        </w:rPr>
        <w:t xml:space="preserve"> but it also has important lessons for other NBFIs operating in the UK. NBFIs can increase their resiliency and profitability by adapting risk strategies, adapting funding and leveraging advanced data tools.</w:t>
      </w:r>
    </w:p>
    <w:p w14:paraId="52BB3747" w14:textId="425EF726" w:rsidR="00F1595B" w:rsidRPr="00F1595B" w:rsidRDefault="00F1595B" w:rsidP="00F1595B">
      <w:pPr>
        <w:rPr>
          <w:rFonts w:cs="Arial"/>
          <w:lang/>
        </w:rPr>
      </w:pPr>
      <w:r w:rsidRPr="00F1595B">
        <w:rPr>
          <w:rFonts w:cs="Arial"/>
          <w:lang/>
        </w:rPr>
        <w:br/>
      </w:r>
    </w:p>
    <w:p w14:paraId="7344879D" w14:textId="77777777" w:rsidR="00F1595B" w:rsidRPr="00F1595B" w:rsidRDefault="00F1595B" w:rsidP="00F1595B">
      <w:pPr>
        <w:rPr>
          <w:rFonts w:cs="Arial"/>
          <w:lang/>
        </w:rPr>
      </w:pPr>
    </w:p>
    <w:p w14:paraId="4F7C66ED" w14:textId="77777777" w:rsidR="00C819B8" w:rsidRDefault="00C819B8">
      <w:pPr>
        <w:spacing w:after="160" w:line="259" w:lineRule="auto"/>
        <w:jc w:val="left"/>
        <w:rPr>
          <w:rFonts w:cs="Arial"/>
          <w:color w:val="000000"/>
        </w:rPr>
      </w:pPr>
      <w:r>
        <w:rPr>
          <w:rFonts w:cs="Arial"/>
          <w:color w:val="000000"/>
        </w:rPr>
        <w:br w:type="page"/>
      </w:r>
    </w:p>
    <w:p w14:paraId="711DD386" w14:textId="2048B045" w:rsidR="00437FE2" w:rsidRPr="005877C3" w:rsidRDefault="00437FE2" w:rsidP="00437FE2">
      <w:pPr>
        <w:pStyle w:val="Heading1"/>
        <w:rPr>
          <w:rFonts w:cs="Arial"/>
        </w:rPr>
      </w:pPr>
      <w:bookmarkStart w:id="75" w:name="_Toc220883015"/>
      <w:r w:rsidRPr="005877C3">
        <w:rPr>
          <w:rFonts w:cs="Arial"/>
        </w:rPr>
        <w:lastRenderedPageBreak/>
        <w:t>Reference</w:t>
      </w:r>
      <w:bookmarkEnd w:id="75"/>
    </w:p>
    <w:p w14:paraId="50C5BF57" w14:textId="77777777" w:rsidR="00B01D88" w:rsidRPr="00B01D88" w:rsidRDefault="00B01D88" w:rsidP="001905A1">
      <w:pPr>
        <w:rPr>
          <w:lang w:val="en-US"/>
        </w:rPr>
      </w:pPr>
      <w:r w:rsidRPr="00B01D88">
        <w:t>Abdullah, A., Hashmi, M.A. and Iqbal, M.S. (2022) ‘Impact of working capital management on firm profitability and liquidity: the moderating role of family ownership’, </w:t>
      </w:r>
      <w:r w:rsidRPr="00B01D88">
        <w:rPr>
          <w:i/>
          <w:iCs/>
        </w:rPr>
        <w:t>Accounting Research Journal</w:t>
      </w:r>
      <w:r w:rsidRPr="00B01D88">
        <w:t xml:space="preserve">, 35(5). Available at: </w:t>
      </w:r>
      <w:hyperlink r:id="rId15" w:history="1">
        <w:r w:rsidRPr="00B01D88">
          <w:rPr>
            <w:rStyle w:val="Hyperlink"/>
            <w:rFonts w:cs="Arial"/>
          </w:rPr>
          <w:t>https://doi.org/10.1108/arj-07-2021-0212</w:t>
        </w:r>
      </w:hyperlink>
      <w:r w:rsidRPr="00B01D88">
        <w:t>.</w:t>
      </w:r>
      <w:r w:rsidRPr="00B01D88">
        <w:rPr>
          <w:lang w:val="en-US"/>
        </w:rPr>
        <w:t xml:space="preserve"> </w:t>
      </w:r>
    </w:p>
    <w:p w14:paraId="4D4A48D7" w14:textId="7393DDD5" w:rsidR="00B01D88" w:rsidRPr="00B01D88" w:rsidRDefault="00B01D88" w:rsidP="001905A1">
      <w:pPr>
        <w:rPr>
          <w:lang w:val="en-US"/>
        </w:rPr>
      </w:pPr>
      <w:r w:rsidRPr="00B01D88">
        <w:t xml:space="preserve">Ahmad, M., Bashir, R. and Waqas, H. (2022) ‘Working capital management and firm performance: Are their effects </w:t>
      </w:r>
      <w:r>
        <w:t xml:space="preserve">the </w:t>
      </w:r>
      <w:r w:rsidRPr="00B01D88">
        <w:t xml:space="preserve">same in covid 19 compared to </w:t>
      </w:r>
      <w:r>
        <w:t xml:space="preserve">the </w:t>
      </w:r>
      <w:r w:rsidRPr="00B01D88">
        <w:t>financial crisis 2008?’, </w:t>
      </w:r>
      <w:r w:rsidRPr="00B01D88">
        <w:rPr>
          <w:i/>
          <w:iCs/>
        </w:rPr>
        <w:t>Cogent Economics &amp; Finance</w:t>
      </w:r>
      <w:r w:rsidRPr="00B01D88">
        <w:t xml:space="preserve">. Edited by M.D.M.M. Quirós, 10(1). Available at: </w:t>
      </w:r>
      <w:hyperlink r:id="rId16" w:history="1">
        <w:r w:rsidRPr="00B01D88">
          <w:rPr>
            <w:rStyle w:val="Hyperlink"/>
            <w:rFonts w:cs="Arial"/>
          </w:rPr>
          <w:t>https://doi.org/10.1080/23322039.2022.2101224</w:t>
        </w:r>
      </w:hyperlink>
      <w:r w:rsidRPr="00B01D88">
        <w:t>.</w:t>
      </w:r>
      <w:r w:rsidRPr="00B01D88">
        <w:rPr>
          <w:lang w:val="en-US"/>
        </w:rPr>
        <w:t xml:space="preserve"> </w:t>
      </w:r>
    </w:p>
    <w:p w14:paraId="35D950F3" w14:textId="398B26A7" w:rsidR="00B01D88" w:rsidRPr="00113ABE" w:rsidRDefault="00B01D88" w:rsidP="001905A1">
      <w:pPr>
        <w:rPr>
          <w:color w:val="1F4E79" w:themeColor="accent5" w:themeShade="80"/>
          <w:u w:val="single"/>
        </w:rPr>
      </w:pPr>
      <w:r w:rsidRPr="00B01D88">
        <w:t>Akbar, A. </w:t>
      </w:r>
      <w:r w:rsidRPr="00B01D88">
        <w:rPr>
          <w:i/>
          <w:iCs/>
        </w:rPr>
        <w:t>et al.</w:t>
      </w:r>
      <w:r w:rsidRPr="00B01D88">
        <w:t> (2021) ‘Does Working Capital Management Influence Operating and Market Risk of Firms?’, </w:t>
      </w:r>
      <w:r w:rsidRPr="00B01D88">
        <w:rPr>
          <w:i/>
          <w:iCs/>
        </w:rPr>
        <w:t>Risks</w:t>
      </w:r>
      <w:r w:rsidRPr="00B01D88">
        <w:t xml:space="preserve">, 9(11), p. 201. Available at: </w:t>
      </w:r>
      <w:r w:rsidRPr="00113ABE">
        <w:rPr>
          <w:color w:val="1F4E79" w:themeColor="accent5" w:themeShade="80"/>
          <w:u w:val="single"/>
        </w:rPr>
        <w:t>https://doi.org/10.3390/risks9110201.</w:t>
      </w:r>
    </w:p>
    <w:p w14:paraId="6D0342E1" w14:textId="77777777" w:rsidR="00B01D88" w:rsidRPr="00B01D88" w:rsidRDefault="00B01D88" w:rsidP="001905A1">
      <w:r w:rsidRPr="00B01D88">
        <w:t>Al Zaidanin, J.S. and Al Zaidanin, O.J. (2021) ‘The impact of credit risk management on the financial performance of United Arab Emirates commercial banks’, </w:t>
      </w:r>
      <w:r w:rsidRPr="00B01D88">
        <w:rPr>
          <w:i/>
          <w:iCs/>
        </w:rPr>
        <w:t>International Journal of Research in Business and Social Science</w:t>
      </w:r>
      <w:r w:rsidRPr="00B01D88">
        <w:t xml:space="preserve">, 10(3), pp. 303–319. Available at: </w:t>
      </w:r>
      <w:hyperlink r:id="rId17" w:history="1">
        <w:r w:rsidRPr="00B01D88">
          <w:rPr>
            <w:rStyle w:val="Hyperlink"/>
            <w:rFonts w:cs="Arial"/>
          </w:rPr>
          <w:t>https://doi.org/10.20525/ijrbs.v10i3.1102</w:t>
        </w:r>
      </w:hyperlink>
      <w:r w:rsidRPr="00B01D88">
        <w:t xml:space="preserve">. </w:t>
      </w:r>
    </w:p>
    <w:p w14:paraId="3129B251" w14:textId="77777777" w:rsidR="00B01D88" w:rsidRPr="00B01D88" w:rsidRDefault="00B01D88" w:rsidP="001905A1">
      <w:proofErr w:type="spellStart"/>
      <w:r w:rsidRPr="00B01D88">
        <w:t>Alabdullah</w:t>
      </w:r>
      <w:proofErr w:type="spellEnd"/>
      <w:r w:rsidRPr="00B01D88">
        <w:t>, T.T.Y. (2022) ‘Management accounting insight via a new perspective on risk management - companies’ profitability relationship’, </w:t>
      </w:r>
      <w:r w:rsidRPr="00B01D88">
        <w:rPr>
          <w:i/>
          <w:iCs/>
        </w:rPr>
        <w:t>International Journal of Intelligent Enterprise</w:t>
      </w:r>
      <w:r w:rsidRPr="00B01D88">
        <w:t xml:space="preserve">, 9(2), p. 244. </w:t>
      </w:r>
    </w:p>
    <w:p w14:paraId="27AA9B94" w14:textId="77777777" w:rsidR="00B01D88" w:rsidRPr="00B01D88" w:rsidRDefault="00B01D88" w:rsidP="001905A1">
      <w:proofErr w:type="spellStart"/>
      <w:r w:rsidRPr="00B01D88">
        <w:t>Alabdullah</w:t>
      </w:r>
      <w:proofErr w:type="spellEnd"/>
      <w:r w:rsidRPr="00B01D88">
        <w:t>, T.T.Y. </w:t>
      </w:r>
      <w:r w:rsidRPr="00B01D88">
        <w:rPr>
          <w:i/>
          <w:iCs/>
        </w:rPr>
        <w:t>et al.</w:t>
      </w:r>
      <w:r w:rsidRPr="00B01D88">
        <w:t> (2021) ‘How Significantly to Emerging Economies Benefit From Board Attributes and Risk Management in Enhancing Firm Profitability?’, </w:t>
      </w:r>
      <w:r w:rsidRPr="00B01D88">
        <w:rPr>
          <w:i/>
          <w:iCs/>
        </w:rPr>
        <w:t>Journal of Accounting Science</w:t>
      </w:r>
      <w:r w:rsidRPr="00B01D88">
        <w:t xml:space="preserve">, 5(2), pp. 104–113. Available at: </w:t>
      </w:r>
      <w:hyperlink r:id="rId18" w:history="1">
        <w:r w:rsidRPr="00B01D88">
          <w:rPr>
            <w:rStyle w:val="Hyperlink"/>
            <w:rFonts w:cs="Arial"/>
          </w:rPr>
          <w:t>https://doi.org/10.21070/jas.v5i2.1530</w:t>
        </w:r>
      </w:hyperlink>
      <w:r w:rsidRPr="00B01D88">
        <w:t xml:space="preserve">. </w:t>
      </w:r>
    </w:p>
    <w:p w14:paraId="571F418C" w14:textId="77777777" w:rsidR="00B01D88" w:rsidRPr="00B01D88" w:rsidRDefault="00B01D88" w:rsidP="001905A1">
      <w:pPr>
        <w:rPr>
          <w:color w:val="000000"/>
          <w:lang w:val="en-US"/>
        </w:rPr>
      </w:pPr>
      <w:r w:rsidRPr="00B01D88">
        <w:rPr>
          <w:color w:val="000000"/>
        </w:rPr>
        <w:t xml:space="preserve">Alam, </w:t>
      </w:r>
      <w:proofErr w:type="spellStart"/>
      <w:r w:rsidRPr="00B01D88">
        <w:rPr>
          <w:color w:val="000000"/>
        </w:rPr>
        <w:t>Md.N</w:t>
      </w:r>
      <w:proofErr w:type="spellEnd"/>
      <w:r w:rsidRPr="00B01D88">
        <w:rPr>
          <w:color w:val="000000"/>
        </w:rPr>
        <w:t>. and Islam, K.M.Z. (2022) ‘Profitability Determinants of Non-bank Financial Institutions under Basel Regulations: Evidence from a Frontier Market’, </w:t>
      </w:r>
      <w:r w:rsidRPr="00B01D88">
        <w:rPr>
          <w:i/>
          <w:iCs/>
          <w:color w:val="000000"/>
        </w:rPr>
        <w:t>Global Business Review</w:t>
      </w:r>
      <w:r w:rsidRPr="00B01D88">
        <w:rPr>
          <w:color w:val="000000"/>
        </w:rPr>
        <w:t xml:space="preserve">, p. 097215092211011. Available at: </w:t>
      </w:r>
      <w:hyperlink r:id="rId19" w:history="1">
        <w:r w:rsidRPr="00B01D88">
          <w:rPr>
            <w:rStyle w:val="Hyperlink"/>
            <w:rFonts w:cs="Arial"/>
          </w:rPr>
          <w:t>https://doi.org/10.1177/09721509221101102</w:t>
        </w:r>
      </w:hyperlink>
      <w:r w:rsidRPr="00B01D88">
        <w:rPr>
          <w:color w:val="000000"/>
        </w:rPr>
        <w:t>.</w:t>
      </w:r>
      <w:r w:rsidRPr="00B01D88">
        <w:rPr>
          <w:color w:val="000000"/>
          <w:lang w:val="en-US"/>
        </w:rPr>
        <w:t xml:space="preserve"> </w:t>
      </w:r>
    </w:p>
    <w:p w14:paraId="65228E52" w14:textId="77777777" w:rsidR="00B01D88" w:rsidRPr="00B01D88" w:rsidRDefault="00B01D88" w:rsidP="001905A1">
      <w:proofErr w:type="spellStart"/>
      <w:r w:rsidRPr="00B01D88">
        <w:t>Aldubhani</w:t>
      </w:r>
      <w:proofErr w:type="spellEnd"/>
      <w:r w:rsidRPr="00B01D88">
        <w:t>, M.A.Q. </w:t>
      </w:r>
      <w:r w:rsidRPr="00B01D88">
        <w:rPr>
          <w:i/>
          <w:iCs/>
        </w:rPr>
        <w:t>et al.</w:t>
      </w:r>
      <w:r w:rsidRPr="00B01D88">
        <w:t> (2022) ‘Impact of working capital management on profitability: evidence from listed companies in Qatar’, </w:t>
      </w:r>
      <w:r w:rsidRPr="00B01D88">
        <w:rPr>
          <w:i/>
          <w:iCs/>
        </w:rPr>
        <w:t>Journal of Money and Business</w:t>
      </w:r>
      <w:r w:rsidRPr="00B01D88">
        <w:t xml:space="preserve">, 2(1), pp. 70–81. Available at: </w:t>
      </w:r>
      <w:hyperlink r:id="rId20" w:history="1">
        <w:r w:rsidRPr="00B01D88">
          <w:rPr>
            <w:rStyle w:val="Hyperlink"/>
            <w:rFonts w:cs="Arial"/>
          </w:rPr>
          <w:t>https://doi.org/10.1108/jmb-08-2021-0032</w:t>
        </w:r>
      </w:hyperlink>
      <w:r w:rsidRPr="00B01D88">
        <w:t xml:space="preserve">. </w:t>
      </w:r>
    </w:p>
    <w:p w14:paraId="79BAC04B" w14:textId="77777777" w:rsidR="00B01D88" w:rsidRPr="00B01D88" w:rsidRDefault="00B01D88" w:rsidP="001905A1">
      <w:pPr>
        <w:rPr>
          <w:lang w:val="en-US"/>
        </w:rPr>
      </w:pPr>
      <w:r w:rsidRPr="00B01D88">
        <w:t>Bianchi, J. and Bigio, S. (2022) ‘Banks, Liquidity Management, and Monetary Policy’, </w:t>
      </w:r>
      <w:proofErr w:type="spellStart"/>
      <w:r w:rsidRPr="00B01D88">
        <w:rPr>
          <w:i/>
          <w:iCs/>
        </w:rPr>
        <w:t>Econometrica</w:t>
      </w:r>
      <w:proofErr w:type="spellEnd"/>
      <w:r w:rsidRPr="00B01D88">
        <w:t xml:space="preserve">, 90(1), pp. 391–454. Available at: </w:t>
      </w:r>
      <w:hyperlink r:id="rId21" w:history="1">
        <w:r w:rsidRPr="00B01D88">
          <w:rPr>
            <w:rStyle w:val="Hyperlink"/>
            <w:rFonts w:cs="Arial"/>
          </w:rPr>
          <w:t>https://doi.org/10.3982/ecta16599</w:t>
        </w:r>
      </w:hyperlink>
      <w:r w:rsidRPr="00B01D88">
        <w:t>.</w:t>
      </w:r>
      <w:r w:rsidRPr="00B01D88">
        <w:rPr>
          <w:lang w:val="en-US"/>
        </w:rPr>
        <w:t xml:space="preserve"> </w:t>
      </w:r>
    </w:p>
    <w:p w14:paraId="0C6FFBA7" w14:textId="77777777" w:rsidR="00B01D88" w:rsidRPr="00B01D88" w:rsidRDefault="00B01D88" w:rsidP="001905A1">
      <w:pPr>
        <w:rPr>
          <w:lang w:val="en-US"/>
        </w:rPr>
      </w:pPr>
      <w:proofErr w:type="spellStart"/>
      <w:r w:rsidRPr="00B01D88">
        <w:lastRenderedPageBreak/>
        <w:t>Bonyadi</w:t>
      </w:r>
      <w:proofErr w:type="spellEnd"/>
      <w:r w:rsidRPr="00B01D88">
        <w:t>, A. (2023) ‘Phenomenology as a research methodology in teaching English as a foreign language’, </w:t>
      </w:r>
      <w:r w:rsidRPr="00B01D88">
        <w:rPr>
          <w:i/>
          <w:iCs/>
        </w:rPr>
        <w:t>Asian-Pacific Journal of Second and Foreign Language Education</w:t>
      </w:r>
      <w:r w:rsidRPr="00B01D88">
        <w:t xml:space="preserve">, 8(1). Available at: </w:t>
      </w:r>
      <w:hyperlink r:id="rId22" w:history="1">
        <w:r w:rsidRPr="00B01D88">
          <w:rPr>
            <w:rStyle w:val="Hyperlink"/>
            <w:rFonts w:cs="Arial"/>
          </w:rPr>
          <w:t>https://doi.org/10.1186/s40862-022-00184-z</w:t>
        </w:r>
      </w:hyperlink>
      <w:r w:rsidRPr="00B01D88">
        <w:t>.</w:t>
      </w:r>
      <w:r w:rsidRPr="00B01D88">
        <w:rPr>
          <w:lang w:val="en-US"/>
        </w:rPr>
        <w:t xml:space="preserve"> </w:t>
      </w:r>
    </w:p>
    <w:p w14:paraId="3F15F9A1" w14:textId="03E3C1E9" w:rsidR="00B01D88" w:rsidRPr="00B01D88" w:rsidRDefault="00B01D88" w:rsidP="001905A1">
      <w:r w:rsidRPr="00B01D88">
        <w:t xml:space="preserve">Caby, J., Ziane, Y. and Lamarque, E. (2022) ‘The impact of climate change management on </w:t>
      </w:r>
      <w:r>
        <w:t>banks'</w:t>
      </w:r>
      <w:r w:rsidRPr="00B01D88">
        <w:t xml:space="preserve"> profitability’, </w:t>
      </w:r>
      <w:r w:rsidRPr="00B01D88">
        <w:rPr>
          <w:i/>
          <w:iCs/>
        </w:rPr>
        <w:t>Journal of Business Research</w:t>
      </w:r>
      <w:r w:rsidRPr="00B01D88">
        <w:t xml:space="preserve">, 142, pp. 412–422. Available at: </w:t>
      </w:r>
      <w:hyperlink r:id="rId23" w:history="1">
        <w:r w:rsidRPr="00B01D88">
          <w:rPr>
            <w:rStyle w:val="Hyperlink"/>
            <w:rFonts w:cs="Arial"/>
          </w:rPr>
          <w:t>https://doi.org/10.1016/j.jbusres.2021.12.078</w:t>
        </w:r>
      </w:hyperlink>
      <w:r w:rsidRPr="00B01D88">
        <w:t xml:space="preserve">. </w:t>
      </w:r>
    </w:p>
    <w:p w14:paraId="491665A9" w14:textId="77777777" w:rsidR="00B01D88" w:rsidRPr="00B01D88" w:rsidRDefault="00B01D88" w:rsidP="001905A1">
      <w:pPr>
        <w:rPr>
          <w:color w:val="000000"/>
          <w:lang w:val="en-US"/>
        </w:rPr>
      </w:pPr>
      <w:r w:rsidRPr="00B01D88">
        <w:rPr>
          <w:color w:val="000000"/>
        </w:rPr>
        <w:t>Chaudhury, P. and Sana, A.K. (2024) ‘Measuring Financial Performance of Non-Banking Financial Companies (NBFCs): Evidence from Select BSE-Listed NBFCs In India’, </w:t>
      </w:r>
      <w:r w:rsidRPr="00B01D88">
        <w:rPr>
          <w:i/>
          <w:iCs/>
          <w:color w:val="000000"/>
        </w:rPr>
        <w:t>Advancement in Management and Technology</w:t>
      </w:r>
      <w:r w:rsidRPr="00B01D88">
        <w:rPr>
          <w:color w:val="000000"/>
        </w:rPr>
        <w:t xml:space="preserve">, 05(01), pp. 42–54. Available at: </w:t>
      </w:r>
      <w:hyperlink r:id="rId24" w:history="1">
        <w:r w:rsidRPr="00B01D88">
          <w:rPr>
            <w:rStyle w:val="Hyperlink"/>
            <w:rFonts w:cs="Arial"/>
          </w:rPr>
          <w:t>https://doi.org/10.46977/amt.2024.v05i01.003</w:t>
        </w:r>
      </w:hyperlink>
      <w:r w:rsidRPr="00B01D88">
        <w:rPr>
          <w:color w:val="000000"/>
        </w:rPr>
        <w:t>.</w:t>
      </w:r>
      <w:r w:rsidRPr="00B01D88">
        <w:rPr>
          <w:color w:val="000000"/>
          <w:lang w:val="en-US"/>
        </w:rPr>
        <w:t xml:space="preserve"> </w:t>
      </w:r>
    </w:p>
    <w:p w14:paraId="7B46EBDE" w14:textId="77777777" w:rsidR="00B01D88" w:rsidRPr="00B01D88" w:rsidRDefault="00B01D88" w:rsidP="001905A1">
      <w:pPr>
        <w:rPr>
          <w:lang w:val="en-US"/>
        </w:rPr>
      </w:pPr>
      <w:r w:rsidRPr="00B01D88">
        <w:t>Cheong, H. </w:t>
      </w:r>
      <w:r w:rsidRPr="00B01D88">
        <w:rPr>
          <w:i/>
          <w:iCs/>
        </w:rPr>
        <w:t>et al.</w:t>
      </w:r>
      <w:r w:rsidRPr="00B01D88">
        <w:t> (2023) ‘Secondary Qualitative Research Methodology Using Online Data within the Context of Social Sciences’, </w:t>
      </w:r>
      <w:r w:rsidRPr="00B01D88">
        <w:rPr>
          <w:i/>
          <w:iCs/>
        </w:rPr>
        <w:t>International Journal of Qualitative Methods</w:t>
      </w:r>
      <w:r w:rsidRPr="00B01D88">
        <w:t>, 22, pp. 1–19.</w:t>
      </w:r>
      <w:r w:rsidRPr="00B01D88">
        <w:rPr>
          <w:lang w:val="en-US"/>
        </w:rPr>
        <w:t xml:space="preserve"> </w:t>
      </w:r>
      <w:r w:rsidRPr="00B01D88">
        <w:t>Available at:</w:t>
      </w:r>
      <w:r w:rsidRPr="00B01D88">
        <w:rPr>
          <w:lang w:val="en-US"/>
        </w:rPr>
        <w:t xml:space="preserve"> </w:t>
      </w:r>
      <w:hyperlink r:id="rId25" w:history="1">
        <w:r w:rsidRPr="00B01D88">
          <w:rPr>
            <w:rStyle w:val="Hyperlink"/>
            <w:rFonts w:cs="Arial"/>
            <w:lang w:val="en-US"/>
          </w:rPr>
          <w:t>https://doi.org/10.1177/16094069231180160</w:t>
        </w:r>
      </w:hyperlink>
      <w:r w:rsidRPr="00B01D88">
        <w:rPr>
          <w:lang w:val="en-US"/>
        </w:rPr>
        <w:t xml:space="preserve"> </w:t>
      </w:r>
    </w:p>
    <w:p w14:paraId="6AD39DEE" w14:textId="77777777" w:rsidR="00B01D88" w:rsidRPr="00B01D88" w:rsidRDefault="00B01D88" w:rsidP="001905A1">
      <w:pPr>
        <w:rPr>
          <w:color w:val="000000"/>
          <w:lang w:val="en-US"/>
        </w:rPr>
      </w:pPr>
      <w:r w:rsidRPr="00B01D88">
        <w:rPr>
          <w:color w:val="000000"/>
        </w:rPr>
        <w:t>Chowdhury, T., Uddin, S.M.S. and Karim, R.A. (2026) ‘Impact of non-banking activities on the performance of commercial banks in Bangladesh: an empirical study’, </w:t>
      </w:r>
      <w:r w:rsidRPr="00B01D88">
        <w:rPr>
          <w:i/>
          <w:iCs/>
          <w:color w:val="000000"/>
        </w:rPr>
        <w:t>Cogent Economics &amp; Finance</w:t>
      </w:r>
      <w:r w:rsidRPr="00B01D88">
        <w:rPr>
          <w:color w:val="000000"/>
        </w:rPr>
        <w:t xml:space="preserve">, 14(1). Available at: </w:t>
      </w:r>
      <w:hyperlink r:id="rId26" w:history="1">
        <w:r w:rsidRPr="00B01D88">
          <w:rPr>
            <w:rStyle w:val="Hyperlink"/>
            <w:rFonts w:cs="Arial"/>
          </w:rPr>
          <w:t>https://doi.org/10.1080/23322039.2025.2602344</w:t>
        </w:r>
      </w:hyperlink>
      <w:r w:rsidRPr="00B01D88">
        <w:rPr>
          <w:color w:val="000000"/>
        </w:rPr>
        <w:t>.</w:t>
      </w:r>
      <w:r w:rsidRPr="00B01D88">
        <w:rPr>
          <w:color w:val="000000"/>
          <w:lang w:val="en-US"/>
        </w:rPr>
        <w:t xml:space="preserve"> </w:t>
      </w:r>
    </w:p>
    <w:p w14:paraId="535E9E15" w14:textId="77777777" w:rsidR="00B01D88" w:rsidRPr="00B01D88" w:rsidRDefault="00B01D88" w:rsidP="001905A1">
      <w:pPr>
        <w:rPr>
          <w:rFonts w:ascii="Times New Roman" w:hAnsi="Times New Roman"/>
        </w:rPr>
      </w:pPr>
      <w:r>
        <w:t xml:space="preserve">Close Brothers Group plc (2019) </w:t>
      </w:r>
      <w:r w:rsidRPr="00B01D88">
        <w:rPr>
          <w:rStyle w:val="Emphasis"/>
          <w:rFonts w:eastAsiaTheme="majorEastAsia"/>
        </w:rPr>
        <w:t>Annual Report 2019 (for the year ended 31 July 2019).</w:t>
      </w:r>
      <w:r>
        <w:t xml:space="preserve"> London: Close Brothers Group plc. Available at: </w:t>
      </w:r>
      <w:hyperlink r:id="rId27" w:tgtFrame="_new" w:history="1">
        <w:r>
          <w:rPr>
            <w:rStyle w:val="Hyperlink"/>
          </w:rPr>
          <w:t>https://www.closebrothers.com/system/files/rrp/reports/CBG_Annual_Report_2019.pdf</w:t>
        </w:r>
      </w:hyperlink>
      <w:r>
        <w:t xml:space="preserve"> (Accessed: 30 January 2026). </w:t>
      </w:r>
    </w:p>
    <w:p w14:paraId="6FE377BF" w14:textId="77777777" w:rsidR="00B01D88" w:rsidRDefault="00B01D88" w:rsidP="001905A1">
      <w:r>
        <w:t xml:space="preserve">Close Brothers Group plc (2020) </w:t>
      </w:r>
      <w:r w:rsidRPr="00B01D88">
        <w:rPr>
          <w:rStyle w:val="Emphasis"/>
          <w:rFonts w:eastAsiaTheme="majorEastAsia"/>
        </w:rPr>
        <w:t>Annual Report 2020 (for the year ended 31 July 2020).</w:t>
      </w:r>
      <w:r>
        <w:t xml:space="preserve"> London: Close Brothers Group plc. Available at: </w:t>
      </w:r>
      <w:hyperlink r:id="rId28" w:tgtFrame="_new" w:history="1">
        <w:r>
          <w:rPr>
            <w:rStyle w:val="Hyperlink"/>
          </w:rPr>
          <w:t>https://www.closebrothers.com/system/files/rrp/reports/CBG_Annual%20Report_2020.pdf</w:t>
        </w:r>
      </w:hyperlink>
      <w:r>
        <w:t xml:space="preserve"> (Accessed: 30 January 2026). </w:t>
      </w:r>
    </w:p>
    <w:p w14:paraId="0475DEB7" w14:textId="77777777" w:rsidR="00B01D88" w:rsidRDefault="00B01D88" w:rsidP="001905A1">
      <w:r>
        <w:t xml:space="preserve">Close Brothers Group plc (2021) </w:t>
      </w:r>
      <w:r w:rsidRPr="00B01D88">
        <w:rPr>
          <w:rStyle w:val="Emphasis"/>
          <w:rFonts w:eastAsiaTheme="majorEastAsia"/>
        </w:rPr>
        <w:t>Annual Report 2021 (for the year ended 31 July 2021).</w:t>
      </w:r>
      <w:r>
        <w:t xml:space="preserve"> London: Close Brothers Group plc. Available at: </w:t>
      </w:r>
      <w:hyperlink r:id="rId29" w:tgtFrame="_new" w:history="1">
        <w:r>
          <w:rPr>
            <w:rStyle w:val="Hyperlink"/>
          </w:rPr>
          <w:t>https://www.closebrothers.com/system/files/rrp/reports/CBGAnnualReport2021.pdf</w:t>
        </w:r>
      </w:hyperlink>
      <w:r>
        <w:t xml:space="preserve"> (Accessed: 30 January 2026). </w:t>
      </w:r>
    </w:p>
    <w:p w14:paraId="38EDBD91" w14:textId="77777777" w:rsidR="00B01D88" w:rsidRDefault="00B01D88" w:rsidP="001905A1">
      <w:r>
        <w:t xml:space="preserve">Close Brothers Group plc (2021) </w:t>
      </w:r>
      <w:r w:rsidRPr="00B01D88">
        <w:rPr>
          <w:rStyle w:val="Emphasis"/>
          <w:rFonts w:eastAsiaTheme="majorEastAsia"/>
        </w:rPr>
        <w:t>Strategy and Key Performance Indicators (Annual Report 2021 download).</w:t>
      </w:r>
      <w:r>
        <w:t xml:space="preserve"> London: Close Brothers Group plc. Available at: </w:t>
      </w:r>
      <w:hyperlink r:id="rId30" w:tgtFrame="_new" w:history="1">
        <w:r>
          <w:rPr>
            <w:rStyle w:val="Hyperlink"/>
          </w:rPr>
          <w:t>https://www.closebrothers.com/sites/default/files/Annual%20Report%202021/Strategy%20and%20Key%20Performance%20Indicators.pdf</w:t>
        </w:r>
      </w:hyperlink>
      <w:r>
        <w:t xml:space="preserve"> (Accessed: 30 January 2026). </w:t>
      </w:r>
    </w:p>
    <w:p w14:paraId="138E282A" w14:textId="77777777" w:rsidR="00B01D88" w:rsidRDefault="00B01D88" w:rsidP="001905A1">
      <w:r>
        <w:lastRenderedPageBreak/>
        <w:t xml:space="preserve">Close Brothers Group plc (2022) </w:t>
      </w:r>
      <w:r w:rsidRPr="00B01D88">
        <w:rPr>
          <w:rStyle w:val="Emphasis"/>
          <w:rFonts w:eastAsiaTheme="majorEastAsia"/>
        </w:rPr>
        <w:t>Annual Report 2022 (for the year ended 31 July 2022).</w:t>
      </w:r>
      <w:r>
        <w:t xml:space="preserve"> London: Close Brothers Group plc. Available at: </w:t>
      </w:r>
      <w:hyperlink r:id="rId31" w:tgtFrame="_new" w:history="1">
        <w:r>
          <w:rPr>
            <w:rStyle w:val="Hyperlink"/>
          </w:rPr>
          <w:t>https://www.closebrothers.com/system/files/rrp/reports/CBGAnnualReport2022_0.pdf</w:t>
        </w:r>
      </w:hyperlink>
      <w:r>
        <w:t xml:space="preserve"> (Accessed: 30 January 2026). </w:t>
      </w:r>
    </w:p>
    <w:p w14:paraId="4FA7877B" w14:textId="77777777" w:rsidR="00B01D88" w:rsidRDefault="00B01D88" w:rsidP="001905A1">
      <w:r>
        <w:t xml:space="preserve">Close Brothers Group plc (2022) </w:t>
      </w:r>
      <w:r w:rsidRPr="00B01D88">
        <w:rPr>
          <w:rStyle w:val="Emphasis"/>
          <w:rFonts w:eastAsiaTheme="majorEastAsia"/>
        </w:rPr>
        <w:t>Strategy and Key Performance Indicators (Annual Report 2022 download).</w:t>
      </w:r>
      <w:r>
        <w:t xml:space="preserve"> London: Close Brothers Group plc. Available at: </w:t>
      </w:r>
      <w:hyperlink r:id="rId32" w:tgtFrame="_new" w:history="1">
        <w:r>
          <w:rPr>
            <w:rStyle w:val="Hyperlink"/>
          </w:rPr>
          <w:t>https://www.closebrothers.com/sites/default/files/ARA%20digital%202022/Strategy%20and%20Key%20Performance%20Indicators.pdf</w:t>
        </w:r>
      </w:hyperlink>
      <w:r>
        <w:t xml:space="preserve"> (Accessed: 30 January 2026). </w:t>
      </w:r>
    </w:p>
    <w:p w14:paraId="69056AAC" w14:textId="77777777" w:rsidR="00B01D88" w:rsidRDefault="00B01D88" w:rsidP="001905A1">
      <w:r>
        <w:t xml:space="preserve">Close Brothers Group plc (2023) </w:t>
      </w:r>
      <w:r w:rsidRPr="00B01D88">
        <w:rPr>
          <w:rStyle w:val="Emphasis"/>
          <w:rFonts w:eastAsiaTheme="majorEastAsia"/>
        </w:rPr>
        <w:t>Annual Report 2023 (for the year ended 31 July 2023).</w:t>
      </w:r>
      <w:r>
        <w:t xml:space="preserve"> London: Close Brothers Group plc. Available at: </w:t>
      </w:r>
      <w:hyperlink r:id="rId33" w:tgtFrame="_new" w:history="1">
        <w:r>
          <w:rPr>
            <w:rStyle w:val="Hyperlink"/>
          </w:rPr>
          <w:t>https://www.closebrothers.com/system/files/rrp/reports/CBG%20Annual%20Report%202023.pdf</w:t>
        </w:r>
      </w:hyperlink>
      <w:r>
        <w:t xml:space="preserve"> (Accessed: 30 January 2026). </w:t>
      </w:r>
    </w:p>
    <w:p w14:paraId="0FDA4565" w14:textId="77777777" w:rsidR="00B01D88" w:rsidRDefault="00B01D88" w:rsidP="001905A1">
      <w:r>
        <w:t xml:space="preserve">Close Brothers Group plc (2024) </w:t>
      </w:r>
      <w:r w:rsidRPr="00B01D88">
        <w:rPr>
          <w:rStyle w:val="Emphasis"/>
          <w:rFonts w:eastAsiaTheme="majorEastAsia"/>
        </w:rPr>
        <w:t>Annual Report 2024 (for the year ended 31 July 2024).</w:t>
      </w:r>
      <w:r>
        <w:t xml:space="preserve"> London: Close Brothers Group plc. Available at: </w:t>
      </w:r>
      <w:hyperlink r:id="rId34" w:tgtFrame="_new" w:history="1">
        <w:r>
          <w:rPr>
            <w:rStyle w:val="Hyperlink"/>
          </w:rPr>
          <w:t>https://www.closebrothers.com/system/files/rrp/reports/CBG%20Annual%20Report%202024_0.pdf</w:t>
        </w:r>
      </w:hyperlink>
      <w:r>
        <w:t xml:space="preserve"> (Accessed: 30 January 2026).</w:t>
      </w:r>
    </w:p>
    <w:p w14:paraId="43A4DF4D" w14:textId="77777777" w:rsidR="00B01D88" w:rsidRPr="00B01D88" w:rsidRDefault="00B01D88" w:rsidP="001905A1">
      <w:pPr>
        <w:rPr>
          <w:color w:val="000000"/>
          <w:lang w:val="en-US"/>
        </w:rPr>
      </w:pPr>
      <w:r w:rsidRPr="00B01D88">
        <w:rPr>
          <w:color w:val="000000"/>
        </w:rPr>
        <w:t>Damasa, A.D. (2026) ‘Financial Sector Development in East Africa: Determinants, Trend, and Regional Progress’, </w:t>
      </w:r>
      <w:r w:rsidRPr="00B01D88">
        <w:rPr>
          <w:i/>
          <w:iCs/>
          <w:color w:val="000000"/>
        </w:rPr>
        <w:t>Research in International Business and Finance</w:t>
      </w:r>
      <w:r w:rsidRPr="00B01D88">
        <w:rPr>
          <w:color w:val="000000"/>
        </w:rPr>
        <w:t xml:space="preserve">, 82, p. 103251. Available at: </w:t>
      </w:r>
      <w:hyperlink r:id="rId35" w:history="1">
        <w:r w:rsidRPr="00B01D88">
          <w:rPr>
            <w:rStyle w:val="Hyperlink"/>
            <w:rFonts w:cs="Arial"/>
          </w:rPr>
          <w:t>https://doi.org/10.1016/j.ribaf.2025.103251</w:t>
        </w:r>
      </w:hyperlink>
      <w:r w:rsidRPr="00B01D88">
        <w:rPr>
          <w:color w:val="000000"/>
        </w:rPr>
        <w:t>.</w:t>
      </w:r>
      <w:r w:rsidRPr="00B01D88">
        <w:rPr>
          <w:color w:val="000000"/>
          <w:lang w:val="en-US"/>
        </w:rPr>
        <w:t xml:space="preserve"> </w:t>
      </w:r>
    </w:p>
    <w:p w14:paraId="27175BE0" w14:textId="5BBDF335" w:rsidR="00B01D88" w:rsidRPr="00B01D88" w:rsidRDefault="00B01D88" w:rsidP="001905A1">
      <w:r w:rsidRPr="00B01D88">
        <w:t>Damilare, L. </w:t>
      </w:r>
      <w:r w:rsidRPr="00B01D88">
        <w:rPr>
          <w:i/>
          <w:iCs/>
        </w:rPr>
        <w:t>et al.</w:t>
      </w:r>
      <w:r w:rsidRPr="00B01D88">
        <w:t> (2021) ‘</w:t>
      </w:r>
      <w:r>
        <w:t>Optimising</w:t>
      </w:r>
      <w:r w:rsidRPr="00B01D88">
        <w:t xml:space="preserve"> risk management frameworks in banking: Strategies to enhance compliance and profitability amid regulatory challenges’, </w:t>
      </w:r>
      <w:r w:rsidRPr="00B01D88">
        <w:rPr>
          <w:i/>
          <w:iCs/>
        </w:rPr>
        <w:t>International Journal of Science and Technology Research Archive</w:t>
      </w:r>
      <w:r w:rsidRPr="00B01D88">
        <w:t xml:space="preserve">, 1(2), pp. 113–119. Available at: </w:t>
      </w:r>
      <w:hyperlink r:id="rId36" w:history="1">
        <w:r w:rsidRPr="00B01D88">
          <w:rPr>
            <w:rStyle w:val="Hyperlink"/>
            <w:rFonts w:cs="Arial"/>
          </w:rPr>
          <w:t>https://doi.org/10.53771/ijstra.2021.1.2.0052</w:t>
        </w:r>
      </w:hyperlink>
      <w:r w:rsidRPr="00B01D88">
        <w:t xml:space="preserve">. </w:t>
      </w:r>
    </w:p>
    <w:p w14:paraId="462C5E1E" w14:textId="71ABD46D" w:rsidR="00B01D88" w:rsidRPr="00B01D88" w:rsidRDefault="00B01D88" w:rsidP="001905A1">
      <w:pPr>
        <w:rPr>
          <w:lang w:val="en-US"/>
        </w:rPr>
      </w:pPr>
      <w:proofErr w:type="spellStart"/>
      <w:r w:rsidRPr="00B01D88">
        <w:t>Delios</w:t>
      </w:r>
      <w:proofErr w:type="spellEnd"/>
      <w:r w:rsidRPr="00B01D88">
        <w:t>, A. </w:t>
      </w:r>
      <w:r w:rsidRPr="00B01D88">
        <w:rPr>
          <w:i/>
          <w:iCs/>
        </w:rPr>
        <w:t>et al.</w:t>
      </w:r>
      <w:r w:rsidRPr="00B01D88">
        <w:t xml:space="preserve"> (2023) ‘Reconsidering, refashioning, and </w:t>
      </w:r>
      <w:r>
        <w:t>reconceptualising</w:t>
      </w:r>
      <w:r w:rsidRPr="00B01D88">
        <w:t xml:space="preserve"> research methodology in international business’, </w:t>
      </w:r>
      <w:r w:rsidRPr="00B01D88">
        <w:rPr>
          <w:i/>
          <w:iCs/>
        </w:rPr>
        <w:t>Journal of World Business</w:t>
      </w:r>
      <w:r w:rsidRPr="00B01D88">
        <w:t>, 58(6), p. 101488.</w:t>
      </w:r>
      <w:r w:rsidRPr="00B01D88">
        <w:rPr>
          <w:lang w:val="en-US"/>
        </w:rPr>
        <w:t xml:space="preserve"> </w:t>
      </w:r>
      <w:r w:rsidRPr="00B01D88">
        <w:t>Available at:</w:t>
      </w:r>
      <w:r w:rsidRPr="00B01D88">
        <w:rPr>
          <w:lang w:val="en-US"/>
        </w:rPr>
        <w:t xml:space="preserve"> </w:t>
      </w:r>
      <w:hyperlink r:id="rId37" w:history="1">
        <w:r w:rsidRPr="00B01D88">
          <w:rPr>
            <w:rStyle w:val="Hyperlink"/>
            <w:rFonts w:cs="Arial"/>
            <w:lang w:val="en-US"/>
          </w:rPr>
          <w:t>https://doi.org/10.1016/j.jwb.2023.101488</w:t>
        </w:r>
      </w:hyperlink>
      <w:r w:rsidRPr="00B01D88">
        <w:rPr>
          <w:lang w:val="en-US"/>
        </w:rPr>
        <w:t xml:space="preserve"> </w:t>
      </w:r>
    </w:p>
    <w:p w14:paraId="2F237227" w14:textId="17F1B07C" w:rsidR="00B01D88" w:rsidRPr="00B01D88" w:rsidRDefault="00B01D88" w:rsidP="001905A1">
      <w:pPr>
        <w:rPr>
          <w:lang w:val="en-US"/>
        </w:rPr>
      </w:pPr>
      <w:r w:rsidRPr="00B01D88">
        <w:t>Denscombe, M. (2025) ‘Decolonial research methodology: an assessment of the challenge to established practice’, </w:t>
      </w:r>
      <w:r w:rsidRPr="00B01D88">
        <w:rPr>
          <w:i/>
          <w:iCs/>
        </w:rPr>
        <w:t xml:space="preserve">International </w:t>
      </w:r>
      <w:r>
        <w:rPr>
          <w:i/>
          <w:iCs/>
        </w:rPr>
        <w:t>Journal</w:t>
      </w:r>
      <w:r w:rsidRPr="00B01D88">
        <w:rPr>
          <w:i/>
          <w:iCs/>
        </w:rPr>
        <w:t xml:space="preserve"> of </w:t>
      </w:r>
      <w:r>
        <w:rPr>
          <w:i/>
          <w:iCs/>
        </w:rPr>
        <w:t>Social Research Methodology</w:t>
      </w:r>
      <w:r w:rsidRPr="00B01D88">
        <w:t xml:space="preserve">, 28(2), pp. 1–10. Available at: </w:t>
      </w:r>
      <w:hyperlink r:id="rId38" w:history="1">
        <w:r w:rsidRPr="00B01D88">
          <w:rPr>
            <w:rStyle w:val="Hyperlink"/>
            <w:rFonts w:cs="Arial"/>
          </w:rPr>
          <w:t>https://doi.org/10.1080/13645579.2024.2357558</w:t>
        </w:r>
      </w:hyperlink>
      <w:r w:rsidRPr="00B01D88">
        <w:t>.</w:t>
      </w:r>
      <w:r w:rsidRPr="00B01D88">
        <w:rPr>
          <w:lang w:val="en-US"/>
        </w:rPr>
        <w:t xml:space="preserve"> </w:t>
      </w:r>
    </w:p>
    <w:p w14:paraId="7DDF000E" w14:textId="77777777" w:rsidR="00B01D88" w:rsidRPr="00B01D88" w:rsidRDefault="00B01D88" w:rsidP="001905A1">
      <w:pPr>
        <w:rPr>
          <w:lang w:val="en-US"/>
        </w:rPr>
      </w:pPr>
      <w:proofErr w:type="spellStart"/>
      <w:r w:rsidRPr="00B01D88">
        <w:t>Dieste</w:t>
      </w:r>
      <w:proofErr w:type="spellEnd"/>
      <w:r w:rsidRPr="00B01D88">
        <w:t>, M., Panizzolo, R. and Garza-Reyes, J.A. (2021) ‘A systematic literature review regarding the influence of lean manufacturing on firms’ financial performance’, </w:t>
      </w:r>
      <w:r w:rsidRPr="00B01D88">
        <w:rPr>
          <w:i/>
          <w:iCs/>
        </w:rPr>
        <w:t xml:space="preserve">Journal </w:t>
      </w:r>
      <w:r w:rsidRPr="00B01D88">
        <w:rPr>
          <w:i/>
          <w:iCs/>
        </w:rPr>
        <w:lastRenderedPageBreak/>
        <w:t>of Manufacturing Technology Management</w:t>
      </w:r>
      <w:r w:rsidRPr="00B01D88">
        <w:t xml:space="preserve">, 32(9), pp. 101–121. Available at: </w:t>
      </w:r>
      <w:hyperlink r:id="rId39" w:history="1">
        <w:r w:rsidRPr="00B01D88">
          <w:rPr>
            <w:rStyle w:val="Hyperlink"/>
            <w:rFonts w:cs="Arial"/>
          </w:rPr>
          <w:t>https://doi.org/10.1108/jmtm-08-2020-0304</w:t>
        </w:r>
      </w:hyperlink>
      <w:r w:rsidRPr="00B01D88">
        <w:t>.</w:t>
      </w:r>
      <w:r w:rsidRPr="00B01D88">
        <w:rPr>
          <w:lang w:val="en-US"/>
        </w:rPr>
        <w:t xml:space="preserve"> </w:t>
      </w:r>
    </w:p>
    <w:p w14:paraId="6F121AA2" w14:textId="6D6E3D09" w:rsidR="00B01D88" w:rsidRPr="00B01D88" w:rsidRDefault="00B01D88" w:rsidP="001905A1">
      <w:r w:rsidRPr="00B01D88">
        <w:t>Feng, R. and Qu, X. (2022) ‘</w:t>
      </w:r>
      <w:r>
        <w:t>Analysing</w:t>
      </w:r>
      <w:r w:rsidRPr="00B01D88">
        <w:t xml:space="preserve"> the Internet financial market risk management using data mining and deep learning methods’, </w:t>
      </w:r>
      <w:r w:rsidRPr="00B01D88">
        <w:rPr>
          <w:i/>
          <w:iCs/>
        </w:rPr>
        <w:t>Journal of Enterprise Information Management</w:t>
      </w:r>
      <w:r w:rsidRPr="00B01D88">
        <w:t xml:space="preserve">, 35(4-5). Available at: </w:t>
      </w:r>
      <w:hyperlink r:id="rId40" w:history="1">
        <w:r w:rsidRPr="00B01D88">
          <w:rPr>
            <w:rStyle w:val="Hyperlink"/>
            <w:rFonts w:cs="Arial"/>
          </w:rPr>
          <w:t>https://doi.org/10.1108/jeim-03-2021-0155</w:t>
        </w:r>
      </w:hyperlink>
      <w:r w:rsidRPr="00B01D88">
        <w:t xml:space="preserve">. </w:t>
      </w:r>
    </w:p>
    <w:p w14:paraId="2494BB4E" w14:textId="77777777" w:rsidR="00B01D88" w:rsidRPr="00B01D88" w:rsidRDefault="00B01D88" w:rsidP="001905A1">
      <w:proofErr w:type="spellStart"/>
      <w:r w:rsidRPr="00B01D88">
        <w:t>Galankashi</w:t>
      </w:r>
      <w:proofErr w:type="spellEnd"/>
      <w:r w:rsidRPr="00B01D88">
        <w:t xml:space="preserve">, M.R. and </w:t>
      </w:r>
      <w:proofErr w:type="spellStart"/>
      <w:r w:rsidRPr="00B01D88">
        <w:t>Rafiei</w:t>
      </w:r>
      <w:proofErr w:type="spellEnd"/>
      <w:r w:rsidRPr="00B01D88">
        <w:t>, F.M. (2022) ‘Financial performance measurement of supply chains: a review’, </w:t>
      </w:r>
      <w:r w:rsidRPr="00B01D88">
        <w:rPr>
          <w:i/>
          <w:iCs/>
        </w:rPr>
        <w:t>International Journal of Productivity and Performance Management</w:t>
      </w:r>
      <w:r w:rsidRPr="00B01D88">
        <w:t>, 71(5). Available at: https://doi.org/10.1108/ijppm-11-2019-0533.</w:t>
      </w:r>
    </w:p>
    <w:p w14:paraId="78E25BF3" w14:textId="77777777" w:rsidR="00B01D88" w:rsidRPr="00B01D88" w:rsidRDefault="00B01D88" w:rsidP="001905A1">
      <w:pPr>
        <w:rPr>
          <w:lang w:val="en-US"/>
        </w:rPr>
      </w:pPr>
      <w:r w:rsidRPr="00B01D88">
        <w:t>Habu, A.A. and Henderson, T. (2023) ‘Data subject rights as a research methodology: A systematic literature review’, </w:t>
      </w:r>
      <w:r w:rsidRPr="00B01D88">
        <w:rPr>
          <w:i/>
          <w:iCs/>
        </w:rPr>
        <w:t>Journal of Responsible Technology</w:t>
      </w:r>
      <w:r w:rsidRPr="00B01D88">
        <w:t xml:space="preserve">, 16, p. 100070. Available at: </w:t>
      </w:r>
      <w:hyperlink r:id="rId41" w:history="1">
        <w:r w:rsidRPr="00B01D88">
          <w:rPr>
            <w:rStyle w:val="Hyperlink"/>
            <w:rFonts w:cs="Arial"/>
          </w:rPr>
          <w:t>https://doi.org/10.1016/j.jrt.2023.100070</w:t>
        </w:r>
      </w:hyperlink>
      <w:r w:rsidRPr="00B01D88">
        <w:t>.</w:t>
      </w:r>
      <w:r w:rsidRPr="00B01D88">
        <w:rPr>
          <w:lang w:val="en-US"/>
        </w:rPr>
        <w:t xml:space="preserve"> </w:t>
      </w:r>
    </w:p>
    <w:p w14:paraId="1EEE7775" w14:textId="77777777" w:rsidR="00B01D88" w:rsidRPr="00B01D88" w:rsidRDefault="00B01D88" w:rsidP="001905A1">
      <w:r w:rsidRPr="00B01D88">
        <w:t xml:space="preserve">Hacini, I., </w:t>
      </w:r>
      <w:proofErr w:type="spellStart"/>
      <w:r w:rsidRPr="00B01D88">
        <w:t>Boulenfad</w:t>
      </w:r>
      <w:proofErr w:type="spellEnd"/>
      <w:r w:rsidRPr="00B01D88">
        <w:t>, A. and Dahou, K. (2021) ‘The Impact of Liquidity Risk Management on the Financial Performance of Saudi Arabian Banks’, </w:t>
      </w:r>
      <w:r w:rsidRPr="00B01D88">
        <w:rPr>
          <w:i/>
          <w:iCs/>
        </w:rPr>
        <w:t>EMAJ: Emerging Markets Journal</w:t>
      </w:r>
      <w:r w:rsidRPr="00B01D88">
        <w:t xml:space="preserve">, 11(1), pp. 67–75. Available at: </w:t>
      </w:r>
      <w:hyperlink r:id="rId42" w:history="1">
        <w:r w:rsidRPr="00B01D88">
          <w:rPr>
            <w:rStyle w:val="Hyperlink"/>
            <w:rFonts w:cs="Arial"/>
          </w:rPr>
          <w:t>https://doi.org/10.5195/emaj.2021.221</w:t>
        </w:r>
      </w:hyperlink>
      <w:r w:rsidRPr="00B01D88">
        <w:t xml:space="preserve">. </w:t>
      </w:r>
    </w:p>
    <w:p w14:paraId="3D6998D9" w14:textId="311BC0A1" w:rsidR="00B01D88" w:rsidRPr="00B01D88" w:rsidRDefault="00B01D88" w:rsidP="001905A1">
      <w:pPr>
        <w:rPr>
          <w:lang w:val="en-US"/>
        </w:rPr>
      </w:pPr>
      <w:r w:rsidRPr="00B01D88">
        <w:t>Jahan, S. </w:t>
      </w:r>
      <w:r w:rsidRPr="00B01D88">
        <w:rPr>
          <w:i/>
          <w:iCs/>
        </w:rPr>
        <w:t>et al.</w:t>
      </w:r>
      <w:r w:rsidRPr="00B01D88">
        <w:t> (2022) ‘</w:t>
      </w:r>
      <w:r>
        <w:t>Modelling</w:t>
      </w:r>
      <w:r w:rsidRPr="00B01D88">
        <w:t xml:space="preserve"> Profitability-Influencing Risk Factors for Construction Projects: A System Dynamics Approach’, </w:t>
      </w:r>
      <w:r w:rsidRPr="00B01D88">
        <w:rPr>
          <w:i/>
          <w:iCs/>
        </w:rPr>
        <w:t>Buildings</w:t>
      </w:r>
      <w:r w:rsidRPr="00B01D88">
        <w:t xml:space="preserve">, 12(6). Available at: </w:t>
      </w:r>
      <w:hyperlink r:id="rId43" w:history="1">
        <w:r w:rsidRPr="00B01D88">
          <w:rPr>
            <w:rStyle w:val="Hyperlink"/>
            <w:rFonts w:cs="Arial"/>
          </w:rPr>
          <w:t>https://doi.org/10.3390/buildings12060701</w:t>
        </w:r>
      </w:hyperlink>
      <w:r w:rsidRPr="00B01D88">
        <w:t>.</w:t>
      </w:r>
      <w:r w:rsidRPr="00B01D88">
        <w:rPr>
          <w:lang w:val="en-US"/>
        </w:rPr>
        <w:t xml:space="preserve"> </w:t>
      </w:r>
    </w:p>
    <w:p w14:paraId="17199267" w14:textId="161AA3FA" w:rsidR="00B01D88" w:rsidRPr="00B01D88" w:rsidRDefault="00B01D88" w:rsidP="001905A1">
      <w:pPr>
        <w:rPr>
          <w:lang w:val="en-US"/>
        </w:rPr>
      </w:pPr>
      <w:r w:rsidRPr="00B01D88">
        <w:t xml:space="preserve">Jariah, A. and </w:t>
      </w:r>
      <w:proofErr w:type="spellStart"/>
      <w:r w:rsidRPr="00B01D88">
        <w:t>Lukiana</w:t>
      </w:r>
      <w:proofErr w:type="spellEnd"/>
      <w:r w:rsidRPr="00B01D88">
        <w:t>, N. (2023) ‘Management of Financial Performance Based on Capital Structure, Liquidity Ratio, Coverage and Activity’, </w:t>
      </w:r>
      <w:r w:rsidRPr="00B01D88">
        <w:rPr>
          <w:i/>
          <w:iCs/>
        </w:rPr>
        <w:t xml:space="preserve">Assets: </w:t>
      </w:r>
      <w:proofErr w:type="spellStart"/>
      <w:r w:rsidRPr="00B01D88">
        <w:rPr>
          <w:i/>
          <w:iCs/>
        </w:rPr>
        <w:t>Jurnal</w:t>
      </w:r>
      <w:proofErr w:type="spellEnd"/>
      <w:r w:rsidRPr="00B01D88">
        <w:rPr>
          <w:i/>
          <w:iCs/>
        </w:rPr>
        <w:t xml:space="preserve"> </w:t>
      </w:r>
      <w:proofErr w:type="spellStart"/>
      <w:r w:rsidRPr="00B01D88">
        <w:rPr>
          <w:i/>
          <w:iCs/>
        </w:rPr>
        <w:t>Ilmiah</w:t>
      </w:r>
      <w:proofErr w:type="spellEnd"/>
      <w:r w:rsidRPr="00B01D88">
        <w:rPr>
          <w:i/>
          <w:iCs/>
        </w:rPr>
        <w:t xml:space="preserve"> </w:t>
      </w:r>
      <w:proofErr w:type="spellStart"/>
      <w:r w:rsidRPr="00B01D88">
        <w:rPr>
          <w:i/>
          <w:iCs/>
        </w:rPr>
        <w:t>Ilmu</w:t>
      </w:r>
      <w:proofErr w:type="spellEnd"/>
      <w:r w:rsidRPr="00B01D88">
        <w:rPr>
          <w:i/>
          <w:iCs/>
        </w:rPr>
        <w:t xml:space="preserve"> Akuntansi, </w:t>
      </w:r>
      <w:proofErr w:type="spellStart"/>
      <w:r w:rsidRPr="00B01D88">
        <w:rPr>
          <w:i/>
          <w:iCs/>
        </w:rPr>
        <w:t>Keuangan</w:t>
      </w:r>
      <w:proofErr w:type="spellEnd"/>
      <w:r w:rsidRPr="00B01D88">
        <w:rPr>
          <w:i/>
          <w:iCs/>
        </w:rPr>
        <w:t xml:space="preserve"> dan Pajak</w:t>
      </w:r>
      <w:r w:rsidRPr="00B01D88">
        <w:t xml:space="preserve">, 7(2), pp. 1–7. Available at: </w:t>
      </w:r>
      <w:hyperlink r:id="rId44" w:history="1">
        <w:r w:rsidRPr="00B01D88">
          <w:rPr>
            <w:rStyle w:val="Hyperlink"/>
            <w:rFonts w:cs="Arial"/>
          </w:rPr>
          <w:t>https://doi.org/10.30741/assets.v7i2.1030</w:t>
        </w:r>
      </w:hyperlink>
      <w:r w:rsidRPr="00B01D88">
        <w:t>.</w:t>
      </w:r>
      <w:r w:rsidRPr="00B01D88">
        <w:rPr>
          <w:lang w:val="en-US"/>
        </w:rPr>
        <w:t xml:space="preserve"> </w:t>
      </w:r>
    </w:p>
    <w:p w14:paraId="4B123D87" w14:textId="77777777" w:rsidR="00B01D88" w:rsidRPr="00B01D88" w:rsidRDefault="00B01D88" w:rsidP="001905A1">
      <w:pPr>
        <w:rPr>
          <w:lang w:val="en-US"/>
        </w:rPr>
      </w:pPr>
      <w:r w:rsidRPr="00B01D88">
        <w:t xml:space="preserve">Kago Amiel </w:t>
      </w:r>
      <w:proofErr w:type="spellStart"/>
      <w:r w:rsidRPr="00B01D88">
        <w:t>Matlhaku</w:t>
      </w:r>
      <w:proofErr w:type="spellEnd"/>
      <w:r w:rsidRPr="00B01D88">
        <w:t xml:space="preserve"> and Sune Ferreira-Schenk (2025) ‘Measuring Risk in Non-bank Financial Intermediate Firms for Developing Economies’, </w:t>
      </w:r>
      <w:r w:rsidRPr="00B01D88">
        <w:rPr>
          <w:i/>
          <w:iCs/>
        </w:rPr>
        <w:t>Palgrave Macmillan studies in banking and financial institutions</w:t>
      </w:r>
      <w:r w:rsidRPr="00B01D88">
        <w:t xml:space="preserve">, pp. 141–178. Available at: </w:t>
      </w:r>
      <w:hyperlink r:id="rId45" w:history="1">
        <w:r w:rsidRPr="00B01D88">
          <w:rPr>
            <w:rStyle w:val="Hyperlink"/>
            <w:rFonts w:cs="Arial"/>
          </w:rPr>
          <w:t>https://doi.org/10.1007/978-3-031-86224-3_6</w:t>
        </w:r>
      </w:hyperlink>
      <w:r w:rsidRPr="00B01D88">
        <w:t>.</w:t>
      </w:r>
      <w:r w:rsidRPr="00B01D88">
        <w:rPr>
          <w:lang w:val="en-US"/>
        </w:rPr>
        <w:t xml:space="preserve"> </w:t>
      </w:r>
    </w:p>
    <w:p w14:paraId="15CF4228" w14:textId="77777777" w:rsidR="00B01D88" w:rsidRPr="00B01D88" w:rsidRDefault="00B01D88" w:rsidP="001905A1">
      <w:r w:rsidRPr="00B01D88">
        <w:t xml:space="preserve">Kiptoo, I.K., Kariuki, S.N. and </w:t>
      </w:r>
      <w:proofErr w:type="spellStart"/>
      <w:r w:rsidRPr="00B01D88">
        <w:t>Ocharo</w:t>
      </w:r>
      <w:proofErr w:type="spellEnd"/>
      <w:r w:rsidRPr="00B01D88">
        <w:t>, K.N. (2021) ‘Risk management and financial performance of insurance firms in Kenya’, </w:t>
      </w:r>
      <w:r w:rsidRPr="00B01D88">
        <w:rPr>
          <w:i/>
          <w:iCs/>
        </w:rPr>
        <w:t>Cogent Business &amp; Management</w:t>
      </w:r>
      <w:r w:rsidRPr="00B01D88">
        <w:t xml:space="preserve">. Edited by D. McMillan, 8(1). Available at: </w:t>
      </w:r>
      <w:hyperlink r:id="rId46" w:history="1">
        <w:r w:rsidRPr="00B01D88">
          <w:rPr>
            <w:rStyle w:val="Hyperlink"/>
            <w:rFonts w:cs="Arial"/>
          </w:rPr>
          <w:t>https://doi.org/10.1080/23311975.2021.1997246</w:t>
        </w:r>
      </w:hyperlink>
      <w:r w:rsidRPr="00B01D88">
        <w:t xml:space="preserve">. </w:t>
      </w:r>
    </w:p>
    <w:p w14:paraId="4B29B167" w14:textId="77777777" w:rsidR="00B01D88" w:rsidRPr="00B01D88" w:rsidRDefault="00B01D88" w:rsidP="001905A1">
      <w:r w:rsidRPr="00B01D88">
        <w:t xml:space="preserve">Kumar, V., </w:t>
      </w:r>
      <w:proofErr w:type="spellStart"/>
      <w:r w:rsidRPr="00B01D88">
        <w:t>Thrikawala</w:t>
      </w:r>
      <w:proofErr w:type="spellEnd"/>
      <w:r w:rsidRPr="00B01D88">
        <w:t>, S. and Acharya, S. (2022) ‘Financial inclusion and bank profitability: Evidence from a developed market’, </w:t>
      </w:r>
      <w:r w:rsidRPr="00B01D88">
        <w:rPr>
          <w:i/>
          <w:iCs/>
        </w:rPr>
        <w:t>Global Finance Journal</w:t>
      </w:r>
      <w:r w:rsidRPr="00B01D88">
        <w:t xml:space="preserve">, 53, p. 100609. Available at: </w:t>
      </w:r>
      <w:hyperlink r:id="rId47" w:history="1">
        <w:r w:rsidRPr="00B01D88">
          <w:rPr>
            <w:rStyle w:val="Hyperlink"/>
            <w:rFonts w:cs="Arial"/>
          </w:rPr>
          <w:t>https://doi.org/10.1016/j.gfj.2021.100609</w:t>
        </w:r>
      </w:hyperlink>
      <w:r w:rsidRPr="00B01D88">
        <w:t xml:space="preserve">. </w:t>
      </w:r>
    </w:p>
    <w:p w14:paraId="19879117" w14:textId="77777777" w:rsidR="00B01D88" w:rsidRPr="00B01D88" w:rsidRDefault="00B01D88" w:rsidP="001905A1">
      <w:r w:rsidRPr="00B01D88">
        <w:lastRenderedPageBreak/>
        <w:t>Landi, G.C. </w:t>
      </w:r>
      <w:r w:rsidRPr="00B01D88">
        <w:rPr>
          <w:i/>
          <w:iCs/>
        </w:rPr>
        <w:t>et al.</w:t>
      </w:r>
      <w:r w:rsidRPr="00B01D88">
        <w:t> (2022) ‘Embedding sustainability in risk management: The impact of environmental, social, and governance ratings on corporate financial risk’, </w:t>
      </w:r>
      <w:r w:rsidRPr="00B01D88">
        <w:rPr>
          <w:i/>
          <w:iCs/>
        </w:rPr>
        <w:t>Corporate Social Responsibility and Environmental Management</w:t>
      </w:r>
      <w:r w:rsidRPr="00B01D88">
        <w:t xml:space="preserve">, 29(4), pp. 1096–1107. Available at: </w:t>
      </w:r>
      <w:hyperlink r:id="rId48" w:history="1">
        <w:r w:rsidRPr="00B01D88">
          <w:rPr>
            <w:rStyle w:val="Hyperlink"/>
            <w:rFonts w:cs="Arial"/>
          </w:rPr>
          <w:t>https://doi.org/10.1002/csr.2256</w:t>
        </w:r>
      </w:hyperlink>
      <w:r w:rsidRPr="00B01D88">
        <w:t xml:space="preserve"> </w:t>
      </w:r>
    </w:p>
    <w:p w14:paraId="00D5DC93" w14:textId="77777777" w:rsidR="00B01D88" w:rsidRPr="00B01D88" w:rsidRDefault="00B01D88" w:rsidP="001905A1">
      <w:r w:rsidRPr="00B01D88">
        <w:t>Liu, H. and Huang, W. (2022) ‘Sustainable Financing and Financial Risk Management of Financial Institutions—Case Study on Chinese Banks’, </w:t>
      </w:r>
      <w:r w:rsidRPr="00B01D88">
        <w:rPr>
          <w:i/>
          <w:iCs/>
        </w:rPr>
        <w:t>Sustainability</w:t>
      </w:r>
      <w:r w:rsidRPr="00B01D88">
        <w:t xml:space="preserve">, 14(15), p. 9786. Available at: </w:t>
      </w:r>
      <w:hyperlink r:id="rId49" w:history="1">
        <w:r w:rsidRPr="00B01D88">
          <w:rPr>
            <w:rStyle w:val="Hyperlink"/>
            <w:rFonts w:cs="Arial"/>
          </w:rPr>
          <w:t>https://doi.org/10.3390/su14159786</w:t>
        </w:r>
      </w:hyperlink>
      <w:r w:rsidRPr="00B01D88">
        <w:t xml:space="preserve">. </w:t>
      </w:r>
    </w:p>
    <w:p w14:paraId="277BB63D" w14:textId="77777777" w:rsidR="00B01D88" w:rsidRPr="00B01D88" w:rsidRDefault="00B01D88" w:rsidP="001905A1">
      <w:pPr>
        <w:rPr>
          <w:lang w:val="en-US"/>
        </w:rPr>
      </w:pPr>
      <w:r w:rsidRPr="00B01D88">
        <w:t>Marx, S. (2023) ‘Mapping as critical qualitative research methodology’, </w:t>
      </w:r>
      <w:r w:rsidRPr="00B01D88">
        <w:rPr>
          <w:i/>
          <w:iCs/>
        </w:rPr>
        <w:t>International Journal of Research &amp; Method in Education</w:t>
      </w:r>
      <w:r w:rsidRPr="00B01D88">
        <w:t xml:space="preserve">, 46(3), pp. 1–15. Available at: </w:t>
      </w:r>
      <w:hyperlink r:id="rId50" w:history="1">
        <w:r w:rsidRPr="00B01D88">
          <w:rPr>
            <w:rStyle w:val="Hyperlink"/>
            <w:rFonts w:cs="Arial"/>
          </w:rPr>
          <w:t>https://doi.org/10.1080/1743727x.2022.2110231</w:t>
        </w:r>
      </w:hyperlink>
      <w:r w:rsidRPr="00B01D88">
        <w:t>.</w:t>
      </w:r>
      <w:r w:rsidRPr="00B01D88">
        <w:rPr>
          <w:lang w:val="en-US"/>
        </w:rPr>
        <w:t xml:space="preserve"> </w:t>
      </w:r>
    </w:p>
    <w:p w14:paraId="500B1CE6" w14:textId="77777777" w:rsidR="00B01D88" w:rsidRPr="00B01D88" w:rsidRDefault="00B01D88" w:rsidP="001905A1">
      <w:r w:rsidRPr="00B01D88">
        <w:t>Mirza, N. </w:t>
      </w:r>
      <w:r w:rsidRPr="00B01D88">
        <w:rPr>
          <w:i/>
          <w:iCs/>
        </w:rPr>
        <w:t>et al.</w:t>
      </w:r>
      <w:r w:rsidRPr="00B01D88">
        <w:t> (2023) ‘The role of fintech in promoting green finance, and profitability: Evidence from the banking sector in the euro zone’, </w:t>
      </w:r>
      <w:r w:rsidRPr="00B01D88">
        <w:rPr>
          <w:i/>
          <w:iCs/>
        </w:rPr>
        <w:t>Economic Analysis and Policy</w:t>
      </w:r>
      <w:r w:rsidRPr="00B01D88">
        <w:t xml:space="preserve">, 78, pp. 33–40. Available at: </w:t>
      </w:r>
      <w:hyperlink r:id="rId51" w:history="1">
        <w:r w:rsidRPr="00B01D88">
          <w:rPr>
            <w:rStyle w:val="Hyperlink"/>
            <w:rFonts w:cs="Arial"/>
          </w:rPr>
          <w:t>https://doi.org/10.1016/j.eap.2023.02.001</w:t>
        </w:r>
      </w:hyperlink>
      <w:r w:rsidRPr="00B01D88">
        <w:t xml:space="preserve">. </w:t>
      </w:r>
    </w:p>
    <w:p w14:paraId="5560879F" w14:textId="77777777" w:rsidR="00B01D88" w:rsidRPr="00B01D88" w:rsidRDefault="00B01D88" w:rsidP="001905A1">
      <w:pPr>
        <w:rPr>
          <w:lang w:val="en-US"/>
        </w:rPr>
      </w:pPr>
      <w:r w:rsidRPr="00B01D88">
        <w:t>Morara, K. and Sibindi, A.B. (2021) ‘Determinants of Financial Performance of Insurance Companies: Empirical Evidence Using Kenyan Data’, </w:t>
      </w:r>
      <w:r w:rsidRPr="00B01D88">
        <w:rPr>
          <w:i/>
          <w:iCs/>
        </w:rPr>
        <w:t>Journal of Risk and Financial Management</w:t>
      </w:r>
      <w:r w:rsidRPr="00B01D88">
        <w:t xml:space="preserve">, 14(12), p. 566. Available at: </w:t>
      </w:r>
      <w:hyperlink r:id="rId52" w:history="1">
        <w:r w:rsidRPr="00B01D88">
          <w:rPr>
            <w:rStyle w:val="Hyperlink"/>
            <w:rFonts w:cs="Arial"/>
          </w:rPr>
          <w:t>https://doi.org/10.3390/jrfm14120566</w:t>
        </w:r>
      </w:hyperlink>
      <w:r w:rsidRPr="00B01D88">
        <w:t>.</w:t>
      </w:r>
      <w:r w:rsidRPr="00B01D88">
        <w:rPr>
          <w:lang w:val="en-US"/>
        </w:rPr>
        <w:t xml:space="preserve"> </w:t>
      </w:r>
    </w:p>
    <w:p w14:paraId="733FBBAC" w14:textId="77777777" w:rsidR="00B01D88" w:rsidRPr="00B01D88" w:rsidRDefault="00B01D88" w:rsidP="001905A1">
      <w:r w:rsidRPr="00B01D88">
        <w:t>Murugan, M.S., T, S.K. and Marappan, R. (2023) ‘Large-scale data-driven financial risk management &amp; analysis using machine learning strategies’, </w:t>
      </w:r>
      <w:r w:rsidRPr="00B01D88">
        <w:rPr>
          <w:i/>
          <w:iCs/>
        </w:rPr>
        <w:t>Measurement: Sensors</w:t>
      </w:r>
      <w:r w:rsidRPr="00B01D88">
        <w:t xml:space="preserve">, 27, p. 100756. Available at: </w:t>
      </w:r>
      <w:hyperlink r:id="rId53" w:history="1">
        <w:r w:rsidRPr="00B01D88">
          <w:rPr>
            <w:rStyle w:val="Hyperlink"/>
            <w:rFonts w:cs="Arial"/>
          </w:rPr>
          <w:t>https://doi.org/10.1016/j.measen.2023.100756</w:t>
        </w:r>
      </w:hyperlink>
      <w:r w:rsidRPr="00B01D88">
        <w:t xml:space="preserve">. </w:t>
      </w:r>
    </w:p>
    <w:p w14:paraId="6F0F9850" w14:textId="2FC9D19F" w:rsidR="00B01D88" w:rsidRPr="00B01D88" w:rsidRDefault="00B01D88" w:rsidP="001905A1">
      <w:pPr>
        <w:rPr>
          <w:color w:val="000000"/>
          <w:lang w:val="en-US"/>
        </w:rPr>
      </w:pPr>
      <w:r w:rsidRPr="00B01D88">
        <w:rPr>
          <w:color w:val="000000"/>
        </w:rPr>
        <w:t xml:space="preserve">Mushunje, L. and </w:t>
      </w:r>
      <w:proofErr w:type="spellStart"/>
      <w:r w:rsidRPr="00B01D88">
        <w:rPr>
          <w:color w:val="000000"/>
        </w:rPr>
        <w:t>Mashasha</w:t>
      </w:r>
      <w:proofErr w:type="spellEnd"/>
      <w:r w:rsidRPr="00B01D88">
        <w:rPr>
          <w:color w:val="000000"/>
        </w:rPr>
        <w:t>, M. (2024) ‘Non-banking sector development effect on economic growth. A nighttime light data approach, </w:t>
      </w:r>
      <w:r w:rsidRPr="00B01D88">
        <w:rPr>
          <w:i/>
          <w:iCs/>
          <w:color w:val="000000"/>
        </w:rPr>
        <w:t>Cogent Economics &amp; Finance</w:t>
      </w:r>
      <w:r w:rsidRPr="00B01D88">
        <w:rPr>
          <w:color w:val="000000"/>
        </w:rPr>
        <w:t xml:space="preserve">, 12(1). Available at: </w:t>
      </w:r>
      <w:hyperlink r:id="rId54" w:history="1">
        <w:r w:rsidRPr="00B01D88">
          <w:rPr>
            <w:rStyle w:val="Hyperlink"/>
            <w:rFonts w:cs="Arial"/>
          </w:rPr>
          <w:t>https://doi.org/10.1080/23322039.2024.2351374</w:t>
        </w:r>
      </w:hyperlink>
      <w:r w:rsidRPr="00B01D88">
        <w:rPr>
          <w:color w:val="000000"/>
        </w:rPr>
        <w:t>.</w:t>
      </w:r>
      <w:r w:rsidRPr="00B01D88">
        <w:rPr>
          <w:color w:val="000000"/>
          <w:lang w:val="en-US"/>
        </w:rPr>
        <w:t xml:space="preserve"> </w:t>
      </w:r>
    </w:p>
    <w:p w14:paraId="44532561" w14:textId="77777777" w:rsidR="00B01D88" w:rsidRPr="00B01D88" w:rsidRDefault="00B01D88" w:rsidP="001905A1">
      <w:pPr>
        <w:rPr>
          <w:lang w:val="en-US"/>
        </w:rPr>
      </w:pPr>
      <w:r w:rsidRPr="00B01D88">
        <w:t xml:space="preserve">Phillips, K.M., </w:t>
      </w:r>
      <w:proofErr w:type="spellStart"/>
      <w:r w:rsidRPr="00B01D88">
        <w:t>Tichavakunda</w:t>
      </w:r>
      <w:proofErr w:type="spellEnd"/>
      <w:r w:rsidRPr="00B01D88">
        <w:t>, A.A. and Sedaghat, A.R. (2024) ‘Qualitative Research Methodology and Applications: A Primer for the Otolaryngologist’, </w:t>
      </w:r>
      <w:r w:rsidRPr="00B01D88">
        <w:rPr>
          <w:i/>
          <w:iCs/>
        </w:rPr>
        <w:t>The Laryngoscope</w:t>
      </w:r>
      <w:r w:rsidRPr="00B01D88">
        <w:t xml:space="preserve">, 134(1). Available at: </w:t>
      </w:r>
      <w:hyperlink r:id="rId55" w:history="1">
        <w:r w:rsidRPr="00B01D88">
          <w:rPr>
            <w:rStyle w:val="Hyperlink"/>
            <w:rFonts w:cs="Arial"/>
          </w:rPr>
          <w:t>https://doi.org/10.1002/lary.30817</w:t>
        </w:r>
      </w:hyperlink>
      <w:r w:rsidRPr="00B01D88">
        <w:t>.</w:t>
      </w:r>
      <w:r w:rsidRPr="00B01D88">
        <w:rPr>
          <w:lang w:val="en-US"/>
        </w:rPr>
        <w:t xml:space="preserve"> </w:t>
      </w:r>
    </w:p>
    <w:p w14:paraId="44CDDEDE" w14:textId="77777777" w:rsidR="00B01D88" w:rsidRPr="00B01D88" w:rsidRDefault="00B01D88" w:rsidP="001905A1">
      <w:proofErr w:type="spellStart"/>
      <w:r w:rsidRPr="00B01D88">
        <w:t>Popkova</w:t>
      </w:r>
      <w:proofErr w:type="spellEnd"/>
      <w:r w:rsidRPr="00B01D88">
        <w:t>, E.G. and Sergi, B.S. (2021) ‘Dataset Modelling of the Financial Risk Management of Social Entrepreneurship in Emerging Economies’, </w:t>
      </w:r>
      <w:r w:rsidRPr="00B01D88">
        <w:rPr>
          <w:i/>
          <w:iCs/>
        </w:rPr>
        <w:t>Risks</w:t>
      </w:r>
      <w:r w:rsidRPr="00B01D88">
        <w:t xml:space="preserve">, 9(12), p. 211. Available at: </w:t>
      </w:r>
      <w:hyperlink r:id="rId56" w:history="1">
        <w:r w:rsidRPr="00B01D88">
          <w:rPr>
            <w:rStyle w:val="Hyperlink"/>
            <w:rFonts w:cs="Arial"/>
          </w:rPr>
          <w:t>https://doi.org/10.3390/risks9120211</w:t>
        </w:r>
      </w:hyperlink>
      <w:r w:rsidRPr="00B01D88">
        <w:t xml:space="preserve">. </w:t>
      </w:r>
    </w:p>
    <w:p w14:paraId="28EBC251" w14:textId="77777777" w:rsidR="00B01D88" w:rsidRPr="00B01D88" w:rsidRDefault="00B01D88" w:rsidP="001905A1">
      <w:pPr>
        <w:rPr>
          <w:lang w:val="en-US"/>
        </w:rPr>
      </w:pPr>
      <w:r w:rsidRPr="00B01D88">
        <w:t>Qureshi, A. and Lamarque, E. (2023) ‘Risk management practices and credit risk of the significantly supervised European banks’, </w:t>
      </w:r>
      <w:r w:rsidRPr="00B01D88">
        <w:rPr>
          <w:i/>
          <w:iCs/>
        </w:rPr>
        <w:t>Journal of Financial Regulation and Compliance</w:t>
      </w:r>
      <w:r w:rsidRPr="00B01D88">
        <w:t xml:space="preserve">, 31(3). Available at: </w:t>
      </w:r>
      <w:hyperlink r:id="rId57" w:history="1">
        <w:r w:rsidRPr="00B01D88">
          <w:rPr>
            <w:rStyle w:val="Hyperlink"/>
            <w:rFonts w:cs="Arial"/>
          </w:rPr>
          <w:t>https://doi.org/10.1108/jfrc-12-2021-0117</w:t>
        </w:r>
      </w:hyperlink>
      <w:r w:rsidRPr="00B01D88">
        <w:t>.</w:t>
      </w:r>
      <w:r w:rsidRPr="00B01D88">
        <w:rPr>
          <w:lang w:val="en-US"/>
        </w:rPr>
        <w:t xml:space="preserve"> </w:t>
      </w:r>
    </w:p>
    <w:p w14:paraId="778A64D4" w14:textId="77777777" w:rsidR="00B01D88" w:rsidRPr="00B01D88" w:rsidRDefault="00B01D88" w:rsidP="001905A1">
      <w:pPr>
        <w:rPr>
          <w:color w:val="000000"/>
          <w:lang w:val="en-US"/>
        </w:rPr>
      </w:pPr>
      <w:r w:rsidRPr="00B01D88">
        <w:rPr>
          <w:color w:val="000000"/>
        </w:rPr>
        <w:lastRenderedPageBreak/>
        <w:t>Rahman, M.M., Khaled Rahman, S.M. and Ahmed, S. (2023) ‘Determinants of efficiency of non-bank financial institutions: an empirical evidence from Bangladesh’, </w:t>
      </w:r>
      <w:r w:rsidRPr="00B01D88">
        <w:rPr>
          <w:i/>
          <w:iCs/>
          <w:color w:val="000000"/>
        </w:rPr>
        <w:t>Asian Journal of Economics and Banking</w:t>
      </w:r>
      <w:r w:rsidRPr="00B01D88">
        <w:rPr>
          <w:color w:val="000000"/>
        </w:rPr>
        <w:t xml:space="preserve">, 7(3). Available at: </w:t>
      </w:r>
      <w:hyperlink r:id="rId58" w:history="1">
        <w:r w:rsidRPr="00B01D88">
          <w:rPr>
            <w:rStyle w:val="Hyperlink"/>
            <w:rFonts w:cs="Arial"/>
          </w:rPr>
          <w:t>https://doi.org/10.1108/ajeb-07-2022-0092</w:t>
        </w:r>
      </w:hyperlink>
      <w:r w:rsidRPr="00B01D88">
        <w:rPr>
          <w:color w:val="000000"/>
        </w:rPr>
        <w:t>.</w:t>
      </w:r>
      <w:r w:rsidRPr="00B01D88">
        <w:rPr>
          <w:color w:val="000000"/>
          <w:lang w:val="en-US"/>
        </w:rPr>
        <w:t xml:space="preserve"> </w:t>
      </w:r>
    </w:p>
    <w:p w14:paraId="134B1D31" w14:textId="77777777" w:rsidR="00B01D88" w:rsidRPr="00B01D88" w:rsidRDefault="00B01D88" w:rsidP="001905A1">
      <w:r w:rsidRPr="00B01D88">
        <w:t>Rahman, T., Reza, N.J. and Alam, A. (2024) ‘Evaluating financial risk management in corporation financial security systems’, </w:t>
      </w:r>
      <w:r w:rsidRPr="00B01D88">
        <w:rPr>
          <w:i/>
          <w:iCs/>
        </w:rPr>
        <w:t>World Journal of Advanced Research and Reviews</w:t>
      </w:r>
      <w:r w:rsidRPr="00B01D88">
        <w:t xml:space="preserve">, 23(1), pp. 2203–2213. Available at: </w:t>
      </w:r>
      <w:hyperlink r:id="rId59" w:history="1">
        <w:r w:rsidRPr="00B01D88">
          <w:rPr>
            <w:rStyle w:val="Hyperlink"/>
            <w:rFonts w:cs="Arial"/>
          </w:rPr>
          <w:t>https://doi.org/10.30574/wjarr.2024.23.1.2206</w:t>
        </w:r>
      </w:hyperlink>
      <w:r w:rsidRPr="00B01D88">
        <w:t xml:space="preserve">. </w:t>
      </w:r>
    </w:p>
    <w:p w14:paraId="43ABA429" w14:textId="77777777" w:rsidR="00B01D88" w:rsidRPr="00B01D88" w:rsidRDefault="00B01D88" w:rsidP="001905A1">
      <w:pPr>
        <w:rPr>
          <w:color w:val="000000"/>
          <w:lang w:val="en-US"/>
        </w:rPr>
      </w:pPr>
      <w:r w:rsidRPr="00B01D88">
        <w:rPr>
          <w:color w:val="000000"/>
        </w:rPr>
        <w:t>Şahin, B.Ş. (2025) ‘Determinants of Financial Performance of Non-Bank Financial Institutions: Factoring Institutions in Türkiye’, </w:t>
      </w:r>
      <w:proofErr w:type="spellStart"/>
      <w:r w:rsidRPr="00B01D88">
        <w:rPr>
          <w:i/>
          <w:iCs/>
          <w:color w:val="000000"/>
        </w:rPr>
        <w:t>Verimlilik</w:t>
      </w:r>
      <w:proofErr w:type="spellEnd"/>
      <w:r w:rsidRPr="00B01D88">
        <w:rPr>
          <w:i/>
          <w:iCs/>
          <w:color w:val="000000"/>
        </w:rPr>
        <w:t xml:space="preserve"> Dergisi</w:t>
      </w:r>
      <w:r w:rsidRPr="00B01D88">
        <w:rPr>
          <w:color w:val="000000"/>
        </w:rPr>
        <w:t xml:space="preserve">, 59(3), pp. 503–512. Available at: </w:t>
      </w:r>
      <w:hyperlink r:id="rId60" w:history="1">
        <w:r w:rsidRPr="00B01D88">
          <w:rPr>
            <w:rStyle w:val="Hyperlink"/>
            <w:rFonts w:cs="Arial"/>
          </w:rPr>
          <w:t>https://doi.org/10.51551/verimlilik.1626476</w:t>
        </w:r>
      </w:hyperlink>
      <w:r w:rsidRPr="00B01D88">
        <w:rPr>
          <w:color w:val="000000"/>
        </w:rPr>
        <w:t>.</w:t>
      </w:r>
      <w:r w:rsidRPr="00B01D88">
        <w:rPr>
          <w:color w:val="000000"/>
          <w:lang w:val="en-US"/>
        </w:rPr>
        <w:t xml:space="preserve"> </w:t>
      </w:r>
    </w:p>
    <w:p w14:paraId="2AC59E0D" w14:textId="77777777" w:rsidR="00B01D88" w:rsidRPr="00B01D88" w:rsidRDefault="00B01D88" w:rsidP="001905A1">
      <w:pPr>
        <w:rPr>
          <w:lang w:val="en-US"/>
        </w:rPr>
      </w:pPr>
      <w:r w:rsidRPr="00B01D88">
        <w:t>Sandberg, H., Alnoor, A. and Tiberius, V. (2023) ‘Environmental, social, and governance ratings and financial performance: Evidence from the European food industry’, </w:t>
      </w:r>
      <w:r w:rsidRPr="00B01D88">
        <w:rPr>
          <w:i/>
          <w:iCs/>
        </w:rPr>
        <w:t>Business Strategy and the Environment</w:t>
      </w:r>
      <w:r w:rsidRPr="00B01D88">
        <w:t xml:space="preserve">, 32(4), pp. 2471–2489. Available at: </w:t>
      </w:r>
      <w:hyperlink r:id="rId61" w:history="1">
        <w:r w:rsidRPr="00B01D88">
          <w:rPr>
            <w:rStyle w:val="Hyperlink"/>
            <w:rFonts w:cs="Arial"/>
          </w:rPr>
          <w:t>https://doi.org/10.1002/bse.3259</w:t>
        </w:r>
      </w:hyperlink>
      <w:r w:rsidRPr="00B01D88">
        <w:t>.</w:t>
      </w:r>
      <w:r w:rsidRPr="00B01D88">
        <w:rPr>
          <w:lang w:val="en-US"/>
        </w:rPr>
        <w:t xml:space="preserve"> </w:t>
      </w:r>
    </w:p>
    <w:p w14:paraId="7A4D1470" w14:textId="77777777" w:rsidR="00B01D88" w:rsidRPr="00B01D88" w:rsidRDefault="00B01D88" w:rsidP="001905A1">
      <w:r w:rsidRPr="00B01D88">
        <w:t>Siddique, A., Khan, M.A. and Khan, Z. (2022) ‘The effect of credit risk management and bank-specific factors on the financial performance of the South Asian commercial banks’, </w:t>
      </w:r>
      <w:r w:rsidRPr="00B01D88">
        <w:rPr>
          <w:i/>
          <w:iCs/>
        </w:rPr>
        <w:t>Asian Journal of Accounting Research</w:t>
      </w:r>
      <w:r w:rsidRPr="00B01D88">
        <w:t xml:space="preserve">, 7(2). Available at: </w:t>
      </w:r>
      <w:hyperlink r:id="rId62" w:history="1">
        <w:r w:rsidRPr="00B01D88">
          <w:rPr>
            <w:rStyle w:val="Hyperlink"/>
            <w:rFonts w:cs="Arial"/>
          </w:rPr>
          <w:t>https://doi.org/10.1108/ajar-08-2020-0071</w:t>
        </w:r>
      </w:hyperlink>
      <w:r w:rsidRPr="00B01D88">
        <w:t xml:space="preserve">. </w:t>
      </w:r>
    </w:p>
    <w:p w14:paraId="7A1603F8" w14:textId="77777777" w:rsidR="00B01D88" w:rsidRPr="00B01D88" w:rsidRDefault="00B01D88" w:rsidP="001905A1">
      <w:pPr>
        <w:rPr>
          <w:color w:val="000000"/>
          <w:lang w:val="en-US"/>
        </w:rPr>
      </w:pPr>
      <w:r w:rsidRPr="00B01D88">
        <w:rPr>
          <w:color w:val="000000"/>
        </w:rPr>
        <w:t>Singh, V.K. </w:t>
      </w:r>
      <w:r w:rsidRPr="00B01D88">
        <w:rPr>
          <w:i/>
          <w:iCs/>
          <w:color w:val="000000"/>
        </w:rPr>
        <w:t>et al.</w:t>
      </w:r>
      <w:r w:rsidRPr="00B01D88">
        <w:rPr>
          <w:color w:val="000000"/>
        </w:rPr>
        <w:t> (2025) ‘From technological revolution to digital transformation in non-banking financial companies: A future research direction’, </w:t>
      </w:r>
      <w:r w:rsidRPr="00B01D88">
        <w:rPr>
          <w:i/>
          <w:iCs/>
          <w:color w:val="000000"/>
        </w:rPr>
        <w:t>Journal of Open Innovation Technology Market and Complexity</w:t>
      </w:r>
      <w:r w:rsidRPr="00B01D88">
        <w:rPr>
          <w:color w:val="000000"/>
        </w:rPr>
        <w:t xml:space="preserve">, 12(1), pp. 100712–100712. Available at: </w:t>
      </w:r>
      <w:hyperlink r:id="rId63" w:history="1">
        <w:r w:rsidRPr="00B01D88">
          <w:rPr>
            <w:rStyle w:val="Hyperlink"/>
            <w:rFonts w:cs="Arial"/>
          </w:rPr>
          <w:t>https://doi.org/10.1016/j.joitmc.2025.100712</w:t>
        </w:r>
      </w:hyperlink>
      <w:r w:rsidRPr="00B01D88">
        <w:rPr>
          <w:color w:val="000000"/>
        </w:rPr>
        <w:t>.</w:t>
      </w:r>
      <w:r w:rsidRPr="00B01D88">
        <w:rPr>
          <w:color w:val="000000"/>
          <w:lang w:val="en-US"/>
        </w:rPr>
        <w:t xml:space="preserve"> </w:t>
      </w:r>
    </w:p>
    <w:p w14:paraId="39A347E4" w14:textId="77777777" w:rsidR="00B01D88" w:rsidRPr="00B01D88" w:rsidRDefault="00B01D88" w:rsidP="001905A1">
      <w:pPr>
        <w:rPr>
          <w:lang w:val="en-US"/>
        </w:rPr>
      </w:pPr>
      <w:r w:rsidRPr="00B01D88">
        <w:t>Snyder, H. (2019) ‘Literature review as a research methodology: An overview and guidelines’, </w:t>
      </w:r>
      <w:r w:rsidRPr="00B01D88">
        <w:rPr>
          <w:i/>
          <w:iCs/>
        </w:rPr>
        <w:t>Journal of Business Research</w:t>
      </w:r>
      <w:r w:rsidRPr="00B01D88">
        <w:t xml:space="preserve">, 104, pp. 333–339. Available at: </w:t>
      </w:r>
      <w:hyperlink r:id="rId64" w:history="1">
        <w:r w:rsidRPr="00B01D88">
          <w:rPr>
            <w:rStyle w:val="Hyperlink"/>
            <w:rFonts w:cs="Arial"/>
          </w:rPr>
          <w:t>https://doi.org/10.1016/j.jbusres.2019.07.039</w:t>
        </w:r>
      </w:hyperlink>
      <w:r w:rsidRPr="00B01D88">
        <w:t>.</w:t>
      </w:r>
      <w:r w:rsidRPr="00B01D88">
        <w:rPr>
          <w:lang w:val="en-US"/>
        </w:rPr>
        <w:t xml:space="preserve"> </w:t>
      </w:r>
    </w:p>
    <w:p w14:paraId="4809C6FA" w14:textId="77777777" w:rsidR="00B01D88" w:rsidRPr="00B01D88" w:rsidRDefault="00B01D88" w:rsidP="001905A1">
      <w:pPr>
        <w:rPr>
          <w:lang w:val="en-US"/>
        </w:rPr>
      </w:pPr>
      <w:proofErr w:type="spellStart"/>
      <w:r w:rsidRPr="00B01D88">
        <w:t>Syrová</w:t>
      </w:r>
      <w:proofErr w:type="spellEnd"/>
      <w:r w:rsidRPr="00B01D88">
        <w:t xml:space="preserve">, L. and </w:t>
      </w:r>
      <w:proofErr w:type="spellStart"/>
      <w:r w:rsidRPr="00B01D88">
        <w:t>Špička</w:t>
      </w:r>
      <w:proofErr w:type="spellEnd"/>
      <w:r w:rsidRPr="00B01D88">
        <w:t>, J. (2022) ‘Exploring the indirect links between enterprise risk management and the financial performance of SMEs’, </w:t>
      </w:r>
      <w:r w:rsidRPr="00B01D88">
        <w:rPr>
          <w:i/>
          <w:iCs/>
        </w:rPr>
        <w:t>Risk Management</w:t>
      </w:r>
      <w:r w:rsidRPr="00B01D88">
        <w:t xml:space="preserve">, 25(1). Available at: </w:t>
      </w:r>
      <w:hyperlink r:id="rId65" w:history="1">
        <w:r w:rsidRPr="00B01D88">
          <w:rPr>
            <w:rStyle w:val="Hyperlink"/>
            <w:rFonts w:cs="Arial"/>
          </w:rPr>
          <w:t>https://doi.org/10.1057/s41283-022-00107-9</w:t>
        </w:r>
      </w:hyperlink>
      <w:r w:rsidRPr="00B01D88">
        <w:t>.</w:t>
      </w:r>
      <w:r w:rsidRPr="00B01D88">
        <w:rPr>
          <w:lang w:val="en-US"/>
        </w:rPr>
        <w:t xml:space="preserve"> </w:t>
      </w:r>
    </w:p>
    <w:p w14:paraId="3A2333CC" w14:textId="644860D9" w:rsidR="00B01D88" w:rsidRPr="00B01D88" w:rsidRDefault="00B01D88" w:rsidP="001905A1">
      <w:pPr>
        <w:rPr>
          <w:lang w:val="en-US"/>
        </w:rPr>
      </w:pPr>
      <w:r w:rsidRPr="00B01D88">
        <w:t>Tariq and Abdel, A. (2023) ‘Risk Management, Female Leadership and Project Management Performance: A study in Oman’, </w:t>
      </w:r>
      <w:r w:rsidRPr="00B01D88">
        <w:rPr>
          <w:i/>
          <w:iCs/>
        </w:rPr>
        <w:t xml:space="preserve">International </w:t>
      </w:r>
      <w:r>
        <w:rPr>
          <w:i/>
          <w:iCs/>
        </w:rPr>
        <w:t>Journal</w:t>
      </w:r>
      <w:r w:rsidRPr="00B01D88">
        <w:rPr>
          <w:i/>
          <w:iCs/>
        </w:rPr>
        <w:t xml:space="preserve"> of </w:t>
      </w:r>
      <w:r>
        <w:rPr>
          <w:i/>
          <w:iCs/>
        </w:rPr>
        <w:t>Scientific</w:t>
      </w:r>
      <w:r w:rsidRPr="00B01D88">
        <w:rPr>
          <w:i/>
          <w:iCs/>
        </w:rPr>
        <w:t xml:space="preserve"> and </w:t>
      </w:r>
      <w:r>
        <w:rPr>
          <w:i/>
          <w:iCs/>
        </w:rPr>
        <w:t>Management Research</w:t>
      </w:r>
      <w:r w:rsidRPr="00B01D88">
        <w:t xml:space="preserve">, 06(06), pp. 77–94. Available at: </w:t>
      </w:r>
      <w:hyperlink r:id="rId66" w:history="1">
        <w:r w:rsidRPr="00B01D88">
          <w:rPr>
            <w:rStyle w:val="Hyperlink"/>
            <w:rFonts w:cs="Arial"/>
          </w:rPr>
          <w:t>https://doi.org/10.37502/ijsmr.2023.6606</w:t>
        </w:r>
      </w:hyperlink>
      <w:r w:rsidRPr="00B01D88">
        <w:t>.</w:t>
      </w:r>
      <w:r w:rsidRPr="00B01D88">
        <w:rPr>
          <w:lang w:val="en-US"/>
        </w:rPr>
        <w:t xml:space="preserve"> </w:t>
      </w:r>
    </w:p>
    <w:p w14:paraId="7386DDD1" w14:textId="77777777" w:rsidR="00B01D88" w:rsidRPr="00B01D88" w:rsidRDefault="00B01D88" w:rsidP="001905A1">
      <w:proofErr w:type="spellStart"/>
      <w:r w:rsidRPr="00B01D88">
        <w:lastRenderedPageBreak/>
        <w:t>Tömöri</w:t>
      </w:r>
      <w:proofErr w:type="spellEnd"/>
      <w:r w:rsidRPr="00B01D88">
        <w:t>, G., Lakatos, V. and Mártha, B.B. (2021) ‘The Effect of Financial Risk Taking on Profitability in the Pharmaceutical Industry’, </w:t>
      </w:r>
      <w:r w:rsidRPr="00B01D88">
        <w:rPr>
          <w:i/>
          <w:iCs/>
        </w:rPr>
        <w:t>Economies</w:t>
      </w:r>
      <w:r w:rsidRPr="00B01D88">
        <w:t xml:space="preserve">, 9(4), p. 153. Available at: </w:t>
      </w:r>
      <w:hyperlink r:id="rId67" w:history="1">
        <w:r w:rsidRPr="00B01D88">
          <w:rPr>
            <w:rStyle w:val="Hyperlink"/>
            <w:rFonts w:cs="Arial"/>
          </w:rPr>
          <w:t>https://doi.org/10.3390/economies9040153</w:t>
        </w:r>
      </w:hyperlink>
      <w:r w:rsidRPr="00B01D88">
        <w:t xml:space="preserve">. </w:t>
      </w:r>
    </w:p>
    <w:p w14:paraId="17F88A6C" w14:textId="77777777" w:rsidR="00B01D88" w:rsidRPr="00B01D88" w:rsidRDefault="00B01D88" w:rsidP="001905A1">
      <w:pPr>
        <w:rPr>
          <w:lang w:val="en-US"/>
        </w:rPr>
      </w:pPr>
      <w:r w:rsidRPr="00B01D88">
        <w:t>Ungunmerr-Baumann, M.-R. </w:t>
      </w:r>
      <w:r w:rsidRPr="00B01D88">
        <w:rPr>
          <w:i/>
          <w:iCs/>
        </w:rPr>
        <w:t>et al.</w:t>
      </w:r>
      <w:r w:rsidRPr="00B01D88">
        <w:t> (2022) ‘</w:t>
      </w:r>
      <w:proofErr w:type="spellStart"/>
      <w:r w:rsidRPr="00B01D88">
        <w:t>Dadirri</w:t>
      </w:r>
      <w:proofErr w:type="spellEnd"/>
      <w:r w:rsidRPr="00B01D88">
        <w:t>: an Indigenous place-based research methodology’, </w:t>
      </w:r>
      <w:proofErr w:type="spellStart"/>
      <w:r w:rsidRPr="00B01D88">
        <w:rPr>
          <w:i/>
          <w:iCs/>
        </w:rPr>
        <w:t>AlterNative</w:t>
      </w:r>
      <w:proofErr w:type="spellEnd"/>
      <w:r w:rsidRPr="00B01D88">
        <w:rPr>
          <w:i/>
          <w:iCs/>
        </w:rPr>
        <w:t>: An International Journal of Indigenous Peoples</w:t>
      </w:r>
      <w:r w:rsidRPr="00B01D88">
        <w:t xml:space="preserve">, 18(1), pp. 94–103. Available at: </w:t>
      </w:r>
      <w:hyperlink r:id="rId68" w:history="1">
        <w:r w:rsidRPr="00B01D88">
          <w:rPr>
            <w:rStyle w:val="Hyperlink"/>
            <w:rFonts w:cs="Arial"/>
          </w:rPr>
          <w:t>https://doi.org/10.1177/11771801221085353</w:t>
        </w:r>
      </w:hyperlink>
      <w:r w:rsidRPr="00B01D88">
        <w:t>.</w:t>
      </w:r>
      <w:r w:rsidRPr="00B01D88">
        <w:rPr>
          <w:lang w:val="en-US"/>
        </w:rPr>
        <w:t xml:space="preserve"> </w:t>
      </w:r>
    </w:p>
    <w:p w14:paraId="34E30F80" w14:textId="77777777" w:rsidR="00B01D88" w:rsidRPr="00B01D88" w:rsidRDefault="00B01D88" w:rsidP="001905A1">
      <w:pPr>
        <w:rPr>
          <w:lang w:val="en-US"/>
        </w:rPr>
      </w:pPr>
      <w:r w:rsidRPr="00B01D88">
        <w:t>Urcia, I.A. (2021) ‘Comparisons of Adaptations in Grounded Theory and Phenomenology: Selecting the Specific Qualitative Research Methodology’, </w:t>
      </w:r>
      <w:r w:rsidRPr="00B01D88">
        <w:rPr>
          <w:i/>
          <w:iCs/>
        </w:rPr>
        <w:t>International Journal of Qualitative Methods</w:t>
      </w:r>
      <w:r w:rsidRPr="00B01D88">
        <w:t xml:space="preserve">, 20, pp. 1–14. Available at: </w:t>
      </w:r>
      <w:hyperlink r:id="rId69" w:history="1">
        <w:r w:rsidRPr="00B01D88">
          <w:rPr>
            <w:rStyle w:val="Hyperlink"/>
            <w:rFonts w:cs="Arial"/>
          </w:rPr>
          <w:t>https://journals.sagepub.com/doi/full/10.1177/16094069211045474</w:t>
        </w:r>
      </w:hyperlink>
      <w:r w:rsidRPr="00B01D88">
        <w:t>.</w:t>
      </w:r>
      <w:r w:rsidRPr="00B01D88">
        <w:rPr>
          <w:lang w:val="en-US"/>
        </w:rPr>
        <w:t xml:space="preserve"> </w:t>
      </w:r>
    </w:p>
    <w:p w14:paraId="05D6792C" w14:textId="4CC3DC80" w:rsidR="00B01D88" w:rsidRPr="00B01D88" w:rsidRDefault="00B01D88" w:rsidP="001905A1">
      <w:r w:rsidRPr="00B01D88">
        <w:t xml:space="preserve">Xu, Z., Sun, K. and Wang, H. (2024) ‘Dynamics and function projection </w:t>
      </w:r>
      <w:r>
        <w:t>synchronisation</w:t>
      </w:r>
      <w:r w:rsidRPr="00B01D88">
        <w:t xml:space="preserve"> for the fractional-order financial risk system’, </w:t>
      </w:r>
      <w:r w:rsidRPr="00B01D88">
        <w:rPr>
          <w:i/>
          <w:iCs/>
        </w:rPr>
        <w:t>Chaos, Solitons &amp; Fractals</w:t>
      </w:r>
      <w:r w:rsidRPr="00B01D88">
        <w:t xml:space="preserve">, 188, p. 115599. Available at: </w:t>
      </w:r>
      <w:hyperlink r:id="rId70" w:history="1">
        <w:r w:rsidRPr="00B01D88">
          <w:rPr>
            <w:rStyle w:val="Hyperlink"/>
            <w:rFonts w:cs="Arial"/>
          </w:rPr>
          <w:t>https://doi.org/10.1016/j.chaos.2024.115599</w:t>
        </w:r>
      </w:hyperlink>
      <w:r w:rsidRPr="00B01D88">
        <w:t xml:space="preserve">. </w:t>
      </w:r>
    </w:p>
    <w:p w14:paraId="0FF32E08" w14:textId="28E3EB03" w:rsidR="00B01D88" w:rsidRPr="00B01D88" w:rsidRDefault="00B01D88" w:rsidP="001905A1">
      <w:r w:rsidRPr="00B01D88">
        <w:t>Zhu, W. </w:t>
      </w:r>
      <w:r w:rsidRPr="00B01D88">
        <w:rPr>
          <w:i/>
          <w:iCs/>
        </w:rPr>
        <w:t>et al.</w:t>
      </w:r>
      <w:r w:rsidRPr="00B01D88">
        <w:t xml:space="preserve"> (2022) ‘Research on </w:t>
      </w:r>
      <w:r>
        <w:t>optimisation</w:t>
      </w:r>
      <w:r w:rsidRPr="00B01D88">
        <w:t xml:space="preserve"> of an enterprise financial risk early warning method based on the DS-RF model’, </w:t>
      </w:r>
      <w:r w:rsidRPr="00B01D88">
        <w:rPr>
          <w:i/>
          <w:iCs/>
        </w:rPr>
        <w:t>International Review of Financial Analysis</w:t>
      </w:r>
      <w:r w:rsidRPr="00B01D88">
        <w:t xml:space="preserve">, 81, p. 102140. Available at: </w:t>
      </w:r>
      <w:hyperlink r:id="rId71" w:history="1">
        <w:r w:rsidRPr="00B01D88">
          <w:rPr>
            <w:rStyle w:val="Hyperlink"/>
            <w:rFonts w:cs="Arial"/>
          </w:rPr>
          <w:t>https://doi.org/10.1016/j.irfa.2022.102140</w:t>
        </w:r>
      </w:hyperlink>
      <w:r w:rsidRPr="00B01D88">
        <w:t xml:space="preserve">. </w:t>
      </w:r>
    </w:p>
    <w:p w14:paraId="7F39A05A" w14:textId="77777777" w:rsidR="00B01D88" w:rsidRPr="00B01D88" w:rsidRDefault="00B01D88" w:rsidP="001905A1">
      <w:pPr>
        <w:rPr>
          <w:lang w:val="en-US"/>
        </w:rPr>
      </w:pPr>
      <w:r w:rsidRPr="00B01D88">
        <w:t xml:space="preserve">Zimon, G. and </w:t>
      </w:r>
      <w:proofErr w:type="spellStart"/>
      <w:r w:rsidRPr="00B01D88">
        <w:t>Tarighi</w:t>
      </w:r>
      <w:proofErr w:type="spellEnd"/>
      <w:r w:rsidRPr="00B01D88">
        <w:t>, H. (2021) ‘Effects of the COVID-19 Global Crisis on the Working Capital Management Policy: Evidence from Poland’, </w:t>
      </w:r>
      <w:r w:rsidRPr="00B01D88">
        <w:rPr>
          <w:i/>
          <w:iCs/>
        </w:rPr>
        <w:t>Journal of Risk and Financial Management</w:t>
      </w:r>
      <w:r w:rsidRPr="00B01D88">
        <w:t xml:space="preserve">, 14(4), p. 169. Available at: </w:t>
      </w:r>
      <w:hyperlink r:id="rId72" w:history="1">
        <w:r w:rsidRPr="00B01D88">
          <w:rPr>
            <w:rStyle w:val="Hyperlink"/>
            <w:rFonts w:cs="Arial"/>
          </w:rPr>
          <w:t>https://doi.org/10.3390/jrfm14040169</w:t>
        </w:r>
      </w:hyperlink>
      <w:r w:rsidRPr="00B01D88">
        <w:t>.</w:t>
      </w:r>
      <w:r w:rsidRPr="00B01D88">
        <w:rPr>
          <w:lang w:val="en-US"/>
        </w:rPr>
        <w:t xml:space="preserve"> </w:t>
      </w:r>
    </w:p>
    <w:p w14:paraId="160F0F22" w14:textId="77777777" w:rsidR="00457746" w:rsidRPr="005877C3" w:rsidRDefault="00457746" w:rsidP="001905A1">
      <w:pPr>
        <w:rPr>
          <w:rFonts w:cs="Arial"/>
          <w:lang w:val="en-US"/>
        </w:rPr>
      </w:pPr>
    </w:p>
    <w:sectPr w:rsidR="00457746" w:rsidRPr="005877C3" w:rsidSect="00562DF2">
      <w:footerReference w:type="default" r:id="rId7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6D3A1" w14:textId="77777777" w:rsidR="00063741" w:rsidRDefault="00063741" w:rsidP="00CD3D2B">
      <w:r>
        <w:separator/>
      </w:r>
    </w:p>
  </w:endnote>
  <w:endnote w:type="continuationSeparator" w:id="0">
    <w:p w14:paraId="76C3997D" w14:textId="77777777" w:rsidR="00063741" w:rsidRDefault="00063741"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2EDFE" w14:textId="77777777" w:rsidR="00063741" w:rsidRDefault="00063741" w:rsidP="00CD3D2B">
      <w:r>
        <w:separator/>
      </w:r>
    </w:p>
  </w:footnote>
  <w:footnote w:type="continuationSeparator" w:id="0">
    <w:p w14:paraId="0C90424D" w14:textId="77777777" w:rsidR="00063741" w:rsidRDefault="00063741"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405B7"/>
    <w:multiLevelType w:val="hybridMultilevel"/>
    <w:tmpl w:val="F7146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273BA5"/>
    <w:multiLevelType w:val="hybridMultilevel"/>
    <w:tmpl w:val="EBC0C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A239CE"/>
    <w:multiLevelType w:val="hybridMultilevel"/>
    <w:tmpl w:val="9E7E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E7FBA"/>
    <w:multiLevelType w:val="multilevel"/>
    <w:tmpl w:val="AE54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C6AA7"/>
    <w:multiLevelType w:val="hybridMultilevel"/>
    <w:tmpl w:val="D2082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D062FF"/>
    <w:multiLevelType w:val="hybridMultilevel"/>
    <w:tmpl w:val="53C4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627370"/>
    <w:multiLevelType w:val="hybridMultilevel"/>
    <w:tmpl w:val="A9F4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BA548B"/>
    <w:multiLevelType w:val="hybridMultilevel"/>
    <w:tmpl w:val="26DAC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F16F3E"/>
    <w:multiLevelType w:val="multilevel"/>
    <w:tmpl w:val="DBA0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AB1EDD"/>
    <w:multiLevelType w:val="hybridMultilevel"/>
    <w:tmpl w:val="6E1ED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854319"/>
    <w:multiLevelType w:val="hybridMultilevel"/>
    <w:tmpl w:val="D47E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483683"/>
    <w:multiLevelType w:val="multilevel"/>
    <w:tmpl w:val="2206C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E813B7"/>
    <w:multiLevelType w:val="hybridMultilevel"/>
    <w:tmpl w:val="EF90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977139"/>
    <w:multiLevelType w:val="hybridMultilevel"/>
    <w:tmpl w:val="EB9C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2B1036"/>
    <w:multiLevelType w:val="hybridMultilevel"/>
    <w:tmpl w:val="43045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140BB5"/>
    <w:multiLevelType w:val="multilevel"/>
    <w:tmpl w:val="A8F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684110"/>
    <w:multiLevelType w:val="multilevel"/>
    <w:tmpl w:val="74682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4262CB"/>
    <w:multiLevelType w:val="hybridMultilevel"/>
    <w:tmpl w:val="C534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A10F3C"/>
    <w:multiLevelType w:val="hybridMultilevel"/>
    <w:tmpl w:val="5C6AD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801E1F"/>
    <w:multiLevelType w:val="hybridMultilevel"/>
    <w:tmpl w:val="6CF6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ED0348"/>
    <w:multiLevelType w:val="hybridMultilevel"/>
    <w:tmpl w:val="23B2A63C"/>
    <w:lvl w:ilvl="0" w:tplc="0809000F">
      <w:start w:val="1"/>
      <w:numFmt w:val="decimal"/>
      <w:lvlText w:val="%1."/>
      <w:lvlJc w:val="left"/>
      <w:pPr>
        <w:ind w:left="720" w:hanging="360"/>
      </w:pPr>
    </w:lvl>
    <w:lvl w:ilvl="1" w:tplc="CD8894AC">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E47F33"/>
    <w:multiLevelType w:val="multilevel"/>
    <w:tmpl w:val="5404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098679">
    <w:abstractNumId w:val="32"/>
  </w:num>
  <w:num w:numId="2" w16cid:durableId="1085690034">
    <w:abstractNumId w:val="2"/>
  </w:num>
  <w:num w:numId="3" w16cid:durableId="804662147">
    <w:abstractNumId w:val="16"/>
  </w:num>
  <w:num w:numId="4" w16cid:durableId="18242764">
    <w:abstractNumId w:val="39"/>
  </w:num>
  <w:num w:numId="5" w16cid:durableId="727069709">
    <w:abstractNumId w:val="20"/>
  </w:num>
  <w:num w:numId="6" w16cid:durableId="471169459">
    <w:abstractNumId w:val="33"/>
  </w:num>
  <w:num w:numId="7" w16cid:durableId="566887856">
    <w:abstractNumId w:val="6"/>
  </w:num>
  <w:num w:numId="8" w16cid:durableId="1048803527">
    <w:abstractNumId w:val="3"/>
  </w:num>
  <w:num w:numId="9" w16cid:durableId="315037958">
    <w:abstractNumId w:val="17"/>
  </w:num>
  <w:num w:numId="10" w16cid:durableId="1647928730">
    <w:abstractNumId w:val="9"/>
  </w:num>
  <w:num w:numId="11" w16cid:durableId="985746224">
    <w:abstractNumId w:val="5"/>
  </w:num>
  <w:num w:numId="12" w16cid:durableId="118652633">
    <w:abstractNumId w:val="21"/>
  </w:num>
  <w:num w:numId="13" w16cid:durableId="441344559">
    <w:abstractNumId w:val="22"/>
  </w:num>
  <w:num w:numId="14" w16cid:durableId="1367219374">
    <w:abstractNumId w:val="38"/>
  </w:num>
  <w:num w:numId="15" w16cid:durableId="1278487493">
    <w:abstractNumId w:val="4"/>
  </w:num>
  <w:num w:numId="16" w16cid:durableId="1488788618">
    <w:abstractNumId w:val="26"/>
  </w:num>
  <w:num w:numId="17" w16cid:durableId="2017226694">
    <w:abstractNumId w:val="25"/>
  </w:num>
  <w:num w:numId="18" w16cid:durableId="1759475886">
    <w:abstractNumId w:val="0"/>
  </w:num>
  <w:num w:numId="19" w16cid:durableId="636299565">
    <w:abstractNumId w:val="24"/>
  </w:num>
  <w:num w:numId="20" w16cid:durableId="1781681933">
    <w:abstractNumId w:val="29"/>
  </w:num>
  <w:num w:numId="21" w16cid:durableId="938103676">
    <w:abstractNumId w:val="12"/>
  </w:num>
  <w:num w:numId="22" w16cid:durableId="2123375484">
    <w:abstractNumId w:val="34"/>
  </w:num>
  <w:num w:numId="23" w16cid:durableId="195319533">
    <w:abstractNumId w:val="10"/>
  </w:num>
  <w:num w:numId="24" w16cid:durableId="1950120526">
    <w:abstractNumId w:val="8"/>
  </w:num>
  <w:num w:numId="25" w16cid:durableId="1042946320">
    <w:abstractNumId w:val="13"/>
  </w:num>
  <w:num w:numId="26" w16cid:durableId="816999234">
    <w:abstractNumId w:val="23"/>
  </w:num>
  <w:num w:numId="27" w16cid:durableId="696392734">
    <w:abstractNumId w:val="7"/>
  </w:num>
  <w:num w:numId="28" w16cid:durableId="354237342">
    <w:abstractNumId w:val="41"/>
  </w:num>
  <w:num w:numId="29" w16cid:durableId="553348638">
    <w:abstractNumId w:val="31"/>
  </w:num>
  <w:num w:numId="30" w16cid:durableId="1694648492">
    <w:abstractNumId w:val="42"/>
  </w:num>
  <w:num w:numId="31" w16cid:durableId="527370739">
    <w:abstractNumId w:val="18"/>
  </w:num>
  <w:num w:numId="32" w16cid:durableId="1903054070">
    <w:abstractNumId w:val="15"/>
  </w:num>
  <w:num w:numId="33" w16cid:durableId="707295078">
    <w:abstractNumId w:val="1"/>
  </w:num>
  <w:num w:numId="34" w16cid:durableId="963848614">
    <w:abstractNumId w:val="40"/>
  </w:num>
  <w:num w:numId="35" w16cid:durableId="2070565617">
    <w:abstractNumId w:val="19"/>
  </w:num>
  <w:num w:numId="36" w16cid:durableId="1355230346">
    <w:abstractNumId w:val="36"/>
  </w:num>
  <w:num w:numId="37" w16cid:durableId="567959453">
    <w:abstractNumId w:val="30"/>
  </w:num>
  <w:num w:numId="38" w16cid:durableId="1193106404">
    <w:abstractNumId w:val="28"/>
  </w:num>
  <w:num w:numId="39" w16cid:durableId="1004746550">
    <w:abstractNumId w:val="11"/>
  </w:num>
  <w:num w:numId="40" w16cid:durableId="1991789669">
    <w:abstractNumId w:val="14"/>
  </w:num>
  <w:num w:numId="41" w16cid:durableId="762800499">
    <w:abstractNumId w:val="37"/>
  </w:num>
  <w:num w:numId="42" w16cid:durableId="1519350366">
    <w:abstractNumId w:val="35"/>
  </w:num>
  <w:num w:numId="43" w16cid:durableId="2023586328">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2CA4"/>
    <w:rsid w:val="00004C24"/>
    <w:rsid w:val="0000711F"/>
    <w:rsid w:val="000077BE"/>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5721B"/>
    <w:rsid w:val="0006082E"/>
    <w:rsid w:val="00061B22"/>
    <w:rsid w:val="00063741"/>
    <w:rsid w:val="0006506B"/>
    <w:rsid w:val="00066676"/>
    <w:rsid w:val="00067FC0"/>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B73B6"/>
    <w:rsid w:val="000C0A76"/>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3ABE"/>
    <w:rsid w:val="00115303"/>
    <w:rsid w:val="00120D5E"/>
    <w:rsid w:val="00121E0B"/>
    <w:rsid w:val="00125780"/>
    <w:rsid w:val="00126ACC"/>
    <w:rsid w:val="001274E4"/>
    <w:rsid w:val="00127A02"/>
    <w:rsid w:val="00130B02"/>
    <w:rsid w:val="0013127F"/>
    <w:rsid w:val="001354AC"/>
    <w:rsid w:val="00136215"/>
    <w:rsid w:val="0014435A"/>
    <w:rsid w:val="001518FD"/>
    <w:rsid w:val="00152221"/>
    <w:rsid w:val="00152F46"/>
    <w:rsid w:val="001534BB"/>
    <w:rsid w:val="001547C8"/>
    <w:rsid w:val="0015619C"/>
    <w:rsid w:val="00173F80"/>
    <w:rsid w:val="00175F11"/>
    <w:rsid w:val="0017745F"/>
    <w:rsid w:val="00181D0D"/>
    <w:rsid w:val="0018362A"/>
    <w:rsid w:val="00183BD9"/>
    <w:rsid w:val="00184365"/>
    <w:rsid w:val="001866FE"/>
    <w:rsid w:val="001905A1"/>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0368"/>
    <w:rsid w:val="00200B6B"/>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622"/>
    <w:rsid w:val="002729AB"/>
    <w:rsid w:val="00277215"/>
    <w:rsid w:val="00282761"/>
    <w:rsid w:val="00285B99"/>
    <w:rsid w:val="00285D9A"/>
    <w:rsid w:val="0029028B"/>
    <w:rsid w:val="00290662"/>
    <w:rsid w:val="002918C2"/>
    <w:rsid w:val="002A30F5"/>
    <w:rsid w:val="002A4456"/>
    <w:rsid w:val="002B1999"/>
    <w:rsid w:val="002B3BCC"/>
    <w:rsid w:val="002B46B0"/>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49C9"/>
    <w:rsid w:val="002D5653"/>
    <w:rsid w:val="002E0046"/>
    <w:rsid w:val="002E008B"/>
    <w:rsid w:val="002E1940"/>
    <w:rsid w:val="002E2F2F"/>
    <w:rsid w:val="002E33F4"/>
    <w:rsid w:val="002E3FF6"/>
    <w:rsid w:val="002E66DC"/>
    <w:rsid w:val="002F07C9"/>
    <w:rsid w:val="002F0C52"/>
    <w:rsid w:val="002F1535"/>
    <w:rsid w:val="002F1A1D"/>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17CE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821"/>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97870"/>
    <w:rsid w:val="003A1F52"/>
    <w:rsid w:val="003A3071"/>
    <w:rsid w:val="003A49BF"/>
    <w:rsid w:val="003A520E"/>
    <w:rsid w:val="003A54FF"/>
    <w:rsid w:val="003A5961"/>
    <w:rsid w:val="003A65D7"/>
    <w:rsid w:val="003B03F0"/>
    <w:rsid w:val="003B1C61"/>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588"/>
    <w:rsid w:val="003E4F13"/>
    <w:rsid w:val="003E5020"/>
    <w:rsid w:val="003E655C"/>
    <w:rsid w:val="003E65F7"/>
    <w:rsid w:val="003E7E62"/>
    <w:rsid w:val="003F17FD"/>
    <w:rsid w:val="003F1F3F"/>
    <w:rsid w:val="003F21AB"/>
    <w:rsid w:val="003F3BF3"/>
    <w:rsid w:val="003F623B"/>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6E6E"/>
    <w:rsid w:val="00437924"/>
    <w:rsid w:val="00437FE2"/>
    <w:rsid w:val="00440D09"/>
    <w:rsid w:val="00442F9A"/>
    <w:rsid w:val="00444398"/>
    <w:rsid w:val="00454084"/>
    <w:rsid w:val="004551F4"/>
    <w:rsid w:val="00455D1D"/>
    <w:rsid w:val="00457746"/>
    <w:rsid w:val="004579B0"/>
    <w:rsid w:val="004642B1"/>
    <w:rsid w:val="00465015"/>
    <w:rsid w:val="004658DA"/>
    <w:rsid w:val="0046654B"/>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0F"/>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3FD1"/>
    <w:rsid w:val="004D4734"/>
    <w:rsid w:val="004D53AE"/>
    <w:rsid w:val="004E4117"/>
    <w:rsid w:val="004E6475"/>
    <w:rsid w:val="004F3288"/>
    <w:rsid w:val="004F3B1E"/>
    <w:rsid w:val="004F3C71"/>
    <w:rsid w:val="004F427A"/>
    <w:rsid w:val="004F4DA3"/>
    <w:rsid w:val="004F50C5"/>
    <w:rsid w:val="004F7ABE"/>
    <w:rsid w:val="00504F04"/>
    <w:rsid w:val="005102EF"/>
    <w:rsid w:val="0051180E"/>
    <w:rsid w:val="00522F49"/>
    <w:rsid w:val="00524792"/>
    <w:rsid w:val="0052611A"/>
    <w:rsid w:val="00530940"/>
    <w:rsid w:val="0053288A"/>
    <w:rsid w:val="00532D40"/>
    <w:rsid w:val="00534C02"/>
    <w:rsid w:val="00534C8E"/>
    <w:rsid w:val="00536C23"/>
    <w:rsid w:val="00542737"/>
    <w:rsid w:val="00543FF1"/>
    <w:rsid w:val="00546AD7"/>
    <w:rsid w:val="0054770E"/>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86F3F"/>
    <w:rsid w:val="005877C3"/>
    <w:rsid w:val="00591F65"/>
    <w:rsid w:val="00594177"/>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B03"/>
    <w:rsid w:val="005D4F47"/>
    <w:rsid w:val="005D6353"/>
    <w:rsid w:val="005E187C"/>
    <w:rsid w:val="005E1969"/>
    <w:rsid w:val="005E1F4D"/>
    <w:rsid w:val="005E22E6"/>
    <w:rsid w:val="005E2A7C"/>
    <w:rsid w:val="005E36DD"/>
    <w:rsid w:val="005E3C11"/>
    <w:rsid w:val="005E3C32"/>
    <w:rsid w:val="005F3F80"/>
    <w:rsid w:val="005F4513"/>
    <w:rsid w:val="005F69B5"/>
    <w:rsid w:val="005F6B00"/>
    <w:rsid w:val="00601F9C"/>
    <w:rsid w:val="00602B8C"/>
    <w:rsid w:val="00604F9D"/>
    <w:rsid w:val="00607E21"/>
    <w:rsid w:val="00610386"/>
    <w:rsid w:val="00610ED3"/>
    <w:rsid w:val="00611294"/>
    <w:rsid w:val="006123CD"/>
    <w:rsid w:val="006127A7"/>
    <w:rsid w:val="00612AC0"/>
    <w:rsid w:val="0061425E"/>
    <w:rsid w:val="006171F6"/>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0321"/>
    <w:rsid w:val="00651ED8"/>
    <w:rsid w:val="00651F00"/>
    <w:rsid w:val="00653B04"/>
    <w:rsid w:val="00655D77"/>
    <w:rsid w:val="006562CF"/>
    <w:rsid w:val="006569A2"/>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3405"/>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1AB2"/>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0A4E"/>
    <w:rsid w:val="007227E3"/>
    <w:rsid w:val="00726153"/>
    <w:rsid w:val="00730A2D"/>
    <w:rsid w:val="00730BF6"/>
    <w:rsid w:val="007344FD"/>
    <w:rsid w:val="0073470F"/>
    <w:rsid w:val="007351CE"/>
    <w:rsid w:val="007402C4"/>
    <w:rsid w:val="0074349C"/>
    <w:rsid w:val="00744B84"/>
    <w:rsid w:val="00744C21"/>
    <w:rsid w:val="00745234"/>
    <w:rsid w:val="00745DDA"/>
    <w:rsid w:val="00751E98"/>
    <w:rsid w:val="007571EC"/>
    <w:rsid w:val="00761CA1"/>
    <w:rsid w:val="007621EF"/>
    <w:rsid w:val="00765F3E"/>
    <w:rsid w:val="00771755"/>
    <w:rsid w:val="00771766"/>
    <w:rsid w:val="00771F83"/>
    <w:rsid w:val="00772A34"/>
    <w:rsid w:val="00773D8E"/>
    <w:rsid w:val="0078081B"/>
    <w:rsid w:val="00784722"/>
    <w:rsid w:val="00785215"/>
    <w:rsid w:val="00786CEA"/>
    <w:rsid w:val="00791B43"/>
    <w:rsid w:val="007928A3"/>
    <w:rsid w:val="007A08F1"/>
    <w:rsid w:val="007A3FF1"/>
    <w:rsid w:val="007A477D"/>
    <w:rsid w:val="007B0DD5"/>
    <w:rsid w:val="007B1F70"/>
    <w:rsid w:val="007B268F"/>
    <w:rsid w:val="007B3992"/>
    <w:rsid w:val="007B40E3"/>
    <w:rsid w:val="007B4FEC"/>
    <w:rsid w:val="007B5596"/>
    <w:rsid w:val="007B71E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7F6CFC"/>
    <w:rsid w:val="00803358"/>
    <w:rsid w:val="0080705C"/>
    <w:rsid w:val="00812328"/>
    <w:rsid w:val="00813E37"/>
    <w:rsid w:val="00814C66"/>
    <w:rsid w:val="0081656D"/>
    <w:rsid w:val="0082028C"/>
    <w:rsid w:val="00820BB0"/>
    <w:rsid w:val="00825A17"/>
    <w:rsid w:val="00826A9E"/>
    <w:rsid w:val="0083155B"/>
    <w:rsid w:val="00834040"/>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77A7A"/>
    <w:rsid w:val="008808D5"/>
    <w:rsid w:val="00880EC7"/>
    <w:rsid w:val="00885979"/>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052D"/>
    <w:rsid w:val="008D1F0B"/>
    <w:rsid w:val="008D2557"/>
    <w:rsid w:val="008E3AFC"/>
    <w:rsid w:val="008E715C"/>
    <w:rsid w:val="008E717D"/>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4066B"/>
    <w:rsid w:val="00950E92"/>
    <w:rsid w:val="00951717"/>
    <w:rsid w:val="00953DFE"/>
    <w:rsid w:val="00953E47"/>
    <w:rsid w:val="00954D27"/>
    <w:rsid w:val="009551B5"/>
    <w:rsid w:val="0095651D"/>
    <w:rsid w:val="009600F2"/>
    <w:rsid w:val="0096371A"/>
    <w:rsid w:val="00966112"/>
    <w:rsid w:val="00966B98"/>
    <w:rsid w:val="00967681"/>
    <w:rsid w:val="009704C8"/>
    <w:rsid w:val="00972982"/>
    <w:rsid w:val="00973D5E"/>
    <w:rsid w:val="00974560"/>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6AE7"/>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17A1"/>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1D88"/>
    <w:rsid w:val="00B0466E"/>
    <w:rsid w:val="00B05F1F"/>
    <w:rsid w:val="00B13DA3"/>
    <w:rsid w:val="00B175F4"/>
    <w:rsid w:val="00B25C5A"/>
    <w:rsid w:val="00B26738"/>
    <w:rsid w:val="00B3065D"/>
    <w:rsid w:val="00B31A73"/>
    <w:rsid w:val="00B31CFF"/>
    <w:rsid w:val="00B41166"/>
    <w:rsid w:val="00B4179B"/>
    <w:rsid w:val="00B42F1E"/>
    <w:rsid w:val="00B435C3"/>
    <w:rsid w:val="00B43A8A"/>
    <w:rsid w:val="00B4636E"/>
    <w:rsid w:val="00B46620"/>
    <w:rsid w:val="00B47A95"/>
    <w:rsid w:val="00B52E21"/>
    <w:rsid w:val="00B5396E"/>
    <w:rsid w:val="00B555C4"/>
    <w:rsid w:val="00B557E4"/>
    <w:rsid w:val="00B55873"/>
    <w:rsid w:val="00B55AAC"/>
    <w:rsid w:val="00B57F1F"/>
    <w:rsid w:val="00B60C75"/>
    <w:rsid w:val="00B60E56"/>
    <w:rsid w:val="00B6202C"/>
    <w:rsid w:val="00B643CD"/>
    <w:rsid w:val="00B650C1"/>
    <w:rsid w:val="00B67033"/>
    <w:rsid w:val="00B71066"/>
    <w:rsid w:val="00B73660"/>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11F"/>
    <w:rsid w:val="00BB234E"/>
    <w:rsid w:val="00BB321B"/>
    <w:rsid w:val="00BB381E"/>
    <w:rsid w:val="00BB42C2"/>
    <w:rsid w:val="00BB75C9"/>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C11"/>
    <w:rsid w:val="00BE5DC5"/>
    <w:rsid w:val="00BE68F8"/>
    <w:rsid w:val="00BE7F30"/>
    <w:rsid w:val="00BF0D11"/>
    <w:rsid w:val="00BF13A1"/>
    <w:rsid w:val="00BF3DEB"/>
    <w:rsid w:val="00BF5146"/>
    <w:rsid w:val="00BF732C"/>
    <w:rsid w:val="00C02E25"/>
    <w:rsid w:val="00C04405"/>
    <w:rsid w:val="00C05E74"/>
    <w:rsid w:val="00C0601A"/>
    <w:rsid w:val="00C12133"/>
    <w:rsid w:val="00C13FE0"/>
    <w:rsid w:val="00C14760"/>
    <w:rsid w:val="00C14A04"/>
    <w:rsid w:val="00C17F99"/>
    <w:rsid w:val="00C20625"/>
    <w:rsid w:val="00C216EB"/>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A94"/>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711AA"/>
    <w:rsid w:val="00C8004A"/>
    <w:rsid w:val="00C819B8"/>
    <w:rsid w:val="00C81DDF"/>
    <w:rsid w:val="00C855B7"/>
    <w:rsid w:val="00C9001B"/>
    <w:rsid w:val="00C9127D"/>
    <w:rsid w:val="00C91737"/>
    <w:rsid w:val="00C972A3"/>
    <w:rsid w:val="00CA07C4"/>
    <w:rsid w:val="00CA0CC3"/>
    <w:rsid w:val="00CA16A3"/>
    <w:rsid w:val="00CA1C2A"/>
    <w:rsid w:val="00CA40BE"/>
    <w:rsid w:val="00CA571E"/>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67"/>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D14"/>
    <w:rsid w:val="00D50E86"/>
    <w:rsid w:val="00D53FC3"/>
    <w:rsid w:val="00D555EE"/>
    <w:rsid w:val="00D5585D"/>
    <w:rsid w:val="00D565AE"/>
    <w:rsid w:val="00D5678C"/>
    <w:rsid w:val="00D60014"/>
    <w:rsid w:val="00D61D58"/>
    <w:rsid w:val="00D62FFD"/>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E2885"/>
    <w:rsid w:val="00DE6C15"/>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132B"/>
    <w:rsid w:val="00E82AAF"/>
    <w:rsid w:val="00E835BE"/>
    <w:rsid w:val="00E9001E"/>
    <w:rsid w:val="00E90713"/>
    <w:rsid w:val="00E94197"/>
    <w:rsid w:val="00E94FB8"/>
    <w:rsid w:val="00E96693"/>
    <w:rsid w:val="00E96A34"/>
    <w:rsid w:val="00E96B7E"/>
    <w:rsid w:val="00EA01F8"/>
    <w:rsid w:val="00EA04C6"/>
    <w:rsid w:val="00EA062E"/>
    <w:rsid w:val="00EA38FA"/>
    <w:rsid w:val="00EA4184"/>
    <w:rsid w:val="00EA4244"/>
    <w:rsid w:val="00EA440C"/>
    <w:rsid w:val="00EB1D2A"/>
    <w:rsid w:val="00EB40DB"/>
    <w:rsid w:val="00EB4CB9"/>
    <w:rsid w:val="00EB5017"/>
    <w:rsid w:val="00EB5131"/>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3A0E"/>
    <w:rsid w:val="00EE47A7"/>
    <w:rsid w:val="00EE5EF8"/>
    <w:rsid w:val="00EE6CBD"/>
    <w:rsid w:val="00EE76F1"/>
    <w:rsid w:val="00EE7B7F"/>
    <w:rsid w:val="00EF03A1"/>
    <w:rsid w:val="00EF1036"/>
    <w:rsid w:val="00EF277A"/>
    <w:rsid w:val="00EF4094"/>
    <w:rsid w:val="00EF4802"/>
    <w:rsid w:val="00F02946"/>
    <w:rsid w:val="00F02DF8"/>
    <w:rsid w:val="00F03EE2"/>
    <w:rsid w:val="00F0796A"/>
    <w:rsid w:val="00F12722"/>
    <w:rsid w:val="00F13DD4"/>
    <w:rsid w:val="00F1595B"/>
    <w:rsid w:val="00F172B1"/>
    <w:rsid w:val="00F210AA"/>
    <w:rsid w:val="00F25C06"/>
    <w:rsid w:val="00F30805"/>
    <w:rsid w:val="00F35669"/>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3CDB"/>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6D22"/>
    <w:rsid w:val="00FB7025"/>
    <w:rsid w:val="00FC4795"/>
    <w:rsid w:val="00FC6068"/>
    <w:rsid w:val="00FC7BF2"/>
    <w:rsid w:val="00FD068E"/>
    <w:rsid w:val="00FD12CC"/>
    <w:rsid w:val="00FD383D"/>
    <w:rsid w:val="00FD5898"/>
    <w:rsid w:val="00FD5A2B"/>
    <w:rsid w:val="00FD6D2B"/>
    <w:rsid w:val="00FE05FE"/>
    <w:rsid w:val="00FE3D3F"/>
    <w:rsid w:val="00FE55A3"/>
    <w:rsid w:val="00FE58A0"/>
    <w:rsid w:val="00FF0B2C"/>
    <w:rsid w:val="00FF0C8A"/>
    <w:rsid w:val="00FF123A"/>
    <w:rsid w:val="00FF2457"/>
    <w:rsid w:val="00FF524C"/>
    <w:rsid w:val="00FF7FC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A2"/>
    <w:pPr>
      <w:spacing w:after="0" w:line="360" w:lineRule="auto"/>
      <w:jc w:val="both"/>
    </w:pPr>
    <w:rPr>
      <w:rFonts w:ascii="Arial" w:eastAsia="Times New Roman" w:hAnsi="Arial"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EA4184"/>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EA4184"/>
    <w:rPr>
      <w:rFonts w:ascii="Arial" w:eastAsiaTheme="majorEastAsia" w:hAnsi="Arial"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cs="Arial"/>
      <w:color w:val="000000"/>
      <w:sz w:val="17"/>
      <w:szCs w:val="17"/>
    </w:rPr>
  </w:style>
  <w:style w:type="paragraph" w:customStyle="1" w:styleId="p2">
    <w:name w:val="p2"/>
    <w:basedOn w:val="Normal"/>
    <w:rsid w:val="00856D27"/>
    <w:pPr>
      <w:spacing w:line="240" w:lineRule="auto"/>
      <w:jc w:val="left"/>
    </w:pPr>
    <w:rPr>
      <w:rFonts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74279304">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35558190">
      <w:bodyDiv w:val="1"/>
      <w:marLeft w:val="0"/>
      <w:marRight w:val="0"/>
      <w:marTop w:val="0"/>
      <w:marBottom w:val="0"/>
      <w:divBdr>
        <w:top w:val="none" w:sz="0" w:space="0" w:color="auto"/>
        <w:left w:val="none" w:sz="0" w:space="0" w:color="auto"/>
        <w:bottom w:val="none" w:sz="0" w:space="0" w:color="auto"/>
        <w:right w:val="none" w:sz="0" w:space="0" w:color="auto"/>
      </w:divBdr>
      <w:divsChild>
        <w:div w:id="526797579">
          <w:marLeft w:val="0"/>
          <w:marRight w:val="0"/>
          <w:marTop w:val="0"/>
          <w:marBottom w:val="0"/>
          <w:divBdr>
            <w:top w:val="none" w:sz="0" w:space="0" w:color="auto"/>
            <w:left w:val="none" w:sz="0" w:space="0" w:color="auto"/>
            <w:bottom w:val="none" w:sz="0" w:space="0" w:color="auto"/>
            <w:right w:val="none" w:sz="0" w:space="0" w:color="auto"/>
          </w:divBdr>
        </w:div>
      </w:divsChild>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444693">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84183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0813399">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875657">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0644250">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7739287">
      <w:bodyDiv w:val="1"/>
      <w:marLeft w:val="0"/>
      <w:marRight w:val="0"/>
      <w:marTop w:val="0"/>
      <w:marBottom w:val="0"/>
      <w:divBdr>
        <w:top w:val="none" w:sz="0" w:space="0" w:color="auto"/>
        <w:left w:val="none" w:sz="0" w:space="0" w:color="auto"/>
        <w:bottom w:val="none" w:sz="0" w:space="0" w:color="auto"/>
        <w:right w:val="none" w:sz="0" w:space="0" w:color="auto"/>
      </w:divBdr>
      <w:divsChild>
        <w:div w:id="321743777">
          <w:marLeft w:val="0"/>
          <w:marRight w:val="0"/>
          <w:marTop w:val="0"/>
          <w:marBottom w:val="0"/>
          <w:divBdr>
            <w:top w:val="none" w:sz="0" w:space="0" w:color="auto"/>
            <w:left w:val="none" w:sz="0" w:space="0" w:color="auto"/>
            <w:bottom w:val="none" w:sz="0" w:space="0" w:color="auto"/>
            <w:right w:val="none" w:sz="0" w:space="0" w:color="auto"/>
          </w:divBdr>
        </w:div>
      </w:divsChild>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57778700">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57002212">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2652466">
      <w:bodyDiv w:val="1"/>
      <w:marLeft w:val="0"/>
      <w:marRight w:val="0"/>
      <w:marTop w:val="0"/>
      <w:marBottom w:val="0"/>
      <w:divBdr>
        <w:top w:val="none" w:sz="0" w:space="0" w:color="auto"/>
        <w:left w:val="none" w:sz="0" w:space="0" w:color="auto"/>
        <w:bottom w:val="none" w:sz="0" w:space="0" w:color="auto"/>
        <w:right w:val="none" w:sz="0" w:space="0" w:color="auto"/>
      </w:divBdr>
      <w:divsChild>
        <w:div w:id="868033844">
          <w:marLeft w:val="0"/>
          <w:marRight w:val="0"/>
          <w:marTop w:val="0"/>
          <w:marBottom w:val="0"/>
          <w:divBdr>
            <w:top w:val="none" w:sz="0" w:space="0" w:color="auto"/>
            <w:left w:val="none" w:sz="0" w:space="0" w:color="auto"/>
            <w:bottom w:val="none" w:sz="0" w:space="0" w:color="auto"/>
            <w:right w:val="none" w:sz="0" w:space="0" w:color="auto"/>
          </w:divBdr>
        </w:div>
      </w:divsChild>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1826381">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69532397">
      <w:bodyDiv w:val="1"/>
      <w:marLeft w:val="0"/>
      <w:marRight w:val="0"/>
      <w:marTop w:val="0"/>
      <w:marBottom w:val="0"/>
      <w:divBdr>
        <w:top w:val="none" w:sz="0" w:space="0" w:color="auto"/>
        <w:left w:val="none" w:sz="0" w:space="0" w:color="auto"/>
        <w:bottom w:val="none" w:sz="0" w:space="0" w:color="auto"/>
        <w:right w:val="none" w:sz="0" w:space="0" w:color="auto"/>
      </w:divBdr>
      <w:divsChild>
        <w:div w:id="832257034">
          <w:marLeft w:val="0"/>
          <w:marRight w:val="0"/>
          <w:marTop w:val="0"/>
          <w:marBottom w:val="0"/>
          <w:divBdr>
            <w:top w:val="none" w:sz="0" w:space="0" w:color="auto"/>
            <w:left w:val="none" w:sz="0" w:space="0" w:color="auto"/>
            <w:bottom w:val="none" w:sz="0" w:space="0" w:color="auto"/>
            <w:right w:val="none" w:sz="0" w:space="0" w:color="auto"/>
          </w:divBdr>
        </w:div>
      </w:divsChild>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5020115">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2544116">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23322039.2025.2602344" TargetMode="External"/><Relationship Id="rId21" Type="http://schemas.openxmlformats.org/officeDocument/2006/relationships/hyperlink" Target="https://doi.org/10.3982/ecta16599" TargetMode="External"/><Relationship Id="rId42" Type="http://schemas.openxmlformats.org/officeDocument/2006/relationships/hyperlink" Target="https://doi.org/10.5195/emaj.2021.221" TargetMode="External"/><Relationship Id="rId47" Type="http://schemas.openxmlformats.org/officeDocument/2006/relationships/hyperlink" Target="https://doi.org/10.1016/j.gfj.2021.100609" TargetMode="External"/><Relationship Id="rId63" Type="http://schemas.openxmlformats.org/officeDocument/2006/relationships/hyperlink" Target="https://doi.org/10.1016/j.joitmc.2025.100712" TargetMode="External"/><Relationship Id="rId68" Type="http://schemas.openxmlformats.org/officeDocument/2006/relationships/hyperlink" Target="https://doi.org/10.1177/11771801221085353" TargetMode="External"/><Relationship Id="rId2" Type="http://schemas.openxmlformats.org/officeDocument/2006/relationships/numbering" Target="numbering.xml"/><Relationship Id="rId16" Type="http://schemas.openxmlformats.org/officeDocument/2006/relationships/hyperlink" Target="https://doi.org/10.1080/23322039.2022.2101224" TargetMode="External"/><Relationship Id="rId29" Type="http://schemas.openxmlformats.org/officeDocument/2006/relationships/hyperlink" Target="https://www.closebrothers.com/system/files/rrp/reports/CBGAnnualReport2021.pdf?utm_source=chatgpt.com" TargetMode="External"/><Relationship Id="rId11" Type="http://schemas.openxmlformats.org/officeDocument/2006/relationships/image" Target="media/image4.jpeg"/><Relationship Id="rId24" Type="http://schemas.openxmlformats.org/officeDocument/2006/relationships/hyperlink" Target="https://doi.org/10.46977/amt.2024.v05i01.003" TargetMode="External"/><Relationship Id="rId32" Type="http://schemas.openxmlformats.org/officeDocument/2006/relationships/hyperlink" Target="https://www.closebrothers.com/sites/default/files/ARA%20digital%202022/Strategy%20and%20Key%20Performance%20Indicators.pdf?utm_source=chatgpt.com" TargetMode="External"/><Relationship Id="rId37" Type="http://schemas.openxmlformats.org/officeDocument/2006/relationships/hyperlink" Target="https://doi.org/10.1016/j.jwb.2023.101488" TargetMode="External"/><Relationship Id="rId40" Type="http://schemas.openxmlformats.org/officeDocument/2006/relationships/hyperlink" Target="https://doi.org/10.1108/jeim-03-2021-0155" TargetMode="External"/><Relationship Id="rId45" Type="http://schemas.openxmlformats.org/officeDocument/2006/relationships/hyperlink" Target="https://doi.org/10.1007/978-3-031-86224-3_6" TargetMode="External"/><Relationship Id="rId53" Type="http://schemas.openxmlformats.org/officeDocument/2006/relationships/hyperlink" Target="https://doi.org/10.1016/j.measen.2023.100756" TargetMode="External"/><Relationship Id="rId58" Type="http://schemas.openxmlformats.org/officeDocument/2006/relationships/hyperlink" Target="https://doi.org/10.1108/ajeb-07-2022-0092" TargetMode="External"/><Relationship Id="rId66" Type="http://schemas.openxmlformats.org/officeDocument/2006/relationships/hyperlink" Target="https://doi.org/10.37502/ijsmr.2023.6606"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02/bse.3259" TargetMode="External"/><Relationship Id="rId19" Type="http://schemas.openxmlformats.org/officeDocument/2006/relationships/hyperlink" Target="https://doi.org/10.1177/09721509221101102" TargetMode="External"/><Relationship Id="rId14" Type="http://schemas.openxmlformats.org/officeDocument/2006/relationships/image" Target="media/image7.png"/><Relationship Id="rId22" Type="http://schemas.openxmlformats.org/officeDocument/2006/relationships/hyperlink" Target="https://doi.org/10.1186/s40862-022-00184-z" TargetMode="External"/><Relationship Id="rId27" Type="http://schemas.openxmlformats.org/officeDocument/2006/relationships/hyperlink" Target="https://www.closebrothers.com/system/files/rrp/reports/CBG_Annual_Report_2019.pdf?utm_source=chatgpt.com" TargetMode="External"/><Relationship Id="rId30" Type="http://schemas.openxmlformats.org/officeDocument/2006/relationships/hyperlink" Target="https://www.closebrothers.com/sites/default/files/Annual%20Report%202021/Strategy%20and%20Key%20Performance%20Indicators.pdf?utm_source=chatgpt.com" TargetMode="External"/><Relationship Id="rId35" Type="http://schemas.openxmlformats.org/officeDocument/2006/relationships/hyperlink" Target="https://doi.org/10.1016/j.ribaf.2025.103251" TargetMode="External"/><Relationship Id="rId43" Type="http://schemas.openxmlformats.org/officeDocument/2006/relationships/hyperlink" Target="https://doi.org/10.3390/buildings12060701" TargetMode="External"/><Relationship Id="rId48" Type="http://schemas.openxmlformats.org/officeDocument/2006/relationships/hyperlink" Target="https://doi.org/10.1002/csr.2256" TargetMode="External"/><Relationship Id="rId56" Type="http://schemas.openxmlformats.org/officeDocument/2006/relationships/hyperlink" Target="https://doi.org/10.3390/risks9120211" TargetMode="External"/><Relationship Id="rId64" Type="http://schemas.openxmlformats.org/officeDocument/2006/relationships/hyperlink" Target="https://doi.org/10.1016/j.jbusres.2019.07.039" TargetMode="External"/><Relationship Id="rId69" Type="http://schemas.openxmlformats.org/officeDocument/2006/relationships/hyperlink" Target="https://journals.sagepub.com/doi/full/10.1177/16094069211045474" TargetMode="External"/><Relationship Id="rId8" Type="http://schemas.openxmlformats.org/officeDocument/2006/relationships/image" Target="media/image1.png"/><Relationship Id="rId51" Type="http://schemas.openxmlformats.org/officeDocument/2006/relationships/hyperlink" Target="https://doi.org/10.1016/j.eap.2023.02.001" TargetMode="External"/><Relationship Id="rId72" Type="http://schemas.openxmlformats.org/officeDocument/2006/relationships/hyperlink" Target="https://doi.org/10.3390/jrfm1404016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0525/ijrbs.v10i3.1102" TargetMode="External"/><Relationship Id="rId25" Type="http://schemas.openxmlformats.org/officeDocument/2006/relationships/hyperlink" Target="https://doi.org/10.1177/16094069231180160" TargetMode="External"/><Relationship Id="rId33" Type="http://schemas.openxmlformats.org/officeDocument/2006/relationships/hyperlink" Target="https://www.closebrothers.com/system/files/rrp/reports/CBG%20Annual%20Report%202023.pdf?utm_source=chatgpt.com" TargetMode="External"/><Relationship Id="rId38" Type="http://schemas.openxmlformats.org/officeDocument/2006/relationships/hyperlink" Target="https://doi.org/10.1080/13645579.2024.2357558" TargetMode="External"/><Relationship Id="rId46" Type="http://schemas.openxmlformats.org/officeDocument/2006/relationships/hyperlink" Target="https://doi.org/10.1080/23311975.2021.1997246" TargetMode="External"/><Relationship Id="rId59" Type="http://schemas.openxmlformats.org/officeDocument/2006/relationships/hyperlink" Target="https://doi.org/10.30574/wjarr.2024.23.1.2206" TargetMode="External"/><Relationship Id="rId67" Type="http://schemas.openxmlformats.org/officeDocument/2006/relationships/hyperlink" Target="https://doi.org/10.3390/economies9040153" TargetMode="External"/><Relationship Id="rId20" Type="http://schemas.openxmlformats.org/officeDocument/2006/relationships/hyperlink" Target="https://doi.org/10.1108/jmb-08-2021-0032" TargetMode="External"/><Relationship Id="rId41" Type="http://schemas.openxmlformats.org/officeDocument/2006/relationships/hyperlink" Target="https://doi.org/10.1016/j.jrt.2023.100070" TargetMode="External"/><Relationship Id="rId54" Type="http://schemas.openxmlformats.org/officeDocument/2006/relationships/hyperlink" Target="https://doi.org/10.1080/23322039.2024.2351374" TargetMode="External"/><Relationship Id="rId62" Type="http://schemas.openxmlformats.org/officeDocument/2006/relationships/hyperlink" Target="https://doi.org/10.1108/ajar-08-2020-0071" TargetMode="External"/><Relationship Id="rId70" Type="http://schemas.openxmlformats.org/officeDocument/2006/relationships/hyperlink" Target="https://doi.org/10.1016/j.chaos.2024.115599"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arj-07-2021-0212" TargetMode="External"/><Relationship Id="rId23" Type="http://schemas.openxmlformats.org/officeDocument/2006/relationships/hyperlink" Target="https://doi.org/10.1016/j.jbusres.2021.12.078" TargetMode="External"/><Relationship Id="rId28" Type="http://schemas.openxmlformats.org/officeDocument/2006/relationships/hyperlink" Target="https://www.closebrothers.com/system/files/rrp/reports/CBG_Annual%20Report_2020.pdf?utm_source=chatgpt.com" TargetMode="External"/><Relationship Id="rId36" Type="http://schemas.openxmlformats.org/officeDocument/2006/relationships/hyperlink" Target="https://doi.org/10.53771/ijstra.2021.1.2.0052" TargetMode="External"/><Relationship Id="rId49" Type="http://schemas.openxmlformats.org/officeDocument/2006/relationships/hyperlink" Target="https://doi.org/10.3390/su14159786" TargetMode="External"/><Relationship Id="rId57" Type="http://schemas.openxmlformats.org/officeDocument/2006/relationships/hyperlink" Target="https://doi.org/10.1108/jfrc-12-2021-0117" TargetMode="External"/><Relationship Id="rId10" Type="http://schemas.openxmlformats.org/officeDocument/2006/relationships/image" Target="media/image3.png"/><Relationship Id="rId31" Type="http://schemas.openxmlformats.org/officeDocument/2006/relationships/hyperlink" Target="https://www.closebrothers.com/system/files/rrp/reports/CBGAnnualReport2022_0.pdf?utm_source=chatgpt.com" TargetMode="External"/><Relationship Id="rId44" Type="http://schemas.openxmlformats.org/officeDocument/2006/relationships/hyperlink" Target="https://doi.org/10.30741/assets.v7i2.1030" TargetMode="External"/><Relationship Id="rId52" Type="http://schemas.openxmlformats.org/officeDocument/2006/relationships/hyperlink" Target="https://doi.org/10.3390/jrfm14120566" TargetMode="External"/><Relationship Id="rId60" Type="http://schemas.openxmlformats.org/officeDocument/2006/relationships/hyperlink" Target="https://doi.org/10.51551/verimlilik.1626476" TargetMode="External"/><Relationship Id="rId65" Type="http://schemas.openxmlformats.org/officeDocument/2006/relationships/hyperlink" Target="https://doi.org/10.1057/s41283-022-00107-9"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21070/jas.v5i2.1530" TargetMode="External"/><Relationship Id="rId39" Type="http://schemas.openxmlformats.org/officeDocument/2006/relationships/hyperlink" Target="https://doi.org/10.1108/jmtm-08-2020-0304" TargetMode="External"/><Relationship Id="rId34" Type="http://schemas.openxmlformats.org/officeDocument/2006/relationships/hyperlink" Target="https://www.closebrothers.com/system/files/rrp/reports/CBG%20Annual%20Report%202024_0.pdf?utm_source=chatgpt.com" TargetMode="External"/><Relationship Id="rId50" Type="http://schemas.openxmlformats.org/officeDocument/2006/relationships/hyperlink" Target="https://doi.org/10.1080/1743727x.2022.2110231" TargetMode="External"/><Relationship Id="rId55" Type="http://schemas.openxmlformats.org/officeDocument/2006/relationships/hyperlink" Target="https://doi.org/10.1002/lary.30817" TargetMode="External"/><Relationship Id="rId7" Type="http://schemas.openxmlformats.org/officeDocument/2006/relationships/endnotes" Target="endnotes.xml"/><Relationship Id="rId71" Type="http://schemas.openxmlformats.org/officeDocument/2006/relationships/hyperlink" Target="https://doi.org/10.1016/j.irfa.2022.102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19884</Words>
  <Characters>113341</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2026-01-29T20:18:00Z</dcterms:created>
  <dcterms:modified xsi:type="dcterms:W3CDTF">2026-02-01T22:02:00Z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dabe356fdacd091f57782daa0773ffae8e052a6f99947671dd0827ee3e7e6852</vt:lpwstr>
  </property>
</Properties>
</file>