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4D6C" w14:textId="77777777" w:rsidR="00FC7452" w:rsidRPr="00F34358" w:rsidRDefault="00BC68A4" w:rsidP="00D30E27">
      <w:pPr>
        <w:spacing w:after="160" w:line="280" w:lineRule="auto"/>
        <w:jc w:val="center"/>
        <w:rPr>
          <w:b/>
          <w:bCs/>
          <w:color w:val="156082" w:themeColor="accent1"/>
          <w:sz w:val="24"/>
          <w:szCs w:val="24"/>
        </w:rPr>
      </w:pPr>
      <w:r>
        <w:rPr>
          <w:b/>
          <w:bCs/>
          <w:color w:val="156082" w:themeColor="accent1"/>
          <w:sz w:val="24"/>
          <w:szCs w:val="24"/>
        </w:rPr>
        <w:t>BA (Hons) Leadership and Management Skills for the Workplace</w:t>
      </w:r>
    </w:p>
    <w:p w14:paraId="07C43062" w14:textId="77777777" w:rsidR="00F34358" w:rsidRPr="00F34358" w:rsidRDefault="00837123" w:rsidP="00F34358">
      <w:pPr>
        <w:spacing w:after="160" w:line="280" w:lineRule="auto"/>
        <w:jc w:val="center"/>
      </w:pPr>
      <w:r>
        <w:rPr>
          <w:noProof/>
        </w:rPr>
        <mc:AlternateContent>
          <mc:Choice Requires="wps">
            <w:drawing>
              <wp:anchor distT="0" distB="0" distL="114300" distR="114300" simplePos="0" relativeHeight="251660288" behindDoc="0" locked="0" layoutInCell="1" allowOverlap="1" wp14:anchorId="4F664828" wp14:editId="5343707D">
                <wp:simplePos x="0" y="0"/>
                <wp:positionH relativeFrom="column">
                  <wp:posOffset>138362</wp:posOffset>
                </wp:positionH>
                <wp:positionV relativeFrom="paragraph">
                  <wp:posOffset>6751</wp:posOffset>
                </wp:positionV>
                <wp:extent cx="5739063" cy="48126"/>
                <wp:effectExtent l="0" t="0" r="33655" b="28575"/>
                <wp:wrapNone/>
                <wp:docPr id="194124384" name="Straight Connector 5"/>
                <wp:cNvGraphicFramePr/>
                <a:graphic xmlns:a="http://schemas.openxmlformats.org/drawingml/2006/main">
                  <a:graphicData uri="http://schemas.microsoft.com/office/word/2010/wordprocessingShape">
                    <wps:wsp>
                      <wps:cNvCnPr/>
                      <wps:spPr>
                        <a:xfrm flipV="1">
                          <a:off x="0" y="0"/>
                          <a:ext cx="5739063" cy="48126"/>
                        </a:xfrm>
                        <a:prstGeom prst="line">
                          <a:avLst/>
                        </a:prstGeom>
                        <a:ln>
                          <a:solidFill>
                            <a:srgbClr val="E3CB17"/>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
            <w:pict>
              <v:line w14:anchorId="14725EFD" id="Straight Connector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0.9pt,.55pt" to="462.8pt,4.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tXppyQEAAOMDAAAOAAAAZHJzL2Uyb0RvYy54bWysU01v2zAMvQ/YfxB0X2wnW9oacQosXXcZ tmJre1dkKhagL0ha7Pz7UbLjFuuwAUMvhCXxPfI90pvrQStyBB+kNQ2tFiUlYLhtpTk09OH+9t0l JSEy0zJlDTT0BIFeb9++2fSuhqXtrGrBEyQxoe5dQ7sYXV0UgXegWVhYBwYfhfWaRTz6Q9F61iO7 VsWyLNdFb33rvOUQAt7ejI90m/mFAB6/CREgEtVQ7C3m6HPcp1hsN6w+eOY6yac22H90oZk0WHSm umGRkZ9evqDSknsbrIgLbnVhhZAcsgZUU5W/qfnRMQdZC5oT3GxTeD1a/vW4M3cebehdqIO780nF ILwmQkn3iDPNurBTMmTbTrNtMETC8fLDxeqqXK8o4fj2/rJarpOtxUiT6JwP8TNYTdJHQ5U0SRWr 2fFLiGPqOSVdK5NisEq2t1KpfPCH/U55cmQ4x0+r3cfqYqrxLA0rJmjxpCR/xZOCkfY7CCJb7HiZ y+clg5mWcQ4mVhOvMpidYAJbmIHlv4FTfoJCXsAZPDr516ozIle2Js5gLY31f6oeh3PLYsw/OzDq ThbsbXvKM87W4Cbl6Uxbn1b1+TnDn/7N7S8AAAD//wMAUEsDBBQABgAIAAAAIQD4l2lm2wAAAAYB AAAPAAAAZHJzL2Rvd25yZXYueG1sTM7LboMwEAXQfaX8gzWVumsMSM2DYqIoUrvqoiH5AAPDQ7HH CJtA/r7TVbucuaM7Jzss1og7jr53pCBeRyCQKlf31Cq4Xj5edyB80FRr4wgVPNDDIV89ZTqt3Uxn vBehFVxCPtUKuhCGVEpfdWi1X7sBibPGjVYHHsdW1qOeudwamUTRRlrdE3/o9ICnDqtbMVkFRfHZ mK9o3jbnS/k93K4nOz16pV6el+M7iIBL+DuGXz7TIWdT6SaqvTAKkpjlgfcxCI73ydsGRKlgtwWZ Z/I/P/8BAAD//wMAUEsBAi0AFAAGAAgAAAAhALaDOJL+AAAA4QEAABMAAAAAAAAAAAAAAAAAAAAA AFtDb250ZW50X1R5cGVzXS54bWxQSwECLQAUAAYACAAAACEAOP0h/9YAAACUAQAACwAAAAAAAAAA AAAAAAAvAQAAX3JlbHMvLnJlbHNQSwECLQAUAAYACAAAACEAtrV6ackBAADjAwAADgAAAAAAAAAA AAAAAAAuAgAAZHJzL2Uyb0RvYy54bWxQSwECLQAUAAYACAAAACEA+JdpZtsAAAAGAQAADwAAAAAA AAAAAAAAAAAjBAAAZHJzL2Rvd25yZXYueG1sUEsFBgAAAAAEAAQA8wAAACsFAAAAAA== " strokecolor="#e3cb17" strokeweight="1.5pt">
                <v:stroke joinstyle="miter"/>
              </v:line>
            </w:pict>
          </mc:Fallback>
        </mc:AlternateContent>
      </w:r>
    </w:p>
    <w:p w14:paraId="0C80D4BB" w14:textId="77777777" w:rsidR="00F34358" w:rsidRDefault="00F34358" w:rsidP="00F34358">
      <w:pPr>
        <w:spacing w:after="500"/>
        <w:jc w:val="center"/>
        <w:rPr>
          <w:b/>
          <w:bCs/>
          <w:color w:val="156082" w:themeColor="accent1"/>
        </w:rPr>
      </w:pPr>
      <w:r>
        <w:rPr>
          <w:b/>
          <w:bCs/>
        </w:rPr>
        <w:t>Module Name:</w:t>
      </w:r>
      <w:r>
        <w:rPr>
          <w:rFonts w:ascii="Source Sans Pro" w:hAnsi="Source Sans Pro"/>
          <w:color w:val="242130"/>
          <w:sz w:val="21"/>
          <w:szCs w:val="21"/>
          <w:shd w:val="clear" w:color="auto" w:fill="FFFFFF"/>
        </w:rPr>
        <w:t xml:space="preserve"> </w:t>
      </w:r>
      <w:r>
        <w:rPr>
          <w:b/>
          <w:bCs/>
          <w:color w:val="156082" w:themeColor="accent1"/>
        </w:rPr>
        <w:t>Research Methods for Business</w:t>
      </w:r>
    </w:p>
    <w:p w14:paraId="456DB518" w14:textId="77777777" w:rsidR="00F34358" w:rsidRPr="00F34358" w:rsidRDefault="00F34358" w:rsidP="00F34358">
      <w:pPr>
        <w:spacing w:after="500"/>
        <w:jc w:val="center"/>
        <w:rPr>
          <w:color w:val="156082" w:themeColor="accent1"/>
        </w:rPr>
      </w:pPr>
      <w:r>
        <w:rPr>
          <w:b/>
          <w:bCs/>
        </w:rPr>
        <w:t>Module Code:</w:t>
      </w:r>
      <w:r>
        <w:rPr>
          <w:i/>
          <w:iCs/>
          <w:color w:val="156082" w:themeColor="accent1"/>
        </w:rPr>
        <w:t> </w:t>
      </w:r>
      <w:r>
        <w:rPr>
          <w:b/>
          <w:bCs/>
          <w:color w:val="156082" w:themeColor="accent1"/>
        </w:rPr>
        <w:t>LCLM6004</w:t>
      </w:r>
    </w:p>
    <w:p w14:paraId="1CC9252D" w14:textId="77777777" w:rsidR="00F34358" w:rsidRDefault="00F34358" w:rsidP="00F34358">
      <w:pPr>
        <w:spacing w:after="500"/>
        <w:jc w:val="center"/>
      </w:pPr>
    </w:p>
    <w:p w14:paraId="6BA3DF73" w14:textId="77777777" w:rsidR="0049438F" w:rsidRPr="00F34358" w:rsidRDefault="0049438F" w:rsidP="00F34358">
      <w:pPr>
        <w:spacing w:after="500"/>
        <w:jc w:val="center"/>
      </w:pPr>
    </w:p>
    <w:p w14:paraId="08C03026" w14:textId="5C6A4D55" w:rsidR="00FC7452" w:rsidRDefault="00E57951" w:rsidP="00F34358">
      <w:pPr>
        <w:spacing w:after="500"/>
        <w:jc w:val="center"/>
      </w:pPr>
      <w:r>
        <w:rPr>
          <w:noProof/>
        </w:rPr>
        <mc:AlternateContent>
          <mc:Choice Requires="wps">
            <w:drawing>
              <wp:anchor distT="0" distB="0" distL="114300" distR="114300" simplePos="0" relativeHeight="251658240" behindDoc="0" locked="0" layoutInCell="1" allowOverlap="1" wp14:anchorId="137C97F5" wp14:editId="0E174B39">
                <wp:simplePos x="0" y="0"/>
                <wp:positionH relativeFrom="column">
                  <wp:posOffset>38100</wp:posOffset>
                </wp:positionH>
                <wp:positionV relativeFrom="paragraph">
                  <wp:posOffset>330835</wp:posOffset>
                </wp:positionV>
                <wp:extent cx="5829300" cy="1171575"/>
                <wp:effectExtent l="0" t="0" r="19050" b="28575"/>
                <wp:wrapNone/>
                <wp:docPr id="1918456986" name="Rectangle 1"/>
                <wp:cNvGraphicFramePr/>
                <a:graphic xmlns:a="http://schemas.openxmlformats.org/drawingml/2006/main">
                  <a:graphicData uri="http://schemas.microsoft.com/office/word/2010/wordprocessingShape">
                    <wps:wsp>
                      <wps:cNvSpPr/>
                      <wps:spPr>
                        <a:xfrm>
                          <a:off x="0" y="0"/>
                          <a:ext cx="5829300" cy="1171575"/>
                        </a:xfrm>
                        <a:prstGeom prst="rect">
                          <a:avLst/>
                        </a:prstGeom>
                        <a:noFill/>
                        <a:ln>
                          <a:solidFill>
                            <a:srgbClr val="E3CB17"/>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3C8078" w14:textId="77777777" w:rsidR="00F34358" w:rsidRDefault="00F34358" w:rsidP="00F34358">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7C97F5" id="Rectangle 1" o:spid="_x0000_s1026" style="position:absolute;left:0;text-align:left;margin-left:3pt;margin-top:26.05pt;width:459pt;height:92.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6TdhwIAAGsFAAAOAAAAZHJzL2Uyb0RvYy54bWysVMFu2zAMvQ/YPwi6r7bTZGmDOkWWrsOA&#10;og2WDj0rshQbkEVNUmJnXz9KdpygLXYYdrEpkXwkn0je3La1InthXQU6p9lFSonQHIpKb3P68/n+&#10;0xUlzjNdMAVa5PQgHL2df/xw05iZGEEJqhCWIIh2s8bktPTezJLE8VLUzF2AERqVEmzNPB7tNiks&#10;axC9VskoTT8nDdjCWODCOby965R0HvGlFNw/SemEJyqnmJuPXxu/m/BN5jdstrXMlBXv02D/kEXN&#10;Ko1BB6g75hnZ2eoNVF1xCw6kv+BQJyBlxUWsAavJ0lfVrEtmRKwFyXFmoMn9P1j+uF+blUUaGuNm&#10;DsVQRSttHf6YH2kjWYeBLNF6wvFycjW6vkyRU466LJtmk+kk0Jmc3I11/puAmgQhpxZfI5LE9g/O&#10;d6ZHkxBNw32lVHwRpcOFA1UV4S4e7HazVJbsGT7l18vll2zahzszw+DBNTkVEyV/UCJgKP1DSFIV&#10;mP4oZhL7TAywjHOhfdapSlaILlo2SbHQLuHBI1YaAQOyxCwH7B4g9PBb7A6mtw+uIrbp4Jz+LbHO&#10;efCIkUH7wbmuNNj3ABRW1Ufu7I8kddQElny7adEkiBsoDitLLHTz4gy/r/AJH5jzK2ZxQPDZcej9&#10;E36kgian0EuUlGB/v3cf7LFvUUtJgwOXU/drx6ygRH3X2NHX2XgcJjQexpPpCA/2XLM51+hdvQRs&#10;hAzXi+FRDPZeHUVpoX7B3bAIUVHFNMfYOeXeHg9L3y0C3C5cLBbRDKfSMP+g14YH8EBwaNHn9oVZ&#10;0/exxxF4hONwstmrdu5sg6eGxc6DrGKvn3jtqceJjj3Ub5+wMs7P0eq0I+d/AAAA//8DAFBLAwQU&#10;AAYACAAAACEAW+QAedwAAAAIAQAADwAAAGRycy9kb3ducmV2LnhtbEyPwU7DMAyG70i8Q2QkLoil&#10;K1BBaTqhSVzgREAaR68xbUXjlCZby9tjTnC0f+vz91ebxQ/qSFPsAxtYrzJQxE1wPbcG3l4fL29B&#10;xYTscAhMBr4pwqY+PamwdGHmFzra1CqBcCzRQJfSWGodm448xlUYiSX7CJPHJOPUajfhLHA/6DzL&#10;Cu2xZ/nQ4UjbjppPe/AGbjDbfj3TBb5zm+/mJ2tp11pjzs+Wh3tQiZb0dwy/+qIOtTjtw4FdVIOB&#10;QpokQeVrUBLf5dey2BvIr4oCdF3p/wXqHwAAAP//AwBQSwECLQAUAAYACAAAACEAtoM4kv4AAADh&#10;AQAAEwAAAAAAAAAAAAAAAAAAAAAAW0NvbnRlbnRfVHlwZXNdLnhtbFBLAQItABQABgAIAAAAIQA4&#10;/SH/1gAAAJQBAAALAAAAAAAAAAAAAAAAAC8BAABfcmVscy8ucmVsc1BLAQItABQABgAIAAAAIQDZ&#10;G6TdhwIAAGsFAAAOAAAAAAAAAAAAAAAAAC4CAABkcnMvZTJvRG9jLnhtbFBLAQItABQABgAIAAAA&#10;IQBb5AB53AAAAAgBAAAPAAAAAAAAAAAAAAAAAOEEAABkcnMvZG93bnJldi54bWxQSwUGAAAAAAQA&#10;BADzAAAA6gUAAAAA&#10;" filled="f" strokecolor="#e3cb17" strokeweight="1.5pt">
                <v:textbox>
                  <w:txbxContent>
                    <w:p w14:paraId="043C8078" w14:textId="77777777" w:rsidR="00F34358" w:rsidRDefault="00F34358" w:rsidP="00F34358">
                      <w:pPr>
                        <w:jc w:val="center"/>
                      </w:pPr>
                      <w:r>
                        <w:t xml:space="preserve"> </w:t>
                      </w:r>
                    </w:p>
                  </w:txbxContent>
                </v:textbox>
              </v:rect>
            </w:pict>
          </mc:Fallback>
        </mc:AlternateContent>
      </w:r>
      <w:r>
        <w:t xml:space="preserve">Component 1: Business Research Proposal </w:t>
      </w:r>
    </w:p>
    <w:p w14:paraId="5003CE89" w14:textId="77777777" w:rsidR="00FC7452" w:rsidRDefault="00BC68A4">
      <w:pPr>
        <w:spacing w:after="160" w:line="280" w:lineRule="auto"/>
        <w:jc w:val="center"/>
      </w:pPr>
      <w:r>
        <w:rPr>
          <w:b/>
          <w:bCs/>
          <w:sz w:val="28"/>
          <w:szCs w:val="28"/>
        </w:rPr>
        <w:t>THE IMPACT OF HYBRID WORKING ON EMPLOYEE MOTIVATION</w:t>
      </w:r>
    </w:p>
    <w:p w14:paraId="3D174878" w14:textId="77777777" w:rsidR="00FC7452" w:rsidRDefault="00BC68A4">
      <w:pPr>
        <w:spacing w:after="160" w:line="280" w:lineRule="auto"/>
        <w:jc w:val="center"/>
      </w:pPr>
      <w:r>
        <w:rPr>
          <w:b/>
          <w:bCs/>
          <w:sz w:val="28"/>
          <w:szCs w:val="28"/>
        </w:rPr>
        <w:t>AND SUSTAINABLE ORGANISATIONAL PERFORMANCE</w:t>
      </w:r>
    </w:p>
    <w:p w14:paraId="4143F03F" w14:textId="77777777" w:rsidR="00FC7452" w:rsidRDefault="00BC68A4">
      <w:pPr>
        <w:spacing w:after="160" w:line="280" w:lineRule="auto"/>
        <w:jc w:val="center"/>
      </w:pPr>
      <w:r>
        <w:rPr>
          <w:b/>
          <w:bCs/>
          <w:sz w:val="28"/>
          <w:szCs w:val="28"/>
        </w:rPr>
        <w:t>IN UK FINANCIAL SERVICES ORGANISATIONS</w:t>
      </w:r>
    </w:p>
    <w:p w14:paraId="666473C1" w14:textId="77777777" w:rsidR="00FC7452" w:rsidRPr="00F34358" w:rsidRDefault="00FC7452">
      <w:pPr>
        <w:spacing w:after="200"/>
      </w:pPr>
    </w:p>
    <w:p w14:paraId="36B9AF45" w14:textId="77777777" w:rsidR="00FC7452" w:rsidRPr="00867DD1" w:rsidRDefault="00BC68A4" w:rsidP="00F34358">
      <w:pPr>
        <w:spacing w:after="160" w:line="280" w:lineRule="auto"/>
        <w:jc w:val="center"/>
        <w:rPr>
          <w:b/>
          <w:bCs/>
        </w:rPr>
      </w:pPr>
      <w:r>
        <w:rPr>
          <w:b/>
          <w:bCs/>
          <w:i/>
          <w:iCs/>
        </w:rPr>
        <w:t>A Secondary Research Study</w:t>
      </w:r>
    </w:p>
    <w:p w14:paraId="0C85C316" w14:textId="77777777" w:rsidR="00FC7452" w:rsidRDefault="00FC7452">
      <w:pPr>
        <w:spacing w:after="160" w:line="280" w:lineRule="auto"/>
        <w:jc w:val="center"/>
      </w:pPr>
    </w:p>
    <w:p w14:paraId="0299CE61" w14:textId="77777777" w:rsidR="00F34358" w:rsidRDefault="00F34358" w:rsidP="0049438F">
      <w:pPr>
        <w:spacing w:after="160" w:line="280" w:lineRule="auto"/>
        <w:jc w:val="center"/>
      </w:pPr>
    </w:p>
    <w:p w14:paraId="618F193B" w14:textId="77777777" w:rsidR="00F34358" w:rsidRPr="008E6196" w:rsidRDefault="00F34358" w:rsidP="0049438F">
      <w:pPr>
        <w:spacing w:after="160" w:line="280" w:lineRule="auto"/>
        <w:jc w:val="center"/>
        <w:rPr>
          <w:b/>
          <w:bCs/>
          <w:color w:val="156082" w:themeColor="accent1"/>
        </w:rPr>
      </w:pPr>
      <w:r>
        <w:rPr>
          <w:b/>
          <w:bCs/>
        </w:rPr>
        <w:t>Lecturer’s Name: </w:t>
      </w:r>
      <w:r>
        <w:rPr>
          <w:b/>
          <w:bCs/>
          <w:color w:val="156082" w:themeColor="accent1"/>
        </w:rPr>
        <w:t>Md Ashikul Khan</w:t>
      </w:r>
    </w:p>
    <w:p w14:paraId="49C7DCE7" w14:textId="77777777" w:rsidR="00F34358" w:rsidRPr="008E6196" w:rsidRDefault="00F34358" w:rsidP="0049438F">
      <w:pPr>
        <w:spacing w:after="160" w:line="280" w:lineRule="auto"/>
        <w:jc w:val="center"/>
        <w:rPr>
          <w:b/>
          <w:bCs/>
        </w:rPr>
      </w:pPr>
      <w:r>
        <w:rPr>
          <w:b/>
          <w:bCs/>
        </w:rPr>
        <w:t>Student Name: </w:t>
      </w:r>
      <w:r>
        <w:rPr>
          <w:b/>
          <w:bCs/>
          <w:color w:val="156082" w:themeColor="accent1"/>
        </w:rPr>
        <w:t>Pletea Bianca Mihaela </w:t>
      </w:r>
    </w:p>
    <w:p w14:paraId="13726D0D" w14:textId="77777777" w:rsidR="00F34358" w:rsidRPr="008E6196" w:rsidRDefault="00F34358" w:rsidP="0049438F">
      <w:pPr>
        <w:spacing w:after="160" w:line="280" w:lineRule="auto"/>
        <w:jc w:val="center"/>
        <w:rPr>
          <w:b/>
          <w:bCs/>
        </w:rPr>
      </w:pPr>
      <w:r>
        <w:rPr>
          <w:b/>
          <w:bCs/>
          <w:lang w:val="fr-FR"/>
        </w:rPr>
        <w:t>Student ID Number : </w:t>
      </w:r>
      <w:r>
        <w:rPr>
          <w:b/>
          <w:bCs/>
          <w:color w:val="156082" w:themeColor="accent1"/>
          <w:lang w:val="fr-FR"/>
        </w:rPr>
        <w:t>2323235 </w:t>
      </w:r>
    </w:p>
    <w:p w14:paraId="27CE4B1D" w14:textId="77777777" w:rsidR="00F34358" w:rsidRPr="008E6196" w:rsidRDefault="00F34358" w:rsidP="00F34358">
      <w:pPr>
        <w:spacing w:after="160" w:line="280" w:lineRule="auto"/>
        <w:rPr>
          <w:b/>
          <w:bCs/>
        </w:rPr>
      </w:pPr>
    </w:p>
    <w:p w14:paraId="302464A3" w14:textId="77777777" w:rsidR="0049438F" w:rsidRDefault="0049438F" w:rsidP="00F34358">
      <w:pPr>
        <w:spacing w:after="160" w:line="280" w:lineRule="auto"/>
      </w:pPr>
    </w:p>
    <w:p w14:paraId="7F359787" w14:textId="77777777" w:rsidR="0049438F" w:rsidRPr="00F34358" w:rsidRDefault="0049438F" w:rsidP="00F34358">
      <w:pPr>
        <w:spacing w:after="160" w:line="280" w:lineRule="auto"/>
      </w:pPr>
    </w:p>
    <w:p w14:paraId="46031FD6" w14:textId="77777777" w:rsidR="00FC7452" w:rsidRDefault="0049438F" w:rsidP="0049438F">
      <w:pPr>
        <w:jc w:val="center"/>
      </w:pPr>
      <w:r>
        <w:rPr>
          <w:noProof/>
        </w:rPr>
        <w:drawing>
          <wp:inline distT="0" distB="0" distL="0" distR="0" wp14:anchorId="38947B46" wp14:editId="2026B282">
            <wp:extent cx="3495481" cy="1374889"/>
            <wp:effectExtent l="0" t="0" r="0" b="0"/>
            <wp:docPr id="1094571386" name="Picture 4" descr="University of Wales Trinity Saint David's UK for Nepalese Students | Courses, Rankings &amp;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s UK for Nepalese Students | Courses, Rankings &amp; Scholarshi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9583" cy="1388303"/>
                    </a:xfrm>
                    <a:prstGeom prst="rect">
                      <a:avLst/>
                    </a:prstGeom>
                    <a:noFill/>
                    <a:ln>
                      <a:noFill/>
                    </a:ln>
                  </pic:spPr>
                </pic:pic>
              </a:graphicData>
            </a:graphic>
          </wp:inline>
        </w:drawing>
      </w:r>
    </w:p>
    <w:p w14:paraId="00E93015" w14:textId="77777777" w:rsidR="0049438F" w:rsidRDefault="0049438F" w:rsidP="0049438F"/>
    <w:p w14:paraId="0CE65938" w14:textId="77777777" w:rsidR="0049438F" w:rsidRDefault="0049438F" w:rsidP="0049438F"/>
    <w:p w14:paraId="67F55A8A" w14:textId="77777777" w:rsidR="00FC7452" w:rsidRDefault="00BC68A4">
      <w:r>
        <w:br w:type="page"/>
      </w:r>
    </w:p>
    <w:p w14:paraId="4A9F4789" w14:textId="4F26DB86" w:rsidR="00FC7452" w:rsidRDefault="0044623B" w:rsidP="009464BD">
      <w:pPr>
        <w:pStyle w:val="Heading1"/>
        <w:rPr>
          <w:sz w:val="32"/>
          <w:szCs w:val="32"/>
        </w:rPr>
      </w:pPr>
      <w:bookmarkStart w:id="0" w:name="_Toc234164950"/>
      <w:r>
        <w:rPr>
          <w:sz w:val="32"/>
          <w:szCs w:val="32"/>
        </w:rPr>
        <w:lastRenderedPageBreak/>
        <w:t>Abstract</w:t>
      </w:r>
      <w:bookmarkEnd w:id="0"/>
    </w:p>
    <w:p w14:paraId="2B2E666E" w14:textId="77777777" w:rsidR="00A26CB5" w:rsidRPr="009464BD" w:rsidRDefault="00A26CB5" w:rsidP="00A26CB5"/>
    <w:p w14:paraId="5B881FB8" w14:textId="7777777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proposal examines how hybrid working affects employee motivation and sustainable organisational performance in UK financial services organisations. Hybrid working has become a permanent feature of the UK labour market since the COVID-19 pandemic, yet its effects in this sector remain poorly understood.</w:t>
      </w:r>
    </w:p>
    <w:p w14:paraId="1035C497" w14:textId="7777777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study uses a narrative literature review, drawing on peer-reviewed journals, government statistics, and industry reports from 2021 to 2026. Three motivational theories guide the analysis: Self-Determination Theory, Herzberg’s Two-Factor Theory, and the Job Demands-Resources Model. The triple bottom line framework structures the sustainability analysis across economic, social, and environmental dimensions.</w:t>
      </w:r>
    </w:p>
    <w:p w14:paraId="79C39A29" w14:textId="5039D2B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proposal identifies three clear gaps in the current research and sets out a plan to produce evidence-based recommendations for HR professionals and managers in UK financial services. The methodology uses a narrative synthesis approach to ensure rigour and analytical depth and includes full ethical consideration of the secondary data approach adopted.</w:t>
      </w:r>
    </w:p>
    <w:p w14:paraId="5FFE17C5" w14:textId="77777777" w:rsidR="008107B2" w:rsidRDefault="008107B2" w:rsidP="008E6196"/>
    <w:p w14:paraId="31E2CA97" w14:textId="77777777" w:rsidR="008107B2" w:rsidRDefault="008107B2">
      <w:pPr>
        <w:pStyle w:val="Heading1"/>
        <w:spacing w:line="280" w:lineRule="auto"/>
      </w:pPr>
    </w:p>
    <w:p w14:paraId="6482DD84" w14:textId="77777777" w:rsidR="008107B2" w:rsidRDefault="008107B2">
      <w:pPr>
        <w:pStyle w:val="Heading1"/>
        <w:spacing w:line="280" w:lineRule="auto"/>
      </w:pPr>
    </w:p>
    <w:p w14:paraId="0B7908EB" w14:textId="77777777" w:rsidR="008107B2" w:rsidRDefault="008107B2">
      <w:pPr>
        <w:pStyle w:val="Heading1"/>
        <w:spacing w:line="280" w:lineRule="auto"/>
      </w:pPr>
    </w:p>
    <w:p w14:paraId="3D57CB6E" w14:textId="77777777" w:rsidR="008107B2" w:rsidRDefault="008107B2">
      <w:pPr>
        <w:pStyle w:val="Heading1"/>
        <w:spacing w:line="280" w:lineRule="auto"/>
      </w:pPr>
    </w:p>
    <w:p w14:paraId="6C240D4E" w14:textId="77777777" w:rsidR="008107B2" w:rsidRDefault="008107B2">
      <w:pPr>
        <w:pStyle w:val="Heading1"/>
        <w:spacing w:line="280" w:lineRule="auto"/>
      </w:pPr>
    </w:p>
    <w:p w14:paraId="3E1F5B14" w14:textId="77777777" w:rsidR="008107B2" w:rsidRDefault="008107B2">
      <w:pPr>
        <w:pStyle w:val="Heading1"/>
        <w:spacing w:line="280" w:lineRule="auto"/>
      </w:pPr>
    </w:p>
    <w:p w14:paraId="53F5DDEA" w14:textId="77777777" w:rsidR="008107B2" w:rsidRDefault="008107B2">
      <w:pPr>
        <w:pStyle w:val="Heading1"/>
        <w:spacing w:line="280" w:lineRule="auto"/>
      </w:pPr>
    </w:p>
    <w:p w14:paraId="1A4F3712" w14:textId="77777777" w:rsidR="008107B2" w:rsidRDefault="008107B2">
      <w:pPr>
        <w:pStyle w:val="Heading1"/>
        <w:spacing w:line="280" w:lineRule="auto"/>
      </w:pPr>
    </w:p>
    <w:p w14:paraId="6C0077F1" w14:textId="77777777" w:rsidR="008107B2" w:rsidRDefault="008107B2">
      <w:pPr>
        <w:pStyle w:val="Heading1"/>
        <w:spacing w:line="280" w:lineRule="auto"/>
      </w:pPr>
    </w:p>
    <w:p w14:paraId="52CE7D1B" w14:textId="77777777" w:rsidR="008107B2" w:rsidRDefault="008107B2" w:rsidP="00A26CB5"/>
    <w:p w14:paraId="4839FFAF" w14:textId="0F9CA305" w:rsidR="00A26CB5" w:rsidRDefault="00A26CB5" w:rsidP="00A26CB5"/>
    <w:sdt>
      <w:sdtPr>
        <w:rPr>
          <w:rFonts w:ascii="Arial" w:eastAsia="Arial" w:hAnsi="Arial" w:cs="Arial"/>
          <w:color w:val="auto"/>
          <w:sz w:val="22"/>
          <w:szCs w:val="22"/>
          <w:lang w:val="en-GB" w:eastAsia="en-GB"/>
        </w:rPr>
        <w:id w:val="-510300698"/>
        <w:docPartObj>
          <w:docPartGallery w:val="Table of Contents"/>
          <w:docPartUnique/>
        </w:docPartObj>
      </w:sdtPr>
      <w:sdtEndPr>
        <w:rPr>
          <w:b/>
          <w:bCs/>
          <w:noProof/>
        </w:rPr>
      </w:sdtEndPr>
      <w:sdtContent>
        <w:p w14:paraId="205CAA23" w14:textId="592B64E8" w:rsidR="00A26CB5" w:rsidRPr="00E57951" w:rsidRDefault="00A26CB5" w:rsidP="009769D6">
          <w:pPr>
            <w:pStyle w:val="TOCHeading"/>
            <w:spacing w:line="360" w:lineRule="auto"/>
            <w:rPr>
              <w:rFonts w:asciiTheme="minorBidi" w:hAnsiTheme="minorBidi" w:cstheme="minorBidi"/>
              <w:b/>
              <w:bCs/>
              <w:sz w:val="36"/>
              <w:szCs w:val="36"/>
            </w:rPr>
          </w:pPr>
          <w:r>
            <w:rPr>
              <w:rFonts w:asciiTheme="minorBidi" w:hAnsiTheme="minorBidi" w:cstheme="minorBidi"/>
              <w:b/>
              <w:bCs/>
              <w:sz w:val="36"/>
              <w:szCs w:val="36"/>
            </w:rPr>
            <w:t>Contents</w:t>
          </w:r>
        </w:p>
        <w:p w14:paraId="64FACF35" w14:textId="473D1DE3" w:rsidR="00D30E27" w:rsidRDefault="00D30E27" w:rsidP="00D30E27">
          <w:pPr>
            <w:pStyle w:val="TOC1"/>
            <w:rPr>
              <w:rFonts w:asciiTheme="minorHAnsi" w:eastAsiaTheme="minorEastAsia" w:hAnsiTheme="minorHAnsi" w:cstheme="minorBidi"/>
              <w:noProof/>
              <w:kern w:val="2"/>
              <w:sz w:val="24"/>
              <w:szCs w:val="24"/>
              <w14:ligatures w14:val="standardContextual"/>
            </w:rPr>
          </w:pPr>
          <w:r>
            <w:rPr>
              <w:rFonts w:asciiTheme="minorBidi" w:hAnsiTheme="minorBidi" w:cstheme="minorBidi"/>
            </w:rPr>
            <w:t xml:space="preserve">     </w:t>
          </w:r>
          <w:r w:rsidR="00A26CB5">
            <w:rPr>
              <w:rFonts w:asciiTheme="minorBidi" w:hAnsiTheme="minorBidi" w:cstheme="minorBidi"/>
            </w:rPr>
            <w:fldChar w:fldCharType="begin"/>
          </w:r>
          <w:r>
            <w:rPr>
              <w:rFonts w:asciiTheme="minorBidi" w:hAnsiTheme="minorBidi" w:cstheme="minorBidi"/>
            </w:rPr>
            <w:instrText xml:space="preserve"> TOC \o "1-3" \h \z \u </w:instrText>
          </w:r>
          <w:r w:rsidR="00A26CB5">
            <w:rPr>
              <w:rFonts w:asciiTheme="minorBidi" w:hAnsiTheme="minorBidi" w:cstheme="minorBidi"/>
            </w:rPr>
            <w:fldChar w:fldCharType="separate"/>
          </w:r>
          <w:hyperlink w:anchor="_Toc234164950" w:history="1">
            <w:r>
              <w:rPr>
                <w:rStyle w:val="Hyperlink"/>
                <w:b/>
                <w:bCs/>
                <w:noProof/>
              </w:rPr>
              <w:t>Abstract</w:t>
            </w:r>
            <w:r>
              <w:rPr>
                <w:noProof/>
                <w:webHidden/>
              </w:rPr>
              <w:tab/>
            </w:r>
            <w:r>
              <w:rPr>
                <w:noProof/>
                <w:webHidden/>
              </w:rPr>
              <w:fldChar w:fldCharType="begin"/>
            </w:r>
            <w:r>
              <w:rPr>
                <w:noProof/>
                <w:webHidden/>
              </w:rPr>
              <w:instrText xml:space="preserve"> PAGEREF _Toc234164950 \h </w:instrText>
            </w:r>
            <w:r>
              <w:rPr>
                <w:noProof/>
                <w:webHidden/>
              </w:rPr>
            </w:r>
            <w:r>
              <w:rPr>
                <w:noProof/>
                <w:webHidden/>
              </w:rPr>
              <w:fldChar w:fldCharType="separate"/>
            </w:r>
            <w:r>
              <w:rPr>
                <w:noProof/>
                <w:webHidden/>
              </w:rPr>
              <w:t>1</w:t>
            </w:r>
            <w:r>
              <w:rPr>
                <w:noProof/>
                <w:webHidden/>
              </w:rPr>
              <w:fldChar w:fldCharType="end"/>
            </w:r>
          </w:hyperlink>
        </w:p>
        <w:p w14:paraId="04EC17F2" w14:textId="6221F72E"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51" w:history="1">
            <w:r>
              <w:rPr>
                <w:rStyle w:val="Hyperlink"/>
                <w:noProof/>
              </w:rPr>
              <w:t xml:space="preserve">1. </w:t>
            </w:r>
            <w:r>
              <w:rPr>
                <w:rStyle w:val="Hyperlink"/>
                <w:b/>
                <w:bCs/>
                <w:noProof/>
              </w:rPr>
              <w:t>Introduction</w:t>
            </w:r>
            <w:r>
              <w:rPr>
                <w:noProof/>
                <w:webHidden/>
              </w:rPr>
              <w:tab/>
            </w:r>
            <w:r>
              <w:rPr>
                <w:noProof/>
                <w:webHidden/>
              </w:rPr>
              <w:fldChar w:fldCharType="begin"/>
            </w:r>
            <w:r>
              <w:rPr>
                <w:noProof/>
                <w:webHidden/>
              </w:rPr>
              <w:instrText xml:space="preserve"> PAGEREF _Toc234164951 \h </w:instrText>
            </w:r>
            <w:r>
              <w:rPr>
                <w:noProof/>
                <w:webHidden/>
              </w:rPr>
            </w:r>
            <w:r>
              <w:rPr>
                <w:noProof/>
                <w:webHidden/>
              </w:rPr>
              <w:fldChar w:fldCharType="separate"/>
            </w:r>
            <w:r>
              <w:rPr>
                <w:noProof/>
                <w:webHidden/>
              </w:rPr>
              <w:t>3</w:t>
            </w:r>
            <w:r>
              <w:rPr>
                <w:noProof/>
                <w:webHidden/>
              </w:rPr>
              <w:fldChar w:fldCharType="end"/>
            </w:r>
          </w:hyperlink>
        </w:p>
        <w:p w14:paraId="705F63C5" w14:textId="4C75FAA1"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2" w:history="1">
            <w:r>
              <w:rPr>
                <w:rStyle w:val="Hyperlink"/>
                <w:noProof/>
              </w:rPr>
              <w:t>1.1 Background of the Study</w:t>
            </w:r>
            <w:r>
              <w:rPr>
                <w:noProof/>
                <w:webHidden/>
              </w:rPr>
              <w:tab/>
            </w:r>
            <w:r>
              <w:rPr>
                <w:noProof/>
                <w:webHidden/>
              </w:rPr>
              <w:fldChar w:fldCharType="begin"/>
            </w:r>
            <w:r>
              <w:rPr>
                <w:noProof/>
                <w:webHidden/>
              </w:rPr>
              <w:instrText xml:space="preserve"> PAGEREF _Toc234164952 \h </w:instrText>
            </w:r>
            <w:r>
              <w:rPr>
                <w:noProof/>
                <w:webHidden/>
              </w:rPr>
            </w:r>
            <w:r>
              <w:rPr>
                <w:noProof/>
                <w:webHidden/>
              </w:rPr>
              <w:fldChar w:fldCharType="separate"/>
            </w:r>
            <w:r>
              <w:rPr>
                <w:noProof/>
                <w:webHidden/>
              </w:rPr>
              <w:t>3</w:t>
            </w:r>
            <w:r>
              <w:rPr>
                <w:noProof/>
                <w:webHidden/>
              </w:rPr>
              <w:fldChar w:fldCharType="end"/>
            </w:r>
          </w:hyperlink>
        </w:p>
        <w:p w14:paraId="16837A00" w14:textId="1F166A53"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3" w:history="1">
            <w:r>
              <w:rPr>
                <w:rStyle w:val="Hyperlink"/>
                <w:noProof/>
              </w:rPr>
              <w:t>1.2 Problem Statement</w:t>
            </w:r>
            <w:r>
              <w:rPr>
                <w:noProof/>
                <w:webHidden/>
              </w:rPr>
              <w:tab/>
            </w:r>
            <w:r>
              <w:rPr>
                <w:noProof/>
                <w:webHidden/>
              </w:rPr>
              <w:fldChar w:fldCharType="begin"/>
            </w:r>
            <w:r>
              <w:rPr>
                <w:noProof/>
                <w:webHidden/>
              </w:rPr>
              <w:instrText xml:space="preserve"> PAGEREF _Toc234164953 \h </w:instrText>
            </w:r>
            <w:r>
              <w:rPr>
                <w:noProof/>
                <w:webHidden/>
              </w:rPr>
            </w:r>
            <w:r>
              <w:rPr>
                <w:noProof/>
                <w:webHidden/>
              </w:rPr>
              <w:fldChar w:fldCharType="separate"/>
            </w:r>
            <w:r>
              <w:rPr>
                <w:noProof/>
                <w:webHidden/>
              </w:rPr>
              <w:t>3</w:t>
            </w:r>
            <w:r>
              <w:rPr>
                <w:noProof/>
                <w:webHidden/>
              </w:rPr>
              <w:fldChar w:fldCharType="end"/>
            </w:r>
          </w:hyperlink>
        </w:p>
        <w:p w14:paraId="4CEC082C" w14:textId="3C3981CB"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4" w:history="1">
            <w:r>
              <w:rPr>
                <w:rStyle w:val="Hyperlink"/>
                <w:noProof/>
              </w:rPr>
              <w:t>1.3 Aim and Objectives</w:t>
            </w:r>
            <w:r>
              <w:rPr>
                <w:noProof/>
                <w:webHidden/>
              </w:rPr>
              <w:tab/>
            </w:r>
            <w:r>
              <w:rPr>
                <w:noProof/>
                <w:webHidden/>
              </w:rPr>
              <w:fldChar w:fldCharType="begin"/>
            </w:r>
            <w:r>
              <w:rPr>
                <w:noProof/>
                <w:webHidden/>
              </w:rPr>
              <w:instrText xml:space="preserve"> PAGEREF _Toc234164954 \h </w:instrText>
            </w:r>
            <w:r>
              <w:rPr>
                <w:noProof/>
                <w:webHidden/>
              </w:rPr>
            </w:r>
            <w:r>
              <w:rPr>
                <w:noProof/>
                <w:webHidden/>
              </w:rPr>
              <w:fldChar w:fldCharType="separate"/>
            </w:r>
            <w:r>
              <w:rPr>
                <w:noProof/>
                <w:webHidden/>
              </w:rPr>
              <w:t>4</w:t>
            </w:r>
            <w:r>
              <w:rPr>
                <w:noProof/>
                <w:webHidden/>
              </w:rPr>
              <w:fldChar w:fldCharType="end"/>
            </w:r>
          </w:hyperlink>
        </w:p>
        <w:p w14:paraId="16026657" w14:textId="640F140E"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5" w:history="1">
            <w:r>
              <w:rPr>
                <w:rStyle w:val="Hyperlink"/>
                <w:noProof/>
              </w:rPr>
              <w:t>1.4 Research Questions</w:t>
            </w:r>
            <w:r>
              <w:rPr>
                <w:noProof/>
                <w:webHidden/>
              </w:rPr>
              <w:tab/>
            </w:r>
            <w:r>
              <w:rPr>
                <w:noProof/>
                <w:webHidden/>
              </w:rPr>
              <w:fldChar w:fldCharType="begin"/>
            </w:r>
            <w:r>
              <w:rPr>
                <w:noProof/>
                <w:webHidden/>
              </w:rPr>
              <w:instrText xml:space="preserve"> PAGEREF _Toc234164955 \h </w:instrText>
            </w:r>
            <w:r>
              <w:rPr>
                <w:noProof/>
                <w:webHidden/>
              </w:rPr>
            </w:r>
            <w:r>
              <w:rPr>
                <w:noProof/>
                <w:webHidden/>
              </w:rPr>
              <w:fldChar w:fldCharType="separate"/>
            </w:r>
            <w:r>
              <w:rPr>
                <w:noProof/>
                <w:webHidden/>
              </w:rPr>
              <w:t>4</w:t>
            </w:r>
            <w:r>
              <w:rPr>
                <w:noProof/>
                <w:webHidden/>
              </w:rPr>
              <w:fldChar w:fldCharType="end"/>
            </w:r>
          </w:hyperlink>
        </w:p>
        <w:p w14:paraId="751CCFB9" w14:textId="4A99F4EB"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6" w:history="1">
            <w:r>
              <w:rPr>
                <w:rStyle w:val="Hyperlink"/>
                <w:noProof/>
              </w:rPr>
              <w:t>1.5 Indicative Report Structure</w:t>
            </w:r>
            <w:r>
              <w:rPr>
                <w:noProof/>
                <w:webHidden/>
              </w:rPr>
              <w:tab/>
            </w:r>
            <w:r>
              <w:rPr>
                <w:noProof/>
                <w:webHidden/>
              </w:rPr>
              <w:fldChar w:fldCharType="begin"/>
            </w:r>
            <w:r>
              <w:rPr>
                <w:noProof/>
                <w:webHidden/>
              </w:rPr>
              <w:instrText xml:space="preserve"> PAGEREF _Toc234164956 \h </w:instrText>
            </w:r>
            <w:r>
              <w:rPr>
                <w:noProof/>
                <w:webHidden/>
              </w:rPr>
            </w:r>
            <w:r>
              <w:rPr>
                <w:noProof/>
                <w:webHidden/>
              </w:rPr>
              <w:fldChar w:fldCharType="separate"/>
            </w:r>
            <w:r>
              <w:rPr>
                <w:noProof/>
                <w:webHidden/>
              </w:rPr>
              <w:t>5</w:t>
            </w:r>
            <w:r>
              <w:rPr>
                <w:noProof/>
                <w:webHidden/>
              </w:rPr>
              <w:fldChar w:fldCharType="end"/>
            </w:r>
          </w:hyperlink>
        </w:p>
        <w:p w14:paraId="6D59EE48" w14:textId="64D3B8C6"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57" w:history="1">
            <w:r>
              <w:rPr>
                <w:rStyle w:val="Hyperlink"/>
                <w:noProof/>
              </w:rPr>
              <w:t xml:space="preserve">2. </w:t>
            </w:r>
            <w:r>
              <w:rPr>
                <w:rStyle w:val="Hyperlink"/>
                <w:b/>
                <w:bCs/>
                <w:noProof/>
              </w:rPr>
              <w:t>Literature Review</w:t>
            </w:r>
            <w:r>
              <w:rPr>
                <w:noProof/>
                <w:webHidden/>
              </w:rPr>
              <w:tab/>
            </w:r>
            <w:r>
              <w:rPr>
                <w:noProof/>
                <w:webHidden/>
              </w:rPr>
              <w:fldChar w:fldCharType="begin"/>
            </w:r>
            <w:r>
              <w:rPr>
                <w:noProof/>
                <w:webHidden/>
              </w:rPr>
              <w:instrText xml:space="preserve"> PAGEREF _Toc234164957 \h </w:instrText>
            </w:r>
            <w:r>
              <w:rPr>
                <w:noProof/>
                <w:webHidden/>
              </w:rPr>
            </w:r>
            <w:r>
              <w:rPr>
                <w:noProof/>
                <w:webHidden/>
              </w:rPr>
              <w:fldChar w:fldCharType="separate"/>
            </w:r>
            <w:r>
              <w:rPr>
                <w:noProof/>
                <w:webHidden/>
              </w:rPr>
              <w:t>5</w:t>
            </w:r>
            <w:r>
              <w:rPr>
                <w:noProof/>
                <w:webHidden/>
              </w:rPr>
              <w:fldChar w:fldCharType="end"/>
            </w:r>
          </w:hyperlink>
        </w:p>
        <w:p w14:paraId="2E172696" w14:textId="0A8ADEF3"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8" w:history="1">
            <w:r>
              <w:rPr>
                <w:rStyle w:val="Hyperlink"/>
                <w:noProof/>
              </w:rPr>
              <w:t>2.1 The Evolution of Hybrid Working</w:t>
            </w:r>
            <w:r>
              <w:rPr>
                <w:noProof/>
                <w:webHidden/>
              </w:rPr>
              <w:tab/>
            </w:r>
            <w:r>
              <w:rPr>
                <w:noProof/>
                <w:webHidden/>
              </w:rPr>
              <w:fldChar w:fldCharType="begin"/>
            </w:r>
            <w:r>
              <w:rPr>
                <w:noProof/>
                <w:webHidden/>
              </w:rPr>
              <w:instrText xml:space="preserve"> PAGEREF _Toc234164958 \h </w:instrText>
            </w:r>
            <w:r>
              <w:rPr>
                <w:noProof/>
                <w:webHidden/>
              </w:rPr>
            </w:r>
            <w:r>
              <w:rPr>
                <w:noProof/>
                <w:webHidden/>
              </w:rPr>
              <w:fldChar w:fldCharType="separate"/>
            </w:r>
            <w:r>
              <w:rPr>
                <w:noProof/>
                <w:webHidden/>
              </w:rPr>
              <w:t>5</w:t>
            </w:r>
            <w:r>
              <w:rPr>
                <w:noProof/>
                <w:webHidden/>
              </w:rPr>
              <w:fldChar w:fldCharType="end"/>
            </w:r>
          </w:hyperlink>
        </w:p>
        <w:p w14:paraId="493007A8" w14:textId="34BF1A7A"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9" w:history="1">
            <w:r>
              <w:rPr>
                <w:rStyle w:val="Hyperlink"/>
                <w:noProof/>
              </w:rPr>
              <w:t>2.2 Employee Motivation: Theoretical Perspectives</w:t>
            </w:r>
            <w:r>
              <w:rPr>
                <w:noProof/>
                <w:webHidden/>
              </w:rPr>
              <w:tab/>
            </w:r>
            <w:r>
              <w:rPr>
                <w:noProof/>
                <w:webHidden/>
              </w:rPr>
              <w:fldChar w:fldCharType="begin"/>
            </w:r>
            <w:r>
              <w:rPr>
                <w:noProof/>
                <w:webHidden/>
              </w:rPr>
              <w:instrText xml:space="preserve"> PAGEREF _Toc234164959 \h </w:instrText>
            </w:r>
            <w:r>
              <w:rPr>
                <w:noProof/>
                <w:webHidden/>
              </w:rPr>
            </w:r>
            <w:r>
              <w:rPr>
                <w:noProof/>
                <w:webHidden/>
              </w:rPr>
              <w:fldChar w:fldCharType="separate"/>
            </w:r>
            <w:r>
              <w:rPr>
                <w:noProof/>
                <w:webHidden/>
              </w:rPr>
              <w:t>5</w:t>
            </w:r>
            <w:r>
              <w:rPr>
                <w:noProof/>
                <w:webHidden/>
              </w:rPr>
              <w:fldChar w:fldCharType="end"/>
            </w:r>
          </w:hyperlink>
        </w:p>
        <w:p w14:paraId="52A29697" w14:textId="79080D72"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0" w:history="1">
            <w:r>
              <w:rPr>
                <w:rStyle w:val="Hyperlink"/>
                <w:noProof/>
              </w:rPr>
              <w:t>2.3 Hybrid Working and Sustainable Organisational Performance</w:t>
            </w:r>
            <w:r>
              <w:rPr>
                <w:noProof/>
                <w:webHidden/>
              </w:rPr>
              <w:tab/>
            </w:r>
            <w:r>
              <w:rPr>
                <w:noProof/>
                <w:webHidden/>
              </w:rPr>
              <w:fldChar w:fldCharType="begin"/>
            </w:r>
            <w:r>
              <w:rPr>
                <w:noProof/>
                <w:webHidden/>
              </w:rPr>
              <w:instrText xml:space="preserve"> PAGEREF _Toc234164960 \h </w:instrText>
            </w:r>
            <w:r>
              <w:rPr>
                <w:noProof/>
                <w:webHidden/>
              </w:rPr>
            </w:r>
            <w:r>
              <w:rPr>
                <w:noProof/>
                <w:webHidden/>
              </w:rPr>
              <w:fldChar w:fldCharType="separate"/>
            </w:r>
            <w:r>
              <w:rPr>
                <w:noProof/>
                <w:webHidden/>
              </w:rPr>
              <w:t>7</w:t>
            </w:r>
            <w:r>
              <w:rPr>
                <w:noProof/>
                <w:webHidden/>
              </w:rPr>
              <w:fldChar w:fldCharType="end"/>
            </w:r>
          </w:hyperlink>
        </w:p>
        <w:p w14:paraId="42780189" w14:textId="16386AE0"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1" w:history="1">
            <w:r>
              <w:rPr>
                <w:rStyle w:val="Hyperlink"/>
                <w:noProof/>
              </w:rPr>
              <w:t>2.4 Gaps in the Existing Literature</w:t>
            </w:r>
            <w:r>
              <w:rPr>
                <w:noProof/>
                <w:webHidden/>
              </w:rPr>
              <w:tab/>
            </w:r>
            <w:r>
              <w:rPr>
                <w:noProof/>
                <w:webHidden/>
              </w:rPr>
              <w:fldChar w:fldCharType="begin"/>
            </w:r>
            <w:r>
              <w:rPr>
                <w:noProof/>
                <w:webHidden/>
              </w:rPr>
              <w:instrText xml:space="preserve"> PAGEREF _Toc234164961 \h </w:instrText>
            </w:r>
            <w:r>
              <w:rPr>
                <w:noProof/>
                <w:webHidden/>
              </w:rPr>
            </w:r>
            <w:r>
              <w:rPr>
                <w:noProof/>
                <w:webHidden/>
              </w:rPr>
              <w:fldChar w:fldCharType="separate"/>
            </w:r>
            <w:r>
              <w:rPr>
                <w:noProof/>
                <w:webHidden/>
              </w:rPr>
              <w:t>8</w:t>
            </w:r>
            <w:r>
              <w:rPr>
                <w:noProof/>
                <w:webHidden/>
              </w:rPr>
              <w:fldChar w:fldCharType="end"/>
            </w:r>
          </w:hyperlink>
        </w:p>
        <w:p w14:paraId="10DFC714" w14:textId="08E07C84"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2" w:history="1">
            <w:r>
              <w:rPr>
                <w:rStyle w:val="Hyperlink"/>
                <w:noProof/>
              </w:rPr>
              <w:t xml:space="preserve">3. </w:t>
            </w:r>
            <w:r>
              <w:rPr>
                <w:rStyle w:val="Hyperlink"/>
                <w:b/>
                <w:bCs/>
                <w:noProof/>
              </w:rPr>
              <w:t>Methodology</w:t>
            </w:r>
            <w:r>
              <w:rPr>
                <w:noProof/>
                <w:webHidden/>
              </w:rPr>
              <w:tab/>
            </w:r>
            <w:r>
              <w:rPr>
                <w:noProof/>
                <w:webHidden/>
              </w:rPr>
              <w:fldChar w:fldCharType="begin"/>
            </w:r>
            <w:r>
              <w:rPr>
                <w:noProof/>
                <w:webHidden/>
              </w:rPr>
              <w:instrText xml:space="preserve"> PAGEREF _Toc234164962 \h </w:instrText>
            </w:r>
            <w:r>
              <w:rPr>
                <w:noProof/>
                <w:webHidden/>
              </w:rPr>
            </w:r>
            <w:r>
              <w:rPr>
                <w:noProof/>
                <w:webHidden/>
              </w:rPr>
              <w:fldChar w:fldCharType="separate"/>
            </w:r>
            <w:r>
              <w:rPr>
                <w:noProof/>
                <w:webHidden/>
              </w:rPr>
              <w:t>9</w:t>
            </w:r>
            <w:r>
              <w:rPr>
                <w:noProof/>
                <w:webHidden/>
              </w:rPr>
              <w:fldChar w:fldCharType="end"/>
            </w:r>
          </w:hyperlink>
        </w:p>
        <w:p w14:paraId="73E509BA" w14:textId="0058345F"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3" w:history="1">
            <w:r>
              <w:rPr>
                <w:rStyle w:val="Hyperlink"/>
                <w:noProof/>
              </w:rPr>
              <w:t>3.3 Data Collection and Analysis</w:t>
            </w:r>
            <w:r>
              <w:rPr>
                <w:noProof/>
                <w:webHidden/>
              </w:rPr>
              <w:tab/>
            </w:r>
            <w:r>
              <w:rPr>
                <w:noProof/>
                <w:webHidden/>
              </w:rPr>
              <w:fldChar w:fldCharType="begin"/>
            </w:r>
            <w:r>
              <w:rPr>
                <w:noProof/>
                <w:webHidden/>
              </w:rPr>
              <w:instrText xml:space="preserve"> PAGEREF _Toc234164963 \h </w:instrText>
            </w:r>
            <w:r>
              <w:rPr>
                <w:noProof/>
                <w:webHidden/>
              </w:rPr>
            </w:r>
            <w:r>
              <w:rPr>
                <w:noProof/>
                <w:webHidden/>
              </w:rPr>
              <w:fldChar w:fldCharType="separate"/>
            </w:r>
            <w:r>
              <w:rPr>
                <w:noProof/>
                <w:webHidden/>
              </w:rPr>
              <w:t>9</w:t>
            </w:r>
            <w:r>
              <w:rPr>
                <w:noProof/>
                <w:webHidden/>
              </w:rPr>
              <w:fldChar w:fldCharType="end"/>
            </w:r>
          </w:hyperlink>
        </w:p>
        <w:p w14:paraId="34B31F01" w14:textId="1FE72772"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4" w:history="1">
            <w:r>
              <w:rPr>
                <w:rStyle w:val="Hyperlink"/>
                <w:noProof/>
              </w:rPr>
              <w:t>3.4 Sampling, Reliability and Ethics</w:t>
            </w:r>
            <w:r>
              <w:rPr>
                <w:noProof/>
                <w:webHidden/>
              </w:rPr>
              <w:tab/>
            </w:r>
            <w:r>
              <w:rPr>
                <w:noProof/>
                <w:webHidden/>
              </w:rPr>
              <w:fldChar w:fldCharType="begin"/>
            </w:r>
            <w:r>
              <w:rPr>
                <w:noProof/>
                <w:webHidden/>
              </w:rPr>
              <w:instrText xml:space="preserve"> PAGEREF _Toc234164964 \h </w:instrText>
            </w:r>
            <w:r>
              <w:rPr>
                <w:noProof/>
                <w:webHidden/>
              </w:rPr>
            </w:r>
            <w:r>
              <w:rPr>
                <w:noProof/>
                <w:webHidden/>
              </w:rPr>
              <w:fldChar w:fldCharType="separate"/>
            </w:r>
            <w:r>
              <w:rPr>
                <w:noProof/>
                <w:webHidden/>
              </w:rPr>
              <w:t>10</w:t>
            </w:r>
            <w:r>
              <w:rPr>
                <w:noProof/>
                <w:webHidden/>
              </w:rPr>
              <w:fldChar w:fldCharType="end"/>
            </w:r>
          </w:hyperlink>
        </w:p>
        <w:p w14:paraId="56B93BB5" w14:textId="2DD9A4ED"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5" w:history="1">
            <w:r>
              <w:rPr>
                <w:rStyle w:val="Hyperlink"/>
                <w:noProof/>
              </w:rPr>
              <w:t>3.5 Ethical Considerations</w:t>
            </w:r>
            <w:r>
              <w:rPr>
                <w:noProof/>
                <w:webHidden/>
              </w:rPr>
              <w:tab/>
            </w:r>
            <w:r>
              <w:rPr>
                <w:noProof/>
                <w:webHidden/>
              </w:rPr>
              <w:fldChar w:fldCharType="begin"/>
            </w:r>
            <w:r>
              <w:rPr>
                <w:noProof/>
                <w:webHidden/>
              </w:rPr>
              <w:instrText xml:space="preserve"> PAGEREF _Toc234164965 \h </w:instrText>
            </w:r>
            <w:r>
              <w:rPr>
                <w:noProof/>
                <w:webHidden/>
              </w:rPr>
            </w:r>
            <w:r>
              <w:rPr>
                <w:noProof/>
                <w:webHidden/>
              </w:rPr>
              <w:fldChar w:fldCharType="separate"/>
            </w:r>
            <w:r>
              <w:rPr>
                <w:noProof/>
                <w:webHidden/>
              </w:rPr>
              <w:t>10</w:t>
            </w:r>
            <w:r>
              <w:rPr>
                <w:noProof/>
                <w:webHidden/>
              </w:rPr>
              <w:fldChar w:fldCharType="end"/>
            </w:r>
          </w:hyperlink>
        </w:p>
        <w:p w14:paraId="1B34807F" w14:textId="2EC0C3D4"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6" w:history="1">
            <w:r>
              <w:rPr>
                <w:rStyle w:val="Hyperlink"/>
                <w:noProof/>
              </w:rPr>
              <w:t>3.6 Project Timeline</w:t>
            </w:r>
            <w:r>
              <w:rPr>
                <w:noProof/>
                <w:webHidden/>
              </w:rPr>
              <w:tab/>
            </w:r>
            <w:r>
              <w:rPr>
                <w:noProof/>
                <w:webHidden/>
              </w:rPr>
              <w:fldChar w:fldCharType="begin"/>
            </w:r>
            <w:r>
              <w:rPr>
                <w:noProof/>
                <w:webHidden/>
              </w:rPr>
              <w:instrText xml:space="preserve"> PAGEREF _Toc234164966 \h </w:instrText>
            </w:r>
            <w:r>
              <w:rPr>
                <w:noProof/>
                <w:webHidden/>
              </w:rPr>
            </w:r>
            <w:r>
              <w:rPr>
                <w:noProof/>
                <w:webHidden/>
              </w:rPr>
              <w:fldChar w:fldCharType="separate"/>
            </w:r>
            <w:r>
              <w:rPr>
                <w:noProof/>
                <w:webHidden/>
              </w:rPr>
              <w:t>11</w:t>
            </w:r>
            <w:r>
              <w:rPr>
                <w:noProof/>
                <w:webHidden/>
              </w:rPr>
              <w:fldChar w:fldCharType="end"/>
            </w:r>
          </w:hyperlink>
        </w:p>
        <w:p w14:paraId="483257A3" w14:textId="18BD4B8C"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7" w:history="1">
            <w:r>
              <w:rPr>
                <w:rStyle w:val="Hyperlink"/>
                <w:noProof/>
              </w:rPr>
              <w:t xml:space="preserve">4. </w:t>
            </w:r>
            <w:r>
              <w:rPr>
                <w:rStyle w:val="Hyperlink"/>
                <w:b/>
                <w:bCs/>
                <w:noProof/>
              </w:rPr>
              <w:t>Business Relevance and Practical Implications</w:t>
            </w:r>
            <w:r>
              <w:rPr>
                <w:noProof/>
                <w:webHidden/>
              </w:rPr>
              <w:tab/>
            </w:r>
            <w:r>
              <w:rPr>
                <w:noProof/>
                <w:webHidden/>
              </w:rPr>
              <w:fldChar w:fldCharType="begin"/>
            </w:r>
            <w:r>
              <w:rPr>
                <w:noProof/>
                <w:webHidden/>
              </w:rPr>
              <w:instrText xml:space="preserve"> PAGEREF _Toc234164967 \h </w:instrText>
            </w:r>
            <w:r>
              <w:rPr>
                <w:noProof/>
                <w:webHidden/>
              </w:rPr>
            </w:r>
            <w:r>
              <w:rPr>
                <w:noProof/>
                <w:webHidden/>
              </w:rPr>
              <w:fldChar w:fldCharType="separate"/>
            </w:r>
            <w:r>
              <w:rPr>
                <w:noProof/>
                <w:webHidden/>
              </w:rPr>
              <w:t>11</w:t>
            </w:r>
            <w:r>
              <w:rPr>
                <w:noProof/>
                <w:webHidden/>
              </w:rPr>
              <w:fldChar w:fldCharType="end"/>
            </w:r>
          </w:hyperlink>
        </w:p>
        <w:p w14:paraId="4E58D757" w14:textId="1BDD633D"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8" w:history="1">
            <w:r>
              <w:rPr>
                <w:rStyle w:val="Hyperlink"/>
                <w:noProof/>
              </w:rPr>
              <w:t xml:space="preserve">5. </w:t>
            </w:r>
            <w:r>
              <w:rPr>
                <w:rStyle w:val="Hyperlink"/>
                <w:b/>
                <w:bCs/>
                <w:noProof/>
              </w:rPr>
              <w:t>Discussion and Conclusion</w:t>
            </w:r>
            <w:r>
              <w:rPr>
                <w:noProof/>
                <w:webHidden/>
              </w:rPr>
              <w:tab/>
            </w:r>
            <w:r>
              <w:rPr>
                <w:noProof/>
                <w:webHidden/>
              </w:rPr>
              <w:fldChar w:fldCharType="begin"/>
            </w:r>
            <w:r>
              <w:rPr>
                <w:noProof/>
                <w:webHidden/>
              </w:rPr>
              <w:instrText xml:space="preserve"> PAGEREF _Toc234164968 \h </w:instrText>
            </w:r>
            <w:r>
              <w:rPr>
                <w:noProof/>
                <w:webHidden/>
              </w:rPr>
            </w:r>
            <w:r>
              <w:rPr>
                <w:noProof/>
                <w:webHidden/>
              </w:rPr>
              <w:fldChar w:fldCharType="separate"/>
            </w:r>
            <w:r>
              <w:rPr>
                <w:noProof/>
                <w:webHidden/>
              </w:rPr>
              <w:t>12</w:t>
            </w:r>
            <w:r>
              <w:rPr>
                <w:noProof/>
                <w:webHidden/>
              </w:rPr>
              <w:fldChar w:fldCharType="end"/>
            </w:r>
          </w:hyperlink>
        </w:p>
        <w:p w14:paraId="4149F740" w14:textId="63017131" w:rsidR="00D30E27" w:rsidRDefault="00D30E27" w:rsidP="00D30E27">
          <w:pPr>
            <w:pStyle w:val="TOC2"/>
            <w:tabs>
              <w:tab w:val="right" w:leader="dot" w:pos="9016"/>
            </w:tabs>
            <w:ind w:left="0"/>
            <w:rPr>
              <w:rFonts w:asciiTheme="minorHAnsi" w:eastAsiaTheme="minorEastAsia" w:hAnsiTheme="minorHAnsi" w:cstheme="minorBidi"/>
              <w:noProof/>
              <w:kern w:val="2"/>
              <w:sz w:val="24"/>
              <w:szCs w:val="24"/>
              <w14:ligatures w14:val="standardContextual"/>
            </w:rPr>
          </w:pPr>
          <w:hyperlink w:anchor="_Toc234164969" w:history="1">
            <w:r>
              <w:rPr>
                <w:rStyle w:val="Hyperlink"/>
                <w:noProof/>
              </w:rPr>
              <w:t xml:space="preserve">6. </w:t>
            </w:r>
            <w:r>
              <w:rPr>
                <w:rStyle w:val="Hyperlink"/>
                <w:b/>
                <w:bCs/>
                <w:noProof/>
              </w:rPr>
              <w:t>References</w:t>
            </w:r>
            <w:r>
              <w:rPr>
                <w:noProof/>
                <w:webHidden/>
              </w:rPr>
              <w:tab/>
            </w:r>
            <w:r>
              <w:rPr>
                <w:noProof/>
                <w:webHidden/>
              </w:rPr>
              <w:fldChar w:fldCharType="begin"/>
            </w:r>
            <w:r>
              <w:rPr>
                <w:noProof/>
                <w:webHidden/>
              </w:rPr>
              <w:instrText xml:space="preserve"> PAGEREF _Toc234164969 \h </w:instrText>
            </w:r>
            <w:r>
              <w:rPr>
                <w:noProof/>
                <w:webHidden/>
              </w:rPr>
            </w:r>
            <w:r>
              <w:rPr>
                <w:noProof/>
                <w:webHidden/>
              </w:rPr>
              <w:fldChar w:fldCharType="separate"/>
            </w:r>
            <w:r>
              <w:rPr>
                <w:noProof/>
                <w:webHidden/>
              </w:rPr>
              <w:t>13</w:t>
            </w:r>
            <w:r>
              <w:rPr>
                <w:noProof/>
                <w:webHidden/>
              </w:rPr>
              <w:fldChar w:fldCharType="end"/>
            </w:r>
          </w:hyperlink>
        </w:p>
        <w:p w14:paraId="1DF7C6C6" w14:textId="4D9F3980" w:rsidR="00A26CB5" w:rsidRDefault="00A26CB5" w:rsidP="009769D6">
          <w:pPr>
            <w:spacing w:line="360" w:lineRule="auto"/>
          </w:pPr>
          <w:r>
            <w:rPr>
              <w:rFonts w:asciiTheme="minorBidi" w:hAnsiTheme="minorBidi" w:cstheme="minorBidi"/>
              <w:b/>
              <w:bCs/>
              <w:noProof/>
            </w:rPr>
            <w:fldChar w:fldCharType="end"/>
          </w:r>
        </w:p>
      </w:sdtContent>
    </w:sdt>
    <w:p w14:paraId="0BC4BF81" w14:textId="77777777" w:rsidR="00A26CB5" w:rsidRDefault="00A26CB5" w:rsidP="00E57951">
      <w:pPr>
        <w:spacing w:line="360" w:lineRule="auto"/>
      </w:pPr>
    </w:p>
    <w:p w14:paraId="36BA36A8" w14:textId="77777777" w:rsidR="00A26CB5" w:rsidRDefault="00A26CB5" w:rsidP="00E57951">
      <w:pPr>
        <w:spacing w:line="360" w:lineRule="auto"/>
      </w:pPr>
    </w:p>
    <w:p w14:paraId="58D811FA" w14:textId="77777777" w:rsidR="00A26CB5" w:rsidRDefault="00A26CB5" w:rsidP="00E57951">
      <w:pPr>
        <w:spacing w:line="360" w:lineRule="auto"/>
      </w:pPr>
    </w:p>
    <w:p w14:paraId="69DB89ED" w14:textId="77777777" w:rsidR="00A26CB5" w:rsidRDefault="00A26CB5" w:rsidP="00A26CB5"/>
    <w:p w14:paraId="15447E22" w14:textId="77777777" w:rsidR="00A26CB5" w:rsidRDefault="00A26CB5" w:rsidP="00A26CB5"/>
    <w:p w14:paraId="5D5563DF" w14:textId="77777777" w:rsidR="00A26CB5" w:rsidRDefault="00A26CB5" w:rsidP="00A26CB5"/>
    <w:p w14:paraId="0B71C6A0" w14:textId="77777777" w:rsidR="00A26CB5" w:rsidRDefault="00A26CB5" w:rsidP="00A26CB5"/>
    <w:p w14:paraId="1EF1F142" w14:textId="77777777" w:rsidR="00A26CB5" w:rsidRDefault="00A26CB5" w:rsidP="00A26CB5"/>
    <w:p w14:paraId="07BFBAE2" w14:textId="77777777" w:rsidR="00A26CB5" w:rsidRDefault="00A26CB5" w:rsidP="00A26CB5"/>
    <w:p w14:paraId="4DD8E624" w14:textId="77777777" w:rsidR="00A26CB5" w:rsidRDefault="00A26CB5" w:rsidP="00A26CB5"/>
    <w:p w14:paraId="7710DAF1" w14:textId="77777777" w:rsidR="0034787A" w:rsidRDefault="0034787A" w:rsidP="00A26CB5"/>
    <w:p w14:paraId="5A906472" w14:textId="77777777" w:rsidR="0034787A" w:rsidRDefault="0034787A" w:rsidP="00A26CB5"/>
    <w:p w14:paraId="36D10FBA" w14:textId="77777777" w:rsidR="0034787A" w:rsidRDefault="0034787A" w:rsidP="00A26CB5"/>
    <w:p w14:paraId="169E54F1" w14:textId="77777777" w:rsidR="0034787A" w:rsidRDefault="0034787A" w:rsidP="00A26CB5"/>
    <w:p w14:paraId="0E713037" w14:textId="77777777" w:rsidR="0034787A" w:rsidRDefault="0034787A" w:rsidP="00A26CB5"/>
    <w:p w14:paraId="47D6B442" w14:textId="77777777" w:rsidR="0034787A" w:rsidRDefault="0034787A" w:rsidP="00A26CB5"/>
    <w:p w14:paraId="08DD21A3" w14:textId="77777777" w:rsidR="0034787A" w:rsidRDefault="0034787A" w:rsidP="00A26CB5"/>
    <w:p w14:paraId="76FCDC13" w14:textId="77777777" w:rsidR="00A26CB5" w:rsidRDefault="00A26CB5" w:rsidP="00A26CB5"/>
    <w:p w14:paraId="56A2455B" w14:textId="77777777" w:rsidR="00FC7452" w:rsidRPr="008107B2" w:rsidRDefault="00BC68A4">
      <w:pPr>
        <w:pStyle w:val="Heading1"/>
        <w:spacing w:line="280" w:lineRule="auto"/>
        <w:rPr>
          <w:sz w:val="32"/>
          <w:szCs w:val="32"/>
        </w:rPr>
      </w:pPr>
      <w:bookmarkStart w:id="1" w:name="_Toc234164951"/>
      <w:r>
        <w:rPr>
          <w:sz w:val="32"/>
          <w:szCs w:val="32"/>
        </w:rPr>
        <w:lastRenderedPageBreak/>
        <w:t>1. Introduction</w:t>
      </w:r>
      <w:bookmarkEnd w:id="1"/>
    </w:p>
    <w:p w14:paraId="2A4BA37B" w14:textId="77777777" w:rsidR="00FC7452" w:rsidRPr="008107B2" w:rsidRDefault="00BC68A4">
      <w:pPr>
        <w:pStyle w:val="Heading2"/>
        <w:spacing w:line="280" w:lineRule="auto"/>
        <w:rPr>
          <w:sz w:val="28"/>
          <w:szCs w:val="28"/>
        </w:rPr>
      </w:pPr>
      <w:bookmarkStart w:id="2" w:name="_Toc234164952"/>
      <w:r>
        <w:rPr>
          <w:sz w:val="28"/>
          <w:szCs w:val="28"/>
        </w:rPr>
        <w:t>1.1 Background of the Study</w:t>
      </w:r>
      <w:bookmarkEnd w:id="2"/>
    </w:p>
    <w:p w14:paraId="32CB5CFB" w14:textId="5323D62C" w:rsidR="00FC7452" w:rsidRDefault="00BC68A4" w:rsidP="00BA7136">
      <w:pPr>
        <w:spacing w:after="160" w:line="360" w:lineRule="auto"/>
        <w:ind w:firstLine="560"/>
        <w:jc w:val="both"/>
      </w:pPr>
      <w:r>
        <w:t>Hybrid working, where employees divide their time between the office and a remote location, has become a permanent feature of the UK labour market since the COVID-19 pandemic. The Office for National Statistics (2024a) reports that 44% of employed adults worked in a hybrid arrangement in 2023, with the highest rates in finance, insurance, and professional services. Felstead and Reuschke (2020) documented the rapid expansion of home-based working across the UK, establishing baseline evidence for the scale of this shift. The Chartered Institute of Personnel and Development (2025) describes it as a cornerstone of modern workforce strategy, and Alfes et al. (2023) confirm that this shift is structural rather than temporary.</w:t>
      </w:r>
    </w:p>
    <w:p w14:paraId="3EBAE4F9" w14:textId="08ADE5AF" w:rsidR="00FC7452" w:rsidRDefault="00BC68A4">
      <w:pPr>
        <w:spacing w:after="160" w:line="360" w:lineRule="auto"/>
        <w:ind w:firstLine="560"/>
        <w:jc w:val="both"/>
      </w:pPr>
      <w:r>
        <w:t>UK financial services is one of the most affected sectors, employing over one million people across banking, insurance, and investment management (UK Finance, 2024). Regulatory obligations, client confidentiality requirements, and the mentoring of junior staff create constraints on remote working that are unique to this sector. Growing ESG scrutiny from investors and regulators adds further strategic importance to how firms design their hybrid working arrangements (Deloitte, 2024).</w:t>
      </w:r>
    </w:p>
    <w:p w14:paraId="22EEEB7E" w14:textId="77777777" w:rsidR="00FC7452" w:rsidRDefault="00BC68A4">
      <w:pPr>
        <w:spacing w:after="160" w:line="360" w:lineRule="auto"/>
        <w:ind w:firstLine="560"/>
        <w:jc w:val="both"/>
      </w:pPr>
      <w:r>
        <w:t>Two interconnected challenges motivate this study. First, hybrid working may both support and undermine employee motivation: Self-Determination Theory (Deci and Ryan, 2000) and the Job Demands-Resources Model (Bakker and Demerouti, 2007) identify the specific needs and conditions that must be met for motivation to be sustained. Second, Elkington (1997) established that organisations must manage economic, social, and environmental performance together, and hybrid working has implications for all three. Understanding these dynamics in UK financial services is the central purpose of this study.</w:t>
      </w:r>
    </w:p>
    <w:p w14:paraId="42CCFBBE" w14:textId="77777777" w:rsidR="00FC7452" w:rsidRPr="008107B2" w:rsidRDefault="00BC68A4">
      <w:pPr>
        <w:pStyle w:val="Heading2"/>
        <w:spacing w:line="280" w:lineRule="auto"/>
        <w:rPr>
          <w:sz w:val="28"/>
          <w:szCs w:val="28"/>
        </w:rPr>
      </w:pPr>
      <w:bookmarkStart w:id="3" w:name="_Toc234164953"/>
      <w:r>
        <w:rPr>
          <w:sz w:val="28"/>
          <w:szCs w:val="28"/>
        </w:rPr>
        <w:t>1.2 Problem Statement</w:t>
      </w:r>
      <w:bookmarkEnd w:id="3"/>
    </w:p>
    <w:p w14:paraId="4CE27FFD" w14:textId="77777777" w:rsidR="00FC7452" w:rsidRDefault="00BC68A4">
      <w:pPr>
        <w:spacing w:after="160" w:line="360" w:lineRule="auto"/>
        <w:ind w:firstLine="560"/>
        <w:jc w:val="both"/>
      </w:pPr>
      <w:r>
        <w:t>Despite widespread adoption, the effects of hybrid working on employee motivation in UK financial services are not well understood. Traditional motivation depends on physical co-presence, informal interaction, and close managerial contact, all of which are disrupted in hybrid settings (Deci and Ryan, 2000). Gallup (2024) reports that only 23% of employees globally are actively engaged, and Microsoft (2023) found that 43% of hybrid workers struggled to feel connected to their colleagues.</w:t>
      </w:r>
    </w:p>
    <w:p w14:paraId="2854F031" w14:textId="77777777" w:rsidR="00FC7452" w:rsidRDefault="00BC68A4">
      <w:pPr>
        <w:spacing w:after="160" w:line="360" w:lineRule="auto"/>
        <w:ind w:firstLine="560"/>
        <w:jc w:val="both"/>
      </w:pPr>
      <w:r>
        <w:t xml:space="preserve">For UK financial services firms, low engagement is costly: high turnover disrupts client relationships and reduces institutional knowledge (Kniffin et al., 2021). On sustainability, </w:t>
      </w:r>
      <w:r>
        <w:lastRenderedPageBreak/>
        <w:t>Bloom (2023) found productivity gains are strong for individual tasks but weaker for the collaborative work central to financial services. Kelliher and Anderson (2010) identify equity concerns around unequal access to hybrid arrangements, and Chung (2022) argues that flexibility often deepens inequality for lower-status workers. Elkington (1997) established that economic, social, and environmental performance must be considered together, and this study examines how hybrid working intersects with all three.</w:t>
      </w:r>
    </w:p>
    <w:p w14:paraId="5D8F5520" w14:textId="77777777" w:rsidR="00FC7452" w:rsidRPr="008107B2" w:rsidRDefault="00BC68A4">
      <w:pPr>
        <w:pStyle w:val="Heading2"/>
        <w:spacing w:line="280" w:lineRule="auto"/>
        <w:rPr>
          <w:sz w:val="28"/>
          <w:szCs w:val="28"/>
        </w:rPr>
      </w:pPr>
      <w:bookmarkStart w:id="4" w:name="_Toc234164954"/>
      <w:r>
        <w:rPr>
          <w:sz w:val="28"/>
          <w:szCs w:val="28"/>
        </w:rPr>
        <w:t>1.3 Aim and Objectives</w:t>
      </w:r>
      <w:bookmarkEnd w:id="4"/>
    </w:p>
    <w:p w14:paraId="463F82F7" w14:textId="2094FCCC" w:rsidR="008107B2" w:rsidRDefault="00BC68A4" w:rsidP="00A26CB5">
      <w:pPr>
        <w:spacing w:after="160" w:line="360" w:lineRule="auto"/>
        <w:jc w:val="both"/>
      </w:pPr>
      <w:r>
        <w:t>The aim of this study is to examine how hybrid working arrangements influence employee motivation and sustainable organisational performance in UK financial services organisations, through a critical review of secondary sources.</w:t>
      </w:r>
    </w:p>
    <w:p w14:paraId="0D902476" w14:textId="77777777" w:rsidR="00FC7452" w:rsidRDefault="00BC68A4" w:rsidP="008107B2">
      <w:pPr>
        <w:spacing w:after="160" w:line="360" w:lineRule="auto"/>
        <w:jc w:val="both"/>
      </w:pPr>
      <w:r>
        <w:t>The following five objectives support this aim:</w:t>
      </w:r>
    </w:p>
    <w:p w14:paraId="6DD37777" w14:textId="77777777" w:rsidR="00FC7452" w:rsidRDefault="00BC68A4" w:rsidP="008107B2">
      <w:pPr>
        <w:pStyle w:val="ListParagraph"/>
        <w:numPr>
          <w:ilvl w:val="0"/>
          <w:numId w:val="2"/>
        </w:numPr>
        <w:jc w:val="both"/>
      </w:pPr>
      <w:r>
        <w:t>To trace the development of hybrid working and examine how it operates in UK financial services.</w:t>
      </w:r>
    </w:p>
    <w:p w14:paraId="649AFDB3" w14:textId="77777777" w:rsidR="00FC7452" w:rsidRDefault="00BC68A4" w:rsidP="008107B2">
      <w:pPr>
        <w:pStyle w:val="ListParagraph"/>
        <w:numPr>
          <w:ilvl w:val="0"/>
          <w:numId w:val="2"/>
        </w:numPr>
        <w:jc w:val="both"/>
      </w:pPr>
      <w:r>
        <w:t>To critically analyse the relationship between hybrid working and employee motivation, using established motivational theories.</w:t>
      </w:r>
    </w:p>
    <w:p w14:paraId="2903A467" w14:textId="77777777" w:rsidR="00FC7452" w:rsidRDefault="00BC68A4" w:rsidP="008107B2">
      <w:pPr>
        <w:pStyle w:val="ListParagraph"/>
        <w:numPr>
          <w:ilvl w:val="0"/>
          <w:numId w:val="2"/>
        </w:numPr>
        <w:jc w:val="both"/>
      </w:pPr>
      <w:r>
        <w:t>To investigate how hybrid working affects sustainable organisational performance across economic, social, and environmental dimensions.</w:t>
      </w:r>
    </w:p>
    <w:p w14:paraId="0BC6DE3C" w14:textId="77777777" w:rsidR="00FC7452" w:rsidRDefault="00BC68A4" w:rsidP="008107B2">
      <w:pPr>
        <w:pStyle w:val="ListParagraph"/>
        <w:numPr>
          <w:ilvl w:val="0"/>
          <w:numId w:val="2"/>
        </w:numPr>
        <w:jc w:val="both"/>
      </w:pPr>
      <w:r>
        <w:t>To identify the main benefits and challenges of hybrid working for employees and organisations in UK financial services.</w:t>
      </w:r>
    </w:p>
    <w:p w14:paraId="5E236045" w14:textId="5DE3FB8E" w:rsidR="00FC7452" w:rsidRDefault="00BC68A4" w:rsidP="00A26CB5">
      <w:pPr>
        <w:pStyle w:val="ListParagraph"/>
        <w:numPr>
          <w:ilvl w:val="0"/>
          <w:numId w:val="2"/>
        </w:numPr>
        <w:jc w:val="both"/>
      </w:pPr>
      <w:r>
        <w:t>To propose evidence-based recommendations for UK financial services organisations.</w:t>
      </w:r>
    </w:p>
    <w:p w14:paraId="0E313087" w14:textId="77777777" w:rsidR="00FC7452" w:rsidRPr="008107B2" w:rsidRDefault="00BC68A4">
      <w:pPr>
        <w:pStyle w:val="Heading2"/>
        <w:spacing w:line="280" w:lineRule="auto"/>
        <w:rPr>
          <w:sz w:val="28"/>
          <w:szCs w:val="28"/>
        </w:rPr>
      </w:pPr>
      <w:bookmarkStart w:id="5" w:name="_Toc234164955"/>
      <w:r>
        <w:rPr>
          <w:sz w:val="28"/>
          <w:szCs w:val="28"/>
        </w:rPr>
        <w:t>1.4 Research Questions</w:t>
      </w:r>
      <w:bookmarkEnd w:id="5"/>
    </w:p>
    <w:p w14:paraId="101F6F61" w14:textId="77777777" w:rsidR="00FC7452" w:rsidRDefault="00BC68A4">
      <w:pPr>
        <w:spacing w:after="160" w:line="360" w:lineRule="auto"/>
        <w:jc w:val="both"/>
      </w:pPr>
      <w:r>
        <w:t>The central research question is: how do hybrid working arrangements influence employee motivation and sustainable organisational performance in UK financial services? This is supported by four sub-questions:</w:t>
      </w:r>
    </w:p>
    <w:p w14:paraId="2100A8E4" w14:textId="77777777" w:rsidR="00FC7452" w:rsidRDefault="00BC68A4">
      <w:pPr>
        <w:pStyle w:val="ListParagraph"/>
        <w:numPr>
          <w:ilvl w:val="0"/>
          <w:numId w:val="1"/>
        </w:numPr>
        <w:jc w:val="both"/>
      </w:pPr>
      <w:r>
        <w:t>How has hybrid working developed and how does it currently operate in UK financial services?</w:t>
      </w:r>
    </w:p>
    <w:p w14:paraId="315C05B3" w14:textId="77777777" w:rsidR="00FC7452" w:rsidRDefault="00BC68A4">
      <w:pPr>
        <w:pStyle w:val="ListParagraph"/>
        <w:numPr>
          <w:ilvl w:val="0"/>
          <w:numId w:val="1"/>
        </w:numPr>
        <w:jc w:val="both"/>
      </w:pPr>
      <w:r>
        <w:t>How does hybrid working affect employee motivation, and which factors are most significantly shaped by it?</w:t>
      </w:r>
    </w:p>
    <w:p w14:paraId="325379D2" w14:textId="77777777" w:rsidR="00FC7452" w:rsidRDefault="00BC68A4">
      <w:pPr>
        <w:pStyle w:val="ListParagraph"/>
        <w:numPr>
          <w:ilvl w:val="0"/>
          <w:numId w:val="1"/>
        </w:numPr>
        <w:jc w:val="both"/>
      </w:pPr>
      <w:r>
        <w:t>What is the relationship between hybrid working and sustainable performance across economic, social, and environmental dimensions?</w:t>
      </w:r>
    </w:p>
    <w:p w14:paraId="4775464E" w14:textId="77777777" w:rsidR="00FC7452" w:rsidRDefault="00BC68A4">
      <w:pPr>
        <w:pStyle w:val="ListParagraph"/>
        <w:numPr>
          <w:ilvl w:val="0"/>
          <w:numId w:val="1"/>
        </w:numPr>
        <w:jc w:val="both"/>
      </w:pPr>
      <w:r>
        <w:t>What steps can UK financial services organisations take to maximise the benefits of hybrid working?</w:t>
      </w:r>
    </w:p>
    <w:p w14:paraId="7916F014" w14:textId="77777777" w:rsidR="00FC7452" w:rsidRDefault="00FC7452">
      <w:pPr>
        <w:spacing w:after="80"/>
      </w:pPr>
    </w:p>
    <w:p w14:paraId="000535FE" w14:textId="77777777" w:rsidR="00FC7452" w:rsidRPr="008107B2" w:rsidRDefault="00BC68A4">
      <w:pPr>
        <w:pStyle w:val="Heading2"/>
        <w:spacing w:line="280" w:lineRule="auto"/>
        <w:rPr>
          <w:sz w:val="28"/>
          <w:szCs w:val="28"/>
        </w:rPr>
      </w:pPr>
      <w:bookmarkStart w:id="6" w:name="_Toc234164956"/>
      <w:r>
        <w:rPr>
          <w:sz w:val="28"/>
          <w:szCs w:val="28"/>
        </w:rPr>
        <w:lastRenderedPageBreak/>
        <w:t>1.5 Indicative Report Structure</w:t>
      </w:r>
      <w:bookmarkEnd w:id="6"/>
    </w:p>
    <w:p w14:paraId="6EFEF13F" w14:textId="0E36657C" w:rsidR="008107B2" w:rsidRDefault="00BC68A4" w:rsidP="00A26CB5">
      <w:pPr>
        <w:spacing w:after="160" w:line="360" w:lineRule="auto"/>
        <w:ind w:firstLine="560"/>
        <w:jc w:val="both"/>
      </w:pPr>
      <w:r>
        <w:t>Section 2 reviews the literature on hybrid working, motivation, and sustainable performance. Section 3 sets out the research methodology. Section 4 discusses practical implications for the sector. Section 5 draws together the main conclusions and considers future directions for the research.</w:t>
      </w:r>
    </w:p>
    <w:p w14:paraId="08856F43" w14:textId="77777777" w:rsidR="00FC7452" w:rsidRPr="008107B2" w:rsidRDefault="00BC68A4" w:rsidP="008107B2">
      <w:pPr>
        <w:pStyle w:val="Heading1"/>
        <w:rPr>
          <w:sz w:val="32"/>
          <w:szCs w:val="32"/>
        </w:rPr>
      </w:pPr>
      <w:bookmarkStart w:id="7" w:name="_Toc234164957"/>
      <w:r>
        <w:rPr>
          <w:sz w:val="32"/>
          <w:szCs w:val="32"/>
        </w:rPr>
        <w:t>2. Literature Review</w:t>
      </w:r>
      <w:bookmarkEnd w:id="7"/>
    </w:p>
    <w:p w14:paraId="020A12D8" w14:textId="77777777" w:rsidR="00FC7452" w:rsidRDefault="00BC68A4">
      <w:pPr>
        <w:spacing w:after="160" w:line="360" w:lineRule="auto"/>
        <w:ind w:firstLine="560"/>
        <w:jc w:val="both"/>
      </w:pPr>
      <w:r>
        <w:t>This section reviews the literature on hybrid working, employee motivation, and sustainable organisational performance. It draws on peer-reviewed journals, textbooks, and industry reports from 2021 to 2026, with earlier foundational works included for theoretical grounding.</w:t>
      </w:r>
    </w:p>
    <w:p w14:paraId="5781901B" w14:textId="77777777" w:rsidR="00FC7452" w:rsidRPr="008107B2" w:rsidRDefault="00BC68A4">
      <w:pPr>
        <w:pStyle w:val="Heading2"/>
        <w:spacing w:line="280" w:lineRule="auto"/>
        <w:rPr>
          <w:sz w:val="28"/>
          <w:szCs w:val="28"/>
        </w:rPr>
      </w:pPr>
      <w:bookmarkStart w:id="8" w:name="_Toc234164958"/>
      <w:r>
        <w:rPr>
          <w:sz w:val="28"/>
          <w:szCs w:val="28"/>
        </w:rPr>
        <w:t>2.1 The Evolution of Hybrid Working</w:t>
      </w:r>
      <w:bookmarkEnd w:id="8"/>
    </w:p>
    <w:p w14:paraId="20823906" w14:textId="77777777" w:rsidR="00FC7452" w:rsidRDefault="00BC68A4">
      <w:pPr>
        <w:spacing w:after="160" w:line="360" w:lineRule="auto"/>
        <w:ind w:firstLine="560"/>
        <w:jc w:val="both"/>
      </w:pPr>
      <w:r>
        <w:t>Research on remote working has a long history. Bailey and Kurland (2002) found that while employees valued the autonomy remote working provided, organisations struggled to maintain team cohesion and manage performance at a distance. The COVID-19 pandemic changed the scale of this debate. Gratton (2021), writing in the Harvard Business Review, argues that successful hybrid working requires deliberate design. This includes clear expectations about when staff attend the office, investment in digital tools, and a culture built on trust rather than physical visibility.</w:t>
      </w:r>
    </w:p>
    <w:p w14:paraId="18B96C9D" w14:textId="77777777" w:rsidR="00A26CB5" w:rsidRDefault="00BC68A4">
      <w:pPr>
        <w:spacing w:after="160" w:line="360" w:lineRule="auto"/>
        <w:ind w:firstLine="560"/>
        <w:jc w:val="both"/>
      </w:pPr>
      <w:r>
        <w:t xml:space="preserve">Choudhury, Foroughi and Larson (2021), in the Strategic Management Journal, found that geographic flexibility improves productivity only where organisations invest in communication infrastructure. In UK financial services, regulatory requirements, client confidentiality, and the challenge of mentoring junior staff remotely create complications that are unique to the sector (UK Finance, 2024). </w:t>
      </w:r>
    </w:p>
    <w:p w14:paraId="3ED26429" w14:textId="60E617FC" w:rsidR="00FC7452" w:rsidRDefault="00BB6A37" w:rsidP="00BB6A37">
      <w:pPr>
        <w:spacing w:after="160" w:line="360" w:lineRule="auto"/>
        <w:ind w:firstLine="560"/>
        <w:jc w:val="both"/>
      </w:pPr>
      <w:r>
        <w:t xml:space="preserve">Chung, Seo, Forbes and Zhou (2021), writing in </w:t>
      </w:r>
      <w:r>
        <w:rPr>
          <w:i/>
          <w:iCs/>
        </w:rPr>
        <w:t>Work, Employment and Society</w:t>
      </w:r>
      <w:r>
        <w:t>, confirm that sector context significantly shapes hybrid working outcomes. This supports the need for sector-specific research of the kind proposed here. Wang, Liu, Qian and Parker (2021), writing in Applied Psychology: An International Review, emphasise that achieving effective hybrid working requires deliberate work design, particularly in ensuring that task autonomy and communication structures are adapted to distributed teams.</w:t>
      </w:r>
    </w:p>
    <w:p w14:paraId="28594F97" w14:textId="77777777" w:rsidR="00FC7452" w:rsidRPr="008107B2" w:rsidRDefault="00BC68A4">
      <w:pPr>
        <w:pStyle w:val="Heading2"/>
        <w:spacing w:line="280" w:lineRule="auto"/>
        <w:rPr>
          <w:sz w:val="28"/>
          <w:szCs w:val="28"/>
        </w:rPr>
      </w:pPr>
      <w:bookmarkStart w:id="9" w:name="_Toc234164959"/>
      <w:r>
        <w:rPr>
          <w:sz w:val="28"/>
          <w:szCs w:val="28"/>
        </w:rPr>
        <w:t>2.2 Employee Motivation: Theoretical Perspectives</w:t>
      </w:r>
      <w:bookmarkEnd w:id="9"/>
    </w:p>
    <w:p w14:paraId="054F0D68" w14:textId="77777777" w:rsidR="00FC7452" w:rsidRPr="008107B2" w:rsidRDefault="00BC68A4" w:rsidP="008107B2">
      <w:pPr>
        <w:spacing w:after="160" w:line="360" w:lineRule="auto"/>
        <w:jc w:val="both"/>
      </w:pPr>
      <w:r>
        <w:t>Having established how hybrid working operates in the sector, this section now examines how it affects employee motivation through three theoretical frameworks.</w:t>
      </w:r>
    </w:p>
    <w:p w14:paraId="44C1EF13" w14:textId="77777777" w:rsidR="00FC7452" w:rsidRDefault="00BC68A4">
      <w:pPr>
        <w:spacing w:after="160" w:line="360" w:lineRule="auto"/>
        <w:ind w:firstLine="560"/>
        <w:jc w:val="both"/>
      </w:pPr>
      <w:r>
        <w:lastRenderedPageBreak/>
        <w:t>Self-Determination Theory, developed by Deci and Ryan (2000), proposes that lasting motivation depends on three needs: autonomy, competence, and relatedness. Hybrid working can strengthen autonomy by giving employees control over when and where they work. Bloom, Han and Liang (2022) provide empirical support through a randomised controlled trial. Hybrid workers reported higher job satisfaction and were 33% less likely to leave their employer. Increased autonomy was identified as the primary driver.</w:t>
      </w:r>
    </w:p>
    <w:p w14:paraId="5EFD90C1" w14:textId="77777777" w:rsidR="00FC7452" w:rsidRDefault="00BC68A4">
      <w:pPr>
        <w:spacing w:after="160" w:line="360" w:lineRule="auto"/>
        <w:ind w:firstLine="560"/>
        <w:jc w:val="both"/>
      </w:pPr>
      <w:r>
        <w:t>However, relatedness is harder to maintain at a distance. Edmondson and Bransby (2023), in the Annual Review of Organizational Psychology, found that psychological safety is more difficult to build when informal interaction is reduced. Microsoft (2023) reports that 43% of hybrid workers globally felt unable to connect meaningfully with colleagues. This represents a direct challenge to the relatedness need identified by SDT.</w:t>
      </w:r>
    </w:p>
    <w:p w14:paraId="10ACFEB6" w14:textId="6FA3D5C5" w:rsidR="00A26CB5" w:rsidRDefault="00BC68A4" w:rsidP="00862B85">
      <w:pPr>
        <w:spacing w:after="160" w:line="360" w:lineRule="auto"/>
        <w:ind w:firstLine="560"/>
        <w:jc w:val="both"/>
      </w:pPr>
      <w:r>
        <w:t>Herzberg's Two-Factor Theory, discussed by Armstrong and Taylor (2023), distinguishes between hygiene factors, such as commuting, and motivators, such as recognition and achievement. Hybrid working may remove hygiene barriers while limiting the visibility of achievement. The Job Demands-Resources Model, introduced by Bakker and Demerouti (2007) in the Journal of Managerial Psychology, adds that motivation depends on the balance between job demands and available resources. In hybrid settings, organisations that manage this balance sustain motivation. Those that do not find it gradually erodes.</w:t>
      </w:r>
    </w:p>
    <w:p w14:paraId="24250590" w14:textId="57DFF2EE" w:rsidR="008107B2" w:rsidRDefault="00BC68A4" w:rsidP="00A26CB5">
      <w:pPr>
        <w:spacing w:after="160" w:line="360" w:lineRule="auto"/>
        <w:jc w:val="both"/>
      </w:pPr>
      <w:r>
        <w:t>Table 2 summarises the four theoretical frameworks discussed above and their specific relevance to hybrid working.</w:t>
      </w:r>
    </w:p>
    <w:p w14:paraId="3B5323A7" w14:textId="77777777" w:rsidR="00FC7452" w:rsidRDefault="00BC68A4" w:rsidP="008107B2">
      <w:pPr>
        <w:spacing w:before="140" w:after="60" w:line="280" w:lineRule="auto"/>
        <w:jc w:val="center"/>
        <w:rPr>
          <w:b/>
          <w:bCs/>
          <w:sz w:val="20"/>
          <w:szCs w:val="20"/>
        </w:rPr>
      </w:pPr>
      <w:r>
        <w:rPr>
          <w:b/>
          <w:bCs/>
          <w:sz w:val="20"/>
          <w:szCs w:val="20"/>
        </w:rPr>
        <w:t>Table 2: Key Motivational Theories and Their Relevance to Hybrid Working</w:t>
      </w:r>
    </w:p>
    <w:p w14:paraId="5F8FF8D1" w14:textId="164157A0" w:rsidR="00F30704" w:rsidRPr="001C1D5C" w:rsidRDefault="00F30704" w:rsidP="001C1D5C">
      <w:pPr>
        <w:spacing w:before="140" w:after="60" w:line="280" w:lineRule="auto"/>
        <w:jc w:val="center"/>
      </w:pPr>
      <w:r>
        <w:rPr>
          <w:noProof/>
        </w:rPr>
        <w:drawing>
          <wp:inline distT="0" distB="0" distL="0" distR="0" wp14:anchorId="285DB231" wp14:editId="204F18EF">
            <wp:extent cx="5731510" cy="2279650"/>
            <wp:effectExtent l="0" t="0" r="2540" b="6350"/>
            <wp:docPr id="94439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94742" name=""/>
                    <pic:cNvPicPr/>
                  </pic:nvPicPr>
                  <pic:blipFill>
                    <a:blip r:embed="rId12"/>
                    <a:stretch>
                      <a:fillRect/>
                    </a:stretch>
                  </pic:blipFill>
                  <pic:spPr>
                    <a:xfrm>
                      <a:off x="0" y="0"/>
                      <a:ext cx="5731510" cy="2279650"/>
                    </a:xfrm>
                    <a:prstGeom prst="rect">
                      <a:avLst/>
                    </a:prstGeom>
                  </pic:spPr>
                </pic:pic>
              </a:graphicData>
            </a:graphic>
          </wp:inline>
        </w:drawing>
      </w:r>
    </w:p>
    <w:p w14:paraId="62CA0405" w14:textId="1FBE38A6" w:rsidR="00FC7452" w:rsidRDefault="00BC68A4" w:rsidP="008107B2">
      <w:pPr>
        <w:spacing w:before="40" w:after="140" w:line="280" w:lineRule="auto"/>
      </w:pPr>
      <w:r>
        <w:rPr>
          <w:i/>
          <w:iCs/>
          <w:color w:val="555555"/>
          <w:sz w:val="18"/>
          <w:szCs w:val="18"/>
        </w:rPr>
        <w:t>Source: Deci and Ryan (2000), Armstrong and Taylor (2023), Bakker and Demerouti (2007), and Mullins (2019)</w:t>
      </w:r>
    </w:p>
    <w:p w14:paraId="7B09264E" w14:textId="77777777" w:rsidR="00FC7452" w:rsidRDefault="00FC7452">
      <w:pPr>
        <w:spacing w:after="80"/>
      </w:pPr>
    </w:p>
    <w:p w14:paraId="290F6D28" w14:textId="77777777" w:rsidR="00FC7452" w:rsidRDefault="00BC68A4">
      <w:pPr>
        <w:spacing w:after="160" w:line="360" w:lineRule="auto"/>
        <w:jc w:val="both"/>
      </w:pPr>
      <w:r>
        <w:t>Figure 1 illustrates the differences in active engagement rates across working models, based on data from Gallup (2024).</w:t>
      </w:r>
    </w:p>
    <w:p w14:paraId="4FDB63E2" w14:textId="77777777" w:rsidR="00FC7452" w:rsidRDefault="00BC68A4" w:rsidP="008107B2">
      <w:pPr>
        <w:spacing w:before="140" w:after="60" w:line="280" w:lineRule="auto"/>
        <w:jc w:val="center"/>
        <w:rPr>
          <w:b/>
          <w:bCs/>
          <w:sz w:val="20"/>
          <w:szCs w:val="20"/>
        </w:rPr>
      </w:pPr>
      <w:r>
        <w:rPr>
          <w:b/>
          <w:bCs/>
          <w:sz w:val="20"/>
          <w:szCs w:val="20"/>
        </w:rPr>
        <w:lastRenderedPageBreak/>
        <w:t>Figure 1: Employee Engagement Rate by Working Model (%)</w:t>
      </w:r>
    </w:p>
    <w:p w14:paraId="0CDECC16" w14:textId="77AD80B6" w:rsidR="001C1D5C" w:rsidRPr="001C1D5C" w:rsidRDefault="001C1D5C" w:rsidP="001C1D5C">
      <w:pPr>
        <w:spacing w:before="140" w:after="60" w:line="280" w:lineRule="auto"/>
        <w:jc w:val="center"/>
      </w:pPr>
      <w:r>
        <w:rPr>
          <w:noProof/>
        </w:rPr>
        <w:drawing>
          <wp:inline distT="0" distB="0" distL="0" distR="0" wp14:anchorId="047B0A83" wp14:editId="64D68F39">
            <wp:extent cx="5905500" cy="1903945"/>
            <wp:effectExtent l="0" t="0" r="0" b="1270"/>
            <wp:docPr id="189043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31369" name=""/>
                    <pic:cNvPicPr/>
                  </pic:nvPicPr>
                  <pic:blipFill>
                    <a:blip r:embed="rId13"/>
                    <a:stretch>
                      <a:fillRect/>
                    </a:stretch>
                  </pic:blipFill>
                  <pic:spPr>
                    <a:xfrm>
                      <a:off x="0" y="0"/>
                      <a:ext cx="5936688" cy="1914000"/>
                    </a:xfrm>
                    <a:prstGeom prst="rect">
                      <a:avLst/>
                    </a:prstGeom>
                  </pic:spPr>
                </pic:pic>
              </a:graphicData>
            </a:graphic>
          </wp:inline>
        </w:drawing>
      </w:r>
    </w:p>
    <w:p w14:paraId="704398B6" w14:textId="6DABF28B" w:rsidR="009464BD" w:rsidRPr="00862B85" w:rsidRDefault="00BC68A4" w:rsidP="00862B85">
      <w:pPr>
        <w:spacing w:before="40" w:after="140" w:line="360" w:lineRule="auto"/>
        <w:jc w:val="center"/>
        <w:rPr>
          <w:i/>
          <w:iCs/>
          <w:color w:val="555555"/>
          <w:sz w:val="18"/>
          <w:szCs w:val="18"/>
        </w:rPr>
      </w:pPr>
      <w:r>
        <w:rPr>
          <w:i/>
          <w:iCs/>
          <w:color w:val="555555"/>
          <w:sz w:val="18"/>
          <w:szCs w:val="18"/>
        </w:rPr>
        <w:t>Source: Gallup (2024), State of the Global Workplace 2024</w:t>
      </w:r>
    </w:p>
    <w:p w14:paraId="086C16B3" w14:textId="4F5981C4" w:rsidR="008107B2" w:rsidRDefault="00BC68A4" w:rsidP="00862B85">
      <w:pPr>
        <w:spacing w:before="60" w:after="140" w:line="360" w:lineRule="auto"/>
        <w:jc w:val="both"/>
      </w:pPr>
      <w:r>
        <w:t>Figure 1 shows that hybrid workers record the highest active engagement rate at 28%, compared with 22% for fully remote workers and 17% for those working entirely on-site. These figures are drawn from Gallup's annual global survey of over 120,000 employees. They suggest that hybrid working, when well-managed, can support higher levels of engagement than either fully remote or fully office-based arrangements. However, Gallup (2024) cautions that engagement benefits depend on management quality, role type, and the frequency of in-person collaboration.</w:t>
      </w:r>
    </w:p>
    <w:p w14:paraId="35AF8999" w14:textId="77777777" w:rsidR="00FC7452" w:rsidRPr="008107B2" w:rsidRDefault="00BC68A4">
      <w:pPr>
        <w:pStyle w:val="Heading2"/>
        <w:spacing w:line="280" w:lineRule="auto"/>
        <w:rPr>
          <w:sz w:val="28"/>
          <w:szCs w:val="28"/>
        </w:rPr>
      </w:pPr>
      <w:bookmarkStart w:id="10" w:name="_Toc234164960"/>
      <w:r>
        <w:rPr>
          <w:sz w:val="28"/>
          <w:szCs w:val="28"/>
        </w:rPr>
        <w:t>2.3 Hybrid Working and Sustainable Organisational Performance</w:t>
      </w:r>
      <w:bookmarkEnd w:id="10"/>
    </w:p>
    <w:p w14:paraId="2A3E91BE" w14:textId="77777777" w:rsidR="00FC7452" w:rsidRPr="008107B2" w:rsidRDefault="00BC68A4" w:rsidP="008107B2">
      <w:pPr>
        <w:spacing w:after="160" w:line="360" w:lineRule="auto"/>
        <w:jc w:val="both"/>
      </w:pPr>
      <w:r>
        <w:t>The motivational effects of hybrid working cannot be separated from broader questions of organisational sustainability, which the next section addresses.</w:t>
      </w:r>
    </w:p>
    <w:p w14:paraId="24B7E7E9" w14:textId="77777777" w:rsidR="00FC7452" w:rsidRDefault="00BC68A4">
      <w:pPr>
        <w:spacing w:after="160" w:line="360" w:lineRule="auto"/>
        <w:ind w:firstLine="560"/>
        <w:jc w:val="both"/>
      </w:pPr>
      <w:r>
        <w:t xml:space="preserve">Elkington's (1997) triple bottom line framework requires organisations to account for economic, social, and environmental performance together. Economically, Bloom (2023), in the Journal of Economic Perspectives, found that productivity gains are strongest for individual tasks. For collaborative work, which is central to financial services, gains are considerably weaker. McKinsey and Company (2023) found that poorly managed hybrid arrangements lead to </w:t>
      </w:r>
      <w:r>
        <w:rPr>
          <w:caps/>
        </w:rPr>
        <w:t>declining</w:t>
      </w:r>
      <w:r>
        <w:t xml:space="preserve"> collaborative productivity over time.</w:t>
      </w:r>
    </w:p>
    <w:p w14:paraId="0802F194" w14:textId="77777777" w:rsidR="00D30E27" w:rsidRPr="00D30E27" w:rsidRDefault="00D30E27" w:rsidP="00D30E27">
      <w:pPr>
        <w:spacing w:after="160" w:line="360" w:lineRule="auto"/>
        <w:ind w:firstLine="560"/>
        <w:jc w:val="both"/>
      </w:pPr>
      <w:r>
        <w:t>Socially, the Chartered Institute of Personnel and Development (2025) reports higher work-life satisfaction and lower burnout among hybrid workers. However, access to these benefits is not shared equally. Chung (2022) shows that employees in lower-paid roles, or those without a suitable home working space, are far less able to take advantage of hybrid arrangements, which risks deepening existing inequalities.</w:t>
      </w:r>
    </w:p>
    <w:p w14:paraId="56EB38BD" w14:textId="7D502E08" w:rsidR="00A26CB5" w:rsidRDefault="00BC68A4" w:rsidP="00D30E27">
      <w:pPr>
        <w:spacing w:after="160" w:line="360" w:lineRule="auto"/>
        <w:ind w:firstLine="560"/>
        <w:jc w:val="both"/>
      </w:pPr>
      <w:r>
        <w:t xml:space="preserve">ONS (2024b) confirms that access to hybrid working is closely linked to occupational status, with higher-paid professionals consistently benefiting more. Chung (2022) argues that flexibility arrangements often benefit those with more bargaining power, creating what she </w:t>
      </w:r>
      <w:r>
        <w:lastRenderedPageBreak/>
        <w:t xml:space="preserve">terms a flexibility paradox in which greater autonomy for some comes at the cost of deeper inequality for others. </w:t>
      </w:r>
    </w:p>
    <w:p w14:paraId="3E48981B" w14:textId="6EE15E4A" w:rsidR="00FC7452" w:rsidRDefault="00BC68A4" w:rsidP="007636A0">
      <w:pPr>
        <w:spacing w:after="160" w:line="360" w:lineRule="auto"/>
        <w:ind w:firstLine="560"/>
        <w:jc w:val="both"/>
      </w:pPr>
      <w:r>
        <w:t>Environmentally, ONS (2024b) estimates meaningful reductions in commuting-related carbon emissions. Deloitte (2024) cautions that increased domestic energy use can partially offset these gains.</w:t>
      </w:r>
    </w:p>
    <w:p w14:paraId="02002213" w14:textId="77777777" w:rsidR="00FC7452" w:rsidRDefault="00BC68A4">
      <w:pPr>
        <w:spacing w:after="160" w:line="360" w:lineRule="auto"/>
        <w:jc w:val="both"/>
      </w:pPr>
      <w:r>
        <w:t>Table 3 sets out the main benefits and risks of hybrid working across each dimension of the triple bottom line.</w:t>
      </w:r>
    </w:p>
    <w:p w14:paraId="5A27D358" w14:textId="77777777" w:rsidR="00FC7452" w:rsidRDefault="00BC68A4" w:rsidP="007636A0">
      <w:pPr>
        <w:spacing w:before="140" w:after="60" w:line="280" w:lineRule="auto"/>
        <w:jc w:val="center"/>
        <w:rPr>
          <w:b/>
          <w:bCs/>
          <w:sz w:val="20"/>
          <w:szCs w:val="20"/>
        </w:rPr>
      </w:pPr>
      <w:r>
        <w:rPr>
          <w:b/>
          <w:bCs/>
          <w:sz w:val="20"/>
          <w:szCs w:val="20"/>
        </w:rPr>
        <w:t>Table 3: Hybrid Working and the Triple Bottom Line</w:t>
      </w:r>
    </w:p>
    <w:p w14:paraId="087387B4" w14:textId="6F69EEFC" w:rsidR="00F30704" w:rsidRPr="00F30704" w:rsidRDefault="00F30704" w:rsidP="00F30704">
      <w:pPr>
        <w:spacing w:before="140" w:after="60" w:line="280" w:lineRule="auto"/>
        <w:jc w:val="center"/>
      </w:pPr>
      <w:r>
        <w:rPr>
          <w:noProof/>
        </w:rPr>
        <w:drawing>
          <wp:inline distT="0" distB="0" distL="0" distR="0" wp14:anchorId="2A05D691" wp14:editId="7E1E6732">
            <wp:extent cx="5813192" cy="1766627"/>
            <wp:effectExtent l="0" t="0" r="0" b="5080"/>
            <wp:docPr id="46667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677430" name=""/>
                    <pic:cNvPicPr/>
                  </pic:nvPicPr>
                  <pic:blipFill>
                    <a:blip r:embed="rId14"/>
                    <a:stretch>
                      <a:fillRect/>
                    </a:stretch>
                  </pic:blipFill>
                  <pic:spPr>
                    <a:xfrm>
                      <a:off x="0" y="0"/>
                      <a:ext cx="5932251" cy="1802809"/>
                    </a:xfrm>
                    <a:prstGeom prst="rect">
                      <a:avLst/>
                    </a:prstGeom>
                  </pic:spPr>
                </pic:pic>
              </a:graphicData>
            </a:graphic>
          </wp:inline>
        </w:drawing>
      </w:r>
    </w:p>
    <w:p w14:paraId="0115653C" w14:textId="3745B668" w:rsidR="00FC7452" w:rsidRDefault="00BC68A4" w:rsidP="00F30704">
      <w:pPr>
        <w:spacing w:before="40" w:after="140" w:line="280" w:lineRule="auto"/>
        <w:jc w:val="center"/>
      </w:pPr>
      <w:r>
        <w:rPr>
          <w:i/>
          <w:iCs/>
          <w:color w:val="555555"/>
          <w:sz w:val="18"/>
          <w:szCs w:val="18"/>
        </w:rPr>
        <w:t>Source: Elkington (1997), CIPD (2025), Bloom (2023), ONS (2024b), Deloitte (2024), and Kelliher and Anderson (2010)</w:t>
      </w:r>
    </w:p>
    <w:p w14:paraId="2CD972B0" w14:textId="77777777" w:rsidR="00FC7452" w:rsidRPr="007636A0" w:rsidRDefault="00BC68A4">
      <w:pPr>
        <w:pStyle w:val="Heading2"/>
        <w:spacing w:line="280" w:lineRule="auto"/>
        <w:rPr>
          <w:sz w:val="28"/>
          <w:szCs w:val="28"/>
        </w:rPr>
      </w:pPr>
      <w:bookmarkStart w:id="11" w:name="_Toc234164961"/>
      <w:r>
        <w:rPr>
          <w:sz w:val="28"/>
          <w:szCs w:val="28"/>
        </w:rPr>
        <w:t>2.4 Gaps in the Existing Literature</w:t>
      </w:r>
      <w:bookmarkEnd w:id="11"/>
    </w:p>
    <w:p w14:paraId="13F938AF" w14:textId="5A8BD535" w:rsidR="00FC7452" w:rsidRDefault="00BC68A4" w:rsidP="00862B85">
      <w:pPr>
        <w:spacing w:after="160" w:line="360" w:lineRule="auto"/>
        <w:ind w:firstLine="560"/>
        <w:jc w:val="both"/>
      </w:pPr>
      <w:r>
        <w:t>Three important gaps emerge from this review. First, most empirical research draws on technology or mixed-sector samples, with limited focus on UK financial services. Second, existing studies treat motivation as a single concept, rather than distinguishing intrinsic from extrinsic drivers. Third, studies examining all three triple bottom line dimensions together in one sector context are rare. This study addresses all three gaps through a focused narrative literature review.</w:t>
      </w:r>
    </w:p>
    <w:p w14:paraId="430FF34B" w14:textId="5E6C7C1D" w:rsidR="00F30704" w:rsidRDefault="00BC68A4" w:rsidP="00862B85">
      <w:pPr>
        <w:spacing w:after="160" w:line="360" w:lineRule="auto"/>
        <w:jc w:val="both"/>
      </w:pPr>
      <w:r>
        <w:t>Table 4 summarises these three gaps alongside the way in which this study is designed to address each one.</w:t>
      </w:r>
    </w:p>
    <w:p w14:paraId="3419A8D3" w14:textId="77777777" w:rsidR="00FC7452" w:rsidRDefault="00BC68A4" w:rsidP="00F30704">
      <w:pPr>
        <w:spacing w:before="140" w:after="60" w:line="280" w:lineRule="auto"/>
        <w:jc w:val="center"/>
        <w:rPr>
          <w:b/>
          <w:bCs/>
          <w:sz w:val="20"/>
          <w:szCs w:val="20"/>
        </w:rPr>
      </w:pPr>
      <w:r>
        <w:rPr>
          <w:b/>
          <w:bCs/>
          <w:sz w:val="20"/>
          <w:szCs w:val="20"/>
        </w:rPr>
        <w:t>Table 4: Research Gaps and How This Study Addresses Them</w:t>
      </w:r>
    </w:p>
    <w:p w14:paraId="1313BB84" w14:textId="39722146" w:rsidR="00896C2E" w:rsidRDefault="00F30704" w:rsidP="00862B85">
      <w:pPr>
        <w:spacing w:before="140" w:after="60" w:line="280" w:lineRule="auto"/>
        <w:jc w:val="center"/>
      </w:pPr>
      <w:r>
        <w:rPr>
          <w:noProof/>
        </w:rPr>
        <w:drawing>
          <wp:inline distT="0" distB="0" distL="0" distR="0" wp14:anchorId="675A01FB" wp14:editId="2091C449">
            <wp:extent cx="5918651" cy="1506220"/>
            <wp:effectExtent l="0" t="0" r="6350" b="0"/>
            <wp:docPr id="109946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63695" name=""/>
                    <pic:cNvPicPr/>
                  </pic:nvPicPr>
                  <pic:blipFill>
                    <a:blip r:embed="rId15"/>
                    <a:stretch>
                      <a:fillRect/>
                    </a:stretch>
                  </pic:blipFill>
                  <pic:spPr>
                    <a:xfrm>
                      <a:off x="0" y="0"/>
                      <a:ext cx="5924667" cy="1507751"/>
                    </a:xfrm>
                    <a:prstGeom prst="rect">
                      <a:avLst/>
                    </a:prstGeom>
                  </pic:spPr>
                </pic:pic>
              </a:graphicData>
            </a:graphic>
          </wp:inline>
        </w:drawing>
      </w:r>
    </w:p>
    <w:p w14:paraId="5973A73A" w14:textId="2700EAE9" w:rsidR="00BB4C4D" w:rsidRPr="00862B85" w:rsidRDefault="00896C2E" w:rsidP="00862B85">
      <w:pPr>
        <w:pStyle w:val="Heading1"/>
        <w:rPr>
          <w:b w:val="0"/>
          <w:bCs w:val="0"/>
          <w:sz w:val="32"/>
          <w:szCs w:val="32"/>
        </w:rPr>
      </w:pPr>
      <w:bookmarkStart w:id="12" w:name="_Toc234164962"/>
      <w:r>
        <w:rPr>
          <w:rStyle w:val="normaltextrun"/>
          <w:sz w:val="32"/>
          <w:szCs w:val="32"/>
        </w:rPr>
        <w:lastRenderedPageBreak/>
        <w:t>3. Methodology</w:t>
      </w:r>
      <w:bookmarkEnd w:id="12"/>
      <w:r>
        <w:rPr>
          <w:rStyle w:val="eop"/>
          <w:sz w:val="32"/>
          <w:szCs w:val="32"/>
        </w:rPr>
        <w:t> </w:t>
      </w:r>
    </w:p>
    <w:p w14:paraId="44E33636" w14:textId="77777777" w:rsidR="00896C2E" w:rsidRDefault="00896C2E" w:rsidP="00896C2E">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rPr>
        <w:t>The methodology section below sets out how this study will be carried out to address those gaps in a rigorous and transparent way.</w:t>
      </w:r>
      <w:r>
        <w:rPr>
          <w:rStyle w:val="eop"/>
          <w:rFonts w:ascii="Arial" w:hAnsi="Arial" w:cs="Arial"/>
          <w:sz w:val="22"/>
          <w:szCs w:val="22"/>
        </w:rPr>
        <w:t> </w:t>
      </w:r>
    </w:p>
    <w:p w14:paraId="5BA37CCC" w14:textId="77777777" w:rsidR="00E73B78" w:rsidRPr="00BB4C4D" w:rsidRDefault="00E73B78" w:rsidP="00896C2E">
      <w:pPr>
        <w:pStyle w:val="paragraph"/>
        <w:spacing w:before="0" w:beforeAutospacing="0" w:after="0" w:afterAutospacing="0" w:line="360" w:lineRule="auto"/>
        <w:jc w:val="both"/>
        <w:textAlignment w:val="baseline"/>
        <w:rPr>
          <w:rFonts w:ascii="Segoe UI" w:hAnsi="Segoe UI" w:cs="Segoe UI"/>
          <w:sz w:val="18"/>
          <w:szCs w:val="18"/>
        </w:rPr>
      </w:pPr>
    </w:p>
    <w:p w14:paraId="29F78D61" w14:textId="77777777" w:rsidR="00896C2E" w:rsidRPr="00E73B78" w:rsidRDefault="00896C2E" w:rsidP="00896C2E">
      <w:pPr>
        <w:pStyle w:val="paragraph"/>
        <w:spacing w:before="0" w:beforeAutospacing="0" w:after="0" w:afterAutospacing="0" w:line="360" w:lineRule="auto"/>
        <w:textAlignment w:val="baseline"/>
        <w:rPr>
          <w:rFonts w:ascii="Segoe UI" w:hAnsi="Segoe UI" w:cs="Segoe UI"/>
          <w:b/>
          <w:bCs/>
          <w:color w:val="2E5FA3"/>
          <w:sz w:val="28"/>
          <w:szCs w:val="28"/>
        </w:rPr>
      </w:pPr>
      <w:r>
        <w:rPr>
          <w:rStyle w:val="normaltextrun"/>
          <w:rFonts w:ascii="Arial" w:hAnsi="Arial" w:cs="Arial"/>
          <w:b/>
          <w:bCs/>
          <w:color w:val="2E5FA3"/>
          <w:sz w:val="28"/>
          <w:szCs w:val="28"/>
        </w:rPr>
        <w:t>3.1 Research Philosophy and Approach</w:t>
      </w:r>
      <w:r>
        <w:rPr>
          <w:rStyle w:val="eop"/>
          <w:rFonts w:ascii="Arial" w:hAnsi="Arial" w:cs="Arial"/>
          <w:b/>
          <w:bCs/>
          <w:color w:val="2E5FA3"/>
          <w:sz w:val="28"/>
          <w:szCs w:val="28"/>
        </w:rPr>
        <w:t> </w:t>
      </w:r>
    </w:p>
    <w:p w14:paraId="18F791F7" w14:textId="77777777" w:rsidR="00896C2E" w:rsidRDefault="00896C2E"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study adopts an interpretivist philosophy. Interpretivism holds that social phenomena, such as motivation, are best understood through the meanings individuals attach to their experiences (Saunders, Lewis and Thornhill, 2019). This is appropriate because hybrid working's effects vary by role, circumstance, and management quality. A qualitative approach follows, focusing on patterns and tensions across the literature rather than statistical measurement (Bryman, 2016).</w:t>
      </w:r>
      <w:r>
        <w:rPr>
          <w:rStyle w:val="eop"/>
          <w:rFonts w:ascii="Arial" w:hAnsi="Arial" w:cs="Arial"/>
          <w:sz w:val="22"/>
          <w:szCs w:val="22"/>
        </w:rPr>
        <w:t> </w:t>
      </w:r>
    </w:p>
    <w:p w14:paraId="6CA76E65" w14:textId="77777777" w:rsidR="00E73B78" w:rsidRDefault="00E73B78" w:rsidP="00896C2E">
      <w:pPr>
        <w:pStyle w:val="paragraph"/>
        <w:spacing w:before="0" w:beforeAutospacing="0" w:after="0" w:afterAutospacing="0" w:line="360" w:lineRule="auto"/>
        <w:ind w:firstLine="555"/>
        <w:jc w:val="both"/>
        <w:textAlignment w:val="baseline"/>
        <w:rPr>
          <w:rFonts w:ascii="Segoe UI" w:hAnsi="Segoe UI" w:cs="Segoe UI"/>
          <w:sz w:val="18"/>
          <w:szCs w:val="18"/>
        </w:rPr>
      </w:pPr>
    </w:p>
    <w:p w14:paraId="6E430556" w14:textId="77777777" w:rsidR="00896C2E" w:rsidRPr="00E73B78" w:rsidRDefault="00896C2E" w:rsidP="00896C2E">
      <w:pPr>
        <w:pStyle w:val="paragraph"/>
        <w:spacing w:before="0" w:beforeAutospacing="0" w:after="0" w:afterAutospacing="0" w:line="360" w:lineRule="auto"/>
        <w:textAlignment w:val="baseline"/>
        <w:rPr>
          <w:rFonts w:ascii="Segoe UI" w:hAnsi="Segoe UI" w:cs="Segoe UI"/>
          <w:b/>
          <w:bCs/>
          <w:color w:val="2E5FA3"/>
          <w:sz w:val="28"/>
          <w:szCs w:val="28"/>
        </w:rPr>
      </w:pPr>
      <w:r>
        <w:rPr>
          <w:rStyle w:val="normaltextrun"/>
          <w:rFonts w:ascii="Arial" w:hAnsi="Arial" w:cs="Arial"/>
          <w:b/>
          <w:bCs/>
          <w:color w:val="2E5FA3"/>
          <w:sz w:val="28"/>
          <w:szCs w:val="28"/>
        </w:rPr>
        <w:t>3.2 Research Strategy</w:t>
      </w:r>
      <w:r>
        <w:rPr>
          <w:rStyle w:val="eop"/>
          <w:rFonts w:ascii="Arial" w:hAnsi="Arial" w:cs="Arial"/>
          <w:b/>
          <w:bCs/>
          <w:color w:val="2E5FA3"/>
          <w:sz w:val="28"/>
          <w:szCs w:val="28"/>
        </w:rPr>
        <w:t> </w:t>
      </w:r>
    </w:p>
    <w:p w14:paraId="1C309CC5" w14:textId="77777777" w:rsidR="00896C2E" w:rsidRDefault="00896C2E"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A narrative literature review is used as the research strategy for this study. Bryman (2016) describes this as an interpretive approach that synthesises existing research thematically, tracing how ideas have developed and drawing connections across theoretical perspectives. This suits the present study because the topic spans human resource management, motivational psychology, and sustainability. Literature is drawn from Scopus, Web of Science, and Business Source Complete, alongside reports from the CIPD, ONS, Gallup, McKinsey, and Deloitte. Sources from 2021 to 2026 are prioritised, with earlier foundational theoretical works included where necessary.</w:t>
      </w:r>
      <w:r>
        <w:rPr>
          <w:rStyle w:val="eop"/>
          <w:rFonts w:ascii="Arial" w:hAnsi="Arial" w:cs="Arial"/>
          <w:sz w:val="22"/>
          <w:szCs w:val="22"/>
        </w:rPr>
        <w:t> </w:t>
      </w:r>
    </w:p>
    <w:p w14:paraId="0FFAF40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p>
    <w:p w14:paraId="29708ECE" w14:textId="77777777" w:rsidR="00BC68A4" w:rsidRDefault="00BC68A4" w:rsidP="00896C2E">
      <w:pPr>
        <w:pStyle w:val="Heading2"/>
        <w:spacing w:line="280" w:lineRule="auto"/>
        <w:rPr>
          <w:sz w:val="28"/>
          <w:szCs w:val="28"/>
        </w:rPr>
      </w:pPr>
      <w:bookmarkStart w:id="13" w:name="_Toc234164963"/>
      <w:r>
        <w:rPr>
          <w:sz w:val="28"/>
          <w:szCs w:val="28"/>
        </w:rPr>
        <w:t>3.3 Data Collection and Analysis</w:t>
      </w:r>
      <w:bookmarkEnd w:id="13"/>
    </w:p>
    <w:p w14:paraId="5E233BA4"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A minimum of thirty sources will be collected and assessed for credibility, relevance, and methodological quality before inclusion in the review (Saunders, Lewis and Thornhill, 2019). Sources are drawn from peer-reviewed academic journals, textbooks, government publications, and industry reports. Each source is evaluated against the inclusion criteria: published in English, directly relevant to the research questions, and dated between 2021 and 2026, with the exception of foundational theoretical works.</w:t>
      </w:r>
    </w:p>
    <w:p w14:paraId="08B3F55F"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Thematic analysis is applied as the primary analytical method, following the six-phase framework developed by Braun and Clarke (2006): familiarisation with the sources, generating initial codes, searching for themes, reviewing themes, defining and naming themes, and producing the final written analysis. This process allows patterns and contradictions across diverse sources to be identified in a transparent and replicable way.</w:t>
      </w:r>
    </w:p>
    <w:p w14:paraId="7AD8FB79" w14:textId="77777777" w:rsidR="00BC68A4" w:rsidRDefault="00BC68A4" w:rsidP="00896C2E">
      <w:pPr>
        <w:pStyle w:val="Heading2"/>
        <w:spacing w:line="280" w:lineRule="auto"/>
        <w:rPr>
          <w:sz w:val="28"/>
          <w:szCs w:val="28"/>
        </w:rPr>
      </w:pPr>
      <w:bookmarkStart w:id="14" w:name="_Toc234164964"/>
      <w:r>
        <w:rPr>
          <w:sz w:val="28"/>
          <w:szCs w:val="28"/>
        </w:rPr>
        <w:lastRenderedPageBreak/>
        <w:t>3.4 Sampling, Reliability and Ethics</w:t>
      </w:r>
      <w:bookmarkEnd w:id="14"/>
    </w:p>
    <w:p w14:paraId="749F9A3D" w14:textId="77777777" w:rsidR="00E57951"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 xml:space="preserve">Source selection is guided by purposive sampling, prioritising literature directly relevant to the research questions and the UK financial services context (Saunders, Lewis and Thornhill, 2019). Citation trail sampling is also used, following the reference lists of key sources to identify additional relevant material. </w:t>
      </w:r>
    </w:p>
    <w:p w14:paraId="2D5769B9" w14:textId="0D7FA312" w:rsidR="00E57951"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 xml:space="preserve">Shirmohammadi, Au and Beigi (2022), in Human Resource Development International, highlight the value of combining multiple secondary sources when examining hybrid working outcomes, as no single source captures the full complexity of the field. </w:t>
      </w:r>
    </w:p>
    <w:p w14:paraId="71345979" w14:textId="7B05ECB9"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Reliability is supported by applying consistent inclusion and exclusion criteria throughout the selection process. Validity is strengthened by triangulating findings across multiple source types, including academic journals, government statistics, and industry reports.</w:t>
      </w:r>
    </w:p>
    <w:p w14:paraId="0059755E" w14:textId="77777777" w:rsidR="00BC68A4" w:rsidRDefault="00BC68A4" w:rsidP="00896C2E">
      <w:pPr>
        <w:pStyle w:val="Heading2"/>
        <w:spacing w:line="280" w:lineRule="auto"/>
        <w:rPr>
          <w:sz w:val="28"/>
          <w:szCs w:val="28"/>
        </w:rPr>
      </w:pPr>
      <w:bookmarkStart w:id="15" w:name="_Toc234164965"/>
      <w:r>
        <w:rPr>
          <w:sz w:val="28"/>
          <w:szCs w:val="28"/>
        </w:rPr>
        <w:t>3.5 Ethical Considerations</w:t>
      </w:r>
      <w:bookmarkEnd w:id="15"/>
    </w:p>
    <w:p w14:paraId="02F834C0"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As this study relies exclusively on publicly available secondary data, it does not involve direct interaction with human participants. There are therefore no concerns regarding informed consent, confidentiality, or the risk of harm to participants (Saunders, Lewis and Thornhill, 2019). However, ethical responsibilities still apply. The researcher commits to the accurate and complete attribution of all cited works in line with Harvard referencing conventions. Sources are represented fairly and without misrepresentation of authors’ arguments.</w:t>
      </w:r>
    </w:p>
    <w:p w14:paraId="070C5391" w14:textId="77777777" w:rsidR="00BC68A4"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Where industry reports are used, potential conflicts of interest are acknowledged. For example, reports produced by consultancy firms with a commercial interest in hybrid working solutions are read critically, and their findings are triangulated against independent academic evidence. Data protection obligations do not apply directly to this study, as no personal data is collected or processed. Academic integrity is maintained throughout in accordance with the institution’s academic honesty policy.</w:t>
      </w:r>
    </w:p>
    <w:p w14:paraId="16331A9C"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61A22406"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4793434D"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21C017A3"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5AE7EE3C"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144911D8"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026E3680"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42BF5BB4"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1532FCD9"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6CFDC8AE"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2E4C622F"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2E2EFFB0" w14:textId="4118F9B2" w:rsidR="0034787A" w:rsidRPr="008107B2" w:rsidRDefault="0034787A" w:rsidP="0034787A">
      <w:pPr>
        <w:pStyle w:val="Heading2"/>
        <w:spacing w:line="280" w:lineRule="auto"/>
        <w:rPr>
          <w:sz w:val="28"/>
          <w:szCs w:val="28"/>
        </w:rPr>
      </w:pPr>
      <w:bookmarkStart w:id="16" w:name="_Toc234164966"/>
      <w:r>
        <w:rPr>
          <w:sz w:val="28"/>
          <w:szCs w:val="28"/>
        </w:rPr>
        <w:lastRenderedPageBreak/>
        <w:t>3.6 Project Timeline</w:t>
      </w:r>
      <w:bookmarkEnd w:id="16"/>
    </w:p>
    <w:p w14:paraId="7C524647" w14:textId="40BB3E8D" w:rsidR="0034787A" w:rsidRDefault="0034787A" w:rsidP="00862B85">
      <w:pPr>
        <w:spacing w:after="160" w:line="360" w:lineRule="auto"/>
        <w:jc w:val="both"/>
      </w:pPr>
      <w:r>
        <w:t>Table 1 presents the planned timeline from topic selection to final submission.</w:t>
      </w:r>
    </w:p>
    <w:p w14:paraId="7B5F160A" w14:textId="77777777" w:rsidR="0034787A" w:rsidRDefault="0034787A" w:rsidP="001C1D5C">
      <w:pPr>
        <w:spacing w:before="140" w:after="60" w:line="280" w:lineRule="auto"/>
        <w:jc w:val="center"/>
        <w:rPr>
          <w:b/>
          <w:bCs/>
          <w:sz w:val="20"/>
          <w:szCs w:val="20"/>
        </w:rPr>
      </w:pPr>
      <w:r>
        <w:rPr>
          <w:b/>
          <w:bCs/>
          <w:sz w:val="20"/>
          <w:szCs w:val="20"/>
        </w:rPr>
        <w:t>Table 1: Project Timeline</w:t>
      </w:r>
    </w:p>
    <w:p w14:paraId="4EDBE7A9" w14:textId="2EBE81AE" w:rsidR="0034787A" w:rsidRDefault="001C1D5C" w:rsidP="001C1D5C">
      <w:pPr>
        <w:spacing w:before="140" w:after="60" w:line="280" w:lineRule="auto"/>
        <w:jc w:val="center"/>
        <w:rPr>
          <w:rStyle w:val="eop"/>
        </w:rPr>
      </w:pPr>
      <w:r>
        <w:rPr>
          <w:noProof/>
        </w:rPr>
        <w:drawing>
          <wp:inline distT="0" distB="0" distL="0" distR="0" wp14:anchorId="2FE46C04" wp14:editId="1CFCF137">
            <wp:extent cx="5731510" cy="2419985"/>
            <wp:effectExtent l="0" t="0" r="2540" b="0"/>
            <wp:docPr id="947512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12448" name=""/>
                    <pic:cNvPicPr/>
                  </pic:nvPicPr>
                  <pic:blipFill>
                    <a:blip r:embed="rId16"/>
                    <a:stretch>
                      <a:fillRect/>
                    </a:stretch>
                  </pic:blipFill>
                  <pic:spPr>
                    <a:xfrm>
                      <a:off x="0" y="0"/>
                      <a:ext cx="5731510" cy="2419985"/>
                    </a:xfrm>
                    <a:prstGeom prst="rect">
                      <a:avLst/>
                    </a:prstGeom>
                  </pic:spPr>
                </pic:pic>
              </a:graphicData>
            </a:graphic>
          </wp:inline>
        </w:drawing>
      </w:r>
    </w:p>
    <w:p w14:paraId="7EEE8ACC" w14:textId="77777777" w:rsidR="00BC68A4" w:rsidRDefault="00BC68A4">
      <w:pPr>
        <w:spacing w:line="360" w:lineRule="auto"/>
      </w:pPr>
    </w:p>
    <w:p w14:paraId="204FA9B6" w14:textId="77777777" w:rsidR="00BC68A4" w:rsidRDefault="00BC68A4" w:rsidP="00896C2E">
      <w:pPr>
        <w:pStyle w:val="Heading1"/>
        <w:spacing w:line="280" w:lineRule="auto"/>
        <w:rPr>
          <w:sz w:val="32"/>
          <w:szCs w:val="32"/>
        </w:rPr>
      </w:pPr>
      <w:bookmarkStart w:id="17" w:name="_Toc234164967"/>
      <w:r>
        <w:rPr>
          <w:sz w:val="32"/>
          <w:szCs w:val="32"/>
        </w:rPr>
        <w:t>4. Business Relevance and Practical Implications</w:t>
      </w:r>
      <w:bookmarkEnd w:id="17"/>
    </w:p>
    <w:p w14:paraId="2B2E7513"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findings of this study have direct value for UK financial services organisations. Competition for skilled staff remains strong, and designing hybrid arrangements that motivate and retain employees has become a strategic priority (McKinsey and Company, 2023). Recommendations from this review may address the balance between remote and office-based working, workspace design for in-person collaboration, management development for hybrid teams, and equitable access to flexible working across different employee groups (Armstrong and Taylor, 2023).</w:t>
      </w:r>
    </w:p>
    <w:p w14:paraId="304E181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Organisations that take an evidence-based approach to hybrid working are better placed to meet the growing ESG expectations of investors and regulators in the sector (Deloitte, 2024). This is particularly relevant as UK financial services firms face mandatory sustainability disclosures, which increasingly cover workforce practices alongside environmental reporting.</w:t>
      </w:r>
    </w:p>
    <w:p w14:paraId="3EFF216B"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For the researcher, completing this study develops skills in critical evaluation of academic and professional literature, application of theoretical frameworks to real business problems, and construction of well-evidenced research arguments. These competencies are directly relevant to graduate careers in human resource management, business analysis, and management consultancy (Saunders, Lewis and Thornhill, 2019).</w:t>
      </w:r>
    </w:p>
    <w:p w14:paraId="5CB1D166" w14:textId="77777777" w:rsidR="00BC68A4" w:rsidRDefault="00BC68A4">
      <w:pPr>
        <w:spacing w:line="360" w:lineRule="auto"/>
      </w:pPr>
    </w:p>
    <w:p w14:paraId="2A28B250" w14:textId="77777777" w:rsidR="00E57951" w:rsidRDefault="00E57951">
      <w:pPr>
        <w:spacing w:line="360" w:lineRule="auto"/>
      </w:pPr>
    </w:p>
    <w:p w14:paraId="2CBB137E" w14:textId="77777777" w:rsidR="00BC68A4" w:rsidRDefault="00BC68A4" w:rsidP="00896C2E">
      <w:pPr>
        <w:pStyle w:val="Heading1"/>
        <w:spacing w:line="280" w:lineRule="auto"/>
        <w:rPr>
          <w:sz w:val="32"/>
          <w:szCs w:val="32"/>
        </w:rPr>
      </w:pPr>
      <w:bookmarkStart w:id="18" w:name="_Toc234164968"/>
      <w:r>
        <w:rPr>
          <w:sz w:val="32"/>
          <w:szCs w:val="32"/>
        </w:rPr>
        <w:lastRenderedPageBreak/>
        <w:t>5. Discussion and Conclusion</w:t>
      </w:r>
      <w:bookmarkEnd w:id="18"/>
    </w:p>
    <w:p w14:paraId="1FE78FA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proposal sets out a structured plan for a secondary research study into how hybrid working influences employee motivation and sustainable organisational performance in UK financial services organisations. The aim, five objectives, and four research questions are aligned to address both the practical business problem identified in the introduction and the gaps in the existing literature identified through the review.</w:t>
      </w:r>
    </w:p>
    <w:p w14:paraId="117EF36E"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literature shows that hybrid working is neither straightforwardly positive nor negative. It can strengthen employee autonomy and improve work-life balance. At the same time, it introduces real risks around relatedness, collaborative productivity, and equitable access. Self-Determination Theory, the Job Demands-Resources Model, and Herzberg’s Two-Factor Theory together provide a rigorous analytical framework for understanding these dynamics. The triple bottom line framework shows that effects span economic, social, and environmental dimensions simultaneously.</w:t>
      </w:r>
    </w:p>
    <w:p w14:paraId="4E4D7CCE"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Three gaps in the existing literature justify this study: limited focus on UK financial services, undifferentiated treatment of motivation, and absence of multi-dimensional sustainability analysis in one sector context. The narrative literature review methodology is well suited to addressing these gaps in a way that is both rigorous and contextually sensitive.</w:t>
      </w:r>
    </w:p>
    <w:p w14:paraId="0DB9CD5F"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If approved, this proposal could be developed into a full independent research project. A logical next step would be to add a primary research component, such as semi-structured interviews with HR managers and employees in UK financial services firms. This would generate richer, context-specific insights beyond what a secondary review can provide.</w:t>
      </w:r>
    </w:p>
    <w:p w14:paraId="2C086385" w14:textId="77777777" w:rsidR="00BC68A4" w:rsidRDefault="00BC68A4">
      <w:pPr>
        <w:spacing w:line="360" w:lineRule="auto"/>
      </w:pPr>
    </w:p>
    <w:p w14:paraId="58DEAD06" w14:textId="77777777" w:rsidR="00162AFC" w:rsidRDefault="00162AFC" w:rsidP="00162AFC"/>
    <w:p w14:paraId="71A0927F" w14:textId="77777777" w:rsidR="00896C2E" w:rsidRDefault="00896C2E" w:rsidP="00896C2E">
      <w:pPr>
        <w:spacing w:line="360" w:lineRule="auto"/>
      </w:pPr>
    </w:p>
    <w:p w14:paraId="382111BE" w14:textId="77777777" w:rsidR="007636A0" w:rsidRDefault="007636A0" w:rsidP="00350DDE"/>
    <w:p w14:paraId="58803932" w14:textId="77777777" w:rsidR="00350DDE" w:rsidRDefault="00350DDE" w:rsidP="00350DDE"/>
    <w:p w14:paraId="67B26662" w14:textId="77777777" w:rsidR="007636A0" w:rsidRDefault="007636A0" w:rsidP="00A26CB5"/>
    <w:p w14:paraId="2436926A" w14:textId="77777777" w:rsidR="00A26CB5" w:rsidRDefault="00A26CB5" w:rsidP="00A26CB5"/>
    <w:p w14:paraId="5EDE7876" w14:textId="77777777" w:rsidR="00A26CB5" w:rsidRDefault="00A26CB5" w:rsidP="00A26CB5"/>
    <w:p w14:paraId="40DEAF7C" w14:textId="77777777" w:rsidR="00A26CB5" w:rsidRDefault="00A26CB5" w:rsidP="00A26CB5"/>
    <w:p w14:paraId="0922FA2E" w14:textId="77777777" w:rsidR="00A26CB5" w:rsidRDefault="00A26CB5" w:rsidP="00A26CB5"/>
    <w:p w14:paraId="6043142A" w14:textId="77777777" w:rsidR="00A26CB5" w:rsidRDefault="00A26CB5" w:rsidP="00A26CB5"/>
    <w:p w14:paraId="5435D919" w14:textId="77777777" w:rsidR="00A26CB5" w:rsidRDefault="00A26CB5" w:rsidP="00A26CB5"/>
    <w:p w14:paraId="30C1C030" w14:textId="77777777" w:rsidR="00A26CB5" w:rsidRDefault="00A26CB5" w:rsidP="00A26CB5"/>
    <w:p w14:paraId="7B773044" w14:textId="77777777" w:rsidR="00A26CB5" w:rsidRDefault="00A26CB5" w:rsidP="00A26CB5"/>
    <w:p w14:paraId="5CEB0595" w14:textId="77777777" w:rsidR="0034787A" w:rsidRDefault="0034787A" w:rsidP="00A26CB5"/>
    <w:p w14:paraId="233C508B" w14:textId="77777777" w:rsidR="00A26CB5" w:rsidRDefault="00A26CB5" w:rsidP="00A26CB5"/>
    <w:p w14:paraId="560AECA1" w14:textId="77777777" w:rsidR="00A26CB5" w:rsidRDefault="00A26CB5" w:rsidP="00A26CB5"/>
    <w:p w14:paraId="2B813781" w14:textId="77777777" w:rsidR="00A26CB5" w:rsidRDefault="00A26CB5" w:rsidP="00A26CB5"/>
    <w:p w14:paraId="4F32644F" w14:textId="77777777" w:rsidR="00A26CB5" w:rsidRDefault="00A26CB5" w:rsidP="00A26CB5"/>
    <w:p w14:paraId="01A37B22" w14:textId="77777777" w:rsidR="00A26CB5" w:rsidRDefault="00A26CB5" w:rsidP="00A26CB5"/>
    <w:p w14:paraId="4ABF7791" w14:textId="63CB4766" w:rsidR="007636A0" w:rsidRPr="007636A0" w:rsidRDefault="0034787A" w:rsidP="00E57951">
      <w:pPr>
        <w:pStyle w:val="Heading2"/>
        <w:rPr>
          <w:sz w:val="32"/>
          <w:szCs w:val="32"/>
        </w:rPr>
      </w:pPr>
      <w:bookmarkStart w:id="19" w:name="_Toc234164969"/>
      <w:r>
        <w:rPr>
          <w:sz w:val="32"/>
          <w:szCs w:val="32"/>
        </w:rPr>
        <w:lastRenderedPageBreak/>
        <w:t>6. References</w:t>
      </w:r>
      <w:bookmarkEnd w:id="19"/>
    </w:p>
    <w:p w14:paraId="54A38C4F" w14:textId="77777777" w:rsidR="00BB6A37" w:rsidRDefault="00BB6A37" w:rsidP="00BB6A37">
      <w:pPr>
        <w:spacing w:after="120" w:line="360" w:lineRule="auto"/>
        <w:ind w:left="560" w:hanging="560"/>
      </w:pPr>
      <w:r>
        <w:t xml:space="preserve">Alfes, K., Avgoustaki, A., Beauregard, T.A., Cañibano, A. and Muratbekova-Touron, M. (2023) 'New ways of working and the implications for employees: a systematic framework and suggestions for future research', </w:t>
      </w:r>
      <w:r>
        <w:rPr>
          <w:i/>
          <w:iCs/>
        </w:rPr>
        <w:t>The International Journal of Human Resource Management</w:t>
      </w:r>
      <w:r>
        <w:t>, 33(22), pp. 4361-4385.</w:t>
      </w:r>
    </w:p>
    <w:p w14:paraId="6F0293AA" w14:textId="14DF4695" w:rsidR="00FC7452" w:rsidRDefault="00BC68A4" w:rsidP="00BB6A37">
      <w:pPr>
        <w:spacing w:after="120" w:line="360" w:lineRule="auto"/>
        <w:ind w:left="560" w:hanging="560"/>
      </w:pPr>
      <w:r>
        <w:t>Armstrong, M. and Taylor, S. (2023) Armstrong's Handbook of Human Resource Management Practice. 16th edn. London: Kogan Page.</w:t>
      </w:r>
    </w:p>
    <w:p w14:paraId="50E7C469" w14:textId="77777777" w:rsidR="00FC7452" w:rsidRDefault="00BC68A4" w:rsidP="00E57951">
      <w:pPr>
        <w:spacing w:after="120" w:line="360" w:lineRule="auto"/>
        <w:ind w:left="560" w:hanging="560"/>
      </w:pPr>
      <w:r>
        <w:t xml:space="preserve">Bailey, D.E. and Kurland, N.B. (2002) 'A review of telework research: findings, new directions, and lessons for the study of modern work', </w:t>
      </w:r>
      <w:r>
        <w:rPr>
          <w:i/>
          <w:iCs/>
        </w:rPr>
        <w:t>Journal of Organizational Behavior</w:t>
      </w:r>
      <w:r>
        <w:t>, 23(4), pp. 383-400.</w:t>
      </w:r>
    </w:p>
    <w:p w14:paraId="6666E076" w14:textId="77777777" w:rsidR="00FC7452" w:rsidRDefault="00BC68A4" w:rsidP="00E57951">
      <w:pPr>
        <w:spacing w:after="120" w:line="360" w:lineRule="auto"/>
        <w:ind w:left="560" w:hanging="560"/>
      </w:pPr>
      <w:r>
        <w:t xml:space="preserve">Bakker, A.B. and Demerouti, E. (2007) 'The job demands-resources model: state of the art', </w:t>
      </w:r>
      <w:r>
        <w:rPr>
          <w:i/>
          <w:iCs/>
        </w:rPr>
        <w:t>Journal of Managerial Psychology</w:t>
      </w:r>
      <w:r>
        <w:t>, 22(3), pp. 309-328.</w:t>
      </w:r>
    </w:p>
    <w:p w14:paraId="13BDF36D" w14:textId="77777777" w:rsidR="00FC7452" w:rsidRDefault="00BC68A4" w:rsidP="00E57951">
      <w:pPr>
        <w:spacing w:after="120" w:line="360" w:lineRule="auto"/>
        <w:ind w:left="560" w:hanging="560"/>
      </w:pPr>
      <w:r>
        <w:t>Bloom, N. (2023) 'How working from home works out', Journal of Economic Perspectives, 37(4), pp. 23-49.</w:t>
      </w:r>
    </w:p>
    <w:p w14:paraId="793046EE" w14:textId="77777777" w:rsidR="00FC7452" w:rsidRDefault="00BC68A4" w:rsidP="00E57951">
      <w:pPr>
        <w:spacing w:after="120" w:line="360" w:lineRule="auto"/>
        <w:ind w:left="560" w:hanging="560"/>
      </w:pPr>
      <w:r>
        <w:t>Bloom, N., Han, R. and Liang, J. (2022) How Hybrid Working from Home Works Out. NBER Working Paper 30292. Cambridge, MA: National Bureau of Economic Research. Available at: https://www.nber.org/papers/w30292 (Accessed: 1 June 2026).</w:t>
      </w:r>
    </w:p>
    <w:p w14:paraId="4C1E0A5A" w14:textId="77777777" w:rsidR="00FC7452" w:rsidRDefault="00BC68A4" w:rsidP="00E57951">
      <w:pPr>
        <w:spacing w:after="120" w:line="360" w:lineRule="auto"/>
        <w:ind w:left="560" w:hanging="560"/>
      </w:pPr>
      <w:r>
        <w:t>Braun, V. and Clarke, V. (2006) 'Using thematic analysis in psychology', Qualitative Research in Psychology, 3(2), pp. 77-101.</w:t>
      </w:r>
    </w:p>
    <w:p w14:paraId="377FFC22" w14:textId="77777777" w:rsidR="00FC7452" w:rsidRDefault="00BC68A4" w:rsidP="00E57951">
      <w:pPr>
        <w:spacing w:after="120" w:line="360" w:lineRule="auto"/>
        <w:ind w:left="560" w:hanging="560"/>
      </w:pPr>
      <w:r>
        <w:t>Bryman, A. (2016) Social Research Methods. 5th edn. Oxford: Oxford University Press.</w:t>
      </w:r>
    </w:p>
    <w:p w14:paraId="43F86B3C" w14:textId="77777777" w:rsidR="00FC7452" w:rsidRDefault="00BC68A4" w:rsidP="00E57951">
      <w:pPr>
        <w:spacing w:after="120" w:line="360" w:lineRule="auto"/>
        <w:ind w:left="560" w:hanging="560"/>
      </w:pPr>
      <w:r>
        <w:t>Chartered Institute of Personnel and Development (CIPD) (2025) Flexible and Hybrid Working Practices in the UK. London: CIPD. Available at: https://www.cipd.org/uk/knowledge/factsheets/flexible-working-factsheet/ (Accessed: 28 May 2026).</w:t>
      </w:r>
    </w:p>
    <w:p w14:paraId="2C36B032" w14:textId="77777777" w:rsidR="00FC7452" w:rsidRDefault="00BC68A4" w:rsidP="00E57951">
      <w:pPr>
        <w:spacing w:after="120" w:line="360" w:lineRule="auto"/>
        <w:ind w:left="560" w:hanging="560"/>
      </w:pPr>
      <w:r>
        <w:t>Choudhury, P., Foroughi, C. and Larson, B. (2021) 'Work-from-anywhere: the productivity effects of geographic flexibility', Strategic Management Journal, 42(4), pp. 655-683.</w:t>
      </w:r>
    </w:p>
    <w:p w14:paraId="244E9E6B" w14:textId="20F66614" w:rsidR="00BB6A37" w:rsidRDefault="00BB6A37" w:rsidP="00BB6A37">
      <w:pPr>
        <w:spacing w:after="120" w:line="360" w:lineRule="auto"/>
        <w:ind w:left="560" w:hanging="560"/>
      </w:pPr>
      <w:r>
        <w:t xml:space="preserve">Chung, H., Seo, H., Forbes, S. and Zhou, J. (2021) 'Working from home during the COVID-19 lockdown: Changing preferences and the future of work', </w:t>
      </w:r>
      <w:r>
        <w:rPr>
          <w:i/>
          <w:iCs/>
        </w:rPr>
        <w:t>Work, Employment and Society</w:t>
      </w:r>
      <w:r>
        <w:t>, 35(4), pp. 620-632.</w:t>
      </w:r>
    </w:p>
    <w:p w14:paraId="49122802" w14:textId="77777777" w:rsidR="00FC7452" w:rsidRDefault="00BC68A4" w:rsidP="00E57951">
      <w:pPr>
        <w:spacing w:after="120" w:line="360" w:lineRule="auto"/>
        <w:ind w:left="560" w:hanging="560"/>
      </w:pPr>
      <w:r>
        <w:t>Chung, H. (2022) The Flexibility Paradox: Why Flexible Working Leads to (Self-)Exploitation. Cambridge: Polity Press.</w:t>
      </w:r>
    </w:p>
    <w:p w14:paraId="5895B742" w14:textId="77777777" w:rsidR="00FC7452" w:rsidRDefault="00BC68A4" w:rsidP="00E57951">
      <w:pPr>
        <w:spacing w:after="120" w:line="360" w:lineRule="auto"/>
        <w:ind w:left="560" w:hanging="560"/>
      </w:pPr>
      <w:r>
        <w:t>Deci, E.L. and Ryan, R.M. (2000) 'The what and why of goal pursuits: human needs and the self-determination of behavior', Psychological Inquiry, 11(4), pp. 227-268.</w:t>
      </w:r>
    </w:p>
    <w:p w14:paraId="02A4335A" w14:textId="77777777" w:rsidR="00FC7452" w:rsidRDefault="00BC68A4" w:rsidP="00E57951">
      <w:pPr>
        <w:spacing w:after="120" w:line="360" w:lineRule="auto"/>
        <w:ind w:left="560" w:hanging="560"/>
      </w:pPr>
      <w:r>
        <w:lastRenderedPageBreak/>
        <w:t>Deloitte (2024) Global Human Capital Trends 2024. London: Deloitte Insights. Available at: https://www2.deloitte.com/global/en/pages/human-capital/articles/introduction-human-capital-trends.html (Accessed: 28 May 2026).</w:t>
      </w:r>
    </w:p>
    <w:p w14:paraId="7052A509" w14:textId="77777777" w:rsidR="00FC7452" w:rsidRDefault="00BC68A4" w:rsidP="00E57951">
      <w:pPr>
        <w:spacing w:after="120" w:line="360" w:lineRule="auto"/>
        <w:ind w:left="560" w:hanging="560"/>
      </w:pPr>
      <w:r>
        <w:t>Edmondson, A.C. and Bransby, D.P. (2023) 'Psychological safety comes of age: observed themes in an established literature', Annual Review of Organizational Psychology and Organizational Behavior, 10, pp. 55-78.</w:t>
      </w:r>
    </w:p>
    <w:p w14:paraId="2D9243F5" w14:textId="77777777" w:rsidR="00FC7452" w:rsidRDefault="00BC68A4" w:rsidP="00E57951">
      <w:pPr>
        <w:spacing w:after="120" w:line="360" w:lineRule="auto"/>
        <w:ind w:left="560" w:hanging="560"/>
      </w:pPr>
      <w:r>
        <w:t>Elkington, J. (1997) Cannibals with Forks: The Triple Bottom Line of 21st Century Business. Oxford: Capstone.</w:t>
      </w:r>
    </w:p>
    <w:p w14:paraId="5F45D7F5" w14:textId="77777777" w:rsidR="00FC7452" w:rsidRDefault="00BC68A4" w:rsidP="00E57951">
      <w:pPr>
        <w:spacing w:after="120" w:line="360" w:lineRule="auto"/>
        <w:ind w:left="560" w:hanging="560"/>
      </w:pPr>
      <w:r>
        <w:t>Felstead, A. and Reuschke, D. (2020) Homeworking in the UK: Before and During the 2020 Lockdown. Cardiff: Wales Institute of Social and Economic Research. Available at: https://wiserd.ac.uk/publications/homeworking-in-the-uk-before-and-during-the-2020-lockdown/ (Accessed: 10 June 2026).</w:t>
      </w:r>
    </w:p>
    <w:p w14:paraId="157AB690" w14:textId="77777777" w:rsidR="00FC7452" w:rsidRDefault="00BC68A4" w:rsidP="00E57951">
      <w:pPr>
        <w:spacing w:after="120" w:line="360" w:lineRule="auto"/>
        <w:ind w:left="560" w:hanging="560"/>
      </w:pPr>
      <w:r>
        <w:t>Gallup (2024) State of the Global Workplace 2024. Washington, DC: Gallup. Available at: https://www.gallup.com/workplace/349484/state-of-the-global-workplace.aspx (Accessed: 28 May 2026).</w:t>
      </w:r>
    </w:p>
    <w:p w14:paraId="1FBA5CA6" w14:textId="77777777" w:rsidR="00FC7452" w:rsidRDefault="00BC68A4" w:rsidP="00E57951">
      <w:pPr>
        <w:spacing w:after="120" w:line="360" w:lineRule="auto"/>
        <w:ind w:left="560" w:hanging="560"/>
      </w:pPr>
      <w:r>
        <w:t>Gratton, L. (2021) 'How to do hybrid work right', Harvard Business Review, May-June 2021. Available at: https://hbr.org/2021/05/how-to-do-hybrid-right (Accessed: 2 June 2026).</w:t>
      </w:r>
    </w:p>
    <w:p w14:paraId="327C23D1" w14:textId="77777777" w:rsidR="00FC7452" w:rsidRDefault="00BC68A4" w:rsidP="00E57951">
      <w:pPr>
        <w:spacing w:after="120" w:line="360" w:lineRule="auto"/>
        <w:ind w:left="560" w:hanging="560"/>
      </w:pPr>
      <w:r>
        <w:t>Kelliher, C. and Anderson, D. (2010) 'Doing more with less? Flexible working practices and the intensification of work', Human Relations, 63(1), pp. 83-106.</w:t>
      </w:r>
    </w:p>
    <w:p w14:paraId="5F76CFCE" w14:textId="77777777" w:rsidR="00FC7452" w:rsidRDefault="00BC68A4" w:rsidP="00E57951">
      <w:pPr>
        <w:spacing w:after="120" w:line="360" w:lineRule="auto"/>
        <w:ind w:left="560" w:hanging="560"/>
      </w:pPr>
      <w:r>
        <w:t>Kniffin, K.M., Narayanan, J., Anseel, F., Antonakis, J., Ashford, S.P., Bakker, A.B. and van Vugt, M. (2021) ‘COVID-19 and the workplace: implications, issues, and insights for future research and action’, American Psychologist, 76(1), pp. 63-77.</w:t>
      </w:r>
    </w:p>
    <w:p w14:paraId="183CA66E" w14:textId="77777777" w:rsidR="00FC7452" w:rsidRDefault="00BC68A4" w:rsidP="00E57951">
      <w:pPr>
        <w:spacing w:after="120" w:line="360" w:lineRule="auto"/>
        <w:ind w:left="560" w:hanging="560"/>
      </w:pPr>
      <w:r>
        <w:t>McKinsey and Company (2023) The Future of Work after COVID-19. New York: McKinsey Global Institute. Available at: https://www.mckinsey.com/featured-insights/future-of-work (Accessed: 28 May 2026).</w:t>
      </w:r>
    </w:p>
    <w:p w14:paraId="69C98620" w14:textId="77777777" w:rsidR="00FC7452" w:rsidRDefault="00BC68A4" w:rsidP="00E57951">
      <w:pPr>
        <w:spacing w:after="120" w:line="360" w:lineRule="auto"/>
        <w:ind w:left="560" w:hanging="560"/>
      </w:pPr>
      <w:r>
        <w:t>Microsoft (2023) Microsoft Work Trend Index Annual Report 2023: Will AI Fix Work? Redmond, WA: Microsoft. Available at: https://www.microsoft.com/en-us/worklab/work-trend-index (Accessed: 4 June 2026).</w:t>
      </w:r>
    </w:p>
    <w:p w14:paraId="732B745B" w14:textId="77777777" w:rsidR="00FC7452" w:rsidRDefault="00BC68A4" w:rsidP="00E57951">
      <w:pPr>
        <w:spacing w:after="120" w:line="360" w:lineRule="auto"/>
        <w:ind w:left="560" w:hanging="560"/>
      </w:pPr>
      <w:r>
        <w:t>Mullins, L.J. (2019) Organisational Behaviour in the Workplace. 11th edn. Harlow: Pearson.</w:t>
      </w:r>
    </w:p>
    <w:p w14:paraId="651BB520" w14:textId="77777777" w:rsidR="00FC7452" w:rsidRDefault="00BC68A4" w:rsidP="00E57951">
      <w:pPr>
        <w:spacing w:after="120" w:line="360" w:lineRule="auto"/>
        <w:ind w:left="560" w:hanging="560"/>
      </w:pPr>
      <w:r>
        <w:t>Office for National Statistics (ONS) (2024a) Homeworking and Hybrid Working in Great Britain. Newport: ONS. Available at: https://www.ons.gov.uk/employmentandlabourmarket/peopleinwork/employmentandemployeetypes (Accessed: 28 May 2026).</w:t>
      </w:r>
    </w:p>
    <w:p w14:paraId="73008661" w14:textId="77777777" w:rsidR="00FC7452" w:rsidRDefault="00BC68A4" w:rsidP="00E57951">
      <w:pPr>
        <w:spacing w:after="120" w:line="360" w:lineRule="auto"/>
        <w:ind w:left="560" w:hanging="560"/>
      </w:pPr>
      <w:r>
        <w:lastRenderedPageBreak/>
        <w:t>Office for National Statistics (ONS) (2024b) Who Are the Hybrid Workers? Newport: ONS. Available at: https://www.ons.gov.uk/employmentandlabourmarket/peopleinwork/employmentandemployeetypes/articles/whoarethehybridworkers/latest (Accessed: 28 May 2026).</w:t>
      </w:r>
    </w:p>
    <w:p w14:paraId="76303DCE" w14:textId="77777777" w:rsidR="00FC7452" w:rsidRDefault="00BC68A4" w:rsidP="00E57951">
      <w:pPr>
        <w:spacing w:after="120" w:line="360" w:lineRule="auto"/>
        <w:ind w:left="560" w:hanging="560"/>
      </w:pPr>
      <w:r>
        <w:t>Saunders, M.N.K., Lewis, P. and Thornhill, A. (2019) Research Methods for Business Students. 8th edn. Harlow: Pearson.</w:t>
      </w:r>
    </w:p>
    <w:p w14:paraId="33C010BB" w14:textId="77777777" w:rsidR="00FC7452" w:rsidRDefault="00BC68A4" w:rsidP="00E57951">
      <w:pPr>
        <w:spacing w:after="120" w:line="360" w:lineRule="auto"/>
        <w:ind w:left="560" w:hanging="560"/>
      </w:pPr>
      <w:r>
        <w:t>Shirmohammadi, M., Au, W.C. and Beigi, M. (2022) ‘Remote work and work-life balance: lessons learned from the COVID-19 pandemic and suggestions for HRD practitioners’, Human Resource Development International, 25(2), pp. 163-181.</w:t>
      </w:r>
    </w:p>
    <w:p w14:paraId="6A4EAA60" w14:textId="77777777" w:rsidR="00FC7452" w:rsidRDefault="00BC68A4" w:rsidP="00F92FFE">
      <w:pPr>
        <w:spacing w:after="120" w:line="360" w:lineRule="auto"/>
        <w:ind w:left="560" w:hanging="560"/>
      </w:pPr>
      <w:r>
        <w:t>UK Finance (2024) UK Financial Services: Key Facts 2024. London: UK Finance. Available at: https://www.ukfinance.org.uk/data-and-research/data/key-facts (Accessed: 3 June 2026).</w:t>
      </w:r>
    </w:p>
    <w:p w14:paraId="66EB19E9" w14:textId="77777777" w:rsidR="00FC7452" w:rsidRDefault="00BC68A4" w:rsidP="00E57951">
      <w:pPr>
        <w:spacing w:after="120" w:line="360" w:lineRule="auto"/>
        <w:ind w:left="560" w:hanging="560"/>
      </w:pPr>
      <w:r>
        <w:t>Wang, B., Liu, Y., Qian, J. and Parker, S.K. (2021) ‘Achieving effective remote working during the COVID-19 pandemic: a work design perspective’, Applied Psychology: An International Review, 70(1), pp. 16-59.</w:t>
      </w:r>
    </w:p>
    <w:p w14:paraId="644DF535" w14:textId="76331156" w:rsidR="00FC7452" w:rsidRDefault="00FC7452" w:rsidP="00E57951">
      <w:pPr>
        <w:spacing w:after="120" w:line="360" w:lineRule="auto"/>
        <w:ind w:left="560" w:hanging="560"/>
      </w:pPr>
    </w:p>
    <w:sectPr w:rsidR="00FC7452" w:rsidSect="008E619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A5073" w14:textId="77777777" w:rsidR="00EE1EE7" w:rsidRDefault="00EE1EE7">
      <w:r>
        <w:separator/>
      </w:r>
    </w:p>
  </w:endnote>
  <w:endnote w:type="continuationSeparator" w:id="0">
    <w:p w14:paraId="64A2E59C" w14:textId="77777777" w:rsidR="00EE1EE7" w:rsidRDefault="00EE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895775"/>
      <w:docPartObj>
        <w:docPartGallery w:val="Page Numbers (Bottom of Page)"/>
        <w:docPartUnique/>
      </w:docPartObj>
    </w:sdtPr>
    <w:sdtEndPr/>
    <w:sdtContent>
      <w:p w14:paraId="7D7FDB0F" w14:textId="0A3A7A15" w:rsidR="008E6196" w:rsidRDefault="008E6196">
        <w:pPr>
          <w:pStyle w:val="Footer"/>
          <w:jc w:val="center"/>
        </w:pPr>
        <w:r>
          <w:fldChar w:fldCharType="begin"/>
        </w:r>
        <w:r>
          <w:instrText>PAGE   \* MERGEFORMAT</w:instrText>
        </w:r>
        <w:r>
          <w:fldChar w:fldCharType="separate"/>
        </w:r>
        <w:r>
          <w:t>2</w:t>
        </w:r>
        <w:r>
          <w:fldChar w:fldCharType="end"/>
        </w:r>
      </w:p>
    </w:sdtContent>
  </w:sdt>
  <w:p w14:paraId="4C93264E" w14:textId="77777777" w:rsidR="008E6196" w:rsidRDefault="008E6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C8C7A" w14:textId="77777777" w:rsidR="00EE1EE7" w:rsidRDefault="00EE1EE7">
      <w:r>
        <w:separator/>
      </w:r>
    </w:p>
  </w:footnote>
  <w:footnote w:type="continuationSeparator" w:id="0">
    <w:p w14:paraId="0DDAD5DC" w14:textId="77777777" w:rsidR="00EE1EE7" w:rsidRDefault="00EE1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157A"/>
    <w:multiLevelType w:val="hybridMultilevel"/>
    <w:tmpl w:val="184EE912"/>
    <w:lvl w:ilvl="0" w:tplc="E408C230">
      <w:start w:val="1"/>
      <w:numFmt w:val="decimal"/>
      <w:lvlText w:val="%1."/>
      <w:lvlJc w:val="left"/>
      <w:pPr>
        <w:spacing w:before="40" w:after="40" w:line="360" w:lineRule="auto"/>
        <w:ind w:left="560" w:hanging="280"/>
      </w:pPr>
    </w:lvl>
    <w:lvl w:ilvl="1" w:tplc="62E67A5C">
      <w:numFmt w:val="decimal"/>
      <w:lvlText w:val=""/>
      <w:lvlJc w:val="left"/>
    </w:lvl>
    <w:lvl w:ilvl="2" w:tplc="99C495F0">
      <w:numFmt w:val="decimal"/>
      <w:lvlText w:val=""/>
      <w:lvlJc w:val="left"/>
    </w:lvl>
    <w:lvl w:ilvl="3" w:tplc="A77E31A0">
      <w:numFmt w:val="decimal"/>
      <w:lvlText w:val=""/>
      <w:lvlJc w:val="left"/>
    </w:lvl>
    <w:lvl w:ilvl="4" w:tplc="3376839C">
      <w:numFmt w:val="decimal"/>
      <w:lvlText w:val=""/>
      <w:lvlJc w:val="left"/>
    </w:lvl>
    <w:lvl w:ilvl="5" w:tplc="784CA0E8">
      <w:numFmt w:val="decimal"/>
      <w:lvlText w:val=""/>
      <w:lvlJc w:val="left"/>
    </w:lvl>
    <w:lvl w:ilvl="6" w:tplc="81565C6A">
      <w:numFmt w:val="decimal"/>
      <w:lvlText w:val=""/>
      <w:lvlJc w:val="left"/>
    </w:lvl>
    <w:lvl w:ilvl="7" w:tplc="A35436DC">
      <w:numFmt w:val="decimal"/>
      <w:lvlText w:val=""/>
      <w:lvlJc w:val="left"/>
    </w:lvl>
    <w:lvl w:ilvl="8" w:tplc="0CF6BA2A">
      <w:numFmt w:val="decimal"/>
      <w:lvlText w:val=""/>
      <w:lvlJc w:val="left"/>
    </w:lvl>
  </w:abstractNum>
  <w:abstractNum w:abstractNumId="1" w15:restartNumberingAfterBreak="0">
    <w:nsid w:val="4E042B06"/>
    <w:multiLevelType w:val="hybridMultilevel"/>
    <w:tmpl w:val="8B2A3B88"/>
    <w:lvl w:ilvl="0" w:tplc="3B684CDC">
      <w:start w:val="1"/>
      <w:numFmt w:val="decimal"/>
      <w:lvlText w:val="%1."/>
      <w:lvlJc w:val="left"/>
      <w:pPr>
        <w:spacing w:before="40" w:after="40" w:line="360" w:lineRule="auto"/>
        <w:ind w:left="560" w:hanging="280"/>
      </w:pPr>
    </w:lvl>
    <w:lvl w:ilvl="1" w:tplc="F984D530">
      <w:numFmt w:val="decimal"/>
      <w:lvlText w:val=""/>
      <w:lvlJc w:val="left"/>
    </w:lvl>
    <w:lvl w:ilvl="2" w:tplc="11C89466">
      <w:numFmt w:val="decimal"/>
      <w:lvlText w:val=""/>
      <w:lvlJc w:val="left"/>
    </w:lvl>
    <w:lvl w:ilvl="3" w:tplc="73AE6ADA">
      <w:numFmt w:val="decimal"/>
      <w:lvlText w:val=""/>
      <w:lvlJc w:val="left"/>
    </w:lvl>
    <w:lvl w:ilvl="4" w:tplc="96A23646">
      <w:numFmt w:val="decimal"/>
      <w:lvlText w:val=""/>
      <w:lvlJc w:val="left"/>
    </w:lvl>
    <w:lvl w:ilvl="5" w:tplc="8C1232FE">
      <w:numFmt w:val="decimal"/>
      <w:lvlText w:val=""/>
      <w:lvlJc w:val="left"/>
    </w:lvl>
    <w:lvl w:ilvl="6" w:tplc="BCE42658">
      <w:numFmt w:val="decimal"/>
      <w:lvlText w:val=""/>
      <w:lvlJc w:val="left"/>
    </w:lvl>
    <w:lvl w:ilvl="7" w:tplc="7F823BB6">
      <w:numFmt w:val="decimal"/>
      <w:lvlText w:val=""/>
      <w:lvlJc w:val="left"/>
    </w:lvl>
    <w:lvl w:ilvl="8" w:tplc="0442CDA2">
      <w:numFmt w:val="decimal"/>
      <w:lvlText w:val=""/>
      <w:lvlJc w:val="left"/>
    </w:lvl>
  </w:abstractNum>
  <w:abstractNum w:abstractNumId="2" w15:restartNumberingAfterBreak="0">
    <w:nsid w:val="77554F1F"/>
    <w:multiLevelType w:val="hybridMultilevel"/>
    <w:tmpl w:val="5B426C66"/>
    <w:lvl w:ilvl="0" w:tplc="05226630">
      <w:start w:val="1"/>
      <w:numFmt w:val="bullet"/>
      <w:lvlText w:val="●"/>
      <w:lvlJc w:val="left"/>
      <w:pPr>
        <w:ind w:left="720" w:hanging="360"/>
      </w:pPr>
    </w:lvl>
    <w:lvl w:ilvl="1" w:tplc="A16AE92A">
      <w:start w:val="1"/>
      <w:numFmt w:val="bullet"/>
      <w:lvlText w:val="○"/>
      <w:lvlJc w:val="left"/>
      <w:pPr>
        <w:ind w:left="1440" w:hanging="360"/>
      </w:pPr>
    </w:lvl>
    <w:lvl w:ilvl="2" w:tplc="907C5146">
      <w:start w:val="1"/>
      <w:numFmt w:val="bullet"/>
      <w:lvlText w:val="■"/>
      <w:lvlJc w:val="left"/>
      <w:pPr>
        <w:ind w:left="2160" w:hanging="360"/>
      </w:pPr>
    </w:lvl>
    <w:lvl w:ilvl="3" w:tplc="74F4127E">
      <w:start w:val="1"/>
      <w:numFmt w:val="bullet"/>
      <w:lvlText w:val="●"/>
      <w:lvlJc w:val="left"/>
      <w:pPr>
        <w:ind w:left="2880" w:hanging="360"/>
      </w:pPr>
    </w:lvl>
    <w:lvl w:ilvl="4" w:tplc="DA801AEC">
      <w:start w:val="1"/>
      <w:numFmt w:val="bullet"/>
      <w:lvlText w:val="○"/>
      <w:lvlJc w:val="left"/>
      <w:pPr>
        <w:ind w:left="3600" w:hanging="360"/>
      </w:pPr>
    </w:lvl>
    <w:lvl w:ilvl="5" w:tplc="2BFA77D6">
      <w:start w:val="1"/>
      <w:numFmt w:val="bullet"/>
      <w:lvlText w:val="■"/>
      <w:lvlJc w:val="left"/>
      <w:pPr>
        <w:ind w:left="4320" w:hanging="360"/>
      </w:pPr>
    </w:lvl>
    <w:lvl w:ilvl="6" w:tplc="C16CF634">
      <w:start w:val="1"/>
      <w:numFmt w:val="bullet"/>
      <w:lvlText w:val="●"/>
      <w:lvlJc w:val="left"/>
      <w:pPr>
        <w:ind w:left="5040" w:hanging="360"/>
      </w:pPr>
    </w:lvl>
    <w:lvl w:ilvl="7" w:tplc="AE4C4046">
      <w:start w:val="1"/>
      <w:numFmt w:val="bullet"/>
      <w:lvlText w:val="●"/>
      <w:lvlJc w:val="left"/>
      <w:pPr>
        <w:ind w:left="5760" w:hanging="360"/>
      </w:pPr>
    </w:lvl>
    <w:lvl w:ilvl="8" w:tplc="1A16FC24">
      <w:start w:val="1"/>
      <w:numFmt w:val="bullet"/>
      <w:lvlText w:val="●"/>
      <w:lvlJc w:val="left"/>
      <w:pPr>
        <w:ind w:left="6480" w:hanging="360"/>
      </w:pPr>
    </w:lvl>
  </w:abstractNum>
  <w:num w:numId="1" w16cid:durableId="1033917963">
    <w:abstractNumId w:val="0"/>
    <w:lvlOverride w:ilvl="0">
      <w:startOverride w:val="1"/>
    </w:lvlOverride>
  </w:num>
  <w:num w:numId="2" w16cid:durableId="288633590">
    <w:abstractNumId w:val="1"/>
    <w:lvlOverride w:ilvl="0">
      <w:startOverride w:val="1"/>
    </w:lvlOverride>
  </w:num>
  <w:num w:numId="3" w16cid:durableId="66436243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452"/>
    <w:rsid w:val="00025E7C"/>
    <w:rsid w:val="000C0E3A"/>
    <w:rsid w:val="000C6733"/>
    <w:rsid w:val="000F4250"/>
    <w:rsid w:val="0013782D"/>
    <w:rsid w:val="00145640"/>
    <w:rsid w:val="00150899"/>
    <w:rsid w:val="00162AFC"/>
    <w:rsid w:val="00165227"/>
    <w:rsid w:val="00190D84"/>
    <w:rsid w:val="001C1D5C"/>
    <w:rsid w:val="001C6634"/>
    <w:rsid w:val="00282FE2"/>
    <w:rsid w:val="002D075C"/>
    <w:rsid w:val="0034787A"/>
    <w:rsid w:val="00350DDE"/>
    <w:rsid w:val="003B668E"/>
    <w:rsid w:val="0044623B"/>
    <w:rsid w:val="004865AD"/>
    <w:rsid w:val="0049438F"/>
    <w:rsid w:val="004C0F8A"/>
    <w:rsid w:val="00512A38"/>
    <w:rsid w:val="0052675A"/>
    <w:rsid w:val="005F402B"/>
    <w:rsid w:val="0062016E"/>
    <w:rsid w:val="00671A4F"/>
    <w:rsid w:val="006C60DD"/>
    <w:rsid w:val="006E245C"/>
    <w:rsid w:val="006F5E54"/>
    <w:rsid w:val="00704234"/>
    <w:rsid w:val="007636A0"/>
    <w:rsid w:val="007720EB"/>
    <w:rsid w:val="007F2E2F"/>
    <w:rsid w:val="008037E1"/>
    <w:rsid w:val="008107B2"/>
    <w:rsid w:val="00837123"/>
    <w:rsid w:val="00862B85"/>
    <w:rsid w:val="00867DD1"/>
    <w:rsid w:val="0087490C"/>
    <w:rsid w:val="00890DD9"/>
    <w:rsid w:val="008912DB"/>
    <w:rsid w:val="00896C2E"/>
    <w:rsid w:val="008E6196"/>
    <w:rsid w:val="00943648"/>
    <w:rsid w:val="009464BD"/>
    <w:rsid w:val="009769D6"/>
    <w:rsid w:val="009830B9"/>
    <w:rsid w:val="00987357"/>
    <w:rsid w:val="009E0ACD"/>
    <w:rsid w:val="009E7A57"/>
    <w:rsid w:val="00A26CB5"/>
    <w:rsid w:val="00B041CA"/>
    <w:rsid w:val="00B10100"/>
    <w:rsid w:val="00B3562A"/>
    <w:rsid w:val="00BA7136"/>
    <w:rsid w:val="00BB4C4D"/>
    <w:rsid w:val="00BB6A37"/>
    <w:rsid w:val="00BC68A4"/>
    <w:rsid w:val="00BC7303"/>
    <w:rsid w:val="00C07FA3"/>
    <w:rsid w:val="00C12457"/>
    <w:rsid w:val="00CA5200"/>
    <w:rsid w:val="00D30E27"/>
    <w:rsid w:val="00E01765"/>
    <w:rsid w:val="00E57951"/>
    <w:rsid w:val="00E73B78"/>
    <w:rsid w:val="00EB7290"/>
    <w:rsid w:val="00ED3219"/>
    <w:rsid w:val="00EE1EE7"/>
    <w:rsid w:val="00EF4417"/>
    <w:rsid w:val="00F03C01"/>
    <w:rsid w:val="00F30704"/>
    <w:rsid w:val="00F33BB1"/>
    <w:rsid w:val="00F34358"/>
    <w:rsid w:val="00F62876"/>
    <w:rsid w:val="00F92FFE"/>
    <w:rsid w:val="00FC7452"/>
    <w:rsid w:val="00FC761D"/>
    <w:rsid w:val="7DF0BA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08316"/>
  <w15:docId w15:val="{C101B3D8-7DF4-483A-BA89-304003E9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40"/>
      <w:outlineLvl w:val="0"/>
    </w:pPr>
    <w:rPr>
      <w:b/>
      <w:bCs/>
      <w:color w:val="1F3864"/>
      <w:sz w:val="26"/>
      <w:szCs w:val="26"/>
    </w:rPr>
  </w:style>
  <w:style w:type="paragraph" w:styleId="Heading2">
    <w:name w:val="heading 2"/>
    <w:uiPriority w:val="9"/>
    <w:unhideWhenUsed/>
    <w:qFormat/>
    <w:pPr>
      <w:spacing w:before="240" w:after="100"/>
      <w:outlineLvl w:val="1"/>
    </w:pPr>
    <w:rPr>
      <w:b/>
      <w:bCs/>
      <w:color w:val="2E5FA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2016E"/>
    <w:pPr>
      <w:tabs>
        <w:tab w:val="center" w:pos="4680"/>
        <w:tab w:val="right" w:pos="9360"/>
      </w:tabs>
    </w:pPr>
  </w:style>
  <w:style w:type="character" w:customStyle="1" w:styleId="HeaderChar">
    <w:name w:val="Header Char"/>
    <w:basedOn w:val="DefaultParagraphFont"/>
    <w:link w:val="Header"/>
    <w:uiPriority w:val="99"/>
    <w:rsid w:val="0062016E"/>
    <w:rPr>
      <w:rFonts w:eastAsia="Times New Roman"/>
    </w:rPr>
  </w:style>
  <w:style w:type="paragraph" w:styleId="Footer">
    <w:name w:val="footer"/>
    <w:basedOn w:val="Normal"/>
    <w:link w:val="FooterChar"/>
    <w:uiPriority w:val="99"/>
    <w:unhideWhenUsed/>
    <w:rsid w:val="0062016E"/>
    <w:pPr>
      <w:tabs>
        <w:tab w:val="center" w:pos="4680"/>
        <w:tab w:val="right" w:pos="9360"/>
      </w:tabs>
    </w:pPr>
  </w:style>
  <w:style w:type="character" w:customStyle="1" w:styleId="FooterChar">
    <w:name w:val="Footer Char"/>
    <w:basedOn w:val="DefaultParagraphFont"/>
    <w:link w:val="Footer"/>
    <w:uiPriority w:val="99"/>
    <w:rsid w:val="0062016E"/>
    <w:rPr>
      <w:rFonts w:eastAsia="Times New Roman"/>
    </w:rPr>
  </w:style>
  <w:style w:type="paragraph" w:customStyle="1" w:styleId="paragraph">
    <w:name w:val="paragraph"/>
    <w:basedOn w:val="Normal"/>
    <w:rsid w:val="00896C2E"/>
    <w:pPr>
      <w:spacing w:before="100" w:beforeAutospacing="1" w:after="100" w:afterAutospacing="1"/>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896C2E"/>
  </w:style>
  <w:style w:type="character" w:customStyle="1" w:styleId="eop">
    <w:name w:val="eop"/>
    <w:basedOn w:val="DefaultParagraphFont"/>
    <w:rsid w:val="00896C2E"/>
  </w:style>
  <w:style w:type="paragraph" w:styleId="TOCHeading">
    <w:name w:val="TOC Heading"/>
    <w:basedOn w:val="Heading1"/>
    <w:next w:val="Normal"/>
    <w:uiPriority w:val="39"/>
    <w:unhideWhenUsed/>
    <w:qFormat/>
    <w:rsid w:val="00A26CB5"/>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2">
    <w:name w:val="toc 2"/>
    <w:basedOn w:val="Normal"/>
    <w:next w:val="Normal"/>
    <w:autoRedefine/>
    <w:uiPriority w:val="39"/>
    <w:unhideWhenUsed/>
    <w:rsid w:val="00A26CB5"/>
    <w:pPr>
      <w:spacing w:after="100"/>
      <w:ind w:left="220"/>
    </w:pPr>
  </w:style>
  <w:style w:type="paragraph" w:styleId="TOC1">
    <w:name w:val="toc 1"/>
    <w:basedOn w:val="Normal"/>
    <w:next w:val="Normal"/>
    <w:autoRedefine/>
    <w:uiPriority w:val="39"/>
    <w:unhideWhenUsed/>
    <w:rsid w:val="00D30E27"/>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4889">
      <w:bodyDiv w:val="1"/>
      <w:marLeft w:val="0"/>
      <w:marRight w:val="0"/>
      <w:marTop w:val="0"/>
      <w:marBottom w:val="0"/>
      <w:divBdr>
        <w:top w:val="none" w:sz="0" w:space="0" w:color="auto"/>
        <w:left w:val="none" w:sz="0" w:space="0" w:color="auto"/>
        <w:bottom w:val="none" w:sz="0" w:space="0" w:color="auto"/>
        <w:right w:val="none" w:sz="0" w:space="0" w:color="auto"/>
      </w:divBdr>
      <w:divsChild>
        <w:div w:id="72514254">
          <w:marLeft w:val="0"/>
          <w:marRight w:val="0"/>
          <w:marTop w:val="0"/>
          <w:marBottom w:val="0"/>
          <w:divBdr>
            <w:top w:val="none" w:sz="0" w:space="0" w:color="auto"/>
            <w:left w:val="none" w:sz="0" w:space="0" w:color="auto"/>
            <w:bottom w:val="none" w:sz="0" w:space="0" w:color="auto"/>
            <w:right w:val="none" w:sz="0" w:space="0" w:color="auto"/>
          </w:divBdr>
        </w:div>
        <w:div w:id="1848712995">
          <w:marLeft w:val="0"/>
          <w:marRight w:val="0"/>
          <w:marTop w:val="0"/>
          <w:marBottom w:val="0"/>
          <w:divBdr>
            <w:top w:val="none" w:sz="0" w:space="0" w:color="auto"/>
            <w:left w:val="none" w:sz="0" w:space="0" w:color="auto"/>
            <w:bottom w:val="none" w:sz="0" w:space="0" w:color="auto"/>
            <w:right w:val="none" w:sz="0" w:space="0" w:color="auto"/>
          </w:divBdr>
        </w:div>
      </w:divsChild>
    </w:div>
    <w:div w:id="216597212">
      <w:bodyDiv w:val="1"/>
      <w:marLeft w:val="0"/>
      <w:marRight w:val="0"/>
      <w:marTop w:val="0"/>
      <w:marBottom w:val="0"/>
      <w:divBdr>
        <w:top w:val="none" w:sz="0" w:space="0" w:color="auto"/>
        <w:left w:val="none" w:sz="0" w:space="0" w:color="auto"/>
        <w:bottom w:val="none" w:sz="0" w:space="0" w:color="auto"/>
        <w:right w:val="none" w:sz="0" w:space="0" w:color="auto"/>
      </w:divBdr>
      <w:divsChild>
        <w:div w:id="2124381381">
          <w:marLeft w:val="0"/>
          <w:marRight w:val="0"/>
          <w:marTop w:val="0"/>
          <w:marBottom w:val="0"/>
          <w:divBdr>
            <w:top w:val="none" w:sz="0" w:space="0" w:color="auto"/>
            <w:left w:val="none" w:sz="0" w:space="0" w:color="auto"/>
            <w:bottom w:val="none" w:sz="0" w:space="0" w:color="auto"/>
            <w:right w:val="none" w:sz="0" w:space="0" w:color="auto"/>
          </w:divBdr>
        </w:div>
        <w:div w:id="783499086">
          <w:marLeft w:val="0"/>
          <w:marRight w:val="0"/>
          <w:marTop w:val="0"/>
          <w:marBottom w:val="0"/>
          <w:divBdr>
            <w:top w:val="none" w:sz="0" w:space="0" w:color="auto"/>
            <w:left w:val="none" w:sz="0" w:space="0" w:color="auto"/>
            <w:bottom w:val="none" w:sz="0" w:space="0" w:color="auto"/>
            <w:right w:val="none" w:sz="0" w:space="0" w:color="auto"/>
          </w:divBdr>
        </w:div>
        <w:div w:id="574049989">
          <w:marLeft w:val="0"/>
          <w:marRight w:val="0"/>
          <w:marTop w:val="0"/>
          <w:marBottom w:val="0"/>
          <w:divBdr>
            <w:top w:val="none" w:sz="0" w:space="0" w:color="auto"/>
            <w:left w:val="none" w:sz="0" w:space="0" w:color="auto"/>
            <w:bottom w:val="none" w:sz="0" w:space="0" w:color="auto"/>
            <w:right w:val="none" w:sz="0" w:space="0" w:color="auto"/>
          </w:divBdr>
        </w:div>
        <w:div w:id="1952272943">
          <w:marLeft w:val="0"/>
          <w:marRight w:val="0"/>
          <w:marTop w:val="0"/>
          <w:marBottom w:val="0"/>
          <w:divBdr>
            <w:top w:val="none" w:sz="0" w:space="0" w:color="auto"/>
            <w:left w:val="none" w:sz="0" w:space="0" w:color="auto"/>
            <w:bottom w:val="none" w:sz="0" w:space="0" w:color="auto"/>
            <w:right w:val="none" w:sz="0" w:space="0" w:color="auto"/>
          </w:divBdr>
        </w:div>
        <w:div w:id="1911230311">
          <w:marLeft w:val="0"/>
          <w:marRight w:val="0"/>
          <w:marTop w:val="0"/>
          <w:marBottom w:val="0"/>
          <w:divBdr>
            <w:top w:val="none" w:sz="0" w:space="0" w:color="auto"/>
            <w:left w:val="none" w:sz="0" w:space="0" w:color="auto"/>
            <w:bottom w:val="none" w:sz="0" w:space="0" w:color="auto"/>
            <w:right w:val="none" w:sz="0" w:space="0" w:color="auto"/>
          </w:divBdr>
        </w:div>
        <w:div w:id="2087146802">
          <w:marLeft w:val="0"/>
          <w:marRight w:val="0"/>
          <w:marTop w:val="0"/>
          <w:marBottom w:val="0"/>
          <w:divBdr>
            <w:top w:val="none" w:sz="0" w:space="0" w:color="auto"/>
            <w:left w:val="none" w:sz="0" w:space="0" w:color="auto"/>
            <w:bottom w:val="none" w:sz="0" w:space="0" w:color="auto"/>
            <w:right w:val="none" w:sz="0" w:space="0" w:color="auto"/>
          </w:divBdr>
        </w:div>
      </w:divsChild>
    </w:div>
    <w:div w:id="278755264">
      <w:bodyDiv w:val="1"/>
      <w:marLeft w:val="0"/>
      <w:marRight w:val="0"/>
      <w:marTop w:val="0"/>
      <w:marBottom w:val="0"/>
      <w:divBdr>
        <w:top w:val="none" w:sz="0" w:space="0" w:color="auto"/>
        <w:left w:val="none" w:sz="0" w:space="0" w:color="auto"/>
        <w:bottom w:val="none" w:sz="0" w:space="0" w:color="auto"/>
        <w:right w:val="none" w:sz="0" w:space="0" w:color="auto"/>
      </w:divBdr>
      <w:divsChild>
        <w:div w:id="411782295">
          <w:marLeft w:val="0"/>
          <w:marRight w:val="0"/>
          <w:marTop w:val="0"/>
          <w:marBottom w:val="0"/>
          <w:divBdr>
            <w:top w:val="none" w:sz="0" w:space="0" w:color="auto"/>
            <w:left w:val="none" w:sz="0" w:space="0" w:color="auto"/>
            <w:bottom w:val="none" w:sz="0" w:space="0" w:color="auto"/>
            <w:right w:val="none" w:sz="0" w:space="0" w:color="auto"/>
          </w:divBdr>
        </w:div>
        <w:div w:id="1643847004">
          <w:marLeft w:val="0"/>
          <w:marRight w:val="0"/>
          <w:marTop w:val="0"/>
          <w:marBottom w:val="0"/>
          <w:divBdr>
            <w:top w:val="none" w:sz="0" w:space="0" w:color="auto"/>
            <w:left w:val="none" w:sz="0" w:space="0" w:color="auto"/>
            <w:bottom w:val="none" w:sz="0" w:space="0" w:color="auto"/>
            <w:right w:val="none" w:sz="0" w:space="0" w:color="auto"/>
          </w:divBdr>
        </w:div>
        <w:div w:id="1573197198">
          <w:marLeft w:val="0"/>
          <w:marRight w:val="0"/>
          <w:marTop w:val="0"/>
          <w:marBottom w:val="0"/>
          <w:divBdr>
            <w:top w:val="none" w:sz="0" w:space="0" w:color="auto"/>
            <w:left w:val="none" w:sz="0" w:space="0" w:color="auto"/>
            <w:bottom w:val="none" w:sz="0" w:space="0" w:color="auto"/>
            <w:right w:val="none" w:sz="0" w:space="0" w:color="auto"/>
          </w:divBdr>
        </w:div>
        <w:div w:id="68891069">
          <w:marLeft w:val="0"/>
          <w:marRight w:val="0"/>
          <w:marTop w:val="0"/>
          <w:marBottom w:val="0"/>
          <w:divBdr>
            <w:top w:val="none" w:sz="0" w:space="0" w:color="auto"/>
            <w:left w:val="none" w:sz="0" w:space="0" w:color="auto"/>
            <w:bottom w:val="none" w:sz="0" w:space="0" w:color="auto"/>
            <w:right w:val="none" w:sz="0" w:space="0" w:color="auto"/>
          </w:divBdr>
        </w:div>
        <w:div w:id="1042289954">
          <w:marLeft w:val="0"/>
          <w:marRight w:val="0"/>
          <w:marTop w:val="0"/>
          <w:marBottom w:val="0"/>
          <w:divBdr>
            <w:top w:val="none" w:sz="0" w:space="0" w:color="auto"/>
            <w:left w:val="none" w:sz="0" w:space="0" w:color="auto"/>
            <w:bottom w:val="none" w:sz="0" w:space="0" w:color="auto"/>
            <w:right w:val="none" w:sz="0" w:space="0" w:color="auto"/>
          </w:divBdr>
        </w:div>
        <w:div w:id="1189366376">
          <w:marLeft w:val="0"/>
          <w:marRight w:val="0"/>
          <w:marTop w:val="0"/>
          <w:marBottom w:val="0"/>
          <w:divBdr>
            <w:top w:val="none" w:sz="0" w:space="0" w:color="auto"/>
            <w:left w:val="none" w:sz="0" w:space="0" w:color="auto"/>
            <w:bottom w:val="none" w:sz="0" w:space="0" w:color="auto"/>
            <w:right w:val="none" w:sz="0" w:space="0" w:color="auto"/>
          </w:divBdr>
        </w:div>
      </w:divsChild>
    </w:div>
    <w:div w:id="338508254">
      <w:bodyDiv w:val="1"/>
      <w:marLeft w:val="0"/>
      <w:marRight w:val="0"/>
      <w:marTop w:val="0"/>
      <w:marBottom w:val="0"/>
      <w:divBdr>
        <w:top w:val="none" w:sz="0" w:space="0" w:color="auto"/>
        <w:left w:val="none" w:sz="0" w:space="0" w:color="auto"/>
        <w:bottom w:val="none" w:sz="0" w:space="0" w:color="auto"/>
        <w:right w:val="none" w:sz="0" w:space="0" w:color="auto"/>
      </w:divBdr>
    </w:div>
    <w:div w:id="495919086">
      <w:bodyDiv w:val="1"/>
      <w:marLeft w:val="0"/>
      <w:marRight w:val="0"/>
      <w:marTop w:val="0"/>
      <w:marBottom w:val="0"/>
      <w:divBdr>
        <w:top w:val="none" w:sz="0" w:space="0" w:color="auto"/>
        <w:left w:val="none" w:sz="0" w:space="0" w:color="auto"/>
        <w:bottom w:val="none" w:sz="0" w:space="0" w:color="auto"/>
        <w:right w:val="none" w:sz="0" w:space="0" w:color="auto"/>
      </w:divBdr>
      <w:divsChild>
        <w:div w:id="1887180763">
          <w:marLeft w:val="0"/>
          <w:marRight w:val="0"/>
          <w:marTop w:val="0"/>
          <w:marBottom w:val="0"/>
          <w:divBdr>
            <w:top w:val="none" w:sz="0" w:space="0" w:color="auto"/>
            <w:left w:val="none" w:sz="0" w:space="0" w:color="auto"/>
            <w:bottom w:val="none" w:sz="0" w:space="0" w:color="auto"/>
            <w:right w:val="none" w:sz="0" w:space="0" w:color="auto"/>
          </w:divBdr>
        </w:div>
        <w:div w:id="846359562">
          <w:marLeft w:val="0"/>
          <w:marRight w:val="0"/>
          <w:marTop w:val="0"/>
          <w:marBottom w:val="0"/>
          <w:divBdr>
            <w:top w:val="none" w:sz="0" w:space="0" w:color="auto"/>
            <w:left w:val="none" w:sz="0" w:space="0" w:color="auto"/>
            <w:bottom w:val="none" w:sz="0" w:space="0" w:color="auto"/>
            <w:right w:val="none" w:sz="0" w:space="0" w:color="auto"/>
          </w:divBdr>
        </w:div>
        <w:div w:id="1785538126">
          <w:marLeft w:val="0"/>
          <w:marRight w:val="0"/>
          <w:marTop w:val="0"/>
          <w:marBottom w:val="0"/>
          <w:divBdr>
            <w:top w:val="none" w:sz="0" w:space="0" w:color="auto"/>
            <w:left w:val="none" w:sz="0" w:space="0" w:color="auto"/>
            <w:bottom w:val="none" w:sz="0" w:space="0" w:color="auto"/>
            <w:right w:val="none" w:sz="0" w:space="0" w:color="auto"/>
          </w:divBdr>
        </w:div>
      </w:divsChild>
    </w:div>
    <w:div w:id="709034652">
      <w:bodyDiv w:val="1"/>
      <w:marLeft w:val="0"/>
      <w:marRight w:val="0"/>
      <w:marTop w:val="0"/>
      <w:marBottom w:val="0"/>
      <w:divBdr>
        <w:top w:val="none" w:sz="0" w:space="0" w:color="auto"/>
        <w:left w:val="none" w:sz="0" w:space="0" w:color="auto"/>
        <w:bottom w:val="none" w:sz="0" w:space="0" w:color="auto"/>
        <w:right w:val="none" w:sz="0" w:space="0" w:color="auto"/>
      </w:divBdr>
      <w:divsChild>
        <w:div w:id="1314718011">
          <w:marLeft w:val="0"/>
          <w:marRight w:val="0"/>
          <w:marTop w:val="0"/>
          <w:marBottom w:val="0"/>
          <w:divBdr>
            <w:top w:val="none" w:sz="0" w:space="0" w:color="auto"/>
            <w:left w:val="none" w:sz="0" w:space="0" w:color="auto"/>
            <w:bottom w:val="none" w:sz="0" w:space="0" w:color="auto"/>
            <w:right w:val="none" w:sz="0" w:space="0" w:color="auto"/>
          </w:divBdr>
        </w:div>
        <w:div w:id="893202370">
          <w:marLeft w:val="0"/>
          <w:marRight w:val="0"/>
          <w:marTop w:val="0"/>
          <w:marBottom w:val="0"/>
          <w:divBdr>
            <w:top w:val="none" w:sz="0" w:space="0" w:color="auto"/>
            <w:left w:val="none" w:sz="0" w:space="0" w:color="auto"/>
            <w:bottom w:val="none" w:sz="0" w:space="0" w:color="auto"/>
            <w:right w:val="none" w:sz="0" w:space="0" w:color="auto"/>
          </w:divBdr>
        </w:div>
        <w:div w:id="880634565">
          <w:marLeft w:val="0"/>
          <w:marRight w:val="0"/>
          <w:marTop w:val="0"/>
          <w:marBottom w:val="0"/>
          <w:divBdr>
            <w:top w:val="none" w:sz="0" w:space="0" w:color="auto"/>
            <w:left w:val="none" w:sz="0" w:space="0" w:color="auto"/>
            <w:bottom w:val="none" w:sz="0" w:space="0" w:color="auto"/>
            <w:right w:val="none" w:sz="0" w:space="0" w:color="auto"/>
          </w:divBdr>
        </w:div>
        <w:div w:id="754202880">
          <w:marLeft w:val="0"/>
          <w:marRight w:val="0"/>
          <w:marTop w:val="0"/>
          <w:marBottom w:val="0"/>
          <w:divBdr>
            <w:top w:val="none" w:sz="0" w:space="0" w:color="auto"/>
            <w:left w:val="none" w:sz="0" w:space="0" w:color="auto"/>
            <w:bottom w:val="none" w:sz="0" w:space="0" w:color="auto"/>
            <w:right w:val="none" w:sz="0" w:space="0" w:color="auto"/>
          </w:divBdr>
        </w:div>
        <w:div w:id="1609044692">
          <w:marLeft w:val="0"/>
          <w:marRight w:val="0"/>
          <w:marTop w:val="0"/>
          <w:marBottom w:val="0"/>
          <w:divBdr>
            <w:top w:val="none" w:sz="0" w:space="0" w:color="auto"/>
            <w:left w:val="none" w:sz="0" w:space="0" w:color="auto"/>
            <w:bottom w:val="none" w:sz="0" w:space="0" w:color="auto"/>
            <w:right w:val="none" w:sz="0" w:space="0" w:color="auto"/>
          </w:divBdr>
        </w:div>
        <w:div w:id="1451898751">
          <w:marLeft w:val="0"/>
          <w:marRight w:val="0"/>
          <w:marTop w:val="0"/>
          <w:marBottom w:val="0"/>
          <w:divBdr>
            <w:top w:val="none" w:sz="0" w:space="0" w:color="auto"/>
            <w:left w:val="none" w:sz="0" w:space="0" w:color="auto"/>
            <w:bottom w:val="none" w:sz="0" w:space="0" w:color="auto"/>
            <w:right w:val="none" w:sz="0" w:space="0" w:color="auto"/>
          </w:divBdr>
        </w:div>
      </w:divsChild>
    </w:div>
    <w:div w:id="893851283">
      <w:bodyDiv w:val="1"/>
      <w:marLeft w:val="0"/>
      <w:marRight w:val="0"/>
      <w:marTop w:val="0"/>
      <w:marBottom w:val="0"/>
      <w:divBdr>
        <w:top w:val="none" w:sz="0" w:space="0" w:color="auto"/>
        <w:left w:val="none" w:sz="0" w:space="0" w:color="auto"/>
        <w:bottom w:val="none" w:sz="0" w:space="0" w:color="auto"/>
        <w:right w:val="none" w:sz="0" w:space="0" w:color="auto"/>
      </w:divBdr>
      <w:divsChild>
        <w:div w:id="833497427">
          <w:marLeft w:val="0"/>
          <w:marRight w:val="0"/>
          <w:marTop w:val="0"/>
          <w:marBottom w:val="0"/>
          <w:divBdr>
            <w:top w:val="none" w:sz="0" w:space="0" w:color="auto"/>
            <w:left w:val="none" w:sz="0" w:space="0" w:color="auto"/>
            <w:bottom w:val="none" w:sz="0" w:space="0" w:color="auto"/>
            <w:right w:val="none" w:sz="0" w:space="0" w:color="auto"/>
          </w:divBdr>
        </w:div>
        <w:div w:id="1603487976">
          <w:marLeft w:val="0"/>
          <w:marRight w:val="0"/>
          <w:marTop w:val="0"/>
          <w:marBottom w:val="0"/>
          <w:divBdr>
            <w:top w:val="none" w:sz="0" w:space="0" w:color="auto"/>
            <w:left w:val="none" w:sz="0" w:space="0" w:color="auto"/>
            <w:bottom w:val="none" w:sz="0" w:space="0" w:color="auto"/>
            <w:right w:val="none" w:sz="0" w:space="0" w:color="auto"/>
          </w:divBdr>
        </w:div>
        <w:div w:id="2080514892">
          <w:marLeft w:val="0"/>
          <w:marRight w:val="0"/>
          <w:marTop w:val="0"/>
          <w:marBottom w:val="0"/>
          <w:divBdr>
            <w:top w:val="none" w:sz="0" w:space="0" w:color="auto"/>
            <w:left w:val="none" w:sz="0" w:space="0" w:color="auto"/>
            <w:bottom w:val="none" w:sz="0" w:space="0" w:color="auto"/>
            <w:right w:val="none" w:sz="0" w:space="0" w:color="auto"/>
          </w:divBdr>
        </w:div>
        <w:div w:id="906916663">
          <w:marLeft w:val="0"/>
          <w:marRight w:val="0"/>
          <w:marTop w:val="0"/>
          <w:marBottom w:val="0"/>
          <w:divBdr>
            <w:top w:val="none" w:sz="0" w:space="0" w:color="auto"/>
            <w:left w:val="none" w:sz="0" w:space="0" w:color="auto"/>
            <w:bottom w:val="none" w:sz="0" w:space="0" w:color="auto"/>
            <w:right w:val="none" w:sz="0" w:space="0" w:color="auto"/>
          </w:divBdr>
        </w:div>
        <w:div w:id="729883095">
          <w:marLeft w:val="0"/>
          <w:marRight w:val="0"/>
          <w:marTop w:val="0"/>
          <w:marBottom w:val="0"/>
          <w:divBdr>
            <w:top w:val="none" w:sz="0" w:space="0" w:color="auto"/>
            <w:left w:val="none" w:sz="0" w:space="0" w:color="auto"/>
            <w:bottom w:val="none" w:sz="0" w:space="0" w:color="auto"/>
            <w:right w:val="none" w:sz="0" w:space="0" w:color="auto"/>
          </w:divBdr>
        </w:div>
        <w:div w:id="1192499226">
          <w:marLeft w:val="0"/>
          <w:marRight w:val="0"/>
          <w:marTop w:val="0"/>
          <w:marBottom w:val="0"/>
          <w:divBdr>
            <w:top w:val="none" w:sz="0" w:space="0" w:color="auto"/>
            <w:left w:val="none" w:sz="0" w:space="0" w:color="auto"/>
            <w:bottom w:val="none" w:sz="0" w:space="0" w:color="auto"/>
            <w:right w:val="none" w:sz="0" w:space="0" w:color="auto"/>
          </w:divBdr>
        </w:div>
      </w:divsChild>
    </w:div>
    <w:div w:id="1011641253">
      <w:bodyDiv w:val="1"/>
      <w:marLeft w:val="0"/>
      <w:marRight w:val="0"/>
      <w:marTop w:val="0"/>
      <w:marBottom w:val="0"/>
      <w:divBdr>
        <w:top w:val="none" w:sz="0" w:space="0" w:color="auto"/>
        <w:left w:val="none" w:sz="0" w:space="0" w:color="auto"/>
        <w:bottom w:val="none" w:sz="0" w:space="0" w:color="auto"/>
        <w:right w:val="none" w:sz="0" w:space="0" w:color="auto"/>
      </w:divBdr>
      <w:divsChild>
        <w:div w:id="1487477698">
          <w:marLeft w:val="0"/>
          <w:marRight w:val="0"/>
          <w:marTop w:val="0"/>
          <w:marBottom w:val="0"/>
          <w:divBdr>
            <w:top w:val="none" w:sz="0" w:space="0" w:color="auto"/>
            <w:left w:val="none" w:sz="0" w:space="0" w:color="auto"/>
            <w:bottom w:val="none" w:sz="0" w:space="0" w:color="auto"/>
            <w:right w:val="none" w:sz="0" w:space="0" w:color="auto"/>
          </w:divBdr>
        </w:div>
        <w:div w:id="2024166085">
          <w:marLeft w:val="0"/>
          <w:marRight w:val="0"/>
          <w:marTop w:val="0"/>
          <w:marBottom w:val="0"/>
          <w:divBdr>
            <w:top w:val="none" w:sz="0" w:space="0" w:color="auto"/>
            <w:left w:val="none" w:sz="0" w:space="0" w:color="auto"/>
            <w:bottom w:val="none" w:sz="0" w:space="0" w:color="auto"/>
            <w:right w:val="none" w:sz="0" w:space="0" w:color="auto"/>
          </w:divBdr>
        </w:div>
        <w:div w:id="2141418135">
          <w:marLeft w:val="0"/>
          <w:marRight w:val="0"/>
          <w:marTop w:val="0"/>
          <w:marBottom w:val="0"/>
          <w:divBdr>
            <w:top w:val="none" w:sz="0" w:space="0" w:color="auto"/>
            <w:left w:val="none" w:sz="0" w:space="0" w:color="auto"/>
            <w:bottom w:val="none" w:sz="0" w:space="0" w:color="auto"/>
            <w:right w:val="none" w:sz="0" w:space="0" w:color="auto"/>
          </w:divBdr>
        </w:div>
        <w:div w:id="843864047">
          <w:marLeft w:val="0"/>
          <w:marRight w:val="0"/>
          <w:marTop w:val="0"/>
          <w:marBottom w:val="0"/>
          <w:divBdr>
            <w:top w:val="none" w:sz="0" w:space="0" w:color="auto"/>
            <w:left w:val="none" w:sz="0" w:space="0" w:color="auto"/>
            <w:bottom w:val="none" w:sz="0" w:space="0" w:color="auto"/>
            <w:right w:val="none" w:sz="0" w:space="0" w:color="auto"/>
          </w:divBdr>
        </w:div>
        <w:div w:id="520170496">
          <w:marLeft w:val="0"/>
          <w:marRight w:val="0"/>
          <w:marTop w:val="0"/>
          <w:marBottom w:val="0"/>
          <w:divBdr>
            <w:top w:val="none" w:sz="0" w:space="0" w:color="auto"/>
            <w:left w:val="none" w:sz="0" w:space="0" w:color="auto"/>
            <w:bottom w:val="none" w:sz="0" w:space="0" w:color="auto"/>
            <w:right w:val="none" w:sz="0" w:space="0" w:color="auto"/>
          </w:divBdr>
        </w:div>
        <w:div w:id="54549795">
          <w:marLeft w:val="0"/>
          <w:marRight w:val="0"/>
          <w:marTop w:val="0"/>
          <w:marBottom w:val="0"/>
          <w:divBdr>
            <w:top w:val="none" w:sz="0" w:space="0" w:color="auto"/>
            <w:left w:val="none" w:sz="0" w:space="0" w:color="auto"/>
            <w:bottom w:val="none" w:sz="0" w:space="0" w:color="auto"/>
            <w:right w:val="none" w:sz="0" w:space="0" w:color="auto"/>
          </w:divBdr>
        </w:div>
      </w:divsChild>
    </w:div>
    <w:div w:id="1133056852">
      <w:bodyDiv w:val="1"/>
      <w:marLeft w:val="0"/>
      <w:marRight w:val="0"/>
      <w:marTop w:val="0"/>
      <w:marBottom w:val="0"/>
      <w:divBdr>
        <w:top w:val="none" w:sz="0" w:space="0" w:color="auto"/>
        <w:left w:val="none" w:sz="0" w:space="0" w:color="auto"/>
        <w:bottom w:val="none" w:sz="0" w:space="0" w:color="auto"/>
        <w:right w:val="none" w:sz="0" w:space="0" w:color="auto"/>
      </w:divBdr>
      <w:divsChild>
        <w:div w:id="1128861062">
          <w:marLeft w:val="0"/>
          <w:marRight w:val="0"/>
          <w:marTop w:val="0"/>
          <w:marBottom w:val="0"/>
          <w:divBdr>
            <w:top w:val="none" w:sz="0" w:space="0" w:color="auto"/>
            <w:left w:val="none" w:sz="0" w:space="0" w:color="auto"/>
            <w:bottom w:val="none" w:sz="0" w:space="0" w:color="auto"/>
            <w:right w:val="none" w:sz="0" w:space="0" w:color="auto"/>
          </w:divBdr>
        </w:div>
        <w:div w:id="1621834264">
          <w:marLeft w:val="0"/>
          <w:marRight w:val="0"/>
          <w:marTop w:val="0"/>
          <w:marBottom w:val="0"/>
          <w:divBdr>
            <w:top w:val="none" w:sz="0" w:space="0" w:color="auto"/>
            <w:left w:val="none" w:sz="0" w:space="0" w:color="auto"/>
            <w:bottom w:val="none" w:sz="0" w:space="0" w:color="auto"/>
            <w:right w:val="none" w:sz="0" w:space="0" w:color="auto"/>
          </w:divBdr>
        </w:div>
        <w:div w:id="962033930">
          <w:marLeft w:val="0"/>
          <w:marRight w:val="0"/>
          <w:marTop w:val="0"/>
          <w:marBottom w:val="0"/>
          <w:divBdr>
            <w:top w:val="none" w:sz="0" w:space="0" w:color="auto"/>
            <w:left w:val="none" w:sz="0" w:space="0" w:color="auto"/>
            <w:bottom w:val="none" w:sz="0" w:space="0" w:color="auto"/>
            <w:right w:val="none" w:sz="0" w:space="0" w:color="auto"/>
          </w:divBdr>
        </w:div>
        <w:div w:id="306932452">
          <w:marLeft w:val="0"/>
          <w:marRight w:val="0"/>
          <w:marTop w:val="0"/>
          <w:marBottom w:val="0"/>
          <w:divBdr>
            <w:top w:val="none" w:sz="0" w:space="0" w:color="auto"/>
            <w:left w:val="none" w:sz="0" w:space="0" w:color="auto"/>
            <w:bottom w:val="none" w:sz="0" w:space="0" w:color="auto"/>
            <w:right w:val="none" w:sz="0" w:space="0" w:color="auto"/>
          </w:divBdr>
        </w:div>
        <w:div w:id="1696033009">
          <w:marLeft w:val="0"/>
          <w:marRight w:val="0"/>
          <w:marTop w:val="0"/>
          <w:marBottom w:val="0"/>
          <w:divBdr>
            <w:top w:val="none" w:sz="0" w:space="0" w:color="auto"/>
            <w:left w:val="none" w:sz="0" w:space="0" w:color="auto"/>
            <w:bottom w:val="none" w:sz="0" w:space="0" w:color="auto"/>
            <w:right w:val="none" w:sz="0" w:space="0" w:color="auto"/>
          </w:divBdr>
        </w:div>
        <w:div w:id="223637854">
          <w:marLeft w:val="0"/>
          <w:marRight w:val="0"/>
          <w:marTop w:val="0"/>
          <w:marBottom w:val="0"/>
          <w:divBdr>
            <w:top w:val="none" w:sz="0" w:space="0" w:color="auto"/>
            <w:left w:val="none" w:sz="0" w:space="0" w:color="auto"/>
            <w:bottom w:val="none" w:sz="0" w:space="0" w:color="auto"/>
            <w:right w:val="none" w:sz="0" w:space="0" w:color="auto"/>
          </w:divBdr>
        </w:div>
      </w:divsChild>
    </w:div>
    <w:div w:id="1279533280">
      <w:bodyDiv w:val="1"/>
      <w:marLeft w:val="0"/>
      <w:marRight w:val="0"/>
      <w:marTop w:val="0"/>
      <w:marBottom w:val="0"/>
      <w:divBdr>
        <w:top w:val="none" w:sz="0" w:space="0" w:color="auto"/>
        <w:left w:val="none" w:sz="0" w:space="0" w:color="auto"/>
        <w:bottom w:val="none" w:sz="0" w:space="0" w:color="auto"/>
        <w:right w:val="none" w:sz="0" w:space="0" w:color="auto"/>
      </w:divBdr>
      <w:divsChild>
        <w:div w:id="394204216">
          <w:marLeft w:val="0"/>
          <w:marRight w:val="0"/>
          <w:marTop w:val="0"/>
          <w:marBottom w:val="0"/>
          <w:divBdr>
            <w:top w:val="none" w:sz="0" w:space="0" w:color="auto"/>
            <w:left w:val="none" w:sz="0" w:space="0" w:color="auto"/>
            <w:bottom w:val="none" w:sz="0" w:space="0" w:color="auto"/>
            <w:right w:val="none" w:sz="0" w:space="0" w:color="auto"/>
          </w:divBdr>
        </w:div>
        <w:div w:id="855190791">
          <w:marLeft w:val="0"/>
          <w:marRight w:val="0"/>
          <w:marTop w:val="0"/>
          <w:marBottom w:val="0"/>
          <w:divBdr>
            <w:top w:val="none" w:sz="0" w:space="0" w:color="auto"/>
            <w:left w:val="none" w:sz="0" w:space="0" w:color="auto"/>
            <w:bottom w:val="none" w:sz="0" w:space="0" w:color="auto"/>
            <w:right w:val="none" w:sz="0" w:space="0" w:color="auto"/>
          </w:divBdr>
        </w:div>
        <w:div w:id="1925070107">
          <w:marLeft w:val="0"/>
          <w:marRight w:val="0"/>
          <w:marTop w:val="0"/>
          <w:marBottom w:val="0"/>
          <w:divBdr>
            <w:top w:val="none" w:sz="0" w:space="0" w:color="auto"/>
            <w:left w:val="none" w:sz="0" w:space="0" w:color="auto"/>
            <w:bottom w:val="none" w:sz="0" w:space="0" w:color="auto"/>
            <w:right w:val="none" w:sz="0" w:space="0" w:color="auto"/>
          </w:divBdr>
        </w:div>
      </w:divsChild>
    </w:div>
    <w:div w:id="1325546085">
      <w:bodyDiv w:val="1"/>
      <w:marLeft w:val="0"/>
      <w:marRight w:val="0"/>
      <w:marTop w:val="0"/>
      <w:marBottom w:val="0"/>
      <w:divBdr>
        <w:top w:val="none" w:sz="0" w:space="0" w:color="auto"/>
        <w:left w:val="none" w:sz="0" w:space="0" w:color="auto"/>
        <w:bottom w:val="none" w:sz="0" w:space="0" w:color="auto"/>
        <w:right w:val="none" w:sz="0" w:space="0" w:color="auto"/>
      </w:divBdr>
    </w:div>
    <w:div w:id="1656957722">
      <w:bodyDiv w:val="1"/>
      <w:marLeft w:val="0"/>
      <w:marRight w:val="0"/>
      <w:marTop w:val="0"/>
      <w:marBottom w:val="0"/>
      <w:divBdr>
        <w:top w:val="none" w:sz="0" w:space="0" w:color="auto"/>
        <w:left w:val="none" w:sz="0" w:space="0" w:color="auto"/>
        <w:bottom w:val="none" w:sz="0" w:space="0" w:color="auto"/>
        <w:right w:val="none" w:sz="0" w:space="0" w:color="auto"/>
      </w:divBdr>
      <w:divsChild>
        <w:div w:id="1154564315">
          <w:marLeft w:val="0"/>
          <w:marRight w:val="0"/>
          <w:marTop w:val="0"/>
          <w:marBottom w:val="0"/>
          <w:divBdr>
            <w:top w:val="none" w:sz="0" w:space="0" w:color="auto"/>
            <w:left w:val="none" w:sz="0" w:space="0" w:color="auto"/>
            <w:bottom w:val="none" w:sz="0" w:space="0" w:color="auto"/>
            <w:right w:val="none" w:sz="0" w:space="0" w:color="auto"/>
          </w:divBdr>
        </w:div>
        <w:div w:id="822626469">
          <w:marLeft w:val="0"/>
          <w:marRight w:val="0"/>
          <w:marTop w:val="0"/>
          <w:marBottom w:val="0"/>
          <w:divBdr>
            <w:top w:val="none" w:sz="0" w:space="0" w:color="auto"/>
            <w:left w:val="none" w:sz="0" w:space="0" w:color="auto"/>
            <w:bottom w:val="none" w:sz="0" w:space="0" w:color="auto"/>
            <w:right w:val="none" w:sz="0" w:space="0" w:color="auto"/>
          </w:divBdr>
        </w:div>
        <w:div w:id="258803414">
          <w:marLeft w:val="0"/>
          <w:marRight w:val="0"/>
          <w:marTop w:val="0"/>
          <w:marBottom w:val="0"/>
          <w:divBdr>
            <w:top w:val="none" w:sz="0" w:space="0" w:color="auto"/>
            <w:left w:val="none" w:sz="0" w:space="0" w:color="auto"/>
            <w:bottom w:val="none" w:sz="0" w:space="0" w:color="auto"/>
            <w:right w:val="none" w:sz="0" w:space="0" w:color="auto"/>
          </w:divBdr>
        </w:div>
        <w:div w:id="1238706081">
          <w:marLeft w:val="0"/>
          <w:marRight w:val="0"/>
          <w:marTop w:val="0"/>
          <w:marBottom w:val="0"/>
          <w:divBdr>
            <w:top w:val="none" w:sz="0" w:space="0" w:color="auto"/>
            <w:left w:val="none" w:sz="0" w:space="0" w:color="auto"/>
            <w:bottom w:val="none" w:sz="0" w:space="0" w:color="auto"/>
            <w:right w:val="none" w:sz="0" w:space="0" w:color="auto"/>
          </w:divBdr>
        </w:div>
        <w:div w:id="1633907073">
          <w:marLeft w:val="0"/>
          <w:marRight w:val="0"/>
          <w:marTop w:val="0"/>
          <w:marBottom w:val="0"/>
          <w:divBdr>
            <w:top w:val="none" w:sz="0" w:space="0" w:color="auto"/>
            <w:left w:val="none" w:sz="0" w:space="0" w:color="auto"/>
            <w:bottom w:val="none" w:sz="0" w:space="0" w:color="auto"/>
            <w:right w:val="none" w:sz="0" w:space="0" w:color="auto"/>
          </w:divBdr>
        </w:div>
        <w:div w:id="53941205">
          <w:marLeft w:val="0"/>
          <w:marRight w:val="0"/>
          <w:marTop w:val="0"/>
          <w:marBottom w:val="0"/>
          <w:divBdr>
            <w:top w:val="none" w:sz="0" w:space="0" w:color="auto"/>
            <w:left w:val="none" w:sz="0" w:space="0" w:color="auto"/>
            <w:bottom w:val="none" w:sz="0" w:space="0" w:color="auto"/>
            <w:right w:val="none" w:sz="0" w:space="0" w:color="auto"/>
          </w:divBdr>
        </w:div>
      </w:divsChild>
    </w:div>
    <w:div w:id="1940210207">
      <w:bodyDiv w:val="1"/>
      <w:marLeft w:val="0"/>
      <w:marRight w:val="0"/>
      <w:marTop w:val="0"/>
      <w:marBottom w:val="0"/>
      <w:divBdr>
        <w:top w:val="none" w:sz="0" w:space="0" w:color="auto"/>
        <w:left w:val="none" w:sz="0" w:space="0" w:color="auto"/>
        <w:bottom w:val="none" w:sz="0" w:space="0" w:color="auto"/>
        <w:right w:val="none" w:sz="0" w:space="0" w:color="auto"/>
      </w:divBdr>
      <w:divsChild>
        <w:div w:id="1925452587">
          <w:marLeft w:val="0"/>
          <w:marRight w:val="0"/>
          <w:marTop w:val="0"/>
          <w:marBottom w:val="0"/>
          <w:divBdr>
            <w:top w:val="none" w:sz="0" w:space="0" w:color="auto"/>
            <w:left w:val="none" w:sz="0" w:space="0" w:color="auto"/>
            <w:bottom w:val="none" w:sz="0" w:space="0" w:color="auto"/>
            <w:right w:val="none" w:sz="0" w:space="0" w:color="auto"/>
          </w:divBdr>
        </w:div>
        <w:div w:id="17928173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0" ma:contentTypeDescription="Create a new document." ma:contentTypeScope="" ma:versionID="5787c81f38ad9ca613ac7109f56c8e3d">
  <xsd:schema xmlns:xsd="http://www.w3.org/2001/XMLSchema" xmlns:xs="http://www.w3.org/2001/XMLSchema" xmlns:p="http://schemas.microsoft.com/office/2006/metadata/properties" xmlns:ns3="a653a6be-78ee-4b80-ae82-fa43b262699b" targetNamespace="http://schemas.microsoft.com/office/2006/metadata/properties" ma:root="true" ma:fieldsID="8608a76d54831bd9dd341e2053ba72e4" ns3:_="">
    <xsd:import namespace="a653a6be-78ee-4b80-ae82-fa43b262699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6EA3E98F-B27B-4FFD-B8EE-7B10CBD08045}">
  <ds:schemaRefs>
    <ds:schemaRef ds:uri="http://schemas.openxmlformats.org/officeDocument/2006/bibliography"/>
  </ds:schemaRefs>
</ds:datastoreItem>
</file>

<file path=customXml/itemProps2.xml><?xml version="1.0" encoding="utf-8"?>
<ds:datastoreItem xmlns:ds="http://schemas.openxmlformats.org/officeDocument/2006/customXml" ds:itemID="{5ED3A036-2DA6-4466-8E5D-E65760589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D4B077-7AD6-4CE1-A0FF-30092EA5BB69}">
  <ds:schemaRefs>
    <ds:schemaRef ds:uri="http://schemas.microsoft.com/sharepoint/v3/contenttype/forms"/>
  </ds:schemaRefs>
</ds:datastoreItem>
</file>

<file path=customXml/itemProps4.xml><?xml version="1.0" encoding="utf-8"?>
<ds:datastoreItem xmlns:ds="http://schemas.openxmlformats.org/officeDocument/2006/customXml" ds:itemID="{4D33D799-60FD-48F8-8779-F0283221A38D}">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4298</Words>
  <Characters>24503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Bianca-Mihaela Pletea (2323235)</cp:lastModifiedBy>
  <cp:revision>2</cp:revision>
  <dcterms:created xsi:type="dcterms:W3CDTF">2026-07-05T17:09:00Z</dcterms:created>
  <dcterms:modified xsi:type="dcterms:W3CDTF">2026-07-05T17:09:00Z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