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BEA7F0D" w:rsidP="5AFCC540" w:rsidRDefault="7BEA7F0D" w14:paraId="7E9F4336" w14:textId="035D1DE7">
      <w:pPr>
        <w:spacing w:before="0" w:beforeAutospacing="off" w:after="160" w:afterAutospacing="off" w:line="276" w:lineRule="auto"/>
      </w:pPr>
      <w:r w:rsidRPr="5AFCC540" w:rsidR="7BEA7F0D">
        <w:rPr>
          <w:rFonts w:ascii="Calibri" w:hAnsi="Calibri" w:eastAsia="Calibri" w:cs="Calibri"/>
          <w:noProof w:val="0"/>
          <w:sz w:val="24"/>
          <w:szCs w:val="24"/>
          <w:lang w:val="en-GB"/>
        </w:rPr>
        <w:t>Over the years, significant advancements have been observed in the healthcare and social care system in the United Kingdom (UK) and Wales. In Wales specifically, a range of measures, strategies, and laws have been established to promote the overall health and well-being of the populace. However, the aging population has led to a surge in individuals with complex medical conditions, resulting in an increased demand for healthcare and social care services. This has had notable repercussions. Moreover, escalating unhealthy behaviors and reliance on technology have further strained services and heightened users' expectations. The healthcare and social care workforce has recently faced considerable challenges, placing substantial pressure on services and the capacity to provide high-quality care in Wales. This study seeks to evaluate the progress of integration between the health and social care sectors in Wales over time, examining the advancements made, as well as the legislation and measures implemented to enhance the health and well-being of the population. Additionally, the swift transformations in the health and social care sector due to the coronavirus pandemic will be considered to evaluate potential future implications.</w:t>
      </w:r>
    </w:p>
    <w:p w:rsidR="7BEA7F0D" w:rsidP="5AFCC540" w:rsidRDefault="7BEA7F0D" w14:paraId="5117B1D9" w14:textId="64B77443">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During the 19th century, the living conditions in Great Britain underwent significant challenges, unsanitary conditions characterized the towns and villages, as they lacked proper sewage systems and were overcrowded. Consequently, this led to the rapid spread of deadly diseases, which had a detrimental impact on the average life expectancy, reducing it to approximately 40 years. Moreover, medical care and medications were only accessible to the affluent, leaving most of the population without adequate healthcare (English Heritage, 2018). The severity of the situation became evident during the second cholera outbreak in England and Wales in 1848, which claimed numerous lives, in response to this crisis, the UK government passed the Public Health Act of 1848. This legislation aimed to address the dire situation by placing local health boards under the supervision of the General Board of Health. Additionally, it implemented regulations about environmental health, water supply, sewage, and drainage. These measures were administered through a unified local administration, ensuring a coordinated approach to public health (UK Parliament, 2019). </w:t>
      </w:r>
    </w:p>
    <w:p w:rsidR="7BEA7F0D" w:rsidP="5AFCC540" w:rsidRDefault="7BEA7F0D" w14:paraId="0CD9D10F" w14:textId="43A2EB38">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In 1942, healthcare history was significantly influenced by William Beveridge, a liberal politician who impacted the lives of the people of Great Britain. One of his most notable accomplishments was the Beveridge Report, which identified five shortcomings in the existing social assistance system and proposed solutions (UK Parliament, 1942). These solutions included the establishment of a national social insurance system to protect individuals from poverty and social risks such as unemployment, illness, and inadequate pensions. After the report, the British government enacted the Social Insurance Act of 1946, laying the groundwork for a comprehensive and mandatory social insurance system. This system offered benefits for unemployment, illness, pensions, and child allowances, guaranteeing a basic standard of living for all citizens. Additionally, Beveridge advocated for a stronger welfare state that would provide high-quality public services and equal opportunities for all. He emphasized the importance of investing in education, healthcare, and housing, asserting that these were essential for the progress and prosperity of society (Sir William Beveridge Foundation, 2021). </w:t>
      </w:r>
    </w:p>
    <w:p w:rsidR="7BEA7F0D" w:rsidP="5AFCC540" w:rsidRDefault="7BEA7F0D" w14:paraId="628757AE" w14:textId="3D9C57B5">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Years later, in 1948, the establishment of the National Health Service (NHS) marked a pivotal moment in the healthcare system of the United Kingdom. Following the aftermath of the Second World War, the nation was in a reconstruction phase and required a comprehensive healthcare framework to cater to its populace. Historically, the British healthcare system was characterized by fragmentation and inequity, with only the affluent having access to medical services, as highlighted by Barton (2016). Nonetheless, Aneurin Bevan, the Health Minister from Wales during that period, championed the notion of delivering healthcare that was free and equitable to all, irrespective of their social standing or financial situation. He contended that individuals' health and welfare should not be subject to market influences but should be safeguarded by a system that prioritizes the welfare of the people (Enthoven, 2002). Through establishing the NHS, Bevan successfully amalgamated medical services under a unified national body. Bevan's fundamental principles in founding the NHS encompassed the provision of free healthcare, the delivery of care based on necessity, and ensuring that services were accessible to all. Despite the passage of time, these principles have endured, resulting in the success of the NHS and significant progress in healthcare and social services. This progress has been further bolstered by the implementation of additional legislation in Wales, aimed at addressing health disparities (Leister, 2023). </w:t>
      </w:r>
    </w:p>
    <w:p w:rsidR="7BEA7F0D" w:rsidP="5AFCC540" w:rsidRDefault="7BEA7F0D" w14:paraId="2FA07B70" w14:textId="5827570D">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According to Greeangross, Grant, and Collini (1999), the Labour Government in the UK took significant steps between 1944 and 1951 to address social inequalities highlighted in the Beveridge Report. In order to tackle these issues, the government implemented a range of policies. One notable policy was the National Health Service Act of 1948, which aimed to provide universal healthcare access to all citizens. Additionally, the government introduced the Social Security Act of 1946 to combat poverty, the Industrial Injuries Act of 1946 to safeguard workers, and the National Assistance Act of 1948 to offer welfare benefits to those in need. Another important measure was the National Insurance Act of 1948. All of these legislative actions were designed to ensure that healthcare access and provision were based on individual needs, thus promoting equality in society. The funding for the NHS comes primarily from general taxation, such as National Insurance Contributions, as well as government and prescription charges for certain services(The King’s Fund, 2023). </w:t>
      </w:r>
    </w:p>
    <w:p w:rsidR="7BEA7F0D" w:rsidP="5AFCC540" w:rsidRDefault="7BEA7F0D" w14:paraId="29B70B16" w14:textId="0EEBA19D">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 </w:t>
      </w:r>
    </w:p>
    <w:p w:rsidR="7BEA7F0D" w:rsidP="5AFCC540" w:rsidRDefault="7BEA7F0D" w14:paraId="2C6DE6B2" w14:textId="563C5E68">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 </w:t>
      </w:r>
    </w:p>
    <w:p w:rsidR="7BEA7F0D" w:rsidP="5AFCC540" w:rsidRDefault="7BEA7F0D" w14:paraId="5C4ABA53" w14:textId="1D2E1FB9">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 </w:t>
      </w:r>
    </w:p>
    <w:p w:rsidR="7BEA7F0D" w:rsidP="5AFCC540" w:rsidRDefault="7BEA7F0D" w14:paraId="1C280464" w14:textId="1BE5D9AB">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 </w:t>
      </w:r>
    </w:p>
    <w:p w:rsidR="7BEA7F0D" w:rsidP="5AFCC540" w:rsidRDefault="7BEA7F0D" w14:paraId="7413048E" w14:textId="655C38A2">
      <w:pPr>
        <w:spacing w:before="0" w:beforeAutospacing="off" w:after="160" w:afterAutospacing="off" w:line="276" w:lineRule="auto"/>
      </w:pPr>
      <w:r w:rsidRPr="5AFCC540" w:rsidR="7BEA7F0D">
        <w:rPr>
          <w:rFonts w:ascii="Calibri" w:hAnsi="Calibri" w:eastAsia="Calibri" w:cs="Calibri"/>
          <w:noProof w:val="0"/>
          <w:sz w:val="24"/>
          <w:szCs w:val="24"/>
          <w:lang w:val="en-GB"/>
        </w:rPr>
        <w:t xml:space="preserve"> </w:t>
      </w:r>
    </w:p>
    <w:p w:rsidR="7BEA7F0D" w:rsidP="5AFCC540" w:rsidRDefault="7BEA7F0D" w14:paraId="33C22363" w14:textId="5901F6DA">
      <w:pPr>
        <w:spacing w:before="0" w:beforeAutospacing="off" w:after="160" w:afterAutospacing="off" w:line="276" w:lineRule="auto"/>
      </w:pPr>
      <w:r w:rsidRPr="5AFCC540" w:rsidR="7BEA7F0D">
        <w:rPr>
          <w:rFonts w:ascii="Calibri" w:hAnsi="Calibri" w:eastAsia="Calibri" w:cs="Calibri"/>
          <w:noProof w:val="0"/>
          <w:sz w:val="24"/>
          <w:szCs w:val="24"/>
          <w:lang w:val="en-GB"/>
        </w:rPr>
        <w:t>The National Health Service (NHS) is a healthcare system operating in England, Wales, Scotland, and Northern Ireland. Despite sharing the same name, each country has its own organization and management of healthcare services due to health devolution. This decentralization allows the adaptation of the NHS to local needs and priorities. One of the key differences among the four countries is the funding and budget allocation. Each country has its healthcare funding system, which can vary depending on the available resources and priorities set by the local government. For example, recently, Wales has implemented the Health and Care Quality Standards 2023, respecting its obligation to ensure quality.</w:t>
      </w:r>
      <w:r w:rsidRPr="5AFCC540" w:rsidR="7BEA7F0D">
        <w:rPr>
          <w:rFonts w:ascii="Arial" w:hAnsi="Arial" w:eastAsia="Arial" w:cs="Arial"/>
          <w:noProof w:val="0"/>
          <w:color w:val="000000" w:themeColor="text1" w:themeTint="FF" w:themeShade="FF"/>
          <w:sz w:val="27"/>
          <w:szCs w:val="27"/>
          <w:lang w:val="en-GB"/>
        </w:rPr>
        <w:t xml:space="preserve"> </w:t>
      </w:r>
      <w:r w:rsidRPr="5AFCC540" w:rsidR="7BEA7F0D">
        <w:rPr>
          <w:rFonts w:ascii="Calibri" w:hAnsi="Calibri" w:eastAsia="Calibri" w:cs="Calibri"/>
          <w:noProof w:val="0"/>
          <w:sz w:val="24"/>
          <w:szCs w:val="24"/>
          <w:lang w:val="en-GB"/>
        </w:rPr>
        <w:t>By implementing these standards, Wales is demonstrating its commitment to upholding high standards of care and promoting the well-being of its population. This initiative reflects the government's dedication to continuously improving the quality of healthcare services and ensuring that all individuals have access to the best possible care (Anandaciva, 2023). Additionally, prescription charges may vary between countries, with certain medications being free in some parts of the UK but incurring costs in others. Health policy and public health campaigns are also managed at a local level. Each country may have its priorities and strategies regarding public health, depending on the needs and characteristics of the local population. Performance objectives can also vary, with each country having its own targets and performance indicators regarding access to healthcare services and their quality.</w:t>
      </w:r>
    </w:p>
    <w:p w:rsidR="7BEA7F0D" w:rsidP="5AFCC540" w:rsidRDefault="7BEA7F0D" w14:paraId="5CB3CFF9" w14:textId="1FD317A6">
      <w:pPr>
        <w:spacing w:before="0" w:beforeAutospacing="off" w:after="160" w:afterAutospacing="off" w:line="276" w:lineRule="auto"/>
      </w:pPr>
      <w:r w:rsidRPr="5AFCC540" w:rsidR="7BEA7F0D">
        <w:rPr>
          <w:rFonts w:ascii="Calibri" w:hAnsi="Calibri" w:eastAsia="Calibri" w:cs="Calibri"/>
          <w:noProof w:val="0"/>
          <w:sz w:val="24"/>
          <w:szCs w:val="24"/>
          <w:lang w:val="en-GB"/>
        </w:rPr>
        <w:t>For instance, in Wales, the NHS operates as a comprehensive healthcare system that provides support and aid to all individuals, regardless of their financial status, at no cost. Furthermore, the healthcare services in Wales are organized and distributed through a decentralized structure involving seven regional health boards and three NHS trusts. This system ensures effective and efficient allocation of healthcare resources and services across the nation. The regional health boards are responsible for planning, delivering, and monitoring healthcare services in their respective regions, working closely with local authorities and healthcare professionals. The NHS trusts manage specialized healthcare facilities and collaborate with the regional health boards for coordinated healthcare delivery. This decentralized approach allows for local decision-making, tailoring of services, and efficient resource allocation (Welsh Government, 20200. The core value of offering healthcare services free of charge to everyone is deeply embedded in the ethos of NHS Wales. This guarantees everyone equal opportunities to access top-notch healthcare services regardless of socioeconomic status. The dedication to universal healthcare is a key component of the Welsh healthcare system, aiming to foster health equality and minimize health disparities. These services cater to individuals of all ages, from infants to the elderly, and encompass various medical conditions and treatments. By eliminating financial obstacles, NHS Wales ensures that individuals can promptly seek medical help without hindrance. This strategy not only enhances health outcomes but also aids in preventing the advancement of illnesses and alleviates the strain on the healthcare system in the long term (NHS, 2019).</w:t>
      </w:r>
    </w:p>
    <w:p w:rsidR="7BEA7F0D" w:rsidP="5AFCC540" w:rsidRDefault="7BEA7F0D" w14:paraId="58074145" w14:textId="7C734CB6">
      <w:pPr>
        <w:spacing w:before="0" w:beforeAutospacing="off" w:after="160" w:afterAutospacing="off" w:line="276" w:lineRule="auto"/>
      </w:pPr>
      <w:r w:rsidRPr="5AFCC540" w:rsidR="7BEA7F0D">
        <w:rPr>
          <w:rFonts w:ascii="Calibri" w:hAnsi="Calibri" w:eastAsia="Calibri" w:cs="Calibri"/>
          <w:noProof w:val="0"/>
          <w:sz w:val="24"/>
          <w:szCs w:val="24"/>
          <w:lang w:val="en-GB"/>
        </w:rPr>
        <w:t>A significant example of co-productive work is social prescribing, which was introduced and became free in NHS Wales in 2007, leading to significant improvements and progress in the healthcare system.</w:t>
      </w:r>
      <w:r w:rsidRPr="5AFCC540" w:rsidR="7BEA7F0D">
        <w:rPr>
          <w:rFonts w:ascii="Arial" w:hAnsi="Arial" w:eastAsia="Arial" w:cs="Arial"/>
          <w:noProof w:val="0"/>
          <w:color w:val="000000" w:themeColor="text1" w:themeTint="FF" w:themeShade="FF"/>
          <w:sz w:val="27"/>
          <w:szCs w:val="27"/>
          <w:lang w:val="en-GB"/>
        </w:rPr>
        <w:t xml:space="preserve"> </w:t>
      </w:r>
      <w:r w:rsidRPr="5AFCC540" w:rsidR="7BEA7F0D">
        <w:rPr>
          <w:rFonts w:ascii="Calibri" w:hAnsi="Calibri" w:eastAsia="Calibri" w:cs="Calibri"/>
          <w:noProof w:val="0"/>
          <w:sz w:val="24"/>
          <w:szCs w:val="24"/>
          <w:lang w:val="en-GB"/>
        </w:rPr>
        <w:t xml:space="preserve">This healthcare approach entails healthcare professionals recommending non-medical services and community activities to enhance patients' overall well-being. These recommendations may encompass exercise classes, art therapy, gardening, and support groups. Addressing the social determinants of health and offering comprehensive care, social prescribing strives to enhance patients' physical and mental health outcomes(Welsh Government, 2023). The decision to offer free prescriptions was made following data indicating that many patients with serious health conditions were struggling to pay for their medications, leading to higher rates of hospital admissions. This initiative, supported by Health Secretary Vaughan (2017), has been praised for its cost-saving benefits. Furthermore, the provision of emergency services and a wide range of specialized primary, secondary, and tertiary care services has significantly improved both the accessibility of medical treatment and the standard of care provided. </w:t>
      </w:r>
    </w:p>
    <w:p w:rsidR="7BEA7F0D" w:rsidP="5AFCC540" w:rsidRDefault="7BEA7F0D" w14:paraId="35616866" w14:textId="2F4B9E56">
      <w:pPr>
        <w:spacing w:before="0" w:beforeAutospacing="off" w:after="160" w:afterAutospacing="off" w:line="276" w:lineRule="auto"/>
      </w:pPr>
      <w:r w:rsidRPr="5AFCC540" w:rsidR="7BEA7F0D">
        <w:rPr>
          <w:rFonts w:ascii="Calibri" w:hAnsi="Calibri" w:eastAsia="Calibri" w:cs="Calibri"/>
          <w:noProof w:val="0"/>
          <w:sz w:val="24"/>
          <w:szCs w:val="24"/>
          <w:lang w:val="en-GB"/>
        </w:rPr>
        <w:t>The co-productive collaboration, incorporates person-centered theory, has witnessed a significant rise in the number of referrals in Wales. In 2018, the number of referrals stood at approximately 10,000, whereas in 2020 and 2021, it surpassed 25,000, this substantial growth indicates that although the concept could have been implemented earlier in various forms, it has garnered substantial attention and received official recognition during this period (Welsh Government, 2023). This approach has effectively addressed social isolation by connecting patients with local support groups through social prescribing. According to Thomas, Lynch, and Spencer (2021), as individuals establish new relationships and a social support network within their communities, it can improve their well-being and enable patients to develop resilience in the face of challenging personal circumstances that impact their health.</w:t>
      </w:r>
    </w:p>
    <w:p w:rsidR="7BEA7F0D" w:rsidP="5AFCC540" w:rsidRDefault="7BEA7F0D" w14:paraId="7A02873C" w14:textId="204D9C6B">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Ham (2020) explains that at the same time, these positive aspects observed among patients also bring challenges and criticisms, arguing that the NHS is facing issues related to inefficiency, lack of transparency in resource management, and limited access to quality healthcare services for specific categories of patients.  There are also concerns about underfunding the healthcare system and the long-term impact on the quality of medical services provided.</w:t>
      </w:r>
      <w:r w:rsidRPr="5AFCC540" w:rsidR="7BEA7F0D">
        <w:rPr>
          <w:rFonts w:ascii="Arial" w:hAnsi="Arial" w:eastAsia="Arial" w:cs="Arial"/>
          <w:noProof w:val="0"/>
          <w:color w:val="000000" w:themeColor="text1" w:themeTint="FF" w:themeShade="FF"/>
          <w:sz w:val="27"/>
          <w:szCs w:val="27"/>
          <w:lang w:val="en-GB"/>
        </w:rPr>
        <w:t xml:space="preserve"> </w:t>
      </w:r>
      <w:r w:rsidRPr="5AFCC540" w:rsidR="7BEA7F0D">
        <w:rPr>
          <w:rFonts w:ascii="Calibri" w:hAnsi="Calibri" w:eastAsia="Calibri" w:cs="Calibri"/>
          <w:noProof w:val="0"/>
          <w:color w:val="000000" w:themeColor="text1" w:themeTint="FF" w:themeShade="FF"/>
          <w:sz w:val="24"/>
          <w:szCs w:val="24"/>
          <w:lang w:val="en-GB"/>
        </w:rPr>
        <w:t>In the fiscal year 2020-2021, a sum of £8.3 billion was allocated to Wales to enhance different sectors and initiatives that sought to enhance the well-being of Welsh residents and promote economic expansion, the allocation was thoughtfully distributed among key areas such as healthcare, education, infrastructure, social welfare, public safety, and environmental preservation (Gov. Wales, 2022).</w:t>
      </w:r>
    </w:p>
    <w:p w:rsidR="7BEA7F0D" w:rsidP="5AFCC540" w:rsidRDefault="7BEA7F0D" w14:paraId="2737DD72" w14:textId="2E802234">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 </w:t>
      </w:r>
      <w:r w:rsidRPr="5AFCC540" w:rsidR="7BEA7F0D">
        <w:rPr>
          <w:rFonts w:ascii="Calibri" w:hAnsi="Calibri" w:eastAsia="Calibri" w:cs="Calibri"/>
          <w:noProof w:val="0"/>
          <w:color w:val="000000" w:themeColor="text1" w:themeTint="FF" w:themeShade="FF"/>
          <w:sz w:val="24"/>
          <w:szCs w:val="24"/>
          <w:lang w:val="en-GB"/>
        </w:rPr>
        <w:t xml:space="preserve">The National Health Service (NHS) in the United Kingdom has undergone significant changes to adapt to the population's evolving needs. The Bevan Commission, </w:t>
      </w:r>
      <w:r w:rsidRPr="5AFCC540" w:rsidR="7BEA7F0D">
        <w:rPr>
          <w:rFonts w:ascii="Calibri" w:hAnsi="Calibri" w:eastAsia="Calibri" w:cs="Calibri"/>
          <w:noProof w:val="0"/>
          <w:color w:val="000000" w:themeColor="text1" w:themeTint="FF" w:themeShade="FF"/>
          <w:sz w:val="24"/>
          <w:szCs w:val="24"/>
          <w:lang w:val="en-GB"/>
        </w:rPr>
        <w:t>established</w:t>
      </w:r>
      <w:r w:rsidRPr="5AFCC540" w:rsidR="7BEA7F0D">
        <w:rPr>
          <w:rFonts w:ascii="Calibri" w:hAnsi="Calibri" w:eastAsia="Calibri" w:cs="Calibri"/>
          <w:noProof w:val="0"/>
          <w:color w:val="000000" w:themeColor="text1" w:themeTint="FF" w:themeShade="FF"/>
          <w:sz w:val="24"/>
          <w:szCs w:val="24"/>
          <w:lang w:val="en-GB"/>
        </w:rPr>
        <w:t xml:space="preserve"> in 2008 under the leadership of Professor Sri Mansel, has been dedicated to upholding the core principles set forth by Aneurin Bevan to safeguard the NHS in </w:t>
      </w:r>
      <w:r w:rsidRPr="5AFCC540" w:rsidR="7BEA7F0D">
        <w:rPr>
          <w:rFonts w:ascii="Calibri" w:hAnsi="Calibri" w:eastAsia="Calibri" w:cs="Calibri"/>
          <w:noProof w:val="0"/>
          <w:color w:val="000000" w:themeColor="text1" w:themeTint="FF" w:themeShade="FF"/>
          <w:sz w:val="24"/>
          <w:szCs w:val="24"/>
          <w:lang w:val="en-GB"/>
        </w:rPr>
        <w:t>Wales(</w:t>
      </w:r>
      <w:r w:rsidRPr="5AFCC540" w:rsidR="7BEA7F0D">
        <w:rPr>
          <w:rFonts w:ascii="Calibri" w:hAnsi="Calibri" w:eastAsia="Calibri" w:cs="Calibri"/>
          <w:noProof w:val="0"/>
          <w:color w:val="000000" w:themeColor="text1" w:themeTint="FF" w:themeShade="FF"/>
          <w:sz w:val="24"/>
          <w:szCs w:val="24"/>
          <w:lang w:val="en-GB"/>
        </w:rPr>
        <w:t xml:space="preserve">Gov. Wales 2014). Over the past six years, the Commission's contributions have been invaluable to both the Welsh Government and the NHS in Wales. </w:t>
      </w:r>
      <w:r w:rsidRPr="5AFCC540" w:rsidR="7BEA7F0D">
        <w:rPr>
          <w:rFonts w:ascii="Calibri" w:hAnsi="Calibri" w:eastAsia="Calibri" w:cs="Calibri"/>
          <w:noProof w:val="0"/>
          <w:color w:val="000000" w:themeColor="text1" w:themeTint="FF" w:themeShade="FF"/>
          <w:sz w:val="24"/>
          <w:szCs w:val="24"/>
          <w:lang w:val="en-GB"/>
        </w:rPr>
        <w:t>In particular, they</w:t>
      </w:r>
      <w:r w:rsidRPr="5AFCC540" w:rsidR="7BEA7F0D">
        <w:rPr>
          <w:rFonts w:ascii="Calibri" w:hAnsi="Calibri" w:eastAsia="Calibri" w:cs="Calibri"/>
          <w:noProof w:val="0"/>
          <w:color w:val="000000" w:themeColor="text1" w:themeTint="FF" w:themeShade="FF"/>
          <w:sz w:val="24"/>
          <w:szCs w:val="24"/>
          <w:lang w:val="en-GB"/>
        </w:rPr>
        <w:t xml:space="preserve"> have played a crucial role in refining the Commission's guiding principles and, more recently, introducing the concept of prudent care. In response to these evolving requirements, the Bevan Commission in Wales formulated the Simply Prudent Healthcare Policy in 2013 (Aylward et al., 2013). </w:t>
      </w:r>
    </w:p>
    <w:p w:rsidR="7BEA7F0D" w:rsidP="5AFCC540" w:rsidRDefault="7BEA7F0D" w14:paraId="50887858" w14:textId="1AEA596E">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This policy seeks to improve health and social care services integration in a context characterized by escalating expectations and increasing demands for such services. Prudent Healthcare is a cornerstone of the healthcare system in Wales, addressing issues such as rising costs, ineffective management, inadequate funding, and unnecessary expenditures that underscore the repercussions of substandard healthcare provision. The efficient allocation of resources to deliver high-quality medical services necessitates a collaborative approach involving management, clinical decision-makers, and financial departments. This collaborative endeavor aims to empower individuals to take charge of their health and well-being, thereby fostering disease prevention or the delay of illnesses. </w:t>
      </w:r>
      <w:r w:rsidRPr="5AFCC540" w:rsidR="7BEA7F0D">
        <w:rPr>
          <w:rFonts w:ascii="Arial" w:hAnsi="Arial" w:eastAsia="Arial" w:cs="Arial"/>
          <w:noProof w:val="0"/>
          <w:color w:val="000000" w:themeColor="text1" w:themeTint="FF" w:themeShade="FF"/>
          <w:sz w:val="24"/>
          <w:szCs w:val="24"/>
          <w:lang w:val="en-GB"/>
        </w:rPr>
        <w:t>(</w:t>
      </w:r>
      <w:r w:rsidRPr="5AFCC540" w:rsidR="7BEA7F0D">
        <w:rPr>
          <w:rFonts w:ascii="Calibri" w:hAnsi="Calibri" w:eastAsia="Calibri" w:cs="Calibri"/>
          <w:noProof w:val="0"/>
          <w:color w:val="000000" w:themeColor="text1" w:themeTint="FF" w:themeShade="FF"/>
          <w:sz w:val="24"/>
          <w:szCs w:val="24"/>
          <w:lang w:val="en-GB"/>
        </w:rPr>
        <w:t>Faculty of Medical Leadership and Management, 2023).</w:t>
      </w:r>
    </w:p>
    <w:p w:rsidR="7BEA7F0D" w:rsidP="5AFCC540" w:rsidRDefault="7BEA7F0D" w14:paraId="49E4BC32" w14:textId="2DDD6242">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Despite the consensus among doctors </w:t>
      </w:r>
      <w:r w:rsidRPr="5AFCC540" w:rsidR="7BEA7F0D">
        <w:rPr>
          <w:rFonts w:ascii="Calibri" w:hAnsi="Calibri" w:eastAsia="Calibri" w:cs="Calibri"/>
          <w:noProof w:val="0"/>
          <w:color w:val="000000" w:themeColor="text1" w:themeTint="FF" w:themeShade="FF"/>
          <w:sz w:val="24"/>
          <w:szCs w:val="24"/>
          <w:lang w:val="en-GB"/>
        </w:rPr>
        <w:t>regarding</w:t>
      </w:r>
      <w:r w:rsidRPr="5AFCC540" w:rsidR="7BEA7F0D">
        <w:rPr>
          <w:rFonts w:ascii="Calibri" w:hAnsi="Calibri" w:eastAsia="Calibri" w:cs="Calibri"/>
          <w:noProof w:val="0"/>
          <w:color w:val="000000" w:themeColor="text1" w:themeTint="FF" w:themeShade="FF"/>
          <w:sz w:val="24"/>
          <w:szCs w:val="24"/>
          <w:lang w:val="en-GB"/>
        </w:rPr>
        <w:t xml:space="preserve"> the principles of Prudent Medical Care and their desire to implement them, Addis et al. (2019) have found that there are still challenges hindering their consistent application. Among these obstacles is the limited awareness of this initiative among both medical staff and patients, as highlighted in a qualitative report. To tackle this issue effectively, it is imperative for health authorities and professional organizations to play a more active role in promoting the principles of Prudent Medical Care and providing education to all stakeholders involved. Prudent healthcare lies at the core of 'A Healthier Wales,' a strategic plan aimed at enhancing health and care, which was put into action by the Welsh Government in June 2018. The primary </w:t>
      </w:r>
      <w:r w:rsidRPr="5AFCC540" w:rsidR="7BEA7F0D">
        <w:rPr>
          <w:rFonts w:ascii="Calibri" w:hAnsi="Calibri" w:eastAsia="Calibri" w:cs="Calibri"/>
          <w:noProof w:val="0"/>
          <w:color w:val="000000" w:themeColor="text1" w:themeTint="FF" w:themeShade="FF"/>
          <w:sz w:val="24"/>
          <w:szCs w:val="24"/>
          <w:lang w:val="en-GB"/>
        </w:rPr>
        <w:t>objective</w:t>
      </w:r>
      <w:r w:rsidRPr="5AFCC540" w:rsidR="7BEA7F0D">
        <w:rPr>
          <w:rFonts w:ascii="Calibri" w:hAnsi="Calibri" w:eastAsia="Calibri" w:cs="Calibri"/>
          <w:noProof w:val="0"/>
          <w:color w:val="000000" w:themeColor="text1" w:themeTint="FF" w:themeShade="FF"/>
          <w:sz w:val="24"/>
          <w:szCs w:val="24"/>
          <w:lang w:val="en-GB"/>
        </w:rPr>
        <w:t xml:space="preserve"> is to achieve maximized well-being by promoting positive </w:t>
      </w:r>
      <w:r w:rsidRPr="5AFCC540" w:rsidR="7BEA7F0D">
        <w:rPr>
          <w:rFonts w:ascii="Calibri" w:hAnsi="Calibri" w:eastAsia="Calibri" w:cs="Calibri"/>
          <w:noProof w:val="0"/>
          <w:color w:val="000000" w:themeColor="text1" w:themeTint="FF" w:themeShade="FF"/>
          <w:sz w:val="24"/>
          <w:szCs w:val="24"/>
          <w:lang w:val="en-GB"/>
        </w:rPr>
        <w:t>behaviors</w:t>
      </w:r>
      <w:r w:rsidRPr="5AFCC540" w:rsidR="7BEA7F0D">
        <w:rPr>
          <w:rFonts w:ascii="Calibri" w:hAnsi="Calibri" w:eastAsia="Calibri" w:cs="Calibri"/>
          <w:noProof w:val="0"/>
          <w:color w:val="000000" w:themeColor="text1" w:themeTint="FF" w:themeShade="FF"/>
          <w:sz w:val="24"/>
          <w:szCs w:val="24"/>
          <w:lang w:val="en-GB"/>
        </w:rPr>
        <w:t xml:space="preserve"> and fostering a society where both physical and mental well-being are </w:t>
      </w:r>
      <w:r w:rsidRPr="5AFCC540" w:rsidR="7BEA7F0D">
        <w:rPr>
          <w:rFonts w:ascii="Calibri" w:hAnsi="Calibri" w:eastAsia="Calibri" w:cs="Calibri"/>
          <w:noProof w:val="0"/>
          <w:color w:val="000000" w:themeColor="text1" w:themeTint="FF" w:themeShade="FF"/>
          <w:sz w:val="24"/>
          <w:szCs w:val="24"/>
          <w:lang w:val="en-GB"/>
        </w:rPr>
        <w:t>optimized</w:t>
      </w:r>
      <w:r w:rsidRPr="5AFCC540" w:rsidR="7BEA7F0D">
        <w:rPr>
          <w:rFonts w:ascii="Calibri" w:hAnsi="Calibri" w:eastAsia="Calibri" w:cs="Calibri"/>
          <w:noProof w:val="0"/>
          <w:color w:val="000000" w:themeColor="text1" w:themeTint="FF" w:themeShade="FF"/>
          <w:sz w:val="24"/>
          <w:szCs w:val="24"/>
          <w:lang w:val="en-GB"/>
        </w:rPr>
        <w:t xml:space="preserve">. This entails ensuring that individuals </w:t>
      </w:r>
      <w:r w:rsidRPr="5AFCC540" w:rsidR="7BEA7F0D">
        <w:rPr>
          <w:rFonts w:ascii="Calibri" w:hAnsi="Calibri" w:eastAsia="Calibri" w:cs="Calibri"/>
          <w:noProof w:val="0"/>
          <w:color w:val="000000" w:themeColor="text1" w:themeTint="FF" w:themeShade="FF"/>
          <w:sz w:val="24"/>
          <w:szCs w:val="24"/>
          <w:lang w:val="en-GB"/>
        </w:rPr>
        <w:t>comprehend</w:t>
      </w:r>
      <w:r w:rsidRPr="5AFCC540" w:rsidR="7BEA7F0D">
        <w:rPr>
          <w:rFonts w:ascii="Calibri" w:hAnsi="Calibri" w:eastAsia="Calibri" w:cs="Calibri"/>
          <w:noProof w:val="0"/>
          <w:color w:val="000000" w:themeColor="text1" w:themeTint="FF" w:themeShade="FF"/>
          <w:sz w:val="24"/>
          <w:szCs w:val="24"/>
          <w:lang w:val="en-GB"/>
        </w:rPr>
        <w:t xml:space="preserve"> the choices and actions that contribute to their future health (Welsh Government, 2018). Public Health Wales (2024) highlights that despite the ambitious goals set by the Welsh Government through the 'A Healthier Wales' initiative to improve the population's health and well-being, significant obstacles need to be overcome. Achieving the desired results by 2035 will require unwavering commitment, substantial financial resources, and effective collaborations. </w:t>
      </w:r>
    </w:p>
    <w:p w:rsidR="7BEA7F0D" w:rsidP="5AFCC540" w:rsidRDefault="7BEA7F0D" w14:paraId="55841359" w14:textId="453AF3E5">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The "1000 Lives" campaign in Wales, launched in 2008, is a prominent example of a third-sector initiative to enhance the quality and safety of healthcare within NHS Wales. This campaign was designed to minimize avoidable harm and enhance patient care across the healthcare system, with a target of preventing 50,000 instances of harm in Wales (NHS Wales Executive, 2024). By effectively implementing best practices, the campaign reduced mortality rates and enhanced patient satisfaction. By 2010, the campaign had met its </w:t>
      </w:r>
      <w:r w:rsidRPr="5AFCC540" w:rsidR="7BEA7F0D">
        <w:rPr>
          <w:rFonts w:ascii="Calibri" w:hAnsi="Calibri" w:eastAsia="Calibri" w:cs="Calibri"/>
          <w:noProof w:val="0"/>
          <w:color w:val="000000" w:themeColor="text1" w:themeTint="FF" w:themeShade="FF"/>
          <w:sz w:val="24"/>
          <w:szCs w:val="24"/>
          <w:lang w:val="en-GB"/>
        </w:rPr>
        <w:t>objectives</w:t>
      </w:r>
      <w:r w:rsidRPr="5AFCC540" w:rsidR="7BEA7F0D">
        <w:rPr>
          <w:rFonts w:ascii="Calibri" w:hAnsi="Calibri" w:eastAsia="Calibri" w:cs="Calibri"/>
          <w:noProof w:val="0"/>
          <w:color w:val="000000" w:themeColor="text1" w:themeTint="FF" w:themeShade="FF"/>
          <w:sz w:val="24"/>
          <w:szCs w:val="24"/>
          <w:lang w:val="en-GB"/>
        </w:rPr>
        <w:t xml:space="preserve">, </w:t>
      </w:r>
      <w:r w:rsidRPr="5AFCC540" w:rsidR="7BEA7F0D">
        <w:rPr>
          <w:rFonts w:ascii="Calibri" w:hAnsi="Calibri" w:eastAsia="Calibri" w:cs="Calibri"/>
          <w:noProof w:val="0"/>
          <w:color w:val="000000" w:themeColor="text1" w:themeTint="FF" w:themeShade="FF"/>
          <w:sz w:val="24"/>
          <w:szCs w:val="24"/>
          <w:lang w:val="en-GB"/>
        </w:rPr>
        <w:t>demonstrating</w:t>
      </w:r>
      <w:r w:rsidRPr="5AFCC540" w:rsidR="7BEA7F0D">
        <w:rPr>
          <w:rFonts w:ascii="Calibri" w:hAnsi="Calibri" w:eastAsia="Calibri" w:cs="Calibri"/>
          <w:noProof w:val="0"/>
          <w:color w:val="000000" w:themeColor="text1" w:themeTint="FF" w:themeShade="FF"/>
          <w:sz w:val="24"/>
          <w:szCs w:val="24"/>
          <w:lang w:val="en-GB"/>
        </w:rPr>
        <w:t xml:space="preserve"> improved patient safety and care quality. The active involvement of third-sector entities such as charities, community groups, and patient advocacy organizations played a vital role in the campaign's success and over 12 years, the "1000 Lives" campaign has made significant strides in improving health outcomes. In 2013, the campaign rebranded as "1000 Lives Improvement," in November 2019, it was reintroduced as "Improvement Cymru," with a renewed focus on supporting healthcare and social care organizations in Wales. Improvement Cymru continues to </w:t>
      </w:r>
      <w:r w:rsidRPr="5AFCC540" w:rsidR="7BEA7F0D">
        <w:rPr>
          <w:rFonts w:ascii="Calibri" w:hAnsi="Calibri" w:eastAsia="Calibri" w:cs="Calibri"/>
          <w:noProof w:val="0"/>
          <w:color w:val="000000" w:themeColor="text1" w:themeTint="FF" w:themeShade="FF"/>
          <w:sz w:val="24"/>
          <w:szCs w:val="24"/>
          <w:lang w:val="en-GB"/>
        </w:rPr>
        <w:t>operate</w:t>
      </w:r>
      <w:r w:rsidRPr="5AFCC540" w:rsidR="7BEA7F0D">
        <w:rPr>
          <w:rFonts w:ascii="Calibri" w:hAnsi="Calibri" w:eastAsia="Calibri" w:cs="Calibri"/>
          <w:noProof w:val="0"/>
          <w:color w:val="000000" w:themeColor="text1" w:themeTint="FF" w:themeShade="FF"/>
          <w:sz w:val="24"/>
          <w:szCs w:val="24"/>
          <w:lang w:val="en-GB"/>
        </w:rPr>
        <w:t xml:space="preserve"> today, reflecting its ongoing commitment to enhancing healthcare services in Wales (Boulton, 2020).</w:t>
      </w:r>
    </w:p>
    <w:p w:rsidR="7BEA7F0D" w:rsidP="5AFCC540" w:rsidRDefault="7BEA7F0D" w14:paraId="43F25D59" w14:textId="2A5ABB51">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Smeeth et al. (2024) state that Bevan's vision has resulted in notable health, healthcare, and societal transformations from 1948 to 2020, and there has been a remarkable rise in life expectancy for the entire populace.</w:t>
      </w:r>
      <w:r w:rsidRPr="5AFCC540" w:rsidR="7BEA7F0D">
        <w:rPr>
          <w:rFonts w:ascii="Arial" w:hAnsi="Arial" w:eastAsia="Arial" w:cs="Arial"/>
          <w:noProof w:val="0"/>
          <w:color w:val="000000" w:themeColor="text1" w:themeTint="FF" w:themeShade="FF"/>
          <w:sz w:val="27"/>
          <w:szCs w:val="27"/>
          <w:lang w:val="en-GB"/>
        </w:rPr>
        <w:t xml:space="preserve"> </w:t>
      </w:r>
      <w:r w:rsidRPr="5AFCC540" w:rsidR="7BEA7F0D">
        <w:rPr>
          <w:rFonts w:ascii="Calibri" w:hAnsi="Calibri" w:eastAsia="Calibri" w:cs="Calibri"/>
          <w:noProof w:val="0"/>
          <w:color w:val="000000" w:themeColor="text1" w:themeTint="FF" w:themeShade="FF"/>
          <w:sz w:val="24"/>
          <w:szCs w:val="24"/>
          <w:lang w:val="en-GB"/>
        </w:rPr>
        <w:t>According to the Office for National Statistics (ONS, 2023), the number of individuals aged 65 and above in 2011 was 9.2 million. However, by 2021, this figure had risen to 11 million, with 866,444 residing in Wales. Moreover, this figure is anticipated to grow by 5% over the upcoming five years, as forecasted by Reeves, Islam, and Gentry (2024). According to Age UK (2023), the National Health Service (NHS) is facing a significant challenge due to the increasing need for healthcare services. As the population ages, there is a higher prevalence of chronic illnesses and complex health conditions that require long-term care. This increase in demand puts immense pressure on the NHS to provide timely and high-quality patient care.</w:t>
      </w:r>
    </w:p>
    <w:p w:rsidR="7BEA7F0D" w:rsidP="5AFCC540" w:rsidRDefault="7BEA7F0D" w14:paraId="11ACC03E" w14:textId="385C84CB">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Due to technological and medical advancements, the healthcare field has witnessed remarkable improvements in diagnosis, treatment, and patient monitoring. As a result, patients now have higher expectations and seek faster, more efficient, and personalized medical services. Robertson et al. (2017) highlight the NHS's struggle with financial constraints, which have led to a shortage of medical staff and essential equipment, impacting healthcare accessibility. Budget cuts and resource limitations have made it difficult for healthcare organizations to recruit enough personnel, obtain necessary equipment, and maintain optimal care standards. This has affected healthcare quality and added to the stress and exhaustion experienced by professionals. The Kings Fund (2023) mentions that over the period of 2021/2022, the Department for Health and Social Care was granted a significant budget of £190 billion to ensure essential health and care services across the country. This substantial funding addressed various healthcare needs, including improving accessibility to healthcare facilities, enhancing the quality of care, and promoting individual well-being. However, in the following year, 2022/2023, the Department for Health and Social Care faced a budget cut of£ 10 million. This reduction was primarily due to the decrease in additional funding allocated explicitly for the Covid-19 pandemic. As the pandemic showed signs of improvement and the need for emergency funding decreased, the government decided to reallocate resources to other priority areas.</w:t>
      </w:r>
    </w:p>
    <w:p w:rsidR="7BEA7F0D" w:rsidP="5AFCC540" w:rsidRDefault="7BEA7F0D" w14:paraId="513684E7" w14:textId="52175EBF">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Campbell (2023) mentions that this shortage of personnel within the NHS has been a growing concern, leading to increased workloads for existing staff, longer waiting times for patients, and a strain on the overall quality of care provided. The shortage is particularly acute in specific areas such as nursing, general practice, and mental health services. Several factors have contributed to this shortage, including an aging workforce, difficulties in recruiting and retaining staff, and the impact of Brexit on the recruitment of healthcare professionals from other countries. The impact of Brexit on the recruitment of healthcare professionals from overseas has resulted in a significant shortage of healthcare workers in the United Kingdom. Brexit has significantly affected the medical sector, resulting in a shortage of doctors in key specialties such as anesthetists, pediatrics, psychiatry, and cardiology. This has led to a long-term challenge in meeting the increasing demand for healthcare services (Kings Fund, 2021). Before Brexit, the UK relied heavily on hiring healthcare practitioners from EU countries to fill staffing shortages. However, since the UK departed from the EU, stricter immigration policies and barriers have made it more difficult to recruit foreign healthcare professionals, leading to difficulties in attracting skilled individuals from abroad(Bengal and McKee, 2024).</w:t>
      </w:r>
    </w:p>
    <w:p w:rsidR="7BEA7F0D" w:rsidP="5AFCC540" w:rsidRDefault="7BEA7F0D" w14:paraId="00C1D744" w14:textId="39DEB60C">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The government introduced the Health and Care Worker visa on August 4, 2020, as a measure to streamline the hiring of healthcare professionals from different nations for employment in the United Kingdom. This visa category enables doctors, nurses, and other healthcare workers to submit their applications if they have secured a job offer from an authorized sponsor within the UK. Apart from the job offer, applicants must also meet specific English language proficiency requirements and salary thresholds to qualify for this visa(Health and Care Visa Guidance, 2024).</w:t>
      </w:r>
    </w:p>
    <w:p w:rsidR="7BEA7F0D" w:rsidP="5AFCC540" w:rsidRDefault="7BEA7F0D" w14:paraId="5842F835" w14:textId="6A35AE2D">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Additionally, the demanding nature of the work, low pay, and limited career progression opportunities have deterred individuals from pursuing careers within the NHS. Efforts are underway to tackle this issue, including allocating additional funds towards training and education programs and implementing incentives to encourage healthcare professionals to work in underserved areas. New care delivery models are also being explored to alleviate the burden on existing staff, these measures aim to address the challenges faced by the healthcare workforce and ensure quality care, also in response to the mounting pressures on the NHS, the National Workforce Implementation Plan has been introduced. This comprehensive plan seeks to address concerns such as staff shortages and burnout while improving recruitment and retention strategies. To combat burnout, the plan emphasizes prioritizing staff well-being and fostering a positive working environment(Holden, 2023). This includes providing enhanced support systems for healthcare professionals, such as access to mental health services and counseling. </w:t>
      </w:r>
    </w:p>
    <w:p w:rsidR="7BEA7F0D" w:rsidP="5AFCC540" w:rsidRDefault="7BEA7F0D" w14:paraId="689BF014" w14:textId="4D3E28FC">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Notably, in 2023, the 'Once for Wales' pilot campaign achieved significant milestones, including successfully recruiting a substantial number of nurses for the NHS and establishing a more sustainable and efficient staffing structure in Wales. Furthermore, plans are underway to establish an 'All-Wales Collaborative Bank' to effectively address temporary staffing shortages and provide employees with increased flexibility. This initiative aims to reduce reliance on agency employment and ensure a more stable workforce (Welsh Government, 2023).</w:t>
      </w:r>
    </w:p>
    <w:p w:rsidR="7BEA7F0D" w:rsidP="5AFCC540" w:rsidRDefault="7BEA7F0D" w14:paraId="3489BEC2" w14:textId="045D7A98">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Wicks (2022) explains that the onset of the COVID-19 pandemic at the beginning of 2020 posed a new challenge for the healthcare sector, amplifying existing difficulties, while the pandemic mainly had negative impacts, some small positive developments were noted among healthcare workers. These included improved teamwork and job satisfaction from the opportunity to make a difference during a crisis. However, the initial boost in morale and optimism quickly faded after the first wave of COVID-19, as public support decreased and the consequences of the initial wave became apparent.</w:t>
      </w:r>
    </w:p>
    <w:p w:rsidR="7BEA7F0D" w:rsidP="5AFCC540" w:rsidRDefault="7BEA7F0D" w14:paraId="654B31D7" w14:textId="3EBA0608">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Morris (2021) points out that the impact of the COVID-19 pandemic has been profound on both patients and healthcare workers. Healthcare workers have been under immense pressure, enduring long hours in high-stress environments to care for COVID-19 patients, as they navigate the demands of the pandemic, many have experienced burnout and encountered mental health challenges. Furthermore, the risk of exposure to the virus has taken a toll on their well-being, instilling fears not only for their health but also for the health of their loved ones. On the other hand, patients have encountered significant obstacles in receiving the necessary medical care. Hospitals and clinics have been overwhelmed with the influx of COVID-19 cases, resulting in delays for patients seeking treatment. also, many elective procedures have been postponed, causing increased suffering for individuals in need of medical intervention. Moreover, patients with chronic conditions have faced difficulties in managing their health due to limited access to regular healthcare services.</w:t>
      </w:r>
    </w:p>
    <w:p w:rsidR="7BEA7F0D" w:rsidP="5AFCC540" w:rsidRDefault="7BEA7F0D" w14:paraId="21CDE4F6" w14:textId="144104A4">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Scott (2021) reveals that on March 23, 2020, the enforcement of the lockdown was initiated in order to address the rapidly increasing transmission of COVID-19. By limiting social interactions and reducing the opportunities for the virus to spread, the hope was to flatten the curve and prevent a surge in cases that could lead to a high number of hospitalizations and deaths. While the blockade was necessary to protect public health, it also had unintended consequences. The closure of non-essential businesses led to job losses and economic hardship for many individuals and families. Small businesses struggled to stay afloat, and the unemployment rate rose significantly(Song et al., 2021).</w:t>
      </w:r>
    </w:p>
    <w:p w:rsidR="7BEA7F0D" w:rsidP="5AFCC540" w:rsidRDefault="7BEA7F0D" w14:paraId="6A3A924F" w14:textId="5957D828">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 </w:t>
      </w:r>
      <w:r w:rsidRPr="5AFCC540" w:rsidR="7BEA7F0D">
        <w:rPr>
          <w:rFonts w:ascii="Calibri" w:hAnsi="Calibri" w:eastAsia="Calibri" w:cs="Calibri"/>
          <w:noProof w:val="0"/>
          <w:color w:val="000000" w:themeColor="text1" w:themeTint="FF" w:themeShade="FF"/>
          <w:sz w:val="24"/>
          <w:szCs w:val="24"/>
          <w:lang w:val="en-GB"/>
        </w:rPr>
        <w:t xml:space="preserve">The outbreak of the Covid-19 pandemic had a notable impact on the education of children and young adults. With the closure of schools, students were compelled to transition to remote learning, which presented </w:t>
      </w:r>
      <w:r w:rsidRPr="5AFCC540" w:rsidR="7BEA7F0D">
        <w:rPr>
          <w:rFonts w:ascii="Calibri" w:hAnsi="Calibri" w:eastAsia="Calibri" w:cs="Calibri"/>
          <w:noProof w:val="0"/>
          <w:color w:val="000000" w:themeColor="text1" w:themeTint="FF" w:themeShade="FF"/>
          <w:sz w:val="24"/>
          <w:szCs w:val="24"/>
          <w:lang w:val="en-GB"/>
        </w:rPr>
        <w:t>numerous</w:t>
      </w:r>
      <w:r w:rsidRPr="5AFCC540" w:rsidR="7BEA7F0D">
        <w:rPr>
          <w:rFonts w:ascii="Calibri" w:hAnsi="Calibri" w:eastAsia="Calibri" w:cs="Calibri"/>
          <w:noProof w:val="0"/>
          <w:color w:val="000000" w:themeColor="text1" w:themeTint="FF" w:themeShade="FF"/>
          <w:sz w:val="24"/>
          <w:szCs w:val="24"/>
          <w:lang w:val="en-GB"/>
        </w:rPr>
        <w:t xml:space="preserve"> challenges. Particularly, individuals lacking access to technology or stable internet connections faced significant difficulties in adapting to this new mode of education.</w:t>
      </w:r>
      <w:r w:rsidRPr="5AFCC540" w:rsidR="7BEA7F0D">
        <w:rPr>
          <w:rFonts w:ascii="Arial" w:hAnsi="Arial" w:eastAsia="Arial" w:cs="Arial"/>
          <w:noProof w:val="0"/>
          <w:color w:val="000000" w:themeColor="text1" w:themeTint="FF" w:themeShade="FF"/>
          <w:sz w:val="27"/>
          <w:szCs w:val="27"/>
          <w:lang w:val="en-GB"/>
        </w:rPr>
        <w:t xml:space="preserve"> </w:t>
      </w:r>
      <w:r w:rsidRPr="5AFCC540" w:rsidR="7BEA7F0D">
        <w:rPr>
          <w:rFonts w:ascii="Calibri" w:hAnsi="Calibri" w:eastAsia="Calibri" w:cs="Calibri"/>
          <w:noProof w:val="0"/>
          <w:color w:val="000000" w:themeColor="text1" w:themeTint="FF" w:themeShade="FF"/>
          <w:sz w:val="24"/>
          <w:szCs w:val="24"/>
          <w:lang w:val="en-GB"/>
        </w:rPr>
        <w:t xml:space="preserve">Many students relied on schools for meals, healthcare, and emotional </w:t>
      </w:r>
      <w:r w:rsidRPr="5AFCC540" w:rsidR="7BEA7F0D">
        <w:rPr>
          <w:rFonts w:ascii="Calibri" w:hAnsi="Calibri" w:eastAsia="Calibri" w:cs="Calibri"/>
          <w:noProof w:val="0"/>
          <w:color w:val="000000" w:themeColor="text1" w:themeTint="FF" w:themeShade="FF"/>
          <w:sz w:val="24"/>
          <w:szCs w:val="24"/>
          <w:lang w:val="en-GB"/>
        </w:rPr>
        <w:t>support,  with</w:t>
      </w:r>
      <w:r w:rsidRPr="5AFCC540" w:rsidR="7BEA7F0D">
        <w:rPr>
          <w:rFonts w:ascii="Calibri" w:hAnsi="Calibri" w:eastAsia="Calibri" w:cs="Calibri"/>
          <w:noProof w:val="0"/>
          <w:color w:val="000000" w:themeColor="text1" w:themeTint="FF" w:themeShade="FF"/>
          <w:sz w:val="24"/>
          <w:szCs w:val="24"/>
          <w:lang w:val="en-GB"/>
        </w:rPr>
        <w:t xml:space="preserve"> the shift to remote learning, these vital services were no longer readily available, leaving vulnerable students at a greater risk of food insecurity, limited access to healthcare, and emotional distress. </w:t>
      </w:r>
      <w:r w:rsidRPr="5AFCC540" w:rsidR="7BEA7F0D">
        <w:rPr>
          <w:rFonts w:ascii="Calibri" w:hAnsi="Calibri" w:eastAsia="Calibri" w:cs="Calibri"/>
          <w:noProof w:val="0"/>
          <w:color w:val="000000" w:themeColor="text1" w:themeTint="FF" w:themeShade="FF"/>
          <w:sz w:val="24"/>
          <w:szCs w:val="24"/>
          <w:lang w:val="en-GB"/>
        </w:rPr>
        <w:t>In light of</w:t>
      </w:r>
      <w:r w:rsidRPr="5AFCC540" w:rsidR="7BEA7F0D">
        <w:rPr>
          <w:rFonts w:ascii="Calibri" w:hAnsi="Calibri" w:eastAsia="Calibri" w:cs="Calibri"/>
          <w:noProof w:val="0"/>
          <w:color w:val="000000" w:themeColor="text1" w:themeTint="FF" w:themeShade="FF"/>
          <w:sz w:val="24"/>
          <w:szCs w:val="24"/>
          <w:lang w:val="en-GB"/>
        </w:rPr>
        <w:t xml:space="preserve"> these difficulties, educators and policymakers were compelled to promptly develop tactics to alleviate the repercussions of the pandemic on education. Measures were taken to provide students in need with essential devices like laptops or tablets, guaranteeing their active involvement in remote learning. Furthermore, governments and organizations collaborated to enhance internet accessibility in underserved regions, thereby narrowing the digital gap and </w:t>
      </w:r>
      <w:r w:rsidRPr="5AFCC540" w:rsidR="7BEA7F0D">
        <w:rPr>
          <w:rFonts w:ascii="Calibri" w:hAnsi="Calibri" w:eastAsia="Calibri" w:cs="Calibri"/>
          <w:noProof w:val="0"/>
          <w:color w:val="000000" w:themeColor="text1" w:themeTint="FF" w:themeShade="FF"/>
          <w:sz w:val="24"/>
          <w:szCs w:val="24"/>
          <w:lang w:val="en-GB"/>
        </w:rPr>
        <w:t>facilitating</w:t>
      </w:r>
      <w:r w:rsidRPr="5AFCC540" w:rsidR="7BEA7F0D">
        <w:rPr>
          <w:rFonts w:ascii="Calibri" w:hAnsi="Calibri" w:eastAsia="Calibri" w:cs="Calibri"/>
          <w:noProof w:val="0"/>
          <w:color w:val="000000" w:themeColor="text1" w:themeTint="FF" w:themeShade="FF"/>
          <w:sz w:val="24"/>
          <w:szCs w:val="24"/>
          <w:lang w:val="en-GB"/>
        </w:rPr>
        <w:t xml:space="preserve"> greater student participation in online education (Howard, Khan and Lockery, 2021).</w:t>
      </w:r>
    </w:p>
    <w:p w:rsidR="5AFCC540" w:rsidP="5AFCC540" w:rsidRDefault="5AFCC540" w14:paraId="4FEAF146" w14:textId="50EE86B2">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5980DD36" w14:textId="24A15A2F">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3A6FCC53" w14:textId="35BCDA06">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7BEA7F0D" w:rsidP="5AFCC540" w:rsidRDefault="7BEA7F0D" w14:paraId="60E8626C" w14:textId="14D2AE33">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The pandemic also had a major  repercussion on the treatment of mental health issues, with the focus primarily on managing the spread of the virus and the strain on healthcare systems, many individuals with mental health concerns experienced delays or disruptions in accessing necessary care. The closure of mental health facilities, limited availability of in-person therapy sessions, and the shift towards telehealth services created barriers to receiving timely and appropriate treatment.</w:t>
      </w:r>
      <w:r w:rsidRPr="5AFCC540" w:rsidR="7BEA7F0D">
        <w:rPr>
          <w:rFonts w:ascii="Arial" w:hAnsi="Arial" w:eastAsia="Arial" w:cs="Arial"/>
          <w:noProof w:val="0"/>
          <w:color w:val="000000" w:themeColor="text1" w:themeTint="FF" w:themeShade="FF"/>
          <w:sz w:val="27"/>
          <w:szCs w:val="27"/>
          <w:lang w:val="en-GB"/>
        </w:rPr>
        <w:t xml:space="preserve"> </w:t>
      </w:r>
      <w:r w:rsidRPr="5AFCC540" w:rsidR="7BEA7F0D">
        <w:rPr>
          <w:rFonts w:ascii="Calibri" w:hAnsi="Calibri" w:eastAsia="Calibri" w:cs="Calibri"/>
          <w:noProof w:val="0"/>
          <w:color w:val="000000" w:themeColor="text1" w:themeTint="FF" w:themeShade="FF"/>
          <w:sz w:val="24"/>
          <w:szCs w:val="24"/>
          <w:lang w:val="en-GB"/>
        </w:rPr>
        <w:t>The pandemic has further intensified pre-existing mental health conditions and given rise to new ones, resulting in heightened stress, anxiety, and feelings of isolation(Mind Cymru, 2021). Without immediate intervention and adequate support, individuals face a heightened risk of developing severe mental health disorders, worsening symptoms, or engaging in self-harm or suicide(Farooq, et al. ,2021).</w:t>
      </w:r>
    </w:p>
    <w:p w:rsidR="7BEA7F0D" w:rsidP="5AFCC540" w:rsidRDefault="7BEA7F0D" w14:paraId="3C7C14DE" w14:textId="7D5E8D29">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To address the challenges posed by the pandemic, the Government of Wales (2022) has allocated £3.5 million to enhance mental health services provided by health boards. An additional £2.2 million has been designated to bolster emergency intervention capacity in psychiatric hospitals, enabling mental health units to manage increased demands and potential virus outbreaks effectively. The mental health helpline CALL has been upgraded, and personalized online resources have been developed in collaboration with Public Health Wales, which aims to help individuals manage their mental health during periods of isolation. The government has also allocated £1.3 million to support the implementation of Silvercloud, an online cognitive behavioral therapy pilot, MIND Cymru's Active Monitoring, the Young Person's Mental Health Toolkit, and BEAT's Eating Disorders helpline offer accessible support for those in need and should not be seen as a replacement for professional knowledge and skills.</w:t>
      </w:r>
    </w:p>
    <w:p w:rsidR="7BEA7F0D" w:rsidP="5AFCC540" w:rsidRDefault="7BEA7F0D" w14:paraId="6279B935" w14:textId="6BFC4F59">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 </w:t>
      </w:r>
      <w:r w:rsidRPr="5AFCC540" w:rsidR="7BEA7F0D">
        <w:rPr>
          <w:rFonts w:ascii="Calibri" w:hAnsi="Calibri" w:eastAsia="Calibri" w:cs="Calibri"/>
          <w:noProof w:val="0"/>
          <w:color w:val="000000" w:themeColor="text1" w:themeTint="FF" w:themeShade="FF"/>
          <w:sz w:val="24"/>
          <w:szCs w:val="24"/>
          <w:lang w:val="en-GB"/>
        </w:rPr>
        <w:t xml:space="preserve"> The COVID-19 pandemic profoundly affected the general practice sector, </w:t>
      </w:r>
      <w:r w:rsidRPr="5AFCC540" w:rsidR="7BEA7F0D">
        <w:rPr>
          <w:rFonts w:ascii="Calibri" w:hAnsi="Calibri" w:eastAsia="Calibri" w:cs="Calibri"/>
          <w:noProof w:val="0"/>
          <w:color w:val="000000" w:themeColor="text1" w:themeTint="FF" w:themeShade="FF"/>
          <w:sz w:val="24"/>
          <w:szCs w:val="24"/>
          <w:lang w:val="en-GB"/>
        </w:rPr>
        <w:t>necessitating</w:t>
      </w:r>
      <w:r w:rsidRPr="5AFCC540" w:rsidR="7BEA7F0D">
        <w:rPr>
          <w:rFonts w:ascii="Calibri" w:hAnsi="Calibri" w:eastAsia="Calibri" w:cs="Calibri"/>
          <w:noProof w:val="0"/>
          <w:color w:val="000000" w:themeColor="text1" w:themeTint="FF" w:themeShade="FF"/>
          <w:sz w:val="24"/>
          <w:szCs w:val="24"/>
          <w:lang w:val="en-GB"/>
        </w:rPr>
        <w:t xml:space="preserve"> a swift adaptation to new healthcare delivery methods.</w:t>
      </w:r>
    </w:p>
    <w:p w:rsidR="7BEA7F0D" w:rsidP="5AFCC540" w:rsidRDefault="7BEA7F0D" w14:paraId="41C4F762" w14:textId="5995DE4B">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Rimmer (2021) states that general practice clinics have rapidly shifted to telehealth services to continue providing patient care while minimizing the risk of virus transmission. Additionally, virtual consultations allowed patients to receive medical advice, prescriptions, and referrals without needing in-person appointments. Moreover, general practitioners implemented strict infection control protocols within their clinics to ensure the safety of both patients and healthcare professionals. These measures included screening individuals for symptoms of COVID-19, implementing social distancing measures, and enhancing cleaning and disinfection procedures. </w:t>
      </w:r>
    </w:p>
    <w:p w:rsidR="7BEA7F0D" w:rsidP="5AFCC540" w:rsidRDefault="7BEA7F0D" w14:paraId="2AC0BCAD" w14:textId="6AE6F411">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The consequences of the COVID-19 pandemic on healthcare were seen in multiple areas, such as the decline in vaccination rates, specifically for vaccines such as the Measles, Mumps, and Rubella (MMR) vaccine. As the world grappled with the challenges posed by the pandemic, routine immunization programs faced disruptions, leading to a decline in the number of individuals receiving essential vaccines. This rate decline posed a risk to individuals who missed their immunizations and threatened the progress in controlling and eradicating certain diseases (Kerby, 2021).  </w:t>
      </w:r>
    </w:p>
    <w:p w:rsidR="5AFCC540" w:rsidP="5AFCC540" w:rsidRDefault="5AFCC540" w14:paraId="15F4F994" w14:textId="00E9D267">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19F2FF34" w14:textId="11AAA63C">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4D372955" w14:textId="704F1284">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01AEF012" w14:textId="22E168E5">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3E635C9E" w14:textId="30976CD4">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7BEA7F0D" w:rsidP="5AFCC540" w:rsidRDefault="7BEA7F0D" w14:paraId="33EDDBD7" w14:textId="05138302">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Robinson et al. (2020) highlight that the COVID-19 pandemic has substantially influenced the prevalence of obesity, thereby exacerbating an additional challenge faced by the National Health Service. Prior to the pandemic, obesity was already a significant public health concern, with the NHS grappling to provide adequate care and resources to address the growing number of individuals affected by this condition. However, the pandemic has further complicated this issue, one of the main reasons for the increased prevalence of obesity during the pandemic was the lockdown measures and social distancing restrictions have reduced physical activity levels, as individuals have been confined to their homes and discouraged from participating in outdoor activities. This sedentary lifestyle, coupled with increased stress and anxiety, has contributed to weight gain and the development of obesity in many individuals.  With the closure of restaurants, limited access to fresh produce, and increased reliance on processed and convenience foods, many individuals have resorted to unhealthy eating patterns. The closure of gyms and fitness centers has further limited opportunities for individuals to exercise regularly and maintain a healthy weight. The consequences of this increased prevalence of obesity are far-reaching and place an additional burden on the NHS. According to Office for National Statistics(2022), obesity is associated with a higher risk of developing severe complications from COVID-19, including hospitalization and death. </w:t>
      </w:r>
    </w:p>
    <w:p w:rsidR="7BEA7F0D" w:rsidP="5AFCC540" w:rsidRDefault="7BEA7F0D" w14:paraId="08DBC766" w14:textId="44CD866D">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 xml:space="preserve"> </w:t>
      </w:r>
      <w:r w:rsidRPr="5AFCC540" w:rsidR="7BEA7F0D">
        <w:rPr>
          <w:rFonts w:ascii="Calibri" w:hAnsi="Calibri" w:eastAsia="Calibri" w:cs="Calibri"/>
          <w:noProof w:val="0"/>
          <w:color w:val="000000" w:themeColor="text1" w:themeTint="FF" w:themeShade="FF"/>
          <w:sz w:val="24"/>
          <w:szCs w:val="24"/>
          <w:lang w:val="en-GB"/>
        </w:rPr>
        <w:t xml:space="preserve">To tackle the obesity-related challenges, the UK Government introduced a range of new initiatives in July 2020. These initiatives were explicitly aimed at fighting obesity and improving the overall health of the country's population. At the same time, the 'Better Health' campaign was launched to encourage individuals to lose weight and improve their overall state of health. The campaign's primary goal is to reduce calorie intake and promote healthier decision-making by emphasizing the importance of calorie content (NHS, 2020). Several years ago, the British Government introduced a tax on sugary drinks, a measure that </w:t>
      </w:r>
      <w:r w:rsidRPr="5AFCC540" w:rsidR="7BEA7F0D">
        <w:rPr>
          <w:rFonts w:ascii="Calibri" w:hAnsi="Calibri" w:eastAsia="Calibri" w:cs="Calibri"/>
          <w:noProof w:val="0"/>
          <w:color w:val="000000" w:themeColor="text1" w:themeTint="FF" w:themeShade="FF"/>
          <w:sz w:val="24"/>
          <w:szCs w:val="24"/>
          <w:lang w:val="en-GB"/>
        </w:rPr>
        <w:t>numerous</w:t>
      </w:r>
      <w:r w:rsidRPr="5AFCC540" w:rsidR="7BEA7F0D">
        <w:rPr>
          <w:rFonts w:ascii="Calibri" w:hAnsi="Calibri" w:eastAsia="Calibri" w:cs="Calibri"/>
          <w:noProof w:val="0"/>
          <w:color w:val="000000" w:themeColor="text1" w:themeTint="FF" w:themeShade="FF"/>
          <w:sz w:val="24"/>
          <w:szCs w:val="24"/>
          <w:lang w:val="en-GB"/>
        </w:rPr>
        <w:t xml:space="preserve"> other countries have since </w:t>
      </w:r>
      <w:r w:rsidRPr="5AFCC540" w:rsidR="7BEA7F0D">
        <w:rPr>
          <w:rFonts w:ascii="Calibri" w:hAnsi="Calibri" w:eastAsia="Calibri" w:cs="Calibri"/>
          <w:noProof w:val="0"/>
          <w:color w:val="000000" w:themeColor="text1" w:themeTint="FF" w:themeShade="FF"/>
          <w:sz w:val="24"/>
          <w:szCs w:val="24"/>
          <w:lang w:val="en-GB"/>
        </w:rPr>
        <w:t>adopted(</w:t>
      </w:r>
      <w:r w:rsidRPr="5AFCC540" w:rsidR="7BEA7F0D">
        <w:rPr>
          <w:rFonts w:ascii="Calibri" w:hAnsi="Calibri" w:eastAsia="Calibri" w:cs="Calibri"/>
          <w:noProof w:val="0"/>
          <w:color w:val="000000" w:themeColor="text1" w:themeTint="FF" w:themeShade="FF"/>
          <w:sz w:val="24"/>
          <w:szCs w:val="24"/>
          <w:lang w:val="en-GB"/>
        </w:rPr>
        <w:t xml:space="preserve">HM Revenue &amp; costume, 2018). This tactic has been successful, </w:t>
      </w:r>
      <w:r w:rsidRPr="5AFCC540" w:rsidR="7BEA7F0D">
        <w:rPr>
          <w:rFonts w:ascii="Calibri" w:hAnsi="Calibri" w:eastAsia="Calibri" w:cs="Calibri"/>
          <w:noProof w:val="0"/>
          <w:color w:val="000000" w:themeColor="text1" w:themeTint="FF" w:themeShade="FF"/>
          <w:sz w:val="24"/>
          <w:szCs w:val="24"/>
          <w:lang w:val="en-GB"/>
        </w:rPr>
        <w:t>evidenced</w:t>
      </w:r>
      <w:r w:rsidRPr="5AFCC540" w:rsidR="7BEA7F0D">
        <w:rPr>
          <w:rFonts w:ascii="Calibri" w:hAnsi="Calibri" w:eastAsia="Calibri" w:cs="Calibri"/>
          <w:noProof w:val="0"/>
          <w:color w:val="000000" w:themeColor="text1" w:themeTint="FF" w:themeShade="FF"/>
          <w:sz w:val="24"/>
          <w:szCs w:val="24"/>
          <w:lang w:val="en-GB"/>
        </w:rPr>
        <w:t xml:space="preserve"> by a reduction in the average intake of sugary beverages after the tax was implemented. The World Health Organization (WHO, 2024) affirms that tackling obesity is a shared responsibility of society. The key to success lies in creating supportive environments and communities that promote easy, widespread, and affordable access to healthy eating habits and regular physical activity.</w:t>
      </w:r>
    </w:p>
    <w:p w:rsidR="5AFCC540" w:rsidP="5AFCC540" w:rsidRDefault="5AFCC540" w14:paraId="2AEE1AA7" w14:textId="6135F6AE">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60CF3493" w14:textId="49592CCE">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3F0D3427" w14:textId="6AC13E8E">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3770429B" w14:textId="4EA1DF5C">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295EDA58" w14:textId="16B86327">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30F9CF89" w14:textId="0E365836">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5F071FA8" w14:textId="6B15E789">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719DC55A" w14:textId="6E9FE604">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0DB360E9" w14:textId="5C98181B">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51AAF961" w14:textId="20CFC272">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700DAF82" w14:textId="66DED0A0">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45D24E72" w14:textId="1AAAC180">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2CC16876" w14:textId="04D6869E">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7C5E5B09" w14:textId="33CD15A0">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7BEA7F0D" w:rsidP="5AFCC540" w:rsidRDefault="7BEA7F0D" w14:paraId="72690108" w14:textId="236BA523">
      <w:pPr>
        <w:spacing w:before="0" w:beforeAutospacing="off" w:after="160" w:afterAutospacing="off" w:line="276" w:lineRule="auto"/>
      </w:pPr>
      <w:r w:rsidRPr="5AFCC540" w:rsidR="7BEA7F0D">
        <w:rPr>
          <w:rFonts w:ascii="Calibri" w:hAnsi="Calibri" w:eastAsia="Calibri" w:cs="Calibri"/>
          <w:noProof w:val="0"/>
          <w:color w:val="000000" w:themeColor="text1" w:themeTint="FF" w:themeShade="FF"/>
          <w:sz w:val="24"/>
          <w:szCs w:val="24"/>
          <w:lang w:val="en-GB"/>
        </w:rPr>
        <w:t>In conclusion, the living conditions in Great Britain during the 19th century were dire, with low life expectancy due to unsanitary conditions and limited healthcare access. The COVID-19 pandemic has highlighted the need for improved support systems and recruitment strategies in the NHS to address burnout and ensure quality care, exacerbated by the impact of Brexit on the recruitment of healthcare professionals from overseas leading to a shortage of personnel in key specialties.</w:t>
      </w:r>
    </w:p>
    <w:p w:rsidR="5AFCC540" w:rsidP="5AFCC540" w:rsidRDefault="5AFCC540" w14:paraId="1996355F" w14:textId="2D4C44C6">
      <w:pPr>
        <w:spacing w:before="0" w:beforeAutospacing="off" w:after="160" w:afterAutospacing="off" w:line="276" w:lineRule="auto"/>
        <w:rPr>
          <w:rFonts w:ascii="Calibri" w:hAnsi="Calibri" w:eastAsia="Calibri" w:cs="Calibri"/>
          <w:noProof w:val="0"/>
          <w:color w:val="000000" w:themeColor="text1" w:themeTint="FF" w:themeShade="FF"/>
          <w:sz w:val="24"/>
          <w:szCs w:val="24"/>
          <w:lang w:val="en-GB"/>
        </w:rPr>
      </w:pPr>
    </w:p>
    <w:p w:rsidR="5AFCC540" w:rsidP="5AFCC540" w:rsidRDefault="5AFCC540" w14:paraId="6FD0C26F" w14:textId="2A5E7D0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F706D1"/>
    <w:rsid w:val="00D6B55D"/>
    <w:rsid w:val="00F6A182"/>
    <w:rsid w:val="01784D31"/>
    <w:rsid w:val="017AE771"/>
    <w:rsid w:val="0219D7FC"/>
    <w:rsid w:val="027DBB35"/>
    <w:rsid w:val="030F8945"/>
    <w:rsid w:val="036D646A"/>
    <w:rsid w:val="03A97B2C"/>
    <w:rsid w:val="03BCDE58"/>
    <w:rsid w:val="0434BDF7"/>
    <w:rsid w:val="0479780B"/>
    <w:rsid w:val="04827720"/>
    <w:rsid w:val="04B3AD92"/>
    <w:rsid w:val="055178BE"/>
    <w:rsid w:val="0558AEB9"/>
    <w:rsid w:val="058C9E68"/>
    <w:rsid w:val="05BCD4B8"/>
    <w:rsid w:val="05E7356B"/>
    <w:rsid w:val="0652E944"/>
    <w:rsid w:val="066D3D92"/>
    <w:rsid w:val="069BF180"/>
    <w:rsid w:val="06E07B14"/>
    <w:rsid w:val="06F640C6"/>
    <w:rsid w:val="06F7598B"/>
    <w:rsid w:val="07794E50"/>
    <w:rsid w:val="09750F16"/>
    <w:rsid w:val="097B7755"/>
    <w:rsid w:val="098E5CD9"/>
    <w:rsid w:val="0A181BD6"/>
    <w:rsid w:val="0AF49F25"/>
    <w:rsid w:val="0B1F0767"/>
    <w:rsid w:val="0BA8C8A9"/>
    <w:rsid w:val="0BE8D254"/>
    <w:rsid w:val="0C3700B4"/>
    <w:rsid w:val="0C40BA35"/>
    <w:rsid w:val="0C8605B1"/>
    <w:rsid w:val="0C8948A3"/>
    <w:rsid w:val="0C8D8D95"/>
    <w:rsid w:val="0CB3D77B"/>
    <w:rsid w:val="0D2DDB38"/>
    <w:rsid w:val="0E28747D"/>
    <w:rsid w:val="0E747AAE"/>
    <w:rsid w:val="0F456177"/>
    <w:rsid w:val="0FC0E965"/>
    <w:rsid w:val="0FCB2BB7"/>
    <w:rsid w:val="0FCD91F2"/>
    <w:rsid w:val="0FE20DB9"/>
    <w:rsid w:val="1039F528"/>
    <w:rsid w:val="1042FAA6"/>
    <w:rsid w:val="10545049"/>
    <w:rsid w:val="108154E7"/>
    <w:rsid w:val="114859E4"/>
    <w:rsid w:val="118B402E"/>
    <w:rsid w:val="11D7CC9F"/>
    <w:rsid w:val="122FBBEC"/>
    <w:rsid w:val="12CF4973"/>
    <w:rsid w:val="1313DD7A"/>
    <w:rsid w:val="1357DD59"/>
    <w:rsid w:val="13807C44"/>
    <w:rsid w:val="1393B2C3"/>
    <w:rsid w:val="14135E5F"/>
    <w:rsid w:val="1424A47E"/>
    <w:rsid w:val="143F78F3"/>
    <w:rsid w:val="1456DEF0"/>
    <w:rsid w:val="149609A0"/>
    <w:rsid w:val="14965AD6"/>
    <w:rsid w:val="14EF6778"/>
    <w:rsid w:val="14FDF05C"/>
    <w:rsid w:val="15085820"/>
    <w:rsid w:val="155EE5B4"/>
    <w:rsid w:val="15A17795"/>
    <w:rsid w:val="15EBC0C1"/>
    <w:rsid w:val="16EFBB68"/>
    <w:rsid w:val="17DA8F2E"/>
    <w:rsid w:val="18E32572"/>
    <w:rsid w:val="197E6357"/>
    <w:rsid w:val="1982FCDA"/>
    <w:rsid w:val="19DC0D29"/>
    <w:rsid w:val="19FDCF4C"/>
    <w:rsid w:val="1AF86C4D"/>
    <w:rsid w:val="1B0856B8"/>
    <w:rsid w:val="1B210284"/>
    <w:rsid w:val="1B438F3A"/>
    <w:rsid w:val="1CDC7295"/>
    <w:rsid w:val="1D69B837"/>
    <w:rsid w:val="1D7D5FF0"/>
    <w:rsid w:val="1DF4269B"/>
    <w:rsid w:val="1E407AF8"/>
    <w:rsid w:val="1E85C99B"/>
    <w:rsid w:val="1EB0D157"/>
    <w:rsid w:val="1F4190AD"/>
    <w:rsid w:val="1F8D6D9E"/>
    <w:rsid w:val="2003CBBB"/>
    <w:rsid w:val="2022D7D2"/>
    <w:rsid w:val="2072CC4A"/>
    <w:rsid w:val="20736A70"/>
    <w:rsid w:val="207F0FEC"/>
    <w:rsid w:val="209C2706"/>
    <w:rsid w:val="20BD4F7C"/>
    <w:rsid w:val="20F0D2B3"/>
    <w:rsid w:val="215F9437"/>
    <w:rsid w:val="21D20587"/>
    <w:rsid w:val="2237F767"/>
    <w:rsid w:val="22397030"/>
    <w:rsid w:val="22FB6498"/>
    <w:rsid w:val="239CEBBC"/>
    <w:rsid w:val="23C2C088"/>
    <w:rsid w:val="23E60595"/>
    <w:rsid w:val="24D81282"/>
    <w:rsid w:val="24ECFB41"/>
    <w:rsid w:val="256F9829"/>
    <w:rsid w:val="25B22D77"/>
    <w:rsid w:val="25C6D0A6"/>
    <w:rsid w:val="2633055A"/>
    <w:rsid w:val="2720E949"/>
    <w:rsid w:val="2762A107"/>
    <w:rsid w:val="27A448DA"/>
    <w:rsid w:val="27D55529"/>
    <w:rsid w:val="281D0161"/>
    <w:rsid w:val="286F6C81"/>
    <w:rsid w:val="28821BB1"/>
    <w:rsid w:val="28A1C440"/>
    <w:rsid w:val="2930C1B9"/>
    <w:rsid w:val="29FF1750"/>
    <w:rsid w:val="2A1AA02E"/>
    <w:rsid w:val="2A934CA1"/>
    <w:rsid w:val="2B748831"/>
    <w:rsid w:val="2BA13ABE"/>
    <w:rsid w:val="2C255B14"/>
    <w:rsid w:val="2CA8C64C"/>
    <w:rsid w:val="2D49A8A8"/>
    <w:rsid w:val="2D902ACD"/>
    <w:rsid w:val="2D9B8C25"/>
    <w:rsid w:val="2DC9CF88"/>
    <w:rsid w:val="2DCAED63"/>
    <w:rsid w:val="2E194EC4"/>
    <w:rsid w:val="2E1A0FC3"/>
    <w:rsid w:val="2E4713A5"/>
    <w:rsid w:val="2E6B5A53"/>
    <w:rsid w:val="300016A4"/>
    <w:rsid w:val="3186211B"/>
    <w:rsid w:val="324B316C"/>
    <w:rsid w:val="3341E737"/>
    <w:rsid w:val="33A5EA04"/>
    <w:rsid w:val="35B3BBB0"/>
    <w:rsid w:val="364021D2"/>
    <w:rsid w:val="364B37A6"/>
    <w:rsid w:val="3665F29F"/>
    <w:rsid w:val="379FE067"/>
    <w:rsid w:val="37B2EF58"/>
    <w:rsid w:val="37C58AF5"/>
    <w:rsid w:val="37E02D51"/>
    <w:rsid w:val="37F1724E"/>
    <w:rsid w:val="380C5EFA"/>
    <w:rsid w:val="391C82B8"/>
    <w:rsid w:val="392DFBBE"/>
    <w:rsid w:val="3971D049"/>
    <w:rsid w:val="3A7332DC"/>
    <w:rsid w:val="3A8E5FDC"/>
    <w:rsid w:val="3AEA901A"/>
    <w:rsid w:val="3C65F68F"/>
    <w:rsid w:val="3C7C5C7C"/>
    <w:rsid w:val="3C95F4FA"/>
    <w:rsid w:val="3CD110D6"/>
    <w:rsid w:val="3CD2D73E"/>
    <w:rsid w:val="3E182CDD"/>
    <w:rsid w:val="3E6BCDE4"/>
    <w:rsid w:val="3ED3956F"/>
    <w:rsid w:val="3EE0047F"/>
    <w:rsid w:val="3F713705"/>
    <w:rsid w:val="402D3C64"/>
    <w:rsid w:val="40435D77"/>
    <w:rsid w:val="40B15922"/>
    <w:rsid w:val="40E78BF7"/>
    <w:rsid w:val="414D66FD"/>
    <w:rsid w:val="41E49156"/>
    <w:rsid w:val="42360CC1"/>
    <w:rsid w:val="42393B37"/>
    <w:rsid w:val="42D5F114"/>
    <w:rsid w:val="4379CECE"/>
    <w:rsid w:val="4461B9E9"/>
    <w:rsid w:val="44C9960E"/>
    <w:rsid w:val="44D26448"/>
    <w:rsid w:val="45DC1215"/>
    <w:rsid w:val="46696E19"/>
    <w:rsid w:val="469116D0"/>
    <w:rsid w:val="46A9B23B"/>
    <w:rsid w:val="46B2C97B"/>
    <w:rsid w:val="46C6E1F0"/>
    <w:rsid w:val="47133557"/>
    <w:rsid w:val="47D20F50"/>
    <w:rsid w:val="483F11A4"/>
    <w:rsid w:val="48570E22"/>
    <w:rsid w:val="48EA611E"/>
    <w:rsid w:val="48F63B97"/>
    <w:rsid w:val="49B6089B"/>
    <w:rsid w:val="4A5DC5E2"/>
    <w:rsid w:val="4A7396C8"/>
    <w:rsid w:val="4A9ECB5A"/>
    <w:rsid w:val="4AD6F870"/>
    <w:rsid w:val="4BF58667"/>
    <w:rsid w:val="4BF6F788"/>
    <w:rsid w:val="4C15462D"/>
    <w:rsid w:val="4CB1792E"/>
    <w:rsid w:val="4CC6700D"/>
    <w:rsid w:val="4CEDA95D"/>
    <w:rsid w:val="4CF34573"/>
    <w:rsid w:val="4D4CDBB7"/>
    <w:rsid w:val="4DB1168E"/>
    <w:rsid w:val="4DB2A92C"/>
    <w:rsid w:val="4EE02C6D"/>
    <w:rsid w:val="4EEEFA74"/>
    <w:rsid w:val="4F0EABB6"/>
    <w:rsid w:val="4F5AB6B4"/>
    <w:rsid w:val="4F838F4B"/>
    <w:rsid w:val="508ACAD5"/>
    <w:rsid w:val="5119831B"/>
    <w:rsid w:val="514A611A"/>
    <w:rsid w:val="5213C155"/>
    <w:rsid w:val="521F61A4"/>
    <w:rsid w:val="528487B1"/>
    <w:rsid w:val="52D6D29A"/>
    <w:rsid w:val="5339BEA4"/>
    <w:rsid w:val="5379FCF4"/>
    <w:rsid w:val="5395D2D5"/>
    <w:rsid w:val="53C495AD"/>
    <w:rsid w:val="540884EA"/>
    <w:rsid w:val="540E2EB7"/>
    <w:rsid w:val="541AA035"/>
    <w:rsid w:val="544BCA93"/>
    <w:rsid w:val="54B25BD4"/>
    <w:rsid w:val="55A4F86D"/>
    <w:rsid w:val="55B1F9BE"/>
    <w:rsid w:val="55D18F70"/>
    <w:rsid w:val="55DB936F"/>
    <w:rsid w:val="55F7694F"/>
    <w:rsid w:val="56B2CEC2"/>
    <w:rsid w:val="58748A82"/>
    <w:rsid w:val="588147E4"/>
    <w:rsid w:val="58AFDE3D"/>
    <w:rsid w:val="5960F4DF"/>
    <w:rsid w:val="5A040427"/>
    <w:rsid w:val="5A1C6FBA"/>
    <w:rsid w:val="5A7B04C0"/>
    <w:rsid w:val="5AFCC540"/>
    <w:rsid w:val="5B0164D5"/>
    <w:rsid w:val="5C637512"/>
    <w:rsid w:val="5CDB0F1B"/>
    <w:rsid w:val="5D1AAE31"/>
    <w:rsid w:val="5D34E93A"/>
    <w:rsid w:val="5EB9DAE4"/>
    <w:rsid w:val="5F09AE47"/>
    <w:rsid w:val="5F1674A1"/>
    <w:rsid w:val="5F27E901"/>
    <w:rsid w:val="5F46BB99"/>
    <w:rsid w:val="5F775120"/>
    <w:rsid w:val="6045B02E"/>
    <w:rsid w:val="61560740"/>
    <w:rsid w:val="62078DA5"/>
    <w:rsid w:val="62332055"/>
    <w:rsid w:val="625D59C9"/>
    <w:rsid w:val="62803145"/>
    <w:rsid w:val="629027C4"/>
    <w:rsid w:val="62C6A37C"/>
    <w:rsid w:val="62C7EE8F"/>
    <w:rsid w:val="640998ED"/>
    <w:rsid w:val="6457AE97"/>
    <w:rsid w:val="6577E504"/>
    <w:rsid w:val="67B01E4E"/>
    <w:rsid w:val="67DE8FB5"/>
    <w:rsid w:val="68BE4BA8"/>
    <w:rsid w:val="68E77751"/>
    <w:rsid w:val="69582DEF"/>
    <w:rsid w:val="6A1C0CEB"/>
    <w:rsid w:val="6B466043"/>
    <w:rsid w:val="6CB60005"/>
    <w:rsid w:val="6D151238"/>
    <w:rsid w:val="6D6A53FD"/>
    <w:rsid w:val="6D76D5BA"/>
    <w:rsid w:val="6F77338B"/>
    <w:rsid w:val="6FA238CF"/>
    <w:rsid w:val="703BF5F1"/>
    <w:rsid w:val="707BFF4A"/>
    <w:rsid w:val="708C2BE6"/>
    <w:rsid w:val="708DFAA1"/>
    <w:rsid w:val="70AEA403"/>
    <w:rsid w:val="7287C146"/>
    <w:rsid w:val="738AC901"/>
    <w:rsid w:val="742149F2"/>
    <w:rsid w:val="7441DEA9"/>
    <w:rsid w:val="74948E03"/>
    <w:rsid w:val="74B3CEB0"/>
    <w:rsid w:val="751DC7D6"/>
    <w:rsid w:val="75297C2E"/>
    <w:rsid w:val="7530AA53"/>
    <w:rsid w:val="754B8B9B"/>
    <w:rsid w:val="75E6750F"/>
    <w:rsid w:val="766AB767"/>
    <w:rsid w:val="76B94023"/>
    <w:rsid w:val="776173BC"/>
    <w:rsid w:val="7771979D"/>
    <w:rsid w:val="7867294C"/>
    <w:rsid w:val="7999F58D"/>
    <w:rsid w:val="79D2D6E8"/>
    <w:rsid w:val="79D76A18"/>
    <w:rsid w:val="79D9F862"/>
    <w:rsid w:val="79FCB9E1"/>
    <w:rsid w:val="7A43C525"/>
    <w:rsid w:val="7A664FB5"/>
    <w:rsid w:val="7B15B434"/>
    <w:rsid w:val="7B83D2D1"/>
    <w:rsid w:val="7B901292"/>
    <w:rsid w:val="7BEA7F0D"/>
    <w:rsid w:val="7C7A1758"/>
    <w:rsid w:val="7C96C558"/>
    <w:rsid w:val="7C9FC6D0"/>
    <w:rsid w:val="7CCEEC7C"/>
    <w:rsid w:val="7D1FA332"/>
    <w:rsid w:val="7D9EA984"/>
    <w:rsid w:val="7DA2B43F"/>
    <w:rsid w:val="7DD63361"/>
    <w:rsid w:val="7E46482F"/>
    <w:rsid w:val="7EE1AE74"/>
    <w:rsid w:val="7EF706D1"/>
    <w:rsid w:val="7F49F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706D1"/>
  <w15:chartTrackingRefBased/>
  <w15:docId w15:val="{C87F74E1-788E-4943-8573-185AAF9272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bae1621fe4046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Cristina-Madalina Sandu (2018643)</dc:creator>
  <keywords/>
  <dc:description/>
  <lastModifiedBy>Cristina-Madalina Sandu (2018643)</lastModifiedBy>
  <revision>9</revision>
  <dcterms:created xsi:type="dcterms:W3CDTF">2024-03-17T18:01:16.7554133Z</dcterms:created>
  <dcterms:modified xsi:type="dcterms:W3CDTF">2024-04-29T23:17:58.4556415Z</dcterms:modified>
</coreProperties>
</file>