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A71E8B">
      <w:pPr>
        <w:ind w:left="426"/>
        <w:rPr>
          <w:rFonts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A71E8B">
      <w:pPr>
        <w:ind w:left="426"/>
        <w:rPr>
          <w:rFonts w:cs="Arial"/>
          <w:szCs w:val="24"/>
        </w:rPr>
      </w:pPr>
    </w:p>
    <w:p w14:paraId="41A133E3" w14:textId="77777777" w:rsidR="00ED1049" w:rsidRPr="00074402" w:rsidRDefault="00ED1049" w:rsidP="00A71E8B">
      <w:pPr>
        <w:ind w:left="426"/>
        <w:rPr>
          <w:rFonts w:cs="Arial"/>
          <w:szCs w:val="24"/>
        </w:rPr>
      </w:pPr>
    </w:p>
    <w:p w14:paraId="605068F9" w14:textId="77777777" w:rsidR="00ED1049" w:rsidRPr="00074402" w:rsidRDefault="00ED1049" w:rsidP="00A71E8B">
      <w:pPr>
        <w:ind w:left="426"/>
        <w:rPr>
          <w:rFonts w:cs="Arial"/>
          <w:szCs w:val="24"/>
        </w:rPr>
      </w:pPr>
    </w:p>
    <w:p w14:paraId="543861DF" w14:textId="77777777" w:rsidR="00ED1049" w:rsidRPr="00ED1049" w:rsidRDefault="00ED1049" w:rsidP="00A71E8B">
      <w:pPr>
        <w:rPr>
          <w:rFonts w:cs="Arial"/>
        </w:rPr>
      </w:pPr>
    </w:p>
    <w:p w14:paraId="1B9C9B98" w14:textId="77777777" w:rsidR="00C31D85" w:rsidRDefault="00C31D85" w:rsidP="00A71E8B">
      <w:pPr>
        <w:jc w:val="center"/>
        <w:rPr>
          <w:rFonts w:ascii="Aptos" w:hAnsi="Aptos"/>
          <w:b/>
          <w:bCs/>
          <w:sz w:val="36"/>
          <w:szCs w:val="36"/>
        </w:rPr>
      </w:pPr>
    </w:p>
    <w:p w14:paraId="216E92B4" w14:textId="77777777" w:rsidR="00C31D85" w:rsidRDefault="00C31D85" w:rsidP="00A71E8B">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A71E8B">
      <w:pPr>
        <w:jc w:val="center"/>
        <w:rPr>
          <w:rFonts w:ascii="Aptos" w:hAnsi="Aptos"/>
          <w:b/>
          <w:bCs/>
          <w:sz w:val="36"/>
          <w:szCs w:val="36"/>
        </w:rPr>
      </w:pPr>
    </w:p>
    <w:p w14:paraId="630B5F3A" w14:textId="77777777" w:rsidR="00C31D85" w:rsidRDefault="00C31D85" w:rsidP="00A71E8B">
      <w:pPr>
        <w:jc w:val="center"/>
        <w:rPr>
          <w:rFonts w:ascii="Aptos" w:hAnsi="Aptos"/>
          <w:b/>
          <w:bCs/>
          <w:sz w:val="36"/>
          <w:szCs w:val="36"/>
        </w:rPr>
      </w:pPr>
    </w:p>
    <w:p w14:paraId="3260C959" w14:textId="77777777" w:rsidR="00C31D85" w:rsidRDefault="00C31D85" w:rsidP="00A71E8B">
      <w:pPr>
        <w:jc w:val="center"/>
        <w:rPr>
          <w:rFonts w:ascii="Aptos" w:hAnsi="Aptos"/>
          <w:b/>
          <w:bCs/>
          <w:sz w:val="36"/>
          <w:szCs w:val="36"/>
        </w:rPr>
      </w:pPr>
    </w:p>
    <w:p w14:paraId="461920A4" w14:textId="7E357B10" w:rsidR="00C31D85" w:rsidRPr="00C31D85" w:rsidRDefault="00C31D85" w:rsidP="00A71E8B">
      <w:pPr>
        <w:tabs>
          <w:tab w:val="left" w:pos="6540"/>
        </w:tabs>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8975A3">
        <w:rPr>
          <w:rFonts w:ascii="Aptos" w:hAnsi="Aptos" w:cs="Arial"/>
          <w:sz w:val="28"/>
          <w:szCs w:val="28"/>
          <w:lang w:val="nl-NL"/>
        </w:rPr>
        <w:t xml:space="preserve"> Shafeena Hussain</w:t>
      </w:r>
      <w:r w:rsidR="00DC605C">
        <w:rPr>
          <w:rFonts w:ascii="Aptos" w:hAnsi="Aptos" w:cs="Arial"/>
          <w:sz w:val="28"/>
          <w:szCs w:val="28"/>
          <w:lang w:val="nl-NL"/>
        </w:rPr>
        <w:t xml:space="preserve"> Mushtaq</w:t>
      </w:r>
    </w:p>
    <w:p w14:paraId="4D060E17" w14:textId="6FD1CAF3" w:rsidR="00C31D85" w:rsidRPr="00C31D85" w:rsidRDefault="00C31D85" w:rsidP="00A71E8B">
      <w:pPr>
        <w:tabs>
          <w:tab w:val="left" w:pos="6540"/>
        </w:tabs>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8975A3">
        <w:rPr>
          <w:rFonts w:ascii="Aptos" w:hAnsi="Aptos" w:cs="Arial"/>
          <w:sz w:val="28"/>
          <w:szCs w:val="28"/>
          <w:lang w:val="nl-NL"/>
        </w:rPr>
        <w:t xml:space="preserve"> 2314453</w:t>
      </w:r>
    </w:p>
    <w:p w14:paraId="7C577260" w14:textId="7BFB2458" w:rsidR="00C31D85" w:rsidRPr="00C31D85" w:rsidRDefault="00C31D85" w:rsidP="00A71E8B">
      <w:pPr>
        <w:tabs>
          <w:tab w:val="left" w:pos="6540"/>
        </w:tabs>
        <w:ind w:left="426"/>
        <w:rPr>
          <w:rFonts w:ascii="Aptos" w:hAnsi="Aptos" w:cs="Arial"/>
          <w:sz w:val="28"/>
          <w:szCs w:val="28"/>
          <w:lang w:val="nl-NL"/>
        </w:rPr>
      </w:pPr>
    </w:p>
    <w:p w14:paraId="41CBCDE7" w14:textId="2BD17B0E" w:rsidR="00C31D85" w:rsidRPr="00C31D85" w:rsidRDefault="00C31D85" w:rsidP="00A71E8B">
      <w:pPr>
        <w:tabs>
          <w:tab w:val="left" w:pos="6540"/>
        </w:tabs>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8975A3">
        <w:rPr>
          <w:rFonts w:ascii="Aptos" w:hAnsi="Aptos" w:cs="Arial"/>
          <w:sz w:val="28"/>
          <w:szCs w:val="28"/>
          <w:lang w:val="nl-NL"/>
        </w:rPr>
        <w:t>Independent Project</w:t>
      </w:r>
    </w:p>
    <w:p w14:paraId="42A6E8AA" w14:textId="336BD286" w:rsidR="00C31D85" w:rsidRPr="00C31D85" w:rsidRDefault="00C31D85" w:rsidP="00A71E8B">
      <w:pPr>
        <w:tabs>
          <w:tab w:val="left" w:pos="6540"/>
        </w:tabs>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8975A3">
        <w:rPr>
          <w:rFonts w:ascii="Aptos" w:hAnsi="Aptos" w:cs="Arial"/>
          <w:sz w:val="28"/>
          <w:szCs w:val="28"/>
        </w:rPr>
        <w:t xml:space="preserve"> (BMHP6020)</w:t>
      </w:r>
    </w:p>
    <w:p w14:paraId="785F8E58" w14:textId="77777777" w:rsidR="00C31D85" w:rsidRDefault="00CC0A8F" w:rsidP="00A71E8B">
      <w:pPr>
        <w:jc w:val="center"/>
        <w:rPr>
          <w:rFonts w:ascii="Aptos" w:hAnsi="Aptos"/>
          <w:b/>
          <w:bCs/>
        </w:rPr>
      </w:pPr>
      <w:r w:rsidRPr="00C31D85">
        <w:rPr>
          <w:rFonts w:ascii="Aptos" w:hAnsi="Aptos"/>
          <w:b/>
          <w:bCs/>
        </w:rPr>
        <w:br w:type="page"/>
      </w:r>
    </w:p>
    <w:p w14:paraId="41A4DC93" w14:textId="46512763" w:rsidR="00850220" w:rsidRPr="00850220" w:rsidRDefault="00850220" w:rsidP="00850220">
      <w:pPr>
        <w:rPr>
          <w:rFonts w:ascii="Aptos" w:hAnsi="Aptos"/>
        </w:rPr>
        <w:sectPr w:rsidR="00850220" w:rsidRPr="00850220" w:rsidSect="00C31D85">
          <w:headerReference w:type="default" r:id="rId12"/>
          <w:headerReference w:type="first" r:id="rId13"/>
          <w:pgSz w:w="12240" w:h="15840" w:code="1"/>
          <w:pgMar w:top="720" w:right="576" w:bottom="720" w:left="720" w:header="432" w:footer="288" w:gutter="0"/>
          <w:cols w:space="720"/>
          <w:titlePg/>
          <w:docGrid w:linePitch="360"/>
        </w:sectPr>
      </w:pP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080E7EB0" w14:textId="2E936BA6" w:rsidR="00802FF1" w:rsidRPr="001F45CA" w:rsidRDefault="001F45CA" w:rsidP="001F45CA">
            <w:pPr>
              <w:jc w:val="center"/>
              <w:rPr>
                <w:rFonts w:cs="Arial"/>
                <w:b/>
                <w:bCs/>
                <w:sz w:val="36"/>
                <w:szCs w:val="36"/>
              </w:rPr>
            </w:pPr>
            <w:r w:rsidRPr="001F45CA">
              <w:rPr>
                <w:rFonts w:cs="Arial"/>
                <w:b/>
                <w:bCs/>
                <w:sz w:val="36"/>
                <w:szCs w:val="36"/>
              </w:rPr>
              <w:lastRenderedPageBreak/>
              <w:t>Exploring Healthcare Access and Inequalities Among Older Adults (Aged 72–80) in</w:t>
            </w:r>
            <w:r>
              <w:rPr>
                <w:rFonts w:cs="Arial"/>
                <w:b/>
                <w:bCs/>
                <w:sz w:val="36"/>
                <w:szCs w:val="36"/>
              </w:rPr>
              <w:t xml:space="preserve"> </w:t>
            </w:r>
            <w:r w:rsidRPr="001F45CA">
              <w:rPr>
                <w:rFonts w:cs="Arial"/>
                <w:b/>
                <w:bCs/>
                <w:sz w:val="36"/>
                <w:szCs w:val="36"/>
              </w:rPr>
              <w:t>the UK.</w:t>
            </w:r>
          </w:p>
        </w:tc>
      </w:tr>
      <w:tr w:rsidR="00C31D85" w:rsidRPr="00C31D85" w14:paraId="51100EC3" w14:textId="77777777" w:rsidTr="00063B85">
        <w:trPr>
          <w:trHeight w:val="1856"/>
        </w:trPr>
        <w:tc>
          <w:tcPr>
            <w:tcW w:w="7225" w:type="dxa"/>
          </w:tcPr>
          <w:p w14:paraId="7D5ABB49" w14:textId="39FD05FB" w:rsidR="00C31D85" w:rsidRPr="00FA3CC4" w:rsidRDefault="008975A3" w:rsidP="00A71E8B">
            <w:pPr>
              <w:rPr>
                <w:rFonts w:cs="Arial"/>
                <w:b/>
                <w:bCs/>
              </w:rPr>
            </w:pPr>
            <w:r w:rsidRPr="00FA3CC4">
              <w:rPr>
                <w:rFonts w:cs="Arial"/>
                <w:b/>
                <w:bCs/>
                <w:sz w:val="40"/>
                <w:szCs w:val="40"/>
              </w:rPr>
              <w:t>01</w:t>
            </w:r>
            <w:r w:rsidRPr="00FA3CC4">
              <w:rPr>
                <w:rFonts w:cs="Arial"/>
              </w:rPr>
              <w:t xml:space="preserve"> Introduction</w:t>
            </w:r>
            <w:r w:rsidR="001A2DAB" w:rsidRPr="00FA3CC4">
              <w:rPr>
                <w:rFonts w:cs="Arial"/>
                <w:b/>
                <w:bCs/>
              </w:rPr>
              <w:t xml:space="preserve"> and </w:t>
            </w:r>
            <w:r w:rsidR="00AB5409" w:rsidRPr="00FA3CC4">
              <w:rPr>
                <w:rFonts w:cs="Arial"/>
                <w:b/>
                <w:bCs/>
              </w:rPr>
              <w:t xml:space="preserve">Research </w:t>
            </w:r>
            <w:r w:rsidR="001A2DAB" w:rsidRPr="00FA3CC4">
              <w:rPr>
                <w:rFonts w:cs="Arial"/>
                <w:b/>
                <w:bCs/>
              </w:rPr>
              <w:t xml:space="preserve">Aim </w:t>
            </w:r>
          </w:p>
          <w:p w14:paraId="4F946498" w14:textId="311CDE99" w:rsidR="00427611" w:rsidRPr="00FA3CC4" w:rsidRDefault="00427611" w:rsidP="00A71E8B">
            <w:pPr>
              <w:tabs>
                <w:tab w:val="num" w:pos="360"/>
              </w:tabs>
              <w:rPr>
                <w:rFonts w:cs="Arial"/>
              </w:rPr>
            </w:pPr>
            <w:r w:rsidRPr="00FA3CC4">
              <w:rPr>
                <w:rFonts w:cs="Arial"/>
                <w:lang w:val="en-GB"/>
              </w:rPr>
              <w:t xml:space="preserve">This section provides an overview of the methodology used in this research and summarises the key processes involved in conducting a secondary, literature-based study. A methods chapter describes </w:t>
            </w:r>
            <w:r w:rsidRPr="00FA3CC4">
              <w:rPr>
                <w:rFonts w:cs="Arial"/>
              </w:rPr>
              <w:t>how the research will be conducted,</w:t>
            </w:r>
            <w:r w:rsidRPr="00FA3CC4">
              <w:rPr>
                <w:rFonts w:cs="Arial"/>
                <w:lang w:val="en-GB"/>
              </w:rPr>
              <w:t xml:space="preserve"> including the data collection methods, how the data will be selected and analysed to achieve reliability and validity. The following poster outlines the most important steps of the methodology search strategy, data collection, validation, and analysis. This study seeks to critically </w:t>
            </w:r>
            <w:r w:rsidRPr="00FA3CC4">
              <w:rPr>
                <w:rFonts w:cs="Arial"/>
              </w:rPr>
              <w:t>analyse</w:t>
            </w:r>
            <w:r w:rsidRPr="00FA3CC4">
              <w:rPr>
                <w:rFonts w:cs="Arial"/>
                <w:lang w:val="en-GB"/>
              </w:rPr>
              <w:t xml:space="preserve"> inequalities and healthcare access to older adults (72</w:t>
            </w:r>
            <w:r w:rsidRPr="00FA3CC4">
              <w:rPr>
                <w:rFonts w:cs="Arial"/>
              </w:rPr>
              <w:t>-</w:t>
            </w:r>
            <w:r w:rsidRPr="00FA3CC4">
              <w:rPr>
                <w:rFonts w:cs="Arial"/>
                <w:lang w:val="en-GB"/>
              </w:rPr>
              <w:t xml:space="preserve">80 years old) in the UK. The research aims </w:t>
            </w:r>
            <w:r w:rsidRPr="00FA3CC4">
              <w:rPr>
                <w:rFonts w:cs="Arial"/>
              </w:rPr>
              <w:t>to determine some structural, social, and systemic barriers that influence access to</w:t>
            </w:r>
            <w:r w:rsidRPr="00FA3CC4">
              <w:rPr>
                <w:rFonts w:cs="Arial"/>
                <w:lang w:val="en-GB"/>
              </w:rPr>
              <w:t xml:space="preserve"> healthcare. It additionally tries to assess the existing healthcare policies and structures and come up with </w:t>
            </w:r>
            <w:r w:rsidRPr="00FA3CC4">
              <w:rPr>
                <w:rFonts w:cs="Arial"/>
              </w:rPr>
              <w:t>evidence-based</w:t>
            </w:r>
            <w:r w:rsidRPr="00FA3CC4">
              <w:rPr>
                <w:rFonts w:cs="Arial"/>
                <w:lang w:val="en-GB"/>
              </w:rPr>
              <w:t xml:space="preserve"> solutions to enhance equity in healthcare delivery. </w:t>
            </w:r>
          </w:p>
          <w:p w14:paraId="4F873229" w14:textId="3DC4E121" w:rsidR="000E56ED" w:rsidRPr="00FA3CC4" w:rsidRDefault="000E56ED" w:rsidP="00A71E8B">
            <w:pPr>
              <w:rPr>
                <w:rFonts w:cs="Arial"/>
              </w:rPr>
            </w:pPr>
          </w:p>
        </w:tc>
        <w:tc>
          <w:tcPr>
            <w:tcW w:w="7391" w:type="dxa"/>
          </w:tcPr>
          <w:p w14:paraId="25CA190D" w14:textId="2F3AF544" w:rsidR="0029329C" w:rsidRPr="00FA3CC4" w:rsidRDefault="00C31D85" w:rsidP="00A71E8B">
            <w:pPr>
              <w:rPr>
                <w:rFonts w:cs="Arial"/>
              </w:rPr>
            </w:pPr>
            <w:r w:rsidRPr="00FA3CC4">
              <w:rPr>
                <w:rFonts w:cs="Arial"/>
                <w:b/>
                <w:bCs/>
                <w:sz w:val="40"/>
                <w:szCs w:val="40"/>
              </w:rPr>
              <w:t>02</w:t>
            </w:r>
            <w:r w:rsidR="00AB5409" w:rsidRPr="00FA3CC4">
              <w:rPr>
                <w:rFonts w:cs="Arial"/>
                <w:b/>
                <w:bCs/>
                <w:sz w:val="40"/>
                <w:szCs w:val="40"/>
              </w:rPr>
              <w:t xml:space="preserve"> </w:t>
            </w:r>
            <w:r w:rsidR="00AB5409" w:rsidRPr="00FA3CC4">
              <w:rPr>
                <w:rFonts w:cs="Arial"/>
                <w:b/>
                <w:bCs/>
              </w:rPr>
              <w:t>Search Strategy</w:t>
            </w:r>
            <w:r w:rsidR="00AB5409" w:rsidRPr="00FA3CC4">
              <w:rPr>
                <w:rFonts w:cs="Arial"/>
              </w:rPr>
              <w:t xml:space="preserve"> </w:t>
            </w:r>
          </w:p>
          <w:p w14:paraId="6E2D23CB" w14:textId="6568D8C4" w:rsidR="00427611" w:rsidRPr="00FA3CC4" w:rsidRDefault="00427611" w:rsidP="00A71E8B">
            <w:pPr>
              <w:tabs>
                <w:tab w:val="num" w:pos="360"/>
              </w:tabs>
              <w:rPr>
                <w:rFonts w:cs="Arial"/>
              </w:rPr>
            </w:pPr>
            <w:r w:rsidRPr="00FA3CC4">
              <w:rPr>
                <w:rFonts w:cs="Arial"/>
                <w:lang w:val="en-GB"/>
              </w:rPr>
              <w:t xml:space="preserve">Search strategy in secondary research is a plan conducted to </w:t>
            </w:r>
            <w:r w:rsidRPr="00FA3CC4">
              <w:rPr>
                <w:rFonts w:cs="Arial"/>
              </w:rPr>
              <w:t>recognise</w:t>
            </w:r>
            <w:r w:rsidRPr="00FA3CC4">
              <w:rPr>
                <w:rFonts w:cs="Arial"/>
                <w:lang w:val="en-GB"/>
              </w:rPr>
              <w:t xml:space="preserve"> the sources of publications and data that answer a research problem. It entails the identification of the right keywords, databases, and filters to screen the results</w:t>
            </w:r>
            <w:r w:rsidR="00591402" w:rsidRPr="00FA3CC4">
              <w:rPr>
                <w:rFonts w:cs="Arial"/>
                <w:lang w:val="en-GB"/>
              </w:rPr>
              <w:t xml:space="preserve"> (Chigbu et al., 2023)</w:t>
            </w:r>
            <w:r w:rsidRPr="00FA3CC4">
              <w:rPr>
                <w:rFonts w:cs="Arial"/>
                <w:lang w:val="en-GB"/>
              </w:rPr>
              <w:t>. The search was also broadened to find some synonyms</w:t>
            </w:r>
            <w:r w:rsidRPr="00FA3CC4">
              <w:rPr>
                <w:rFonts w:cs="Arial"/>
              </w:rPr>
              <w:t>,</w:t>
            </w:r>
            <w:r w:rsidRPr="00FA3CC4">
              <w:rPr>
                <w:rFonts w:cs="Arial"/>
                <w:lang w:val="en-GB"/>
              </w:rPr>
              <w:t xml:space="preserve"> such as </w:t>
            </w:r>
            <w:r w:rsidRPr="00FA3CC4">
              <w:rPr>
                <w:rFonts w:cs="Arial"/>
              </w:rPr>
              <w:t xml:space="preserve">the </w:t>
            </w:r>
            <w:r w:rsidRPr="00FA3CC4">
              <w:rPr>
                <w:rFonts w:cs="Arial"/>
                <w:lang w:val="en-GB"/>
              </w:rPr>
              <w:t>elderly population and health disparities. Boolean operators were used to enhance efficiency in search. The AND operator was used to bring together important concepts</w:t>
            </w:r>
            <w:r w:rsidRPr="00FA3CC4">
              <w:rPr>
                <w:rFonts w:cs="Arial"/>
              </w:rPr>
              <w:t xml:space="preserve">, and the </w:t>
            </w:r>
            <w:r w:rsidRPr="00FA3CC4">
              <w:rPr>
                <w:rFonts w:cs="Arial"/>
                <w:lang w:val="en-GB"/>
              </w:rPr>
              <w:t>OR operator was used to incorporate relevant words</w:t>
            </w:r>
            <w:r w:rsidR="007D5455">
              <w:rPr>
                <w:rFonts w:cs="Arial"/>
                <w:lang w:val="en-GB"/>
              </w:rPr>
              <w:t xml:space="preserve"> (Booth et al., 2022)</w:t>
            </w:r>
            <w:r w:rsidRPr="00FA3CC4">
              <w:rPr>
                <w:rFonts w:cs="Arial"/>
                <w:lang w:val="en-GB"/>
              </w:rPr>
              <w:t xml:space="preserve">. </w:t>
            </w:r>
          </w:p>
          <w:p w14:paraId="109C23A4" w14:textId="7EA9236D" w:rsidR="0029329C" w:rsidRPr="00FA3CC4" w:rsidRDefault="0029329C" w:rsidP="00A71E8B">
            <w:pPr>
              <w:rPr>
                <w:rFonts w:cs="Arial"/>
                <w:lang w:val="en-GB"/>
              </w:rPr>
            </w:pPr>
          </w:p>
        </w:tc>
      </w:tr>
      <w:tr w:rsidR="00C31D85" w:rsidRPr="00C31D85" w14:paraId="56FBFF17" w14:textId="77777777" w:rsidTr="00063B85">
        <w:trPr>
          <w:trHeight w:val="1856"/>
        </w:trPr>
        <w:tc>
          <w:tcPr>
            <w:tcW w:w="7225" w:type="dxa"/>
          </w:tcPr>
          <w:p w14:paraId="30AEBD55" w14:textId="77777777" w:rsidR="00C31D85" w:rsidRPr="00FA3CC4" w:rsidRDefault="00C31D85" w:rsidP="00A71E8B">
            <w:pPr>
              <w:rPr>
                <w:rFonts w:cs="Arial"/>
              </w:rPr>
            </w:pPr>
            <w:r w:rsidRPr="00FA3CC4">
              <w:rPr>
                <w:rFonts w:cs="Arial"/>
                <w:b/>
                <w:bCs/>
                <w:sz w:val="40"/>
                <w:szCs w:val="40"/>
              </w:rPr>
              <w:lastRenderedPageBreak/>
              <w:t>03</w:t>
            </w:r>
            <w:r w:rsidR="00AB5409" w:rsidRPr="00FA3CC4">
              <w:rPr>
                <w:rFonts w:cs="Arial"/>
              </w:rPr>
              <w:t xml:space="preserve"> </w:t>
            </w:r>
            <w:r w:rsidR="00AB5409" w:rsidRPr="00FA3CC4">
              <w:rPr>
                <w:rFonts w:cs="Arial"/>
                <w:b/>
                <w:bCs/>
              </w:rPr>
              <w:t>Searching for Information</w:t>
            </w:r>
            <w:r w:rsidR="00AB5409" w:rsidRPr="00FA3CC4">
              <w:rPr>
                <w:rFonts w:cs="Arial"/>
              </w:rPr>
              <w:t xml:space="preserve"> </w:t>
            </w:r>
          </w:p>
          <w:p w14:paraId="40D4F6F5" w14:textId="2CFA1560" w:rsidR="00427611" w:rsidRPr="00FA3CC4" w:rsidRDefault="00427611" w:rsidP="00A71E8B">
            <w:pPr>
              <w:tabs>
                <w:tab w:val="num" w:pos="360"/>
              </w:tabs>
              <w:rPr>
                <w:rFonts w:cs="Arial"/>
              </w:rPr>
            </w:pPr>
            <w:r w:rsidRPr="00FA3CC4">
              <w:rPr>
                <w:rFonts w:cs="Arial"/>
                <w:lang w:val="en-GB"/>
              </w:rPr>
              <w:t xml:space="preserve">The process of searching </w:t>
            </w:r>
            <w:r w:rsidRPr="00FA3CC4">
              <w:rPr>
                <w:rFonts w:cs="Arial"/>
              </w:rPr>
              <w:t xml:space="preserve">for </w:t>
            </w:r>
            <w:r w:rsidRPr="00FA3CC4">
              <w:rPr>
                <w:rFonts w:cs="Arial"/>
                <w:lang w:val="en-GB"/>
              </w:rPr>
              <w:t>information consisted of searching for and finding useful and valid sources. Firstly, such important databases as Google Scholar, NHS Digital, NICE guidelines and World Health Organisation (WHO) resources were employed. These sources were chosen because they are reliable and relevant to the study of healthcare. Simple keywords on the research topic were entered as the first step. It was then narrowed down to searches in terms of Boolean operators and filters like publication date (less than five years old), the UK regions, and peer-reviewed articles</w:t>
            </w:r>
            <w:r w:rsidR="007D5455">
              <w:rPr>
                <w:rFonts w:cs="Arial"/>
                <w:lang w:val="en-GB"/>
              </w:rPr>
              <w:t xml:space="preserve"> (Booth et al., 2022)</w:t>
            </w:r>
            <w:r w:rsidRPr="00FA3CC4">
              <w:rPr>
                <w:rFonts w:cs="Arial"/>
                <w:lang w:val="en-GB"/>
              </w:rPr>
              <w:t xml:space="preserve">. </w:t>
            </w:r>
          </w:p>
          <w:p w14:paraId="3611ED69" w14:textId="77777777" w:rsidR="0029329C" w:rsidRPr="00FA3CC4" w:rsidRDefault="0029329C" w:rsidP="00A71E8B">
            <w:pPr>
              <w:rPr>
                <w:rFonts w:cs="Arial"/>
                <w:lang w:val="en-GB"/>
              </w:rPr>
            </w:pPr>
          </w:p>
          <w:p w14:paraId="54E41379" w14:textId="77777777" w:rsidR="0029329C" w:rsidRPr="00FA3CC4" w:rsidRDefault="0029329C" w:rsidP="00A71E8B">
            <w:pPr>
              <w:rPr>
                <w:rFonts w:cs="Arial"/>
                <w:lang w:val="en-GB"/>
              </w:rPr>
            </w:pPr>
          </w:p>
          <w:p w14:paraId="701333EA" w14:textId="003A59C4" w:rsidR="0029329C" w:rsidRPr="00FA3CC4" w:rsidRDefault="005F7D75" w:rsidP="00A71E8B">
            <w:pPr>
              <w:rPr>
                <w:rFonts w:cs="Arial"/>
                <w:lang w:val="en-GB"/>
              </w:rPr>
            </w:pPr>
            <w:r w:rsidRPr="00FA3CC4">
              <w:rPr>
                <w:rFonts w:cs="Arial"/>
                <w:lang w:val="en-GB"/>
              </w:rPr>
              <w:t xml:space="preserve"> </w:t>
            </w:r>
          </w:p>
        </w:tc>
        <w:tc>
          <w:tcPr>
            <w:tcW w:w="7391" w:type="dxa"/>
          </w:tcPr>
          <w:p w14:paraId="54995ADA" w14:textId="77777777" w:rsidR="00C31D85" w:rsidRPr="00FA3CC4" w:rsidRDefault="00C31D85" w:rsidP="00A71E8B">
            <w:pPr>
              <w:rPr>
                <w:rFonts w:cs="Arial"/>
              </w:rPr>
            </w:pPr>
            <w:r w:rsidRPr="00FA3CC4">
              <w:rPr>
                <w:rFonts w:cs="Arial"/>
                <w:b/>
                <w:bCs/>
                <w:sz w:val="40"/>
                <w:szCs w:val="40"/>
              </w:rPr>
              <w:t>04</w:t>
            </w:r>
            <w:r w:rsidR="00AB5409" w:rsidRPr="00FA3CC4">
              <w:rPr>
                <w:rFonts w:cs="Arial"/>
              </w:rPr>
              <w:t xml:space="preserve"> </w:t>
            </w:r>
            <w:r w:rsidR="00AB5409" w:rsidRPr="00FA3CC4">
              <w:rPr>
                <w:rFonts w:cs="Arial"/>
                <w:b/>
                <w:bCs/>
              </w:rPr>
              <w:t>Picture / Graph / Visual Aid / Statistics</w:t>
            </w:r>
            <w:r w:rsidR="00AB5409" w:rsidRPr="00FA3CC4">
              <w:rPr>
                <w:rFonts w:cs="Arial"/>
              </w:rPr>
              <w:t xml:space="preserve"> </w:t>
            </w:r>
          </w:p>
          <w:p w14:paraId="466A2C8B" w14:textId="77777777" w:rsidR="00427611" w:rsidRPr="00FA3CC4" w:rsidRDefault="00427611" w:rsidP="00A71E8B">
            <w:pPr>
              <w:rPr>
                <w:rFonts w:cs="Arial"/>
              </w:rPr>
            </w:pPr>
          </w:p>
          <w:p w14:paraId="7660E5EC" w14:textId="77777777" w:rsidR="001F45CA" w:rsidRDefault="00427611" w:rsidP="001F45CA">
            <w:pPr>
              <w:keepNext/>
              <w:jc w:val="center"/>
            </w:pPr>
            <w:commentRangeStart w:id="0"/>
            <w:r w:rsidRPr="00FA3CC4">
              <w:rPr>
                <w:rFonts w:cs="Arial"/>
                <w:noProof/>
              </w:rPr>
              <w:drawing>
                <wp:inline distT="0" distB="0" distL="0" distR="0" wp14:anchorId="4C431FA3" wp14:editId="2F9C4F80">
                  <wp:extent cx="3429000" cy="1975096"/>
                  <wp:effectExtent l="0" t="0" r="0" b="6350"/>
                  <wp:docPr id="2086874302" name="Picture 1" descr="Applications and Competitive Advantages of Data Mining and Business  Intelligence in SMEs Performance: A Systematic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ications and Competitive Advantages of Data Mining and Business  Intelligence in SMEs Performance: A Systematic Revi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2297" cy="1976995"/>
                          </a:xfrm>
                          <a:prstGeom prst="rect">
                            <a:avLst/>
                          </a:prstGeom>
                          <a:noFill/>
                          <a:ln>
                            <a:noFill/>
                          </a:ln>
                        </pic:spPr>
                      </pic:pic>
                    </a:graphicData>
                  </a:graphic>
                </wp:inline>
              </w:drawing>
            </w:r>
            <w:commentRangeEnd w:id="0"/>
            <w:r w:rsidR="00A71E8B">
              <w:rPr>
                <w:rStyle w:val="CommentReference"/>
                <w:sz w:val="24"/>
                <w:szCs w:val="22"/>
              </w:rPr>
              <w:commentReference w:id="0"/>
            </w:r>
          </w:p>
          <w:p w14:paraId="51EC5E97" w14:textId="77777777" w:rsidR="001F45CA" w:rsidRPr="001F45CA" w:rsidRDefault="001F45CA" w:rsidP="001F45CA">
            <w:pPr>
              <w:pStyle w:val="Caption"/>
              <w:jc w:val="center"/>
              <w:rPr>
                <w:b/>
                <w:bCs/>
              </w:rPr>
            </w:pPr>
            <w:r w:rsidRPr="001F45CA">
              <w:rPr>
                <w:b/>
                <w:bCs/>
              </w:rPr>
              <w:t xml:space="preserve">Figure </w:t>
            </w:r>
            <w:r w:rsidRPr="001F45CA">
              <w:rPr>
                <w:b/>
                <w:bCs/>
              </w:rPr>
              <w:fldChar w:fldCharType="begin"/>
            </w:r>
            <w:r w:rsidRPr="001F45CA">
              <w:rPr>
                <w:b/>
                <w:bCs/>
              </w:rPr>
              <w:instrText xml:space="preserve"> SEQ Figure \* ARABIC </w:instrText>
            </w:r>
            <w:r w:rsidRPr="001F45CA">
              <w:rPr>
                <w:b/>
                <w:bCs/>
              </w:rPr>
              <w:fldChar w:fldCharType="separate"/>
            </w:r>
            <w:r w:rsidRPr="001F45CA">
              <w:rPr>
                <w:b/>
                <w:bCs/>
                <w:noProof/>
              </w:rPr>
              <w:t>1</w:t>
            </w:r>
            <w:r w:rsidRPr="001F45CA">
              <w:rPr>
                <w:b/>
                <w:bCs/>
              </w:rPr>
              <w:fldChar w:fldCharType="end"/>
            </w:r>
            <w:r w:rsidRPr="001F45CA">
              <w:rPr>
                <w:b/>
                <w:bCs/>
              </w:rPr>
              <w:t xml:space="preserve">. Research Methodology Process </w:t>
            </w:r>
          </w:p>
          <w:p w14:paraId="60220A72" w14:textId="75A18EB3" w:rsidR="001F45CA" w:rsidRPr="001F45CA" w:rsidRDefault="001F45CA" w:rsidP="001F45CA">
            <w:pPr>
              <w:pStyle w:val="Caption"/>
              <w:jc w:val="center"/>
              <w:rPr>
                <w:b/>
                <w:bCs/>
              </w:rPr>
            </w:pPr>
            <w:r w:rsidRPr="001F45CA">
              <w:rPr>
                <w:b/>
                <w:bCs/>
              </w:rPr>
              <w:t>Source: (Chigbu et al., 2023)</w:t>
            </w:r>
          </w:p>
          <w:p w14:paraId="767571BD" w14:textId="74F1AC03" w:rsidR="00427611" w:rsidRPr="00FA3CC4" w:rsidRDefault="00427611" w:rsidP="00A71E8B">
            <w:pPr>
              <w:jc w:val="center"/>
              <w:rPr>
                <w:rFonts w:cs="Arial"/>
              </w:rPr>
            </w:pPr>
          </w:p>
          <w:p w14:paraId="2BBB997C" w14:textId="259454BF" w:rsidR="005F7D75" w:rsidRPr="00FA3CC4" w:rsidRDefault="005F7D75" w:rsidP="00A71E8B">
            <w:pPr>
              <w:rPr>
                <w:rFonts w:cs="Arial"/>
              </w:rPr>
            </w:pPr>
          </w:p>
        </w:tc>
      </w:tr>
      <w:tr w:rsidR="00C31D85" w:rsidRPr="00C31D85" w14:paraId="71279A0E" w14:textId="77777777" w:rsidTr="00F52F83">
        <w:trPr>
          <w:trHeight w:val="983"/>
        </w:trPr>
        <w:tc>
          <w:tcPr>
            <w:tcW w:w="14616" w:type="dxa"/>
            <w:gridSpan w:val="2"/>
          </w:tcPr>
          <w:p w14:paraId="7454B819" w14:textId="16439992" w:rsidR="00516CC0" w:rsidRPr="00A71E8B" w:rsidRDefault="007D5455" w:rsidP="00A71E8B">
            <w:pPr>
              <w:tabs>
                <w:tab w:val="num" w:pos="360"/>
              </w:tabs>
              <w:rPr>
                <w:rFonts w:cs="Arial"/>
              </w:rPr>
            </w:pPr>
            <w:r>
              <w:rPr>
                <w:rFonts w:cs="Arial"/>
                <w:b/>
                <w:bCs/>
                <w:sz w:val="40"/>
                <w:szCs w:val="40"/>
              </w:rPr>
              <w:t>C</w:t>
            </w:r>
          </w:p>
        </w:tc>
      </w:tr>
      <w:tr w:rsidR="00AB5409" w:rsidRPr="00C31D85" w14:paraId="1159AF67" w14:textId="77777777" w:rsidTr="00063B85">
        <w:trPr>
          <w:trHeight w:val="1856"/>
        </w:trPr>
        <w:tc>
          <w:tcPr>
            <w:tcW w:w="7225" w:type="dxa"/>
          </w:tcPr>
          <w:p w14:paraId="398EE9B0" w14:textId="77777777" w:rsidR="00AB5409" w:rsidRPr="00FA3CC4" w:rsidRDefault="00AB5409" w:rsidP="00A71E8B">
            <w:pPr>
              <w:rPr>
                <w:rFonts w:cs="Arial"/>
              </w:rPr>
            </w:pPr>
            <w:r w:rsidRPr="00FA3CC4">
              <w:rPr>
                <w:rFonts w:cs="Arial"/>
                <w:b/>
                <w:bCs/>
                <w:sz w:val="40"/>
                <w:szCs w:val="40"/>
              </w:rPr>
              <w:t>06</w:t>
            </w:r>
            <w:r w:rsidRPr="00FA3CC4">
              <w:rPr>
                <w:rFonts w:cs="Arial"/>
              </w:rPr>
              <w:t xml:space="preserve"> </w:t>
            </w:r>
            <w:r w:rsidRPr="00FA3CC4">
              <w:rPr>
                <w:rFonts w:cs="Arial"/>
                <w:b/>
                <w:bCs/>
              </w:rPr>
              <w:t>Inclusion Criteria</w:t>
            </w:r>
            <w:r w:rsidRPr="00FA3CC4">
              <w:rPr>
                <w:rFonts w:cs="Arial"/>
              </w:rPr>
              <w:t xml:space="preserve"> </w:t>
            </w:r>
          </w:p>
          <w:p w14:paraId="0A0F4A39" w14:textId="52569C01" w:rsidR="00427611" w:rsidRPr="00FA3CC4" w:rsidRDefault="00427611" w:rsidP="00A71E8B">
            <w:pPr>
              <w:tabs>
                <w:tab w:val="num" w:pos="360"/>
              </w:tabs>
              <w:rPr>
                <w:rFonts w:cs="Arial"/>
              </w:rPr>
            </w:pPr>
            <w:r w:rsidRPr="00FA3CC4">
              <w:rPr>
                <w:rFonts w:cs="Arial"/>
                <w:lang w:val="en-GB"/>
              </w:rPr>
              <w:t>The inclusion criteria are the criteria that are applied to determine the sources that can be used in the research</w:t>
            </w:r>
            <w:r w:rsidR="002C0F26" w:rsidRPr="00FA3CC4">
              <w:rPr>
                <w:rFonts w:cs="Arial"/>
                <w:lang w:val="en-GB"/>
              </w:rPr>
              <w:t xml:space="preserve"> (Zetterstrom et al., 2022)</w:t>
            </w:r>
            <w:r w:rsidRPr="00FA3CC4">
              <w:rPr>
                <w:rFonts w:cs="Arial"/>
                <w:lang w:val="en-GB"/>
              </w:rPr>
              <w:t xml:space="preserve">. The sources considered in this study were peer-reviewed </w:t>
            </w:r>
            <w:r w:rsidRPr="00FA3CC4">
              <w:rPr>
                <w:rFonts w:cs="Arial"/>
                <w:lang w:val="en-GB"/>
              </w:rPr>
              <w:lastRenderedPageBreak/>
              <w:t>journal articles, government reports, and policy documents that referred to healthcare access and inequalities. Articles that were published not more than five years ago were decided to be included in the selection to make sure that the information is up-to-date and pertinent</w:t>
            </w:r>
            <w:r w:rsidR="007D5455">
              <w:rPr>
                <w:rFonts w:cs="Arial"/>
                <w:lang w:val="en-GB"/>
              </w:rPr>
              <w:t xml:space="preserve"> (</w:t>
            </w:r>
            <w:r w:rsidR="007D5455" w:rsidRPr="007A1FE9">
              <w:rPr>
                <w:rFonts w:cs="Arial"/>
                <w:szCs w:val="24"/>
              </w:rPr>
              <w:t xml:space="preserve">William, </w:t>
            </w:r>
            <w:r w:rsidR="007D5455">
              <w:rPr>
                <w:rFonts w:cs="Arial"/>
                <w:szCs w:val="24"/>
              </w:rPr>
              <w:t xml:space="preserve">2024). </w:t>
            </w:r>
            <w:r w:rsidRPr="00FA3CC4">
              <w:rPr>
                <w:rFonts w:cs="Arial"/>
                <w:lang w:val="en-GB"/>
              </w:rPr>
              <w:t xml:space="preserve">Also, the study of UK-based studies was aimed at ensuring consistency in the research purpose. </w:t>
            </w:r>
          </w:p>
          <w:p w14:paraId="00628477" w14:textId="7F00EE5A" w:rsidR="00516CC0" w:rsidRPr="00FA3CC4" w:rsidRDefault="00516CC0" w:rsidP="00A71E8B">
            <w:pPr>
              <w:rPr>
                <w:rFonts w:cs="Arial"/>
              </w:rPr>
            </w:pPr>
          </w:p>
        </w:tc>
        <w:tc>
          <w:tcPr>
            <w:tcW w:w="7391" w:type="dxa"/>
          </w:tcPr>
          <w:p w14:paraId="51867809" w14:textId="77777777" w:rsidR="00AB5409" w:rsidRPr="00FA3CC4" w:rsidRDefault="00AB5409" w:rsidP="00A71E8B">
            <w:pPr>
              <w:rPr>
                <w:rFonts w:cs="Arial"/>
              </w:rPr>
            </w:pPr>
            <w:r w:rsidRPr="00FA3CC4">
              <w:rPr>
                <w:rFonts w:cs="Arial"/>
                <w:b/>
                <w:bCs/>
                <w:sz w:val="40"/>
                <w:szCs w:val="40"/>
              </w:rPr>
              <w:lastRenderedPageBreak/>
              <w:t>07</w:t>
            </w:r>
            <w:r w:rsidRPr="00FA3CC4">
              <w:rPr>
                <w:rFonts w:cs="Arial"/>
              </w:rPr>
              <w:t xml:space="preserve"> </w:t>
            </w:r>
            <w:r w:rsidRPr="00FA3CC4">
              <w:rPr>
                <w:rFonts w:cs="Arial"/>
                <w:b/>
                <w:bCs/>
              </w:rPr>
              <w:t>Exclusion Criteria</w:t>
            </w:r>
            <w:r w:rsidRPr="00FA3CC4">
              <w:rPr>
                <w:rFonts w:cs="Arial"/>
              </w:rPr>
              <w:t xml:space="preserve"> </w:t>
            </w:r>
          </w:p>
          <w:p w14:paraId="253F8839" w14:textId="73F3EBFA" w:rsidR="00516CC0" w:rsidRPr="00FA3CC4" w:rsidRDefault="00427611" w:rsidP="001F45CA">
            <w:pPr>
              <w:spacing w:after="0"/>
              <w:rPr>
                <w:rFonts w:cs="Arial"/>
              </w:rPr>
            </w:pPr>
            <w:r w:rsidRPr="00FA3CC4">
              <w:rPr>
                <w:rFonts w:eastAsia="Times New Roman" w:cs="Arial"/>
                <w:sz w:val="23"/>
                <w:szCs w:val="23"/>
              </w:rPr>
              <w:t>The exclusion criteria are the criteria on which the sources that do not suit the research are excluded</w:t>
            </w:r>
            <w:r w:rsidR="002C0F26" w:rsidRPr="00FA3CC4">
              <w:rPr>
                <w:rFonts w:eastAsia="Times New Roman" w:cs="Arial"/>
                <w:sz w:val="23"/>
                <w:szCs w:val="23"/>
              </w:rPr>
              <w:t xml:space="preserve"> (Shaheen et al., 2023)</w:t>
            </w:r>
            <w:r w:rsidRPr="00FA3CC4">
              <w:rPr>
                <w:rFonts w:eastAsia="Times New Roman" w:cs="Arial"/>
                <w:sz w:val="23"/>
                <w:szCs w:val="23"/>
              </w:rPr>
              <w:t xml:space="preserve">. Blogs, opinion articles, and websites that cannot be verified were also ruled out as not </w:t>
            </w:r>
            <w:r w:rsidRPr="00FA3CC4">
              <w:rPr>
                <w:rFonts w:eastAsia="Times New Roman" w:cs="Arial"/>
                <w:sz w:val="23"/>
                <w:szCs w:val="23"/>
              </w:rPr>
              <w:lastRenderedPageBreak/>
              <w:t xml:space="preserve">credible. The research excluded studies done outside the UK since they did not fit the research focus. Also, the articles which were not entirely accessible were eliminated, since insufficiently complete data might impact analysis quality. </w:t>
            </w:r>
          </w:p>
        </w:tc>
      </w:tr>
      <w:tr w:rsidR="00C31D85" w:rsidRPr="00C31D85" w14:paraId="583C9C87" w14:textId="77777777" w:rsidTr="00F52F83">
        <w:trPr>
          <w:trHeight w:val="1798"/>
        </w:trPr>
        <w:tc>
          <w:tcPr>
            <w:tcW w:w="14616" w:type="dxa"/>
            <w:gridSpan w:val="2"/>
          </w:tcPr>
          <w:p w14:paraId="44C8BC9D" w14:textId="77777777" w:rsidR="00C31D85" w:rsidRPr="00FA3CC4" w:rsidRDefault="00C31D85" w:rsidP="00A71E8B">
            <w:pPr>
              <w:jc w:val="center"/>
              <w:rPr>
                <w:rFonts w:cs="Arial"/>
                <w:b/>
                <w:bCs/>
              </w:rPr>
            </w:pPr>
            <w:r w:rsidRPr="00FA3CC4">
              <w:rPr>
                <w:rFonts w:cs="Arial"/>
                <w:b/>
                <w:bCs/>
                <w:sz w:val="40"/>
                <w:szCs w:val="40"/>
              </w:rPr>
              <w:lastRenderedPageBreak/>
              <w:t>0</w:t>
            </w:r>
            <w:r w:rsidR="00AB5409" w:rsidRPr="00FA3CC4">
              <w:rPr>
                <w:rFonts w:cs="Arial"/>
                <w:b/>
                <w:bCs/>
                <w:sz w:val="40"/>
                <w:szCs w:val="40"/>
              </w:rPr>
              <w:t>8</w:t>
            </w:r>
            <w:r w:rsidR="00AB5409" w:rsidRPr="00FA3CC4">
              <w:rPr>
                <w:rFonts w:cs="Arial"/>
              </w:rPr>
              <w:t xml:space="preserve"> </w:t>
            </w:r>
            <w:r w:rsidR="00AB5409" w:rsidRPr="00FA3CC4">
              <w:rPr>
                <w:rFonts w:cs="Arial"/>
                <w:b/>
                <w:bCs/>
              </w:rPr>
              <w:t>Ethical Considerations</w:t>
            </w:r>
          </w:p>
          <w:p w14:paraId="1EFAF50B" w14:textId="46D81DDA" w:rsidR="00F52F83" w:rsidRPr="00FA3CC4" w:rsidRDefault="00A71E8B" w:rsidP="00A71E8B">
            <w:pPr>
              <w:rPr>
                <w:rFonts w:cs="Arial"/>
                <w:lang w:val="en-GB"/>
              </w:rPr>
            </w:pPr>
            <w:r w:rsidRPr="00FA3CC4">
              <w:rPr>
                <w:rFonts w:cs="Arial"/>
                <w:noProof/>
              </w:rPr>
              <w:drawing>
                <wp:anchor distT="0" distB="0" distL="114300" distR="114300" simplePos="0" relativeHeight="251661312" behindDoc="1" locked="0" layoutInCell="1" allowOverlap="1" wp14:anchorId="208D47B1" wp14:editId="1E20078B">
                  <wp:simplePos x="0" y="0"/>
                  <wp:positionH relativeFrom="column">
                    <wp:posOffset>128270</wp:posOffset>
                  </wp:positionH>
                  <wp:positionV relativeFrom="paragraph">
                    <wp:posOffset>309245</wp:posOffset>
                  </wp:positionV>
                  <wp:extent cx="8886825" cy="2124075"/>
                  <wp:effectExtent l="19050" t="0" r="9525" b="0"/>
                  <wp:wrapTight wrapText="bothSides">
                    <wp:wrapPolygon edited="0">
                      <wp:start x="-46" y="969"/>
                      <wp:lineTo x="-46" y="20535"/>
                      <wp:lineTo x="21577" y="20535"/>
                      <wp:lineTo x="21577" y="969"/>
                      <wp:lineTo x="-46" y="969"/>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r w:rsidR="00F52F83" w:rsidRPr="00FA3CC4">
              <w:rPr>
                <w:rFonts w:cs="Arial"/>
                <w:lang w:val="en-GB"/>
              </w:rPr>
              <w:t>Here you can start with providing a definition of Ethics in Secondary Research. Below includes some examples of how you may have considered ethics in your researc</w:t>
            </w:r>
            <w:r>
              <w:rPr>
                <w:rFonts w:cs="Arial"/>
                <w:lang w:val="en-GB"/>
              </w:rPr>
              <w:t>h</w:t>
            </w:r>
            <w:r w:rsidR="00F52F83" w:rsidRPr="00FA3CC4">
              <w:rPr>
                <w:rFonts w:cs="Arial"/>
                <w:lang w:val="en-GB"/>
              </w:rPr>
              <w:t xml:space="preserve"> </w:t>
            </w:r>
          </w:p>
          <w:p w14:paraId="28D04039" w14:textId="187C19B3" w:rsidR="00F52F83" w:rsidRPr="00FA3CC4" w:rsidRDefault="00F52F83" w:rsidP="00A71E8B">
            <w:pPr>
              <w:rPr>
                <w:rFonts w:cs="Arial"/>
                <w:lang w:val="en-GB"/>
              </w:rPr>
            </w:pPr>
          </w:p>
        </w:tc>
      </w:tr>
    </w:tbl>
    <w:p w14:paraId="53F82A21" w14:textId="77777777" w:rsidR="00C31D85" w:rsidRDefault="00C31D85" w:rsidP="00A71E8B">
      <w:pPr>
        <w:sectPr w:rsidR="00C31D85" w:rsidSect="00C31D85">
          <w:pgSz w:w="15840" w:h="12240" w:orient="landscape" w:code="1"/>
          <w:pgMar w:top="720" w:right="720" w:bottom="576" w:left="720" w:header="432" w:footer="288" w:gutter="0"/>
          <w:cols w:space="720"/>
          <w:titlePg/>
          <w:docGrid w:linePitch="360"/>
        </w:sectPr>
      </w:pPr>
    </w:p>
    <w:p w14:paraId="489BBCE1" w14:textId="0250CC3F" w:rsidR="00ED1049" w:rsidRDefault="00ED1049" w:rsidP="00A71E8B">
      <w:pPr>
        <w:rPr>
          <w:rFonts w:cs="Arial"/>
          <w:b/>
          <w:bCs/>
          <w:sz w:val="28"/>
          <w:szCs w:val="28"/>
        </w:rPr>
      </w:pPr>
      <w:r w:rsidRPr="00ED1049">
        <w:rPr>
          <w:rFonts w:cs="Arial"/>
          <w:b/>
          <w:bCs/>
          <w:sz w:val="28"/>
          <w:szCs w:val="28"/>
        </w:rPr>
        <w:lastRenderedPageBreak/>
        <w:t>References</w:t>
      </w:r>
    </w:p>
    <w:p w14:paraId="62A58BB8" w14:textId="77777777" w:rsidR="00303070" w:rsidRPr="00303070" w:rsidRDefault="00303070" w:rsidP="00303070">
      <w:pPr>
        <w:ind w:left="720" w:hanging="720"/>
        <w:rPr>
          <w:rFonts w:cs="Arial"/>
        </w:rPr>
      </w:pPr>
      <w:r w:rsidRPr="00303070">
        <w:rPr>
          <w:rFonts w:cs="Arial"/>
        </w:rPr>
        <w:t xml:space="preserve">Booth, A., Sutton, A. and Papaioannou, D. 2022. </w:t>
      </w:r>
      <w:r w:rsidRPr="00303070">
        <w:rPr>
          <w:rFonts w:cs="Arial"/>
          <w:i/>
          <w:iCs/>
        </w:rPr>
        <w:t>Systematic Approaches to a Successful Literature Review.</w:t>
      </w:r>
      <w:r w:rsidRPr="00303070">
        <w:rPr>
          <w:rFonts w:cs="Arial"/>
        </w:rPr>
        <w:t xml:space="preserve"> 3rd ed. London: Sage Publications.</w:t>
      </w:r>
    </w:p>
    <w:p w14:paraId="03EDEA90" w14:textId="77777777" w:rsidR="00303070" w:rsidRPr="00303070" w:rsidRDefault="00303070" w:rsidP="00303070">
      <w:pPr>
        <w:ind w:left="720" w:hanging="720"/>
        <w:rPr>
          <w:rFonts w:cs="Arial"/>
        </w:rPr>
      </w:pPr>
      <w:r w:rsidRPr="00303070">
        <w:rPr>
          <w:rFonts w:cs="Arial"/>
        </w:rPr>
        <w:t>British Educational Research Association (BERA). (2024) Ethical Guidelines for Educational Research. 5th ed. London: BERA.</w:t>
      </w:r>
    </w:p>
    <w:p w14:paraId="594C4C2F" w14:textId="77777777" w:rsidR="00303070" w:rsidRPr="00303070" w:rsidRDefault="00303070" w:rsidP="00303070">
      <w:pPr>
        <w:ind w:left="720" w:hanging="720"/>
        <w:rPr>
          <w:rFonts w:cs="Arial"/>
        </w:rPr>
      </w:pPr>
      <w:r w:rsidRPr="00303070">
        <w:rPr>
          <w:rFonts w:cs="Arial"/>
        </w:rPr>
        <w:t xml:space="preserve">  Chigbu, U.E., Atiku, S.O. and Du Plessis, C.C., 2023. The science of literature reviews: Searching, identifying, selecting, and synthesising. </w:t>
      </w:r>
      <w:r w:rsidRPr="00303070">
        <w:rPr>
          <w:rFonts w:cs="Arial"/>
          <w:i/>
          <w:iCs/>
        </w:rPr>
        <w:t>Publications</w:t>
      </w:r>
      <w:r w:rsidRPr="00303070">
        <w:rPr>
          <w:rFonts w:cs="Arial"/>
        </w:rPr>
        <w:t>, </w:t>
      </w:r>
      <w:r w:rsidRPr="00303070">
        <w:rPr>
          <w:rFonts w:cs="Arial"/>
          <w:i/>
          <w:iCs/>
        </w:rPr>
        <w:t>11</w:t>
      </w:r>
      <w:r w:rsidRPr="00303070">
        <w:rPr>
          <w:rFonts w:cs="Arial"/>
        </w:rPr>
        <w:t>(1), p.2.</w:t>
      </w:r>
    </w:p>
    <w:p w14:paraId="5F1397EA" w14:textId="77777777" w:rsidR="00303070" w:rsidRPr="00303070" w:rsidRDefault="00303070" w:rsidP="00303070">
      <w:pPr>
        <w:ind w:left="720" w:hanging="720"/>
        <w:rPr>
          <w:rFonts w:cs="Arial"/>
        </w:rPr>
      </w:pPr>
      <w:r w:rsidRPr="00303070">
        <w:rPr>
          <w:rFonts w:cs="Arial"/>
        </w:rPr>
        <w:t>Economic and Social Research Council (ESRC). (2023) Framework for Research Ethics. Swindon: ESRC.</w:t>
      </w:r>
    </w:p>
    <w:p w14:paraId="0DB7DAFB" w14:textId="77777777" w:rsidR="00303070" w:rsidRPr="00303070" w:rsidRDefault="00303070" w:rsidP="00303070">
      <w:pPr>
        <w:ind w:left="720" w:hanging="720"/>
        <w:rPr>
          <w:rFonts w:cs="Arial"/>
        </w:rPr>
      </w:pPr>
      <w:r w:rsidRPr="00303070">
        <w:rPr>
          <w:rFonts w:cs="Arial"/>
        </w:rPr>
        <w:t>Shaheen, N., Shaheen, A., Ramadan, A., Hefnawy, M.T., Ramadan, A., Ibrahim, I.A., Hassanein, M.E., Ashour, M.E. and Flouty, O., 2023. Appraising systematic reviews: a comprehensive guide to ensuring validity and reliability. </w:t>
      </w:r>
      <w:r w:rsidRPr="00303070">
        <w:rPr>
          <w:rFonts w:cs="Arial"/>
          <w:i/>
          <w:iCs/>
        </w:rPr>
        <w:t>Frontiers in research metrics and analytics</w:t>
      </w:r>
      <w:r w:rsidRPr="00303070">
        <w:rPr>
          <w:rFonts w:cs="Arial"/>
        </w:rPr>
        <w:t>, </w:t>
      </w:r>
      <w:r w:rsidRPr="00303070">
        <w:rPr>
          <w:rFonts w:cs="Arial"/>
          <w:i/>
          <w:iCs/>
        </w:rPr>
        <w:t>8</w:t>
      </w:r>
      <w:r w:rsidRPr="00303070">
        <w:rPr>
          <w:rFonts w:cs="Arial"/>
        </w:rPr>
        <w:t>, p.1268045.</w:t>
      </w:r>
    </w:p>
    <w:p w14:paraId="61588308" w14:textId="77777777" w:rsidR="00303070" w:rsidRPr="00303070" w:rsidRDefault="00303070" w:rsidP="00303070">
      <w:pPr>
        <w:ind w:left="720" w:hanging="720"/>
        <w:rPr>
          <w:rFonts w:cs="Arial"/>
        </w:rPr>
      </w:pPr>
      <w:r w:rsidRPr="00303070">
        <w:rPr>
          <w:rFonts w:cs="Arial"/>
        </w:rPr>
        <w:t>William, F.K.A., 2024. Mastering validity and reliability in academic research: Meaning and significance. </w:t>
      </w:r>
      <w:r w:rsidRPr="00303070">
        <w:rPr>
          <w:rFonts w:cs="Arial"/>
          <w:i/>
          <w:iCs/>
        </w:rPr>
        <w:t>International Journal of Research Publications</w:t>
      </w:r>
      <w:r w:rsidRPr="00303070">
        <w:rPr>
          <w:rFonts w:cs="Arial"/>
        </w:rPr>
        <w:t>, </w:t>
      </w:r>
      <w:r w:rsidRPr="00303070">
        <w:rPr>
          <w:rFonts w:cs="Arial"/>
          <w:i/>
          <w:iCs/>
        </w:rPr>
        <w:t>144</w:t>
      </w:r>
      <w:r w:rsidRPr="00303070">
        <w:rPr>
          <w:rFonts w:cs="Arial"/>
        </w:rPr>
        <w:t>(1), pp.287-292.</w:t>
      </w:r>
    </w:p>
    <w:p w14:paraId="1BA7BE6C" w14:textId="77777777" w:rsidR="00303070" w:rsidRPr="00303070" w:rsidRDefault="00303070" w:rsidP="00303070">
      <w:pPr>
        <w:ind w:left="720" w:hanging="720"/>
        <w:rPr>
          <w:rFonts w:cs="Arial"/>
        </w:rPr>
      </w:pPr>
      <w:r w:rsidRPr="00303070">
        <w:rPr>
          <w:rFonts w:cs="Arial"/>
        </w:rPr>
        <w:t>Zetterstrom, S. and Waernbaum, I., 2022. Selection bias and multiple inclusion criteria in observational studies. </w:t>
      </w:r>
      <w:r w:rsidRPr="00303070">
        <w:rPr>
          <w:rFonts w:cs="Arial"/>
          <w:i/>
          <w:iCs/>
        </w:rPr>
        <w:t>Epidemiologic Methods</w:t>
      </w:r>
      <w:r w:rsidRPr="00303070">
        <w:rPr>
          <w:rFonts w:cs="Arial"/>
        </w:rPr>
        <w:t>, </w:t>
      </w:r>
      <w:r w:rsidRPr="00303070">
        <w:rPr>
          <w:rFonts w:cs="Arial"/>
          <w:i/>
          <w:iCs/>
        </w:rPr>
        <w:t>11</w:t>
      </w:r>
      <w:r w:rsidRPr="00303070">
        <w:rPr>
          <w:rFonts w:cs="Arial"/>
        </w:rPr>
        <w:t>(1), p.20220108.</w:t>
      </w:r>
    </w:p>
    <w:p w14:paraId="7146F743" w14:textId="6F219D54" w:rsidR="007D5455" w:rsidRPr="007D5455" w:rsidRDefault="007D5455" w:rsidP="007D5455">
      <w:pPr>
        <w:spacing w:after="0"/>
        <w:rPr>
          <w:rFonts w:cs="Arial"/>
          <w:szCs w:val="24"/>
        </w:rPr>
      </w:pPr>
    </w:p>
    <w:p w14:paraId="1D0BC8A3" w14:textId="77777777" w:rsidR="007D5455" w:rsidRDefault="007D5455" w:rsidP="00A71E8B">
      <w:pPr>
        <w:ind w:left="720" w:hanging="720"/>
        <w:rPr>
          <w:rFonts w:cs="Arial"/>
          <w:szCs w:val="24"/>
        </w:rPr>
      </w:pPr>
    </w:p>
    <w:p w14:paraId="725FE163" w14:textId="0217A54B" w:rsidR="00EB6F36" w:rsidRDefault="00846694" w:rsidP="00A71E8B">
      <w:pPr>
        <w:rPr>
          <w:noProof/>
        </w:rPr>
      </w:pPr>
      <w:r w:rsidRPr="00846694">
        <w:rPr>
          <w:noProof/>
        </w:rPr>
        <w:t xml:space="preserve"> </w:t>
      </w:r>
    </w:p>
    <w:p w14:paraId="1117C621" w14:textId="77777777" w:rsidR="005F7D75" w:rsidRDefault="005F7D75" w:rsidP="00A71E8B">
      <w:pPr>
        <w:rPr>
          <w:noProof/>
        </w:rPr>
      </w:pPr>
    </w:p>
    <w:p w14:paraId="403780EA" w14:textId="77777777" w:rsidR="005F7D75" w:rsidRDefault="005F7D75" w:rsidP="00A71E8B">
      <w:pPr>
        <w:rPr>
          <w:noProof/>
        </w:rPr>
      </w:pPr>
    </w:p>
    <w:p w14:paraId="7C20071D" w14:textId="77777777" w:rsidR="005F7D75" w:rsidRDefault="005F7D75" w:rsidP="00A71E8B">
      <w:pPr>
        <w:rPr>
          <w:noProof/>
        </w:rPr>
      </w:pPr>
    </w:p>
    <w:p w14:paraId="579172ED" w14:textId="77777777" w:rsidR="005F7D75" w:rsidRDefault="005F7D75" w:rsidP="00A71E8B">
      <w:pPr>
        <w:rPr>
          <w:noProof/>
        </w:rPr>
      </w:pPr>
    </w:p>
    <w:p w14:paraId="59F89357" w14:textId="77777777" w:rsidR="005F7D75" w:rsidRDefault="005F7D75" w:rsidP="00A71E8B">
      <w:pPr>
        <w:rPr>
          <w:noProof/>
        </w:rPr>
      </w:pPr>
    </w:p>
    <w:p w14:paraId="241FFB1B" w14:textId="77777777" w:rsidR="005F7D75" w:rsidRDefault="005F7D75" w:rsidP="00A71E8B">
      <w:pPr>
        <w:rPr>
          <w:noProof/>
        </w:rPr>
      </w:pPr>
    </w:p>
    <w:p w14:paraId="2B1D5641" w14:textId="77777777" w:rsidR="005F7D75" w:rsidRDefault="005F7D75" w:rsidP="00A71E8B">
      <w:pPr>
        <w:rPr>
          <w:noProof/>
        </w:rPr>
      </w:pPr>
    </w:p>
    <w:p w14:paraId="75B17DEF" w14:textId="77777777" w:rsidR="005F7D75" w:rsidRDefault="005F7D75" w:rsidP="00A71E8B">
      <w:pPr>
        <w:rPr>
          <w:noProof/>
        </w:rPr>
      </w:pPr>
    </w:p>
    <w:p w14:paraId="704E6675" w14:textId="77777777" w:rsidR="005F7D75" w:rsidRDefault="005F7D75" w:rsidP="00A71E8B">
      <w:pPr>
        <w:rPr>
          <w:noProof/>
        </w:rPr>
      </w:pPr>
    </w:p>
    <w:p w14:paraId="26540F31" w14:textId="77777777" w:rsidR="005F7D75" w:rsidRDefault="005F7D75" w:rsidP="00A71E8B">
      <w:pPr>
        <w:rPr>
          <w:noProof/>
        </w:rPr>
      </w:pPr>
    </w:p>
    <w:p w14:paraId="433F5986" w14:textId="77777777" w:rsidR="005F7D75" w:rsidRDefault="005F7D75" w:rsidP="00A71E8B">
      <w:pPr>
        <w:rPr>
          <w:noProof/>
        </w:rPr>
      </w:pPr>
    </w:p>
    <w:p w14:paraId="5407F508" w14:textId="77777777" w:rsidR="005F7D75" w:rsidRDefault="005F7D75" w:rsidP="00A71E8B">
      <w:pPr>
        <w:rPr>
          <w:noProof/>
        </w:rPr>
      </w:pPr>
    </w:p>
    <w:p w14:paraId="2A4EA882" w14:textId="77777777" w:rsidR="005F7D75" w:rsidRDefault="005F7D75" w:rsidP="00A71E8B">
      <w:pPr>
        <w:rPr>
          <w:noProof/>
        </w:rPr>
      </w:pPr>
    </w:p>
    <w:p w14:paraId="627B7AC3" w14:textId="77777777" w:rsidR="005F7D75" w:rsidRDefault="005F7D75" w:rsidP="00A71E8B">
      <w:pPr>
        <w:rPr>
          <w:noProof/>
        </w:rPr>
      </w:pPr>
    </w:p>
    <w:p w14:paraId="3D2E15B5" w14:textId="77777777" w:rsidR="005F7D75" w:rsidRDefault="005F7D75" w:rsidP="00A71E8B">
      <w:pPr>
        <w:rPr>
          <w:noProof/>
        </w:rPr>
      </w:pPr>
    </w:p>
    <w:p w14:paraId="1FFB5A27" w14:textId="77777777" w:rsidR="005F7D75" w:rsidRDefault="005F7D75" w:rsidP="00A71E8B">
      <w:pPr>
        <w:rPr>
          <w:noProof/>
        </w:rPr>
      </w:pPr>
    </w:p>
    <w:p w14:paraId="092108A5" w14:textId="77777777" w:rsidR="005F7D75" w:rsidRDefault="005F7D75" w:rsidP="00A71E8B">
      <w:pPr>
        <w:rPr>
          <w:noProof/>
        </w:rPr>
      </w:pPr>
    </w:p>
    <w:p w14:paraId="0E66DCC4" w14:textId="77777777" w:rsidR="005F7D75" w:rsidRDefault="005F7D75" w:rsidP="00A71E8B">
      <w:pPr>
        <w:rPr>
          <w:noProof/>
        </w:rPr>
      </w:pPr>
    </w:p>
    <w:p w14:paraId="1DB70EF3" w14:textId="77777777" w:rsidR="005F7D75" w:rsidRDefault="005F7D75" w:rsidP="00A71E8B">
      <w:pPr>
        <w:rPr>
          <w:noProof/>
        </w:rPr>
      </w:pPr>
    </w:p>
    <w:p w14:paraId="36E2D0CC" w14:textId="77777777" w:rsidR="005F7D75" w:rsidRDefault="005F7D75" w:rsidP="00A71E8B">
      <w:pPr>
        <w:rPr>
          <w:noProof/>
        </w:rPr>
      </w:pPr>
    </w:p>
    <w:p w14:paraId="265EF7E2" w14:textId="77777777" w:rsidR="005F7D75" w:rsidRDefault="005F7D75" w:rsidP="00A71E8B">
      <w:pPr>
        <w:rPr>
          <w:noProof/>
        </w:rPr>
      </w:pPr>
    </w:p>
    <w:p w14:paraId="6EB1AB11" w14:textId="77777777" w:rsidR="005F7D75" w:rsidRDefault="005F7D75" w:rsidP="00A71E8B">
      <w:pPr>
        <w:rPr>
          <w:noProof/>
        </w:rPr>
      </w:pPr>
    </w:p>
    <w:p w14:paraId="67338666" w14:textId="77777777" w:rsidR="005F7D75" w:rsidRDefault="005F7D75" w:rsidP="00A71E8B">
      <w:pPr>
        <w:rPr>
          <w:noProof/>
        </w:rPr>
      </w:pPr>
    </w:p>
    <w:p w14:paraId="2F9BB2EC" w14:textId="77777777" w:rsidR="005F7D75" w:rsidRDefault="005F7D75" w:rsidP="00A71E8B">
      <w:pPr>
        <w:rPr>
          <w:noProof/>
        </w:rPr>
      </w:pPr>
    </w:p>
    <w:p w14:paraId="42579A28" w14:textId="77777777" w:rsidR="005F7D75" w:rsidRDefault="005F7D75" w:rsidP="00A71E8B">
      <w:pPr>
        <w:rPr>
          <w:noProof/>
        </w:rPr>
      </w:pPr>
    </w:p>
    <w:p w14:paraId="03F0D60E" w14:textId="09E1D8B5" w:rsidR="00582081" w:rsidRPr="00F52F83" w:rsidRDefault="00582081" w:rsidP="00A71E8B">
      <w:pPr>
        <w:pStyle w:val="ListParagraph"/>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38D77F26" w14:textId="4C383E09" w:rsidR="00A71E8B" w:rsidRDefault="00A71E8B">
      <w:pPr>
        <w:pStyle w:val="CommentText"/>
      </w:pPr>
      <w:r>
        <w:rPr>
          <w:rStyle w:val="CommentReference"/>
        </w:rPr>
        <w:annotationRef/>
      </w:r>
      <w:r>
        <w:t>Kindly provide reference for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D77F2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D77F26" w16cid:durableId="2D7B89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7A583" w14:textId="77777777" w:rsidR="00162B81" w:rsidRDefault="00162B81" w:rsidP="00D210FA">
      <w:pPr>
        <w:spacing w:after="0"/>
      </w:pPr>
      <w:r>
        <w:separator/>
      </w:r>
    </w:p>
  </w:endnote>
  <w:endnote w:type="continuationSeparator" w:id="0">
    <w:p w14:paraId="7DD9BB67" w14:textId="77777777" w:rsidR="00162B81" w:rsidRDefault="00162B81"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altName w:val="Century"/>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0D718" w14:textId="77777777" w:rsidR="00162B81" w:rsidRDefault="00162B81" w:rsidP="00D210FA">
      <w:pPr>
        <w:spacing w:after="0"/>
      </w:pPr>
      <w:r>
        <w:separator/>
      </w:r>
    </w:p>
  </w:footnote>
  <w:footnote w:type="continuationSeparator" w:id="0">
    <w:p w14:paraId="4E18586F" w14:textId="77777777" w:rsidR="00162B81" w:rsidRDefault="00162B81"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7215197">
    <w:abstractNumId w:val="4"/>
  </w:num>
  <w:num w:numId="2" w16cid:durableId="642857694">
    <w:abstractNumId w:val="3"/>
  </w:num>
  <w:num w:numId="3" w16cid:durableId="1684893244">
    <w:abstractNumId w:val="11"/>
  </w:num>
  <w:num w:numId="4" w16cid:durableId="225535640">
    <w:abstractNumId w:val="12"/>
  </w:num>
  <w:num w:numId="5" w16cid:durableId="39329479">
    <w:abstractNumId w:val="7"/>
  </w:num>
  <w:num w:numId="6" w16cid:durableId="1984653298">
    <w:abstractNumId w:val="6"/>
  </w:num>
  <w:num w:numId="7" w16cid:durableId="1041176043">
    <w:abstractNumId w:val="9"/>
  </w:num>
  <w:num w:numId="8" w16cid:durableId="1102337989">
    <w:abstractNumId w:val="8"/>
  </w:num>
  <w:num w:numId="9" w16cid:durableId="933635622">
    <w:abstractNumId w:val="2"/>
  </w:num>
  <w:num w:numId="10" w16cid:durableId="1923105219">
    <w:abstractNumId w:val="0"/>
  </w:num>
  <w:num w:numId="11" w16cid:durableId="178475958">
    <w:abstractNumId w:val="5"/>
  </w:num>
  <w:num w:numId="12" w16cid:durableId="99645016">
    <w:abstractNumId w:val="1"/>
  </w:num>
  <w:num w:numId="13" w16cid:durableId="1726874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047BD"/>
    <w:rsid w:val="00023293"/>
    <w:rsid w:val="00061977"/>
    <w:rsid w:val="00063B85"/>
    <w:rsid w:val="0008782A"/>
    <w:rsid w:val="000A065A"/>
    <w:rsid w:val="000E56ED"/>
    <w:rsid w:val="00106FC5"/>
    <w:rsid w:val="00120DEC"/>
    <w:rsid w:val="00123C19"/>
    <w:rsid w:val="0013572D"/>
    <w:rsid w:val="00162B81"/>
    <w:rsid w:val="00167C3A"/>
    <w:rsid w:val="00192673"/>
    <w:rsid w:val="001A2DAB"/>
    <w:rsid w:val="001C55B6"/>
    <w:rsid w:val="001D6CC4"/>
    <w:rsid w:val="001F45CA"/>
    <w:rsid w:val="00206405"/>
    <w:rsid w:val="002341AD"/>
    <w:rsid w:val="00253267"/>
    <w:rsid w:val="002823CD"/>
    <w:rsid w:val="00287787"/>
    <w:rsid w:val="00291685"/>
    <w:rsid w:val="0029329C"/>
    <w:rsid w:val="002B0A3D"/>
    <w:rsid w:val="002C0F26"/>
    <w:rsid w:val="002F26AB"/>
    <w:rsid w:val="003007A7"/>
    <w:rsid w:val="00303070"/>
    <w:rsid w:val="003257E1"/>
    <w:rsid w:val="00325DEC"/>
    <w:rsid w:val="00346FFA"/>
    <w:rsid w:val="00385494"/>
    <w:rsid w:val="003A3069"/>
    <w:rsid w:val="003C20B5"/>
    <w:rsid w:val="003E545F"/>
    <w:rsid w:val="003F03D2"/>
    <w:rsid w:val="003F1E1A"/>
    <w:rsid w:val="004045E5"/>
    <w:rsid w:val="00421496"/>
    <w:rsid w:val="00422C27"/>
    <w:rsid w:val="00427611"/>
    <w:rsid w:val="0044367C"/>
    <w:rsid w:val="0044412C"/>
    <w:rsid w:val="004642F0"/>
    <w:rsid w:val="00500564"/>
    <w:rsid w:val="0051102B"/>
    <w:rsid w:val="00516CC0"/>
    <w:rsid w:val="0054089B"/>
    <w:rsid w:val="005475F0"/>
    <w:rsid w:val="00582081"/>
    <w:rsid w:val="005838BC"/>
    <w:rsid w:val="00591402"/>
    <w:rsid w:val="005B57E1"/>
    <w:rsid w:val="005E61E0"/>
    <w:rsid w:val="005F0F31"/>
    <w:rsid w:val="005F7D75"/>
    <w:rsid w:val="006024ED"/>
    <w:rsid w:val="0061793F"/>
    <w:rsid w:val="0062123A"/>
    <w:rsid w:val="006605F8"/>
    <w:rsid w:val="006676A1"/>
    <w:rsid w:val="006833BD"/>
    <w:rsid w:val="006D2642"/>
    <w:rsid w:val="006E2D42"/>
    <w:rsid w:val="00720FEE"/>
    <w:rsid w:val="00737483"/>
    <w:rsid w:val="00764B6F"/>
    <w:rsid w:val="007A1FE9"/>
    <w:rsid w:val="007C7319"/>
    <w:rsid w:val="007D43B3"/>
    <w:rsid w:val="007D5455"/>
    <w:rsid w:val="007F20B4"/>
    <w:rsid w:val="007F525E"/>
    <w:rsid w:val="00802FF1"/>
    <w:rsid w:val="008176AA"/>
    <w:rsid w:val="0082695D"/>
    <w:rsid w:val="0083044C"/>
    <w:rsid w:val="00846694"/>
    <w:rsid w:val="00850220"/>
    <w:rsid w:val="0085182D"/>
    <w:rsid w:val="00867E5F"/>
    <w:rsid w:val="008709F5"/>
    <w:rsid w:val="00877A91"/>
    <w:rsid w:val="00884E86"/>
    <w:rsid w:val="00890534"/>
    <w:rsid w:val="00891124"/>
    <w:rsid w:val="008927FF"/>
    <w:rsid w:val="008975A3"/>
    <w:rsid w:val="008B0F18"/>
    <w:rsid w:val="008C1616"/>
    <w:rsid w:val="008E3921"/>
    <w:rsid w:val="0090027B"/>
    <w:rsid w:val="00905238"/>
    <w:rsid w:val="0094702A"/>
    <w:rsid w:val="00967DAB"/>
    <w:rsid w:val="00990E76"/>
    <w:rsid w:val="00991A53"/>
    <w:rsid w:val="00996F4E"/>
    <w:rsid w:val="009A12E9"/>
    <w:rsid w:val="009F71FE"/>
    <w:rsid w:val="00A27D8D"/>
    <w:rsid w:val="00A31F33"/>
    <w:rsid w:val="00A70A62"/>
    <w:rsid w:val="00A71DA8"/>
    <w:rsid w:val="00A71E8B"/>
    <w:rsid w:val="00A90A7A"/>
    <w:rsid w:val="00AB1210"/>
    <w:rsid w:val="00AB5409"/>
    <w:rsid w:val="00AB770D"/>
    <w:rsid w:val="00AF2088"/>
    <w:rsid w:val="00AF5FB0"/>
    <w:rsid w:val="00B0080A"/>
    <w:rsid w:val="00B0538C"/>
    <w:rsid w:val="00B376E4"/>
    <w:rsid w:val="00B37AB8"/>
    <w:rsid w:val="00B418DE"/>
    <w:rsid w:val="00B42976"/>
    <w:rsid w:val="00B47FE7"/>
    <w:rsid w:val="00B67824"/>
    <w:rsid w:val="00BE15BA"/>
    <w:rsid w:val="00C20ED0"/>
    <w:rsid w:val="00C31D85"/>
    <w:rsid w:val="00C348A8"/>
    <w:rsid w:val="00C34FA0"/>
    <w:rsid w:val="00C46111"/>
    <w:rsid w:val="00C47DCC"/>
    <w:rsid w:val="00C83332"/>
    <w:rsid w:val="00C95E04"/>
    <w:rsid w:val="00CC0A8F"/>
    <w:rsid w:val="00CC24B6"/>
    <w:rsid w:val="00CC53E6"/>
    <w:rsid w:val="00CD3A64"/>
    <w:rsid w:val="00CE08CD"/>
    <w:rsid w:val="00D0664A"/>
    <w:rsid w:val="00D210FA"/>
    <w:rsid w:val="00D30F1D"/>
    <w:rsid w:val="00D43EA5"/>
    <w:rsid w:val="00D50353"/>
    <w:rsid w:val="00D57231"/>
    <w:rsid w:val="00D751AE"/>
    <w:rsid w:val="00D87B48"/>
    <w:rsid w:val="00D91203"/>
    <w:rsid w:val="00D94FD1"/>
    <w:rsid w:val="00DC605C"/>
    <w:rsid w:val="00DF0CF5"/>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A3CC4"/>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070"/>
    <w:pPr>
      <w:spacing w:line="360" w:lineRule="auto"/>
      <w:jc w:val="both"/>
    </w:pPr>
    <w:rPr>
      <w:rFonts w:ascii="Arial" w:hAnsi="Arial"/>
      <w:sz w:val="24"/>
    </w:rPr>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CommentReference">
    <w:name w:val="annotation reference"/>
    <w:basedOn w:val="DefaultParagraphFont"/>
    <w:uiPriority w:val="99"/>
    <w:semiHidden/>
    <w:unhideWhenUsed/>
    <w:rsid w:val="00A71E8B"/>
    <w:rPr>
      <w:sz w:val="16"/>
      <w:szCs w:val="16"/>
    </w:rPr>
  </w:style>
  <w:style w:type="paragraph" w:styleId="CommentText">
    <w:name w:val="annotation text"/>
    <w:basedOn w:val="Normal"/>
    <w:link w:val="CommentTextChar"/>
    <w:uiPriority w:val="99"/>
    <w:semiHidden/>
    <w:unhideWhenUsed/>
    <w:rsid w:val="00A71E8B"/>
    <w:rPr>
      <w:sz w:val="20"/>
      <w:szCs w:val="20"/>
    </w:rPr>
  </w:style>
  <w:style w:type="character" w:customStyle="1" w:styleId="CommentTextChar">
    <w:name w:val="Comment Text Char"/>
    <w:basedOn w:val="DefaultParagraphFont"/>
    <w:link w:val="CommentText"/>
    <w:uiPriority w:val="99"/>
    <w:semiHidden/>
    <w:rsid w:val="00A71E8B"/>
    <w:rPr>
      <w:sz w:val="20"/>
      <w:szCs w:val="20"/>
    </w:rPr>
  </w:style>
  <w:style w:type="paragraph" w:styleId="CommentSubject">
    <w:name w:val="annotation subject"/>
    <w:basedOn w:val="CommentText"/>
    <w:next w:val="CommentText"/>
    <w:link w:val="CommentSubjectChar"/>
    <w:uiPriority w:val="99"/>
    <w:semiHidden/>
    <w:unhideWhenUsed/>
    <w:rsid w:val="00A71E8B"/>
    <w:rPr>
      <w:b/>
      <w:bCs/>
    </w:rPr>
  </w:style>
  <w:style w:type="character" w:customStyle="1" w:styleId="CommentSubjectChar">
    <w:name w:val="Comment Subject Char"/>
    <w:basedOn w:val="CommentTextChar"/>
    <w:link w:val="CommentSubject"/>
    <w:uiPriority w:val="99"/>
    <w:semiHidden/>
    <w:rsid w:val="00A71E8B"/>
    <w:rPr>
      <w:b/>
      <w:bCs/>
      <w:sz w:val="20"/>
      <w:szCs w:val="20"/>
    </w:rPr>
  </w:style>
  <w:style w:type="paragraph" w:styleId="BalloonText">
    <w:name w:val="Balloon Text"/>
    <w:basedOn w:val="Normal"/>
    <w:link w:val="BalloonTextChar"/>
    <w:uiPriority w:val="99"/>
    <w:semiHidden/>
    <w:unhideWhenUsed/>
    <w:rsid w:val="00A71E8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E8B"/>
    <w:rPr>
      <w:rFonts w:ascii="Segoe UI" w:hAnsi="Segoe UI" w:cs="Segoe UI"/>
      <w:sz w:val="18"/>
      <w:szCs w:val="18"/>
    </w:rPr>
  </w:style>
  <w:style w:type="paragraph" w:styleId="Caption">
    <w:name w:val="caption"/>
    <w:basedOn w:val="Normal"/>
    <w:next w:val="Normal"/>
    <w:uiPriority w:val="35"/>
    <w:semiHidden/>
    <w:unhideWhenUsed/>
    <w:qFormat/>
    <w:rsid w:val="001F45CA"/>
    <w:pPr>
      <w:spacing w:after="200"/>
    </w:pPr>
    <w:rPr>
      <w:i/>
      <w:iCs/>
      <w:color w:val="44546A" w:themeColor="text2"/>
      <w:sz w:val="18"/>
      <w:szCs w:val="18"/>
    </w:rPr>
  </w:style>
  <w:style w:type="character" w:styleId="Emphasis">
    <w:name w:val="Emphasis"/>
    <w:basedOn w:val="DefaultParagraphFont"/>
    <w:uiPriority w:val="20"/>
    <w:qFormat/>
    <w:rsid w:val="007D5455"/>
    <w:rPr>
      <w:i/>
      <w:iCs/>
    </w:rPr>
  </w:style>
  <w:style w:type="paragraph" w:customStyle="1" w:styleId="pdq2pgselectionanchorcontainer">
    <w:name w:val="pdq2pg_selectionanchorcontainer"/>
    <w:basedOn w:val="Normal"/>
    <w:rsid w:val="007D5455"/>
    <w:pPr>
      <w:spacing w:before="100" w:beforeAutospacing="1" w:after="100" w:afterAutospacing="1"/>
    </w:pPr>
    <w:rPr>
      <w:rFonts w:ascii="Times New Roman" w:eastAsia="Times New Roman" w:hAnsi="Times New Roman" w:cs="Times New Roman"/>
      <w:szCs w:val="24"/>
    </w:rPr>
  </w:style>
  <w:style w:type="paragraph" w:styleId="NormalWeb">
    <w:name w:val="Normal (Web)"/>
    <w:basedOn w:val="Normal"/>
    <w:uiPriority w:val="99"/>
    <w:semiHidden/>
    <w:unhideWhenUsed/>
    <w:rsid w:val="007D5455"/>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2489066">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Data" Target="diagrams/data1.xm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colorful2" csCatId="colorful" phldr="1"/>
      <dgm:spPr/>
      <dgm:t>
        <a:bodyPr/>
        <a:lstStyle/>
        <a:p>
          <a:endParaRPr lang="en-GB"/>
        </a:p>
      </dgm:t>
    </dgm:pt>
    <dgm:pt modelId="{D895BCAF-11FD-4161-9460-71155FF594D5}">
      <dgm:prSet/>
      <dgm:spPr/>
      <dgm:t>
        <a:bodyPr/>
        <a:lstStyle/>
        <a:p>
          <a:pPr>
            <a:lnSpc>
              <a:spcPct val="150000"/>
            </a:lnSpc>
          </a:pPr>
          <a:r>
            <a:rPr lang="en-GB" b="1" i="0">
              <a:latin typeface="Arial" panose="020B0604020202020204" pitchFamily="34" charset="0"/>
              <a:cs typeface="Arial" panose="020B0604020202020204" pitchFamily="34" charset="0"/>
            </a:rPr>
            <a:t>Respect for Intellectual Property:</a:t>
          </a:r>
          <a:endParaRPr lang="en-GB">
            <a:latin typeface="Arial" panose="020B0604020202020204" pitchFamily="34" charset="0"/>
            <a:cs typeface="Arial" panose="020B06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DD8DD7F7-557F-4529-952E-996BE575A6CC}">
      <dgm:prSet/>
      <dgm:spPr/>
      <dgm:t>
        <a:bodyPr/>
        <a:lstStyle/>
        <a:p>
          <a:pPr algn="just">
            <a:lnSpc>
              <a:spcPct val="150000"/>
            </a:lnSpc>
            <a:buNone/>
          </a:pPr>
          <a:r>
            <a:rPr lang="en-US">
              <a:latin typeface="Arial" panose="020B0604020202020204" pitchFamily="34" charset="0"/>
              <a:cs typeface="Arial" panose="020B0604020202020204" pitchFamily="34" charset="0"/>
            </a:rPr>
            <a:t>Respect for intellectual property was maintained by accurately citing and referencing all sources using Harvard referencing style (British Educational Research Association, 2024). </a:t>
          </a:r>
          <a:endParaRPr lang="en-GB" dirty="0">
            <a:latin typeface="Arial" panose="020B0604020202020204" pitchFamily="34" charset="0"/>
            <a:cs typeface="Arial" panose="020B06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D2F35989-0D76-4707-8851-E95507DAC780}">
      <dgm:prSet/>
      <dgm:spPr/>
      <dgm:t>
        <a:bodyPr/>
        <a:lstStyle/>
        <a:p>
          <a:pPr>
            <a:lnSpc>
              <a:spcPct val="150000"/>
            </a:lnSpc>
          </a:pPr>
          <a:r>
            <a:rPr lang="en-GB" b="1" i="0">
              <a:latin typeface="Arial" panose="020B0604020202020204" pitchFamily="34" charset="0"/>
              <a:cs typeface="Arial" panose="020B0604020202020204" pitchFamily="34" charset="0"/>
            </a:rPr>
            <a:t>Privacy and Confidentiality:</a:t>
          </a:r>
          <a:endParaRPr lang="en-GB">
            <a:latin typeface="Arial" panose="020B0604020202020204" pitchFamily="34" charset="0"/>
            <a:cs typeface="Arial" panose="020B06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B8AA4B07-C565-4CCF-9950-02D7DCC3515C}">
      <dgm:prSet/>
      <dgm:spPr/>
      <dgm:t>
        <a:bodyPr/>
        <a:lstStyle/>
        <a:p>
          <a:pPr algn="just">
            <a:lnSpc>
              <a:spcPct val="150000"/>
            </a:lnSpc>
            <a:buNone/>
          </a:pPr>
          <a:r>
            <a:rPr lang="en-US">
              <a:latin typeface="Arial" panose="020B0604020202020204" pitchFamily="34" charset="0"/>
              <a:cs typeface="Arial" panose="020B0604020202020204" pitchFamily="34" charset="0"/>
            </a:rPr>
            <a:t>Privacy and confidentiality were considered by ensuring that no sensitive or identifiable personal data was used within the research. As this study relied on secondary data, only publicly available and anonymised information was included. This approach ensured that individuals’ identities were protected and ethical standards relating to data protection were maintained throughout.</a:t>
          </a:r>
          <a:endParaRPr lang="en-GB">
            <a:latin typeface="Arial" panose="020B0604020202020204" pitchFamily="34" charset="0"/>
            <a:cs typeface="Arial" panose="020B06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5674B894-A55E-4559-8EA7-028C3F32E4B2}">
      <dgm:prSet/>
      <dgm:spPr/>
      <dgm:t>
        <a:bodyPr/>
        <a:lstStyle/>
        <a:p>
          <a:pPr>
            <a:lnSpc>
              <a:spcPct val="150000"/>
            </a:lnSpc>
          </a:pPr>
          <a:r>
            <a:rPr lang="en-GB" b="1" i="0">
              <a:latin typeface="Arial" panose="020B0604020202020204" pitchFamily="34" charset="0"/>
              <a:cs typeface="Arial" panose="020B0604020202020204" pitchFamily="34" charset="0"/>
            </a:rPr>
            <a:t>Data Integrity and Reliability:</a:t>
          </a:r>
          <a:r>
            <a:rPr lang="en-GB">
              <a:latin typeface="Arial" panose="020B0604020202020204" pitchFamily="34" charset="0"/>
              <a:cs typeface="Arial" panose="020B06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DED7677A-A811-4E99-A359-AF267F66CB3B}">
      <dgm:prSet/>
      <dgm:spPr/>
      <dgm:t>
        <a:bodyPr/>
        <a:lstStyle/>
        <a:p>
          <a:pPr>
            <a:lnSpc>
              <a:spcPct val="150000"/>
            </a:lnSpc>
          </a:pPr>
          <a:r>
            <a:rPr lang="en-GB" b="1" i="0" dirty="0">
              <a:latin typeface="Arial" panose="020B0604020202020204" pitchFamily="34" charset="0"/>
              <a:cs typeface="Arial" panose="020B0604020202020204" pitchFamily="34" charset="0"/>
            </a:rPr>
            <a:t>Compliance with Laws and Regulations:</a:t>
          </a:r>
          <a:endParaRPr lang="en-GB" dirty="0">
            <a:latin typeface="Arial" panose="020B0604020202020204" pitchFamily="34" charset="0"/>
            <a:cs typeface="Arial" panose="020B06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F5AC5549-675B-444B-905D-2F1D9FDC1779}">
      <dgm:prSet/>
      <dgm:spPr/>
      <dgm:t>
        <a:bodyPr/>
        <a:lstStyle/>
        <a:p>
          <a:pPr>
            <a:lnSpc>
              <a:spcPct val="150000"/>
            </a:lnSpc>
          </a:pPr>
          <a:r>
            <a:rPr lang="en-GB" b="1" i="0" dirty="0">
              <a:latin typeface="Arial" panose="020B0604020202020204" pitchFamily="34" charset="0"/>
              <a:cs typeface="Arial" panose="020B0604020202020204" pitchFamily="34" charset="0"/>
            </a:rPr>
            <a:t>Informed Consent</a:t>
          </a:r>
          <a:endParaRPr lang="en-GB" dirty="0">
            <a:latin typeface="Arial" panose="020B0604020202020204" pitchFamily="34" charset="0"/>
            <a:cs typeface="Arial" panose="020B06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31ECEDD7-80EF-414B-BE50-B610D566367B}">
      <dgm:prSet/>
      <dgm:spPr/>
      <dgm:t>
        <a:bodyPr/>
        <a:lstStyle/>
        <a:p>
          <a:pPr algn="l">
            <a:lnSpc>
              <a:spcPct val="150000"/>
            </a:lnSpc>
          </a:pPr>
          <a:endParaRPr lang="en-GB" sz="600">
            <a:latin typeface="Arial" panose="020B0604020202020204" pitchFamily="34" charset="0"/>
            <a:cs typeface="Arial" panose="020B06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7D9AB477-3831-4B66-903C-51888FAB2EF1}">
      <dgm:prSet/>
      <dgm:spPr/>
      <dgm:t>
        <a:bodyPr/>
        <a:lstStyle/>
        <a:p>
          <a:pPr algn="just">
            <a:lnSpc>
              <a:spcPct val="150000"/>
            </a:lnSpc>
            <a:buNone/>
          </a:pPr>
          <a:r>
            <a:rPr lang="en-US">
              <a:latin typeface="Arial" panose="020B0604020202020204" pitchFamily="34" charset="0"/>
              <a:cs typeface="Arial" panose="020B0604020202020204" pitchFamily="34" charset="0"/>
            </a:rPr>
            <a:t>The research complied with relevant laws and regulations governing data use, including principles aligned with GDPR. Only publicly accessible data was used, ensuring no breach of legal or ethical standards (</a:t>
          </a:r>
          <a:r>
            <a:rPr lang="en-US"/>
            <a:t>Economic and Social Research Council, 2023)</a:t>
          </a:r>
          <a:r>
            <a:rPr lang="en-US">
              <a:latin typeface="Arial" panose="020B0604020202020204" pitchFamily="34" charset="0"/>
              <a:cs typeface="Arial" panose="020B0604020202020204" pitchFamily="34" charset="0"/>
            </a:rPr>
            <a:t>. Adhering to these regulations ensured that the research process remained lawful, responsible, and aligned with accepted academic and professional guidelines.</a:t>
          </a:r>
          <a:endParaRPr lang="en-GB">
            <a:latin typeface="Arial" panose="020B0604020202020204" pitchFamily="34" charset="0"/>
            <a:cs typeface="Arial" panose="020B06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D0F2A51A-8617-4842-9A50-755676DCD3DD}">
      <dgm:prSet/>
      <dgm:spPr/>
      <dgm:t>
        <a:bodyPr/>
        <a:lstStyle/>
        <a:p>
          <a:pPr algn="just">
            <a:lnSpc>
              <a:spcPct val="150000"/>
            </a:lnSpc>
            <a:buNone/>
          </a:pPr>
          <a:r>
            <a:rPr lang="en-US">
              <a:latin typeface="Arial" panose="020B0604020202020204" pitchFamily="34" charset="0"/>
              <a:cs typeface="Arial" panose="020B0604020202020204" pitchFamily="34" charset="0"/>
            </a:rPr>
            <a:t>Although this research used secondary data, informed consent was considered by ensuring that any primary data referenced within sources had been ethically obtained. Studies included in the research were reviewed to confirm ethical approval and participant consent. This ensured that all data used complied with ethical research standards and participant rights.</a:t>
          </a:r>
          <a:endParaRPr lang="en-GB">
            <a:latin typeface="Arial" panose="020B0604020202020204" pitchFamily="34" charset="0"/>
            <a:cs typeface="Arial" panose="020B06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rial" panose="020B0604020202020204" pitchFamily="34" charset="0"/>
            <a:cs typeface="Arial" panose="020B0604020202020204" pitchFamily="34" charset="0"/>
          </a:endParaRPr>
        </a:p>
      </dgm:t>
    </dgm:pt>
    <dgm:pt modelId="{3D8E269C-D902-4533-9C8D-4F1269BF6921}">
      <dgm:prSet/>
      <dgm:spPr/>
      <dgm:t>
        <a:bodyPr/>
        <a:lstStyle/>
        <a:p>
          <a:pPr algn="just">
            <a:lnSpc>
              <a:spcPct val="150000"/>
            </a:lnSpc>
            <a:buNone/>
          </a:pPr>
          <a:r>
            <a:rPr lang="en-US">
              <a:latin typeface="Arial" panose="020B0604020202020204" pitchFamily="34" charset="0"/>
              <a:cs typeface="Arial" panose="020B0604020202020204" pitchFamily="34" charset="0"/>
            </a:rPr>
            <a:t>Proper acknowledgement was given to original authors to avoid plagiarism. Paraphrasing and quoting were done carefully to ensure ideas were not misrepresented, maintaining academic honesty and ensuring the research remained ethical and credible.</a:t>
          </a:r>
          <a:endParaRPr lang="en-GB" dirty="0">
            <a:latin typeface="Arial" panose="020B0604020202020204" pitchFamily="34" charset="0"/>
            <a:cs typeface="Arial" panose="020B0604020202020204" pitchFamily="34" charset="0"/>
          </a:endParaRPr>
        </a:p>
      </dgm:t>
    </dgm:pt>
    <dgm:pt modelId="{E2B39D06-0930-4C1A-BE04-AD36301D2B92}" type="parTrans" cxnId="{9E097FA6-E428-49CB-8256-93566C71120F}">
      <dgm:prSet/>
      <dgm:spPr/>
      <dgm:t>
        <a:bodyPr/>
        <a:lstStyle/>
        <a:p>
          <a:endParaRPr lang="en-US">
            <a:latin typeface="Arial" panose="020B0604020202020204" pitchFamily="34" charset="0"/>
            <a:cs typeface="Arial" panose="020B0604020202020204" pitchFamily="34" charset="0"/>
          </a:endParaRPr>
        </a:p>
      </dgm:t>
    </dgm:pt>
    <dgm:pt modelId="{6DE5BDC5-B107-4741-A3F7-1EC8BEAA6979}" type="sibTrans" cxnId="{9E097FA6-E428-49CB-8256-93566C71120F}">
      <dgm:prSet/>
      <dgm:spPr/>
      <dgm:t>
        <a:bodyPr/>
        <a:lstStyle/>
        <a:p>
          <a:endParaRPr lang="en-US">
            <a:latin typeface="Arial" panose="020B0604020202020204" pitchFamily="34" charset="0"/>
            <a:cs typeface="Arial" panose="020B0604020202020204" pitchFamily="34" charset="0"/>
          </a:endParaRPr>
        </a:p>
      </dgm:t>
    </dgm:pt>
    <dgm:pt modelId="{EB432868-4D22-4F5D-A916-719F92EF7AE9}">
      <dgm:prSet custT="1"/>
      <dgm:spPr/>
      <dgm:t>
        <a:bodyPr/>
        <a:lstStyle/>
        <a:p>
          <a:pPr algn="just">
            <a:buNone/>
          </a:pPr>
          <a:r>
            <a:rPr lang="en-US" sz="700">
              <a:latin typeface="Arial" panose="020B0604020202020204" pitchFamily="34" charset="0"/>
              <a:cs typeface="Arial" panose="020B0604020202020204" pitchFamily="34" charset="0"/>
            </a:rPr>
            <a:t>Data integrity and reliability were ensured by selecting credible, peer-reviewed, and authoritative sources such as government reports and academic journals. Each source was critically evaluated for accuracy and relevance (British Educational Research Association, 2024). This reduced the risk of misinformation and ensured that findings were based on trustworthy evidence, strengthening the overall validity of the research.</a:t>
          </a:r>
        </a:p>
      </dgm:t>
    </dgm:pt>
    <dgm:pt modelId="{EC4E2183-A3DE-42F7-B670-C01C23A9FB58}" type="sibTrans" cxnId="{CF43F0BF-6E87-4758-BC50-AC81B324B619}">
      <dgm:prSet/>
      <dgm:spPr/>
      <dgm:t>
        <a:bodyPr/>
        <a:lstStyle/>
        <a:p>
          <a:endParaRPr lang="en-US">
            <a:latin typeface="Arial" panose="020B0604020202020204" pitchFamily="34" charset="0"/>
            <a:cs typeface="Arial" panose="020B0604020202020204" pitchFamily="34" charset="0"/>
          </a:endParaRPr>
        </a:p>
      </dgm:t>
    </dgm:pt>
    <dgm:pt modelId="{9C780977-E22C-4702-9676-556F9FD94045}" type="parTrans" cxnId="{CF43F0BF-6E87-4758-BC50-AC81B324B619}">
      <dgm:prSet/>
      <dgm:spPr/>
      <dgm:t>
        <a:bodyPr/>
        <a:lstStyle/>
        <a:p>
          <a:endParaRPr lang="en-US">
            <a:latin typeface="Arial" panose="020B0604020202020204" pitchFamily="34" charset="0"/>
            <a:cs typeface="Arial" panose="020B06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9E097FA6-E428-49CB-8256-93566C71120F}" srcId="{D895BCAF-11FD-4161-9460-71155FF594D5}" destId="{3D8E269C-D902-4533-9C8D-4F1269BF6921}" srcOrd="1" destOrd="0" parTransId="{E2B39D06-0930-4C1A-BE04-AD36301D2B92}" sibTransId="{6DE5BDC5-B107-4741-A3F7-1EC8BEAA6979}"/>
    <dgm:cxn modelId="{BE8BA2AF-7358-466A-818A-8E689518B231}" type="presOf" srcId="{DED7677A-A811-4E99-A359-AF267F66CB3B}" destId="{4B0BA49E-53FB-4A48-8A53-1DCC68267D3A}" srcOrd="0" destOrd="0" presId="urn:microsoft.com/office/officeart/2005/8/layout/hList1"/>
    <dgm:cxn modelId="{CF43F0BF-6E87-4758-BC50-AC81B324B619}" srcId="{5674B894-A55E-4559-8EA7-028C3F32E4B2}" destId="{EB432868-4D22-4F5D-A916-719F92EF7AE9}" srcOrd="1" destOrd="0" parTransId="{9C780977-E22C-4702-9676-556F9FD94045}" sibTransId="{EC4E2183-A3DE-42F7-B670-C01C23A9FB58}"/>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AF31DFE0-B83D-41C2-9BE9-62117A503D1B}" type="presOf" srcId="{EB432868-4D22-4F5D-A916-719F92EF7AE9}" destId="{B4F89DDA-DC7D-4C4E-967D-E22B07A05DB1}" srcOrd="0" destOrd="1"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88EB1AFC-8C0D-45FF-A4AC-06489C68C9ED}" type="presOf" srcId="{3D8E269C-D902-4533-9C8D-4F1269BF6921}" destId="{0916EB88-9427-4C81-A0D0-B1BC4D25BFB9}" srcOrd="0" destOrd="1" presId="urn:microsoft.com/office/officeart/2005/8/layout/hList1"/>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135667"/>
          <a:ext cx="1596851" cy="172800"/>
        </a:xfrm>
        <a:prstGeom prst="rect">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rial" panose="020B0604020202020204" pitchFamily="34" charset="0"/>
              <a:cs typeface="Arial" panose="020B0604020202020204" pitchFamily="34" charset="0"/>
            </a:rPr>
            <a:t>Respect for Intellectual Property:</a:t>
          </a:r>
          <a:endParaRPr lang="en-GB" sz="600" kern="1200">
            <a:latin typeface="Arial" panose="020B0604020202020204" pitchFamily="34" charset="0"/>
            <a:cs typeface="Arial" panose="020B0604020202020204" pitchFamily="34" charset="0"/>
          </a:endParaRPr>
        </a:p>
      </dsp:txBody>
      <dsp:txXfrm>
        <a:off x="4165" y="135667"/>
        <a:ext cx="1596851" cy="172800"/>
      </dsp:txXfrm>
    </dsp:sp>
    <dsp:sp modelId="{0916EB88-9427-4C81-A0D0-B1BC4D25BFB9}">
      <dsp:nvSpPr>
        <dsp:cNvPr id="0" name=""/>
        <dsp:cNvSpPr/>
      </dsp:nvSpPr>
      <dsp:spPr>
        <a:xfrm>
          <a:off x="4165" y="308467"/>
          <a:ext cx="1596851" cy="167994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just" defTabSz="266700">
            <a:lnSpc>
              <a:spcPct val="150000"/>
            </a:lnSpc>
            <a:spcBef>
              <a:spcPct val="0"/>
            </a:spcBef>
            <a:spcAft>
              <a:spcPct val="15000"/>
            </a:spcAft>
            <a:buNone/>
          </a:pPr>
          <a:r>
            <a:rPr lang="en-US" sz="600" kern="1200">
              <a:latin typeface="Arial" panose="020B0604020202020204" pitchFamily="34" charset="0"/>
              <a:cs typeface="Arial" panose="020B0604020202020204" pitchFamily="34" charset="0"/>
            </a:rPr>
            <a:t>Respect for intellectual property was maintained by accurately citing and referencing all sources using Harvard referencing style (British Educational Research Association, 2024). </a:t>
          </a:r>
          <a:endParaRPr lang="en-GB" sz="600" kern="1200" dirty="0">
            <a:latin typeface="Arial" panose="020B0604020202020204" pitchFamily="34" charset="0"/>
            <a:cs typeface="Arial" panose="020B0604020202020204" pitchFamily="34" charset="0"/>
          </a:endParaRPr>
        </a:p>
        <a:p>
          <a:pPr marL="57150" lvl="1" indent="-57150" algn="just" defTabSz="266700">
            <a:lnSpc>
              <a:spcPct val="150000"/>
            </a:lnSpc>
            <a:spcBef>
              <a:spcPct val="0"/>
            </a:spcBef>
            <a:spcAft>
              <a:spcPct val="15000"/>
            </a:spcAft>
            <a:buNone/>
          </a:pPr>
          <a:r>
            <a:rPr lang="en-US" sz="600" kern="1200">
              <a:latin typeface="Arial" panose="020B0604020202020204" pitchFamily="34" charset="0"/>
              <a:cs typeface="Arial" panose="020B0604020202020204" pitchFamily="34" charset="0"/>
            </a:rPr>
            <a:t>Proper acknowledgement was given to original authors to avoid plagiarism. Paraphrasing and quoting were done carefully to ensure ideas were not misrepresented, maintaining academic honesty and ensuring the research remained ethical and credible.</a:t>
          </a:r>
          <a:endParaRPr lang="en-GB" sz="600" kern="1200" dirty="0">
            <a:latin typeface="Arial" panose="020B0604020202020204" pitchFamily="34" charset="0"/>
            <a:cs typeface="Arial" panose="020B0604020202020204" pitchFamily="34" charset="0"/>
          </a:endParaRPr>
        </a:p>
      </dsp:txBody>
      <dsp:txXfrm>
        <a:off x="4165" y="308467"/>
        <a:ext cx="1596851" cy="1679940"/>
      </dsp:txXfrm>
    </dsp:sp>
    <dsp:sp modelId="{0F07604D-46A6-4ADA-B996-B9E43A897BA8}">
      <dsp:nvSpPr>
        <dsp:cNvPr id="0" name=""/>
        <dsp:cNvSpPr/>
      </dsp:nvSpPr>
      <dsp:spPr>
        <a:xfrm>
          <a:off x="1824576" y="135667"/>
          <a:ext cx="1596851" cy="172800"/>
        </a:xfrm>
        <a:prstGeom prst="rect">
          <a:avLst/>
        </a:prstGeom>
        <a:solidFill>
          <a:schemeClr val="accent2">
            <a:hueOff val="-363841"/>
            <a:satOff val="-20982"/>
            <a:lumOff val="2157"/>
            <a:alphaOff val="0"/>
          </a:schemeClr>
        </a:solidFill>
        <a:ln w="12700" cap="flat" cmpd="sng" algn="ctr">
          <a:solidFill>
            <a:schemeClr val="accent2">
              <a:hueOff val="-363841"/>
              <a:satOff val="-20982"/>
              <a:lumOff val="215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rial" panose="020B0604020202020204" pitchFamily="34" charset="0"/>
              <a:cs typeface="Arial" panose="020B0604020202020204" pitchFamily="34" charset="0"/>
            </a:rPr>
            <a:t>Privacy and Confidentiality:</a:t>
          </a:r>
          <a:endParaRPr lang="en-GB" sz="600" kern="1200">
            <a:latin typeface="Arial" panose="020B0604020202020204" pitchFamily="34" charset="0"/>
            <a:cs typeface="Arial" panose="020B0604020202020204" pitchFamily="34" charset="0"/>
          </a:endParaRPr>
        </a:p>
      </dsp:txBody>
      <dsp:txXfrm>
        <a:off x="1824576" y="135667"/>
        <a:ext cx="1596851" cy="172800"/>
      </dsp:txXfrm>
    </dsp:sp>
    <dsp:sp modelId="{D9C43641-36D4-43D5-A2FD-0F9F6D2C43BC}">
      <dsp:nvSpPr>
        <dsp:cNvPr id="0" name=""/>
        <dsp:cNvSpPr/>
      </dsp:nvSpPr>
      <dsp:spPr>
        <a:xfrm>
          <a:off x="1824576" y="308467"/>
          <a:ext cx="1596851" cy="1679940"/>
        </a:xfrm>
        <a:prstGeom prst="rect">
          <a:avLst/>
        </a:prstGeom>
        <a:solidFill>
          <a:schemeClr val="accent2">
            <a:tint val="40000"/>
            <a:alpha val="90000"/>
            <a:hueOff val="-212306"/>
            <a:satOff val="-18836"/>
            <a:lumOff val="-192"/>
            <a:alphaOff val="0"/>
          </a:schemeClr>
        </a:solidFill>
        <a:ln w="12700" cap="flat" cmpd="sng" algn="ctr">
          <a:solidFill>
            <a:schemeClr val="accent2">
              <a:tint val="40000"/>
              <a:alpha val="90000"/>
              <a:hueOff val="-212306"/>
              <a:satOff val="-18836"/>
              <a:lumOff val="-19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just" defTabSz="266700">
            <a:lnSpc>
              <a:spcPct val="150000"/>
            </a:lnSpc>
            <a:spcBef>
              <a:spcPct val="0"/>
            </a:spcBef>
            <a:spcAft>
              <a:spcPct val="15000"/>
            </a:spcAft>
            <a:buNone/>
          </a:pPr>
          <a:r>
            <a:rPr lang="en-US" sz="600" kern="1200">
              <a:latin typeface="Arial" panose="020B0604020202020204" pitchFamily="34" charset="0"/>
              <a:cs typeface="Arial" panose="020B0604020202020204" pitchFamily="34" charset="0"/>
            </a:rPr>
            <a:t>Privacy and confidentiality were considered by ensuring that no sensitive or identifiable personal data was used within the research. As this study relied on secondary data, only publicly available and anonymised information was included. This approach ensured that individuals’ identities were protected and ethical standards relating to data protection were maintained throughout.</a:t>
          </a:r>
          <a:endParaRPr lang="en-GB" sz="600" kern="1200">
            <a:latin typeface="Arial" panose="020B0604020202020204" pitchFamily="34" charset="0"/>
            <a:cs typeface="Arial" panose="020B0604020202020204" pitchFamily="34" charset="0"/>
          </a:endParaRPr>
        </a:p>
      </dsp:txBody>
      <dsp:txXfrm>
        <a:off x="1824576" y="308467"/>
        <a:ext cx="1596851" cy="1679940"/>
      </dsp:txXfrm>
    </dsp:sp>
    <dsp:sp modelId="{594F44BC-596E-4978-9BF4-2F7DCCF10A7F}">
      <dsp:nvSpPr>
        <dsp:cNvPr id="0" name=""/>
        <dsp:cNvSpPr/>
      </dsp:nvSpPr>
      <dsp:spPr>
        <a:xfrm>
          <a:off x="3644986" y="135667"/>
          <a:ext cx="1596851" cy="172800"/>
        </a:xfrm>
        <a:prstGeom prst="rect">
          <a:avLst/>
        </a:prstGeom>
        <a:solidFill>
          <a:schemeClr val="accent2">
            <a:hueOff val="-727682"/>
            <a:satOff val="-41964"/>
            <a:lumOff val="4314"/>
            <a:alphaOff val="0"/>
          </a:schemeClr>
        </a:solidFill>
        <a:ln w="12700" cap="flat" cmpd="sng" algn="ctr">
          <a:solidFill>
            <a:schemeClr val="accent2">
              <a:hueOff val="-727682"/>
              <a:satOff val="-41964"/>
              <a:lumOff val="431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rial" panose="020B0604020202020204" pitchFamily="34" charset="0"/>
              <a:cs typeface="Arial" panose="020B0604020202020204" pitchFamily="34" charset="0"/>
            </a:rPr>
            <a:t>Data Integrity and Reliability:</a:t>
          </a:r>
          <a:r>
            <a:rPr lang="en-GB" sz="600" kern="1200">
              <a:latin typeface="Arial" panose="020B0604020202020204" pitchFamily="34" charset="0"/>
              <a:cs typeface="Arial" panose="020B0604020202020204" pitchFamily="34" charset="0"/>
            </a:rPr>
            <a:t> </a:t>
          </a:r>
        </a:p>
      </dsp:txBody>
      <dsp:txXfrm>
        <a:off x="3644986" y="135667"/>
        <a:ext cx="1596851" cy="172800"/>
      </dsp:txXfrm>
    </dsp:sp>
    <dsp:sp modelId="{B4F89DDA-DC7D-4C4E-967D-E22B07A05DB1}">
      <dsp:nvSpPr>
        <dsp:cNvPr id="0" name=""/>
        <dsp:cNvSpPr/>
      </dsp:nvSpPr>
      <dsp:spPr>
        <a:xfrm>
          <a:off x="3644986" y="308467"/>
          <a:ext cx="1596851" cy="1679940"/>
        </a:xfrm>
        <a:prstGeom prst="rect">
          <a:avLst/>
        </a:prstGeom>
        <a:solidFill>
          <a:schemeClr val="accent2">
            <a:tint val="40000"/>
            <a:alpha val="90000"/>
            <a:hueOff val="-424613"/>
            <a:satOff val="-37673"/>
            <a:lumOff val="-385"/>
            <a:alphaOff val="0"/>
          </a:schemeClr>
        </a:solidFill>
        <a:ln w="12700" cap="flat" cmpd="sng" algn="ctr">
          <a:solidFill>
            <a:schemeClr val="accent2">
              <a:tint val="40000"/>
              <a:alpha val="90000"/>
              <a:hueOff val="-424613"/>
              <a:satOff val="-37673"/>
              <a:lumOff val="-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7338" tIns="37338" rIns="49784" bIns="56007" numCol="1" spcCol="1270" anchor="t" anchorCtr="0">
          <a:noAutofit/>
        </a:bodyPr>
        <a:lstStyle/>
        <a:p>
          <a:pPr marL="57150" lvl="1" indent="-57150" algn="l" defTabSz="266700">
            <a:lnSpc>
              <a:spcPct val="150000"/>
            </a:lnSpc>
            <a:spcBef>
              <a:spcPct val="0"/>
            </a:spcBef>
            <a:spcAft>
              <a:spcPct val="15000"/>
            </a:spcAft>
            <a:buChar char="•"/>
          </a:pPr>
          <a:endParaRPr lang="en-GB" sz="600" kern="1200">
            <a:latin typeface="Arial" panose="020B0604020202020204" pitchFamily="34" charset="0"/>
            <a:cs typeface="Arial" panose="020B0604020202020204" pitchFamily="34" charset="0"/>
          </a:endParaRPr>
        </a:p>
        <a:p>
          <a:pPr marL="57150" lvl="1" indent="-57150" algn="just" defTabSz="311150">
            <a:lnSpc>
              <a:spcPct val="90000"/>
            </a:lnSpc>
            <a:spcBef>
              <a:spcPct val="0"/>
            </a:spcBef>
            <a:spcAft>
              <a:spcPct val="15000"/>
            </a:spcAft>
            <a:buNone/>
          </a:pPr>
          <a:r>
            <a:rPr lang="en-US" sz="700" kern="1200">
              <a:latin typeface="Arial" panose="020B0604020202020204" pitchFamily="34" charset="0"/>
              <a:cs typeface="Arial" panose="020B0604020202020204" pitchFamily="34" charset="0"/>
            </a:rPr>
            <a:t>Data integrity and reliability were ensured by selecting credible, peer-reviewed, and authoritative sources such as government reports and academic journals. Each source was critically evaluated for accuracy and relevance (British Educational Research Association, 2024). This reduced the risk of misinformation and ensured that findings were based on trustworthy evidence, strengthening the overall validity of the research.</a:t>
          </a:r>
        </a:p>
      </dsp:txBody>
      <dsp:txXfrm>
        <a:off x="3644986" y="308467"/>
        <a:ext cx="1596851" cy="1679940"/>
      </dsp:txXfrm>
    </dsp:sp>
    <dsp:sp modelId="{4B0BA49E-53FB-4A48-8A53-1DCC68267D3A}">
      <dsp:nvSpPr>
        <dsp:cNvPr id="0" name=""/>
        <dsp:cNvSpPr/>
      </dsp:nvSpPr>
      <dsp:spPr>
        <a:xfrm>
          <a:off x="5465397" y="135667"/>
          <a:ext cx="1596851" cy="172800"/>
        </a:xfrm>
        <a:prstGeom prst="rect">
          <a:avLst/>
        </a:prstGeom>
        <a:solidFill>
          <a:schemeClr val="accent2">
            <a:hueOff val="-1091522"/>
            <a:satOff val="-62946"/>
            <a:lumOff val="6471"/>
            <a:alphaOff val="0"/>
          </a:schemeClr>
        </a:solidFill>
        <a:ln w="12700" cap="flat" cmpd="sng" algn="ctr">
          <a:solidFill>
            <a:schemeClr val="accent2">
              <a:hueOff val="-1091522"/>
              <a:satOff val="-62946"/>
              <a:lumOff val="647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rial" panose="020B0604020202020204" pitchFamily="34" charset="0"/>
              <a:cs typeface="Arial" panose="020B0604020202020204" pitchFamily="34" charset="0"/>
            </a:rPr>
            <a:t>Compliance with Laws and Regulations:</a:t>
          </a:r>
          <a:endParaRPr lang="en-GB" sz="600" kern="1200" dirty="0">
            <a:latin typeface="Arial" panose="020B0604020202020204" pitchFamily="34" charset="0"/>
            <a:cs typeface="Arial" panose="020B0604020202020204" pitchFamily="34" charset="0"/>
          </a:endParaRPr>
        </a:p>
      </dsp:txBody>
      <dsp:txXfrm>
        <a:off x="5465397" y="135667"/>
        <a:ext cx="1596851" cy="172800"/>
      </dsp:txXfrm>
    </dsp:sp>
    <dsp:sp modelId="{0426731F-8A3C-42F1-804E-8F6D7BF28D02}">
      <dsp:nvSpPr>
        <dsp:cNvPr id="0" name=""/>
        <dsp:cNvSpPr/>
      </dsp:nvSpPr>
      <dsp:spPr>
        <a:xfrm>
          <a:off x="5465397" y="308467"/>
          <a:ext cx="1596851" cy="1679940"/>
        </a:xfrm>
        <a:prstGeom prst="rect">
          <a:avLst/>
        </a:prstGeom>
        <a:solidFill>
          <a:schemeClr val="accent2">
            <a:tint val="40000"/>
            <a:alpha val="90000"/>
            <a:hueOff val="-636919"/>
            <a:satOff val="-56510"/>
            <a:lumOff val="-577"/>
            <a:alphaOff val="0"/>
          </a:schemeClr>
        </a:solidFill>
        <a:ln w="12700" cap="flat" cmpd="sng" algn="ctr">
          <a:solidFill>
            <a:schemeClr val="accent2">
              <a:tint val="40000"/>
              <a:alpha val="90000"/>
              <a:hueOff val="-636919"/>
              <a:satOff val="-56510"/>
              <a:lumOff val="-5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just" defTabSz="266700">
            <a:lnSpc>
              <a:spcPct val="150000"/>
            </a:lnSpc>
            <a:spcBef>
              <a:spcPct val="0"/>
            </a:spcBef>
            <a:spcAft>
              <a:spcPct val="15000"/>
            </a:spcAft>
            <a:buNone/>
          </a:pPr>
          <a:r>
            <a:rPr lang="en-US" sz="600" kern="1200">
              <a:latin typeface="Arial" panose="020B0604020202020204" pitchFamily="34" charset="0"/>
              <a:cs typeface="Arial" panose="020B0604020202020204" pitchFamily="34" charset="0"/>
            </a:rPr>
            <a:t>The research complied with relevant laws and regulations governing data use, including principles aligned with GDPR. Only publicly accessible data was used, ensuring no breach of legal or ethical standards (</a:t>
          </a:r>
          <a:r>
            <a:rPr lang="en-US" sz="600" kern="1200"/>
            <a:t>Economic and Social Research Council, 2023)</a:t>
          </a:r>
          <a:r>
            <a:rPr lang="en-US" sz="600" kern="1200">
              <a:latin typeface="Arial" panose="020B0604020202020204" pitchFamily="34" charset="0"/>
              <a:cs typeface="Arial" panose="020B0604020202020204" pitchFamily="34" charset="0"/>
            </a:rPr>
            <a:t>. Adhering to these regulations ensured that the research process remained lawful, responsible, and aligned with accepted academic and professional guidelines.</a:t>
          </a:r>
          <a:endParaRPr lang="en-GB" sz="600" kern="1200">
            <a:latin typeface="Arial" panose="020B0604020202020204" pitchFamily="34" charset="0"/>
            <a:cs typeface="Arial" panose="020B0604020202020204" pitchFamily="34" charset="0"/>
          </a:endParaRPr>
        </a:p>
      </dsp:txBody>
      <dsp:txXfrm>
        <a:off x="5465397" y="308467"/>
        <a:ext cx="1596851" cy="1679940"/>
      </dsp:txXfrm>
    </dsp:sp>
    <dsp:sp modelId="{527B8B4B-D6E7-4EB7-86F6-6A7D2579D756}">
      <dsp:nvSpPr>
        <dsp:cNvPr id="0" name=""/>
        <dsp:cNvSpPr/>
      </dsp:nvSpPr>
      <dsp:spPr>
        <a:xfrm>
          <a:off x="7285807" y="135667"/>
          <a:ext cx="1596851" cy="172800"/>
        </a:xfrm>
        <a:prstGeom prst="rect">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rial" panose="020B0604020202020204" pitchFamily="34" charset="0"/>
              <a:cs typeface="Arial" panose="020B0604020202020204" pitchFamily="34" charset="0"/>
            </a:rPr>
            <a:t>Informed Consent</a:t>
          </a:r>
          <a:endParaRPr lang="en-GB" sz="600" kern="1200" dirty="0">
            <a:latin typeface="Arial" panose="020B0604020202020204" pitchFamily="34" charset="0"/>
            <a:cs typeface="Arial" panose="020B0604020202020204" pitchFamily="34" charset="0"/>
          </a:endParaRPr>
        </a:p>
      </dsp:txBody>
      <dsp:txXfrm>
        <a:off x="7285807" y="135667"/>
        <a:ext cx="1596851" cy="172800"/>
      </dsp:txXfrm>
    </dsp:sp>
    <dsp:sp modelId="{3FAC58C7-563C-4DE2-B8E2-03C2F5DF4A75}">
      <dsp:nvSpPr>
        <dsp:cNvPr id="0" name=""/>
        <dsp:cNvSpPr/>
      </dsp:nvSpPr>
      <dsp:spPr>
        <a:xfrm>
          <a:off x="7285807" y="308467"/>
          <a:ext cx="1596851" cy="1679940"/>
        </a:xfrm>
        <a:prstGeom prst="rect">
          <a:avLst/>
        </a:prstGeom>
        <a:solidFill>
          <a:schemeClr val="accent2">
            <a:tint val="40000"/>
            <a:alpha val="90000"/>
            <a:hueOff val="-849226"/>
            <a:satOff val="-75346"/>
            <a:lumOff val="-769"/>
            <a:alphaOff val="0"/>
          </a:schemeClr>
        </a:solidFill>
        <a:ln w="12700" cap="flat" cmpd="sng" algn="ctr">
          <a:solidFill>
            <a:schemeClr val="accent2">
              <a:tint val="40000"/>
              <a:alpha val="90000"/>
              <a:hueOff val="-849226"/>
              <a:satOff val="-75346"/>
              <a:lumOff val="-76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just" defTabSz="266700">
            <a:lnSpc>
              <a:spcPct val="150000"/>
            </a:lnSpc>
            <a:spcBef>
              <a:spcPct val="0"/>
            </a:spcBef>
            <a:spcAft>
              <a:spcPct val="15000"/>
            </a:spcAft>
            <a:buNone/>
          </a:pPr>
          <a:r>
            <a:rPr lang="en-US" sz="600" kern="1200">
              <a:latin typeface="Arial" panose="020B0604020202020204" pitchFamily="34" charset="0"/>
              <a:cs typeface="Arial" panose="020B0604020202020204" pitchFamily="34" charset="0"/>
            </a:rPr>
            <a:t>Although this research used secondary data, informed consent was considered by ensuring that any primary data referenced within sources had been ethically obtained. Studies included in the research were reviewed to confirm ethical approval and participant consent. This ensured that all data used complied with ethical research standards and participant rights.</a:t>
          </a:r>
          <a:endParaRPr lang="en-GB" sz="600" kern="1200">
            <a:latin typeface="Arial" panose="020B0604020202020204" pitchFamily="34" charset="0"/>
            <a:cs typeface="Arial" panose="020B0604020202020204" pitchFamily="34" charset="0"/>
          </a:endParaRPr>
        </a:p>
      </dsp:txBody>
      <dsp:txXfrm>
        <a:off x="7285807" y="308467"/>
        <a:ext cx="1596851" cy="167994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1500B7-DA8A-4EEA-BDD0-4C5616FB44D9}">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2026-07-15T05:08:00Z</dcterms:created>
  <dcterms:modified xsi:type="dcterms:W3CDTF">2026-07-15T05:14:00Z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822cf3fb-c507-4293-a2e3-b5111069e283</vt:lpwstr>
  </property>
</Properties>
</file>