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0115B68" w14:textId="0D9F04F5" w:rsidR="003C68E9" w:rsidRPr="00FE0BC5" w:rsidRDefault="00FE0BC5" w:rsidP="00FE0BC5">
      <w:pPr>
        <w:jc w:val="center"/>
        <w:rPr>
          <w:b/>
          <w:bCs/>
        </w:rPr>
      </w:pPr>
      <w:r w:rsidRPr="00FE0BC5">
        <w:rPr>
          <w:b/>
          <w:bCs/>
        </w:rPr>
        <w:t>Assignment K Solution Sheet</w:t>
      </w:r>
      <w:r w:rsidRPr="00FE0BC5">
        <w:rPr>
          <w:b/>
          <w:bCs/>
        </w:rPr>
        <w:br/>
      </w:r>
    </w:p>
    <w:p w14:paraId="4A8DF830" w14:textId="77777777" w:rsidR="00C20477" w:rsidRPr="00C20477" w:rsidRDefault="00000000" w:rsidP="00C20477">
      <w:pPr>
        <w:rPr>
          <w:lang w:val="en-GB"/>
        </w:rPr>
      </w:pPr>
      <w:r>
        <w:rPr>
          <w:lang w:val="en-GB"/>
        </w:rPr>
        <w:pict w14:anchorId="771E991F">
          <v:rect id="_x0000_i1025" style="width:0;height:1.5pt" o:hralign="center" o:hrstd="t" o:hr="t" fillcolor="#a0a0a0" stroked="f"/>
        </w:pict>
      </w:r>
    </w:p>
    <w:p w14:paraId="43771830" w14:textId="77777777" w:rsidR="00C20477" w:rsidRPr="00C20477" w:rsidRDefault="00C20477" w:rsidP="00C20477">
      <w:pPr>
        <w:rPr>
          <w:b/>
          <w:bCs/>
          <w:lang w:val="en-GB"/>
        </w:rPr>
      </w:pPr>
      <w:r w:rsidRPr="00C20477">
        <w:rPr>
          <w:b/>
          <w:bCs/>
          <w:lang w:val="en-GB"/>
        </w:rPr>
        <w:t>Use of this sheet</w:t>
      </w:r>
    </w:p>
    <w:p w14:paraId="4AE7BF9B" w14:textId="77777777" w:rsidR="00C20477" w:rsidRPr="00C20477" w:rsidRDefault="00C20477" w:rsidP="00C20477">
      <w:pPr>
        <w:rPr>
          <w:lang w:val="en-GB"/>
        </w:rPr>
      </w:pPr>
      <w:r w:rsidRPr="00C20477">
        <w:rPr>
          <w:lang w:val="en-GB"/>
        </w:rPr>
        <w:t>This is an indicative staff solution. Credit equivalent scientifically defensible approaches, provided assumptions are stated and calculations are internally consistent.</w:t>
      </w:r>
    </w:p>
    <w:p w14:paraId="37AE72CD" w14:textId="77777777" w:rsidR="00C20477" w:rsidRPr="00C20477" w:rsidRDefault="00C20477" w:rsidP="00C20477">
      <w:pPr>
        <w:rPr>
          <w:lang w:val="en-GB"/>
        </w:rPr>
      </w:pPr>
      <w:r w:rsidRPr="00C20477">
        <w:rPr>
          <w:lang w:val="en-GB"/>
        </w:rPr>
        <w:t>Numerical agreement with dosimetry does not need to be exact. Order-of-magnitude correctness and a well-defended reconstruction are the key assessment criteria.</w:t>
      </w:r>
    </w:p>
    <w:p w14:paraId="3A7705FA" w14:textId="77777777" w:rsidR="00C20477" w:rsidRPr="00C20477" w:rsidRDefault="00000000" w:rsidP="00C20477">
      <w:pPr>
        <w:rPr>
          <w:lang w:val="en-GB"/>
        </w:rPr>
      </w:pPr>
      <w:r>
        <w:rPr>
          <w:lang w:val="en-GB"/>
        </w:rPr>
        <w:pict w14:anchorId="6BE524A8">
          <v:rect id="_x0000_i1026" style="width:0;height:1.5pt" o:hralign="center" o:hrstd="t" o:hr="t" fillcolor="#a0a0a0" stroked="f"/>
        </w:pict>
      </w:r>
    </w:p>
    <w:p w14:paraId="032D2A0E" w14:textId="77777777" w:rsidR="00C20477" w:rsidRPr="00C20477" w:rsidRDefault="00C20477" w:rsidP="00C20477">
      <w:pPr>
        <w:rPr>
          <w:b/>
          <w:bCs/>
          <w:lang w:val="en-GB"/>
        </w:rPr>
      </w:pPr>
      <w:r w:rsidRPr="00C20477">
        <w:rPr>
          <w:b/>
          <w:bCs/>
          <w:lang w:val="en-GB"/>
        </w:rPr>
        <w:t>Key indicative numerical answers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3021"/>
        <w:gridCol w:w="2582"/>
        <w:gridCol w:w="3037"/>
      </w:tblGrid>
      <w:tr w:rsidR="00C20477" w:rsidRPr="00C20477" w14:paraId="2C287A4C" w14:textId="77777777">
        <w:trPr>
          <w:tblHeader/>
          <w:tblCellSpacing w:w="15" w:type="dxa"/>
        </w:trPr>
        <w:tc>
          <w:tcPr>
            <w:tcW w:w="0" w:type="auto"/>
            <w:vAlign w:val="center"/>
            <w:hideMark/>
          </w:tcPr>
          <w:p w14:paraId="76B31394" w14:textId="77777777" w:rsidR="00C20477" w:rsidRPr="00C20477" w:rsidRDefault="00C20477" w:rsidP="00C20477">
            <w:pPr>
              <w:rPr>
                <w:b/>
                <w:bCs/>
                <w:lang w:val="en-GB"/>
              </w:rPr>
            </w:pPr>
            <w:r w:rsidRPr="00C20477">
              <w:rPr>
                <w:b/>
                <w:bCs/>
                <w:lang w:val="en-GB"/>
              </w:rPr>
              <w:t>Quantity</w:t>
            </w:r>
          </w:p>
        </w:tc>
        <w:tc>
          <w:tcPr>
            <w:tcW w:w="0" w:type="auto"/>
            <w:vAlign w:val="center"/>
            <w:hideMark/>
          </w:tcPr>
          <w:p w14:paraId="4F031352" w14:textId="77777777" w:rsidR="00C20477" w:rsidRPr="00C20477" w:rsidRDefault="00C20477" w:rsidP="00C20477">
            <w:pPr>
              <w:rPr>
                <w:b/>
                <w:bCs/>
                <w:lang w:val="en-GB"/>
              </w:rPr>
            </w:pPr>
            <w:r w:rsidRPr="00C20477">
              <w:rPr>
                <w:b/>
                <w:bCs/>
                <w:lang w:val="en-GB"/>
              </w:rPr>
              <w:t>Indicative value</w:t>
            </w:r>
          </w:p>
        </w:tc>
        <w:tc>
          <w:tcPr>
            <w:tcW w:w="0" w:type="auto"/>
            <w:vAlign w:val="center"/>
            <w:hideMark/>
          </w:tcPr>
          <w:p w14:paraId="4409199D" w14:textId="77777777" w:rsidR="00C20477" w:rsidRPr="00C20477" w:rsidRDefault="00C20477" w:rsidP="00C20477">
            <w:pPr>
              <w:rPr>
                <w:b/>
                <w:bCs/>
                <w:lang w:val="en-GB"/>
              </w:rPr>
            </w:pPr>
            <w:r w:rsidRPr="00C20477">
              <w:rPr>
                <w:b/>
                <w:bCs/>
                <w:lang w:val="en-GB"/>
              </w:rPr>
              <w:t>Marker note</w:t>
            </w:r>
          </w:p>
        </w:tc>
      </w:tr>
      <w:tr w:rsidR="00C20477" w:rsidRPr="00C20477" w14:paraId="27DB4D58" w14:textId="77777777">
        <w:trPr>
          <w:tblCellSpacing w:w="15" w:type="dxa"/>
        </w:trPr>
        <w:tc>
          <w:tcPr>
            <w:tcW w:w="0" w:type="auto"/>
            <w:vAlign w:val="center"/>
            <w:hideMark/>
          </w:tcPr>
          <w:p w14:paraId="27E87C6B" w14:textId="77777777" w:rsidR="00C20477" w:rsidRPr="00C20477" w:rsidRDefault="00C20477" w:rsidP="00C20477">
            <w:pPr>
              <w:rPr>
                <w:lang w:val="en-GB"/>
              </w:rPr>
            </w:pPr>
            <w:r w:rsidRPr="00C20477">
              <w:rPr>
                <w:lang w:val="en-GB"/>
              </w:rPr>
              <w:t>Source activity on 14 Feb 2025</w:t>
            </w:r>
          </w:p>
        </w:tc>
        <w:tc>
          <w:tcPr>
            <w:tcW w:w="0" w:type="auto"/>
            <w:vAlign w:val="center"/>
            <w:hideMark/>
          </w:tcPr>
          <w:p w14:paraId="1CF9E14D" w14:textId="77777777" w:rsidR="00C20477" w:rsidRPr="00C20477" w:rsidRDefault="00C20477" w:rsidP="00C20477">
            <w:pPr>
              <w:rPr>
                <w:lang w:val="en-GB"/>
              </w:rPr>
            </w:pPr>
            <w:r w:rsidRPr="00C20477">
              <w:rPr>
                <w:lang w:val="en-GB"/>
              </w:rPr>
              <w:t>≈ 0.32–0.34 PBq</w:t>
            </w:r>
          </w:p>
        </w:tc>
        <w:tc>
          <w:tcPr>
            <w:tcW w:w="0" w:type="auto"/>
            <w:vAlign w:val="center"/>
            <w:hideMark/>
          </w:tcPr>
          <w:p w14:paraId="394504F0" w14:textId="77777777" w:rsidR="00C20477" w:rsidRPr="00C20477" w:rsidRDefault="00C20477" w:rsidP="00C20477">
            <w:pPr>
              <w:rPr>
                <w:lang w:val="en-GB"/>
              </w:rPr>
            </w:pPr>
            <w:r w:rsidRPr="00C20477">
              <w:rPr>
                <w:lang w:val="en-GB"/>
              </w:rPr>
              <w:t>Accept reasonable rounding</w:t>
            </w:r>
          </w:p>
        </w:tc>
      </w:tr>
      <w:tr w:rsidR="00C20477" w:rsidRPr="00C20477" w14:paraId="0F3ADC73" w14:textId="77777777">
        <w:trPr>
          <w:tblCellSpacing w:w="15" w:type="dxa"/>
        </w:trPr>
        <w:tc>
          <w:tcPr>
            <w:tcW w:w="0" w:type="auto"/>
            <w:vAlign w:val="center"/>
            <w:hideMark/>
          </w:tcPr>
          <w:p w14:paraId="233300DD" w14:textId="77777777" w:rsidR="00C20477" w:rsidRPr="00C20477" w:rsidRDefault="00C20477" w:rsidP="00C20477">
            <w:pPr>
              <w:rPr>
                <w:lang w:val="en-GB"/>
              </w:rPr>
            </w:pPr>
            <w:r w:rsidRPr="00C20477">
              <w:rPr>
                <w:lang w:val="en-GB"/>
              </w:rPr>
              <w:t>Unshielded dose rate at 1.5 m</w:t>
            </w:r>
          </w:p>
        </w:tc>
        <w:tc>
          <w:tcPr>
            <w:tcW w:w="0" w:type="auto"/>
            <w:vAlign w:val="center"/>
            <w:hideMark/>
          </w:tcPr>
          <w:p w14:paraId="76B4D43B" w14:textId="77777777" w:rsidR="00C20477" w:rsidRPr="00C20477" w:rsidRDefault="00C20477" w:rsidP="00C20477">
            <w:pPr>
              <w:rPr>
                <w:lang w:val="en-GB"/>
              </w:rPr>
            </w:pPr>
            <w:r w:rsidRPr="00C20477">
              <w:rPr>
                <w:lang w:val="en-GB"/>
              </w:rPr>
              <w:t>≈ 49–53 Sv h</w:t>
            </w:r>
            <w:r w:rsidRPr="00C20477">
              <w:rPr>
                <w:rFonts w:ascii="Cambria Math" w:hAnsi="Cambria Math" w:cs="Cambria Math"/>
                <w:lang w:val="en-GB"/>
              </w:rPr>
              <w:t>⁻</w:t>
            </w:r>
            <w:r w:rsidRPr="00C20477">
              <w:rPr>
                <w:rFonts w:cs="Arial"/>
                <w:lang w:val="en-GB"/>
              </w:rPr>
              <w:t>¹</w:t>
            </w:r>
          </w:p>
        </w:tc>
        <w:tc>
          <w:tcPr>
            <w:tcW w:w="0" w:type="auto"/>
            <w:vAlign w:val="center"/>
            <w:hideMark/>
          </w:tcPr>
          <w:p w14:paraId="123ED33F" w14:textId="77777777" w:rsidR="00C20477" w:rsidRPr="00C20477" w:rsidRDefault="00C20477" w:rsidP="00C20477">
            <w:pPr>
              <w:rPr>
                <w:lang w:val="en-GB"/>
              </w:rPr>
            </w:pPr>
            <w:r w:rsidRPr="00C20477">
              <w:rPr>
                <w:lang w:val="en-GB"/>
              </w:rPr>
              <w:t>Using Γ ≈ 0.35 mSv m² GBq</w:t>
            </w:r>
            <w:r w:rsidRPr="00C20477">
              <w:rPr>
                <w:rFonts w:ascii="Cambria Math" w:hAnsi="Cambria Math" w:cs="Cambria Math"/>
                <w:lang w:val="en-GB"/>
              </w:rPr>
              <w:t>⁻</w:t>
            </w:r>
            <w:r w:rsidRPr="00C20477">
              <w:rPr>
                <w:rFonts w:cs="Arial"/>
                <w:lang w:val="en-GB"/>
              </w:rPr>
              <w:t>¹</w:t>
            </w:r>
            <w:r w:rsidRPr="00C20477">
              <w:rPr>
                <w:lang w:val="en-GB"/>
              </w:rPr>
              <w:t xml:space="preserve"> h</w:t>
            </w:r>
            <w:r w:rsidRPr="00C20477">
              <w:rPr>
                <w:rFonts w:ascii="Cambria Math" w:hAnsi="Cambria Math" w:cs="Cambria Math"/>
                <w:lang w:val="en-GB"/>
              </w:rPr>
              <w:t>⁻</w:t>
            </w:r>
            <w:r w:rsidRPr="00C20477">
              <w:rPr>
                <w:rFonts w:cs="Arial"/>
                <w:lang w:val="en-GB"/>
              </w:rPr>
              <w:t>¹</w:t>
            </w:r>
          </w:p>
        </w:tc>
      </w:tr>
      <w:tr w:rsidR="00C20477" w:rsidRPr="00C20477" w14:paraId="708690C1" w14:textId="77777777">
        <w:trPr>
          <w:tblCellSpacing w:w="15" w:type="dxa"/>
        </w:trPr>
        <w:tc>
          <w:tcPr>
            <w:tcW w:w="0" w:type="auto"/>
            <w:vAlign w:val="center"/>
            <w:hideMark/>
          </w:tcPr>
          <w:p w14:paraId="6027E2F8" w14:textId="77777777" w:rsidR="00C20477" w:rsidRPr="00C20477" w:rsidRDefault="00C20477" w:rsidP="00C20477">
            <w:pPr>
              <w:rPr>
                <w:lang w:val="en-GB"/>
              </w:rPr>
            </w:pPr>
            <w:r w:rsidRPr="00C20477">
              <w:rPr>
                <w:lang w:val="en-GB"/>
              </w:rPr>
              <w:t>Shielding reduction by 0.60 m water</w:t>
            </w:r>
          </w:p>
        </w:tc>
        <w:tc>
          <w:tcPr>
            <w:tcW w:w="0" w:type="auto"/>
            <w:vAlign w:val="center"/>
            <w:hideMark/>
          </w:tcPr>
          <w:p w14:paraId="753B30F6" w14:textId="77777777" w:rsidR="00C20477" w:rsidRPr="00C20477" w:rsidRDefault="00C20477" w:rsidP="00C20477">
            <w:pPr>
              <w:rPr>
                <w:lang w:val="en-GB"/>
              </w:rPr>
            </w:pPr>
            <w:r w:rsidRPr="00C20477">
              <w:rPr>
                <w:lang w:val="en-GB"/>
              </w:rPr>
              <w:t>≈ factor 6</w:t>
            </w:r>
          </w:p>
        </w:tc>
        <w:tc>
          <w:tcPr>
            <w:tcW w:w="0" w:type="auto"/>
            <w:vAlign w:val="center"/>
            <w:hideMark/>
          </w:tcPr>
          <w:p w14:paraId="7AD24AA5" w14:textId="77777777" w:rsidR="00C20477" w:rsidRPr="00C20477" w:rsidRDefault="00C20477" w:rsidP="00C20477">
            <w:pPr>
              <w:rPr>
                <w:lang w:val="en-GB"/>
              </w:rPr>
            </w:pPr>
            <w:r w:rsidRPr="00C20477">
              <w:rPr>
                <w:lang w:val="en-GB"/>
              </w:rPr>
              <w:t>About 2.6 HVLs</w:t>
            </w:r>
          </w:p>
        </w:tc>
      </w:tr>
      <w:tr w:rsidR="00C20477" w:rsidRPr="00C20477" w14:paraId="384265C8" w14:textId="77777777">
        <w:trPr>
          <w:tblCellSpacing w:w="15" w:type="dxa"/>
        </w:trPr>
        <w:tc>
          <w:tcPr>
            <w:tcW w:w="0" w:type="auto"/>
            <w:vAlign w:val="center"/>
            <w:hideMark/>
          </w:tcPr>
          <w:p w14:paraId="756C1CD8" w14:textId="77777777" w:rsidR="00C20477" w:rsidRPr="00C20477" w:rsidRDefault="00C20477" w:rsidP="00C20477">
            <w:pPr>
              <w:rPr>
                <w:lang w:val="en-GB"/>
              </w:rPr>
            </w:pPr>
            <w:r w:rsidRPr="00C20477">
              <w:rPr>
                <w:lang w:val="en-GB"/>
              </w:rPr>
              <w:t>Shielded dose rate at 1.5 m</w:t>
            </w:r>
          </w:p>
        </w:tc>
        <w:tc>
          <w:tcPr>
            <w:tcW w:w="0" w:type="auto"/>
            <w:vAlign w:val="center"/>
            <w:hideMark/>
          </w:tcPr>
          <w:p w14:paraId="4F9B777D" w14:textId="77777777" w:rsidR="00C20477" w:rsidRPr="00C20477" w:rsidRDefault="00C20477" w:rsidP="00C20477">
            <w:pPr>
              <w:rPr>
                <w:lang w:val="en-GB"/>
              </w:rPr>
            </w:pPr>
            <w:r w:rsidRPr="00C20477">
              <w:rPr>
                <w:lang w:val="en-GB"/>
              </w:rPr>
              <w:t>≈ 8.0–8.8 Sv h</w:t>
            </w:r>
            <w:r w:rsidRPr="00C20477">
              <w:rPr>
                <w:rFonts w:ascii="Cambria Math" w:hAnsi="Cambria Math" w:cs="Cambria Math"/>
                <w:lang w:val="en-GB"/>
              </w:rPr>
              <w:t>⁻</w:t>
            </w:r>
            <w:r w:rsidRPr="00C20477">
              <w:rPr>
                <w:rFonts w:cs="Arial"/>
                <w:lang w:val="en-GB"/>
              </w:rPr>
              <w:t>¹</w:t>
            </w:r>
          </w:p>
        </w:tc>
        <w:tc>
          <w:tcPr>
            <w:tcW w:w="0" w:type="auto"/>
            <w:vAlign w:val="center"/>
            <w:hideMark/>
          </w:tcPr>
          <w:p w14:paraId="1A43DB57" w14:textId="77777777" w:rsidR="00C20477" w:rsidRPr="00C20477" w:rsidRDefault="00C20477" w:rsidP="00C20477">
            <w:pPr>
              <w:rPr>
                <w:lang w:val="en-GB"/>
              </w:rPr>
            </w:pPr>
            <w:r w:rsidRPr="00C20477">
              <w:rPr>
                <w:lang w:val="en-GB"/>
              </w:rPr>
              <w:t>Consistent with EPD peak</w:t>
            </w:r>
          </w:p>
        </w:tc>
      </w:tr>
      <w:tr w:rsidR="00C20477" w:rsidRPr="00C20477" w14:paraId="21B16E69" w14:textId="77777777">
        <w:trPr>
          <w:tblCellSpacing w:w="15" w:type="dxa"/>
        </w:trPr>
        <w:tc>
          <w:tcPr>
            <w:tcW w:w="0" w:type="auto"/>
            <w:vAlign w:val="center"/>
            <w:hideMark/>
          </w:tcPr>
          <w:p w14:paraId="664786F1" w14:textId="77777777" w:rsidR="00C20477" w:rsidRPr="00C20477" w:rsidRDefault="00C20477" w:rsidP="00C20477">
            <w:pPr>
              <w:rPr>
                <w:lang w:val="en-GB"/>
              </w:rPr>
            </w:pPr>
            <w:r w:rsidRPr="00C20477">
              <w:rPr>
                <w:lang w:val="en-GB"/>
              </w:rPr>
              <w:t>Effective dose for 8–15 s</w:t>
            </w:r>
          </w:p>
        </w:tc>
        <w:tc>
          <w:tcPr>
            <w:tcW w:w="0" w:type="auto"/>
            <w:vAlign w:val="center"/>
            <w:hideMark/>
          </w:tcPr>
          <w:p w14:paraId="6110AADC" w14:textId="77777777" w:rsidR="00C20477" w:rsidRPr="00C20477" w:rsidRDefault="00C20477" w:rsidP="00C20477">
            <w:pPr>
              <w:rPr>
                <w:lang w:val="en-GB"/>
              </w:rPr>
            </w:pPr>
            <w:r w:rsidRPr="00C20477">
              <w:rPr>
                <w:lang w:val="en-GB"/>
              </w:rPr>
              <w:t>≈ 18–37 mSv</w:t>
            </w:r>
          </w:p>
        </w:tc>
        <w:tc>
          <w:tcPr>
            <w:tcW w:w="0" w:type="auto"/>
            <w:vAlign w:val="center"/>
            <w:hideMark/>
          </w:tcPr>
          <w:p w14:paraId="5777958F" w14:textId="77777777" w:rsidR="00C20477" w:rsidRPr="00C20477" w:rsidRDefault="00C20477" w:rsidP="00C20477">
            <w:pPr>
              <w:rPr>
                <w:lang w:val="en-GB"/>
              </w:rPr>
            </w:pPr>
            <w:r w:rsidRPr="00C20477">
              <w:rPr>
                <w:lang w:val="en-GB"/>
              </w:rPr>
              <w:t>Central estimate around 28–33 mSv</w:t>
            </w:r>
          </w:p>
        </w:tc>
      </w:tr>
      <w:tr w:rsidR="00C20477" w:rsidRPr="00C20477" w14:paraId="62B33A49" w14:textId="77777777">
        <w:trPr>
          <w:tblCellSpacing w:w="15" w:type="dxa"/>
        </w:trPr>
        <w:tc>
          <w:tcPr>
            <w:tcW w:w="0" w:type="auto"/>
            <w:vAlign w:val="center"/>
            <w:hideMark/>
          </w:tcPr>
          <w:p w14:paraId="2EE5755B" w14:textId="77777777" w:rsidR="00C20477" w:rsidRPr="00C20477" w:rsidRDefault="00C20477" w:rsidP="00C20477">
            <w:pPr>
              <w:rPr>
                <w:lang w:val="en-GB"/>
              </w:rPr>
            </w:pPr>
            <w:r w:rsidRPr="00C20477">
              <w:rPr>
                <w:lang w:val="en-GB"/>
              </w:rPr>
              <w:t>Recorded dosimetry</w:t>
            </w:r>
          </w:p>
        </w:tc>
        <w:tc>
          <w:tcPr>
            <w:tcW w:w="0" w:type="auto"/>
            <w:vAlign w:val="center"/>
            <w:hideMark/>
          </w:tcPr>
          <w:p w14:paraId="33D3FB47" w14:textId="77777777" w:rsidR="00C20477" w:rsidRPr="00C20477" w:rsidRDefault="00C20477" w:rsidP="00C20477">
            <w:pPr>
              <w:rPr>
                <w:lang w:val="en-GB"/>
              </w:rPr>
            </w:pPr>
            <w:r w:rsidRPr="00C20477">
              <w:rPr>
                <w:lang w:val="en-GB"/>
              </w:rPr>
              <w:t>EPD 27.6 mSv; TLD 33.4 mSv</w:t>
            </w:r>
          </w:p>
        </w:tc>
        <w:tc>
          <w:tcPr>
            <w:tcW w:w="0" w:type="auto"/>
            <w:vAlign w:val="center"/>
            <w:hideMark/>
          </w:tcPr>
          <w:p w14:paraId="665B96C0" w14:textId="77777777" w:rsidR="00C20477" w:rsidRPr="00C20477" w:rsidRDefault="00C20477" w:rsidP="00C20477">
            <w:pPr>
              <w:rPr>
                <w:lang w:val="en-GB"/>
              </w:rPr>
            </w:pPr>
            <w:r w:rsidRPr="00C20477">
              <w:rPr>
                <w:lang w:val="en-GB"/>
              </w:rPr>
              <w:t>Broadly consistent</w:t>
            </w:r>
          </w:p>
        </w:tc>
      </w:tr>
    </w:tbl>
    <w:p w14:paraId="10CFEA00" w14:textId="77777777" w:rsidR="00C20477" w:rsidRPr="00C20477" w:rsidRDefault="00000000" w:rsidP="00C20477">
      <w:pPr>
        <w:rPr>
          <w:lang w:val="en-GB"/>
        </w:rPr>
      </w:pPr>
      <w:r>
        <w:rPr>
          <w:lang w:val="en-GB"/>
        </w:rPr>
        <w:pict w14:anchorId="50BC3E89">
          <v:rect id="_x0000_i1027" style="width:0;height:1.5pt" o:hralign="center" o:hrstd="t" o:hr="t" fillcolor="#a0a0a0" stroked="f"/>
        </w:pict>
      </w:r>
    </w:p>
    <w:p w14:paraId="1350AF8F" w14:textId="77777777" w:rsidR="00C20477" w:rsidRPr="00C20477" w:rsidRDefault="00C20477" w:rsidP="00C20477">
      <w:pPr>
        <w:rPr>
          <w:b/>
          <w:bCs/>
          <w:lang w:val="en-GB"/>
        </w:rPr>
      </w:pPr>
      <w:r w:rsidRPr="00C20477">
        <w:rPr>
          <w:b/>
          <w:bCs/>
          <w:lang w:val="en-GB"/>
        </w:rPr>
        <w:t>1. Framing expected from a good report</w:t>
      </w:r>
    </w:p>
    <w:p w14:paraId="196BC536" w14:textId="77777777" w:rsidR="00C20477" w:rsidRPr="00C20477" w:rsidRDefault="00C20477" w:rsidP="00C20477">
      <w:pPr>
        <w:rPr>
          <w:lang w:val="en-GB"/>
        </w:rPr>
      </w:pPr>
      <w:r w:rsidRPr="00C20477">
        <w:rPr>
          <w:lang w:val="en-GB"/>
        </w:rPr>
        <w:t>The strongest submissions will read as a coherent scientific reconstruction rather than a sequence of short answers.</w:t>
      </w:r>
    </w:p>
    <w:p w14:paraId="56796E4D" w14:textId="77777777" w:rsidR="00C20477" w:rsidRPr="00C20477" w:rsidRDefault="00C20477" w:rsidP="00C20477">
      <w:pPr>
        <w:rPr>
          <w:lang w:val="en-GB"/>
        </w:rPr>
      </w:pPr>
      <w:r w:rsidRPr="00C20477">
        <w:rPr>
          <w:lang w:val="en-GB"/>
        </w:rPr>
        <w:t>Students should justify:</w:t>
      </w:r>
    </w:p>
    <w:p w14:paraId="0B8956F8" w14:textId="77777777" w:rsidR="00C20477" w:rsidRPr="00C20477" w:rsidRDefault="00C20477" w:rsidP="00C20477">
      <w:pPr>
        <w:numPr>
          <w:ilvl w:val="0"/>
          <w:numId w:val="10"/>
        </w:numPr>
        <w:rPr>
          <w:lang w:val="en-GB"/>
        </w:rPr>
      </w:pPr>
      <w:r w:rsidRPr="00C20477">
        <w:rPr>
          <w:lang w:val="en-GB"/>
        </w:rPr>
        <w:t xml:space="preserve">decay correction of source activity </w:t>
      </w:r>
    </w:p>
    <w:p w14:paraId="2EDA1726" w14:textId="77777777" w:rsidR="00C20477" w:rsidRPr="00C20477" w:rsidRDefault="00C20477" w:rsidP="00C20477">
      <w:pPr>
        <w:numPr>
          <w:ilvl w:val="0"/>
          <w:numId w:val="10"/>
        </w:numPr>
        <w:rPr>
          <w:lang w:val="en-GB"/>
        </w:rPr>
      </w:pPr>
      <w:r w:rsidRPr="00C20477">
        <w:rPr>
          <w:lang w:val="en-GB"/>
        </w:rPr>
        <w:t xml:space="preserve">use of a tabulated gamma constant </w:t>
      </w:r>
    </w:p>
    <w:p w14:paraId="7FB6E956" w14:textId="77777777" w:rsidR="00C20477" w:rsidRPr="00C20477" w:rsidRDefault="00C20477" w:rsidP="00C20477">
      <w:pPr>
        <w:numPr>
          <w:ilvl w:val="0"/>
          <w:numId w:val="10"/>
        </w:numPr>
        <w:rPr>
          <w:lang w:val="en-GB"/>
        </w:rPr>
      </w:pPr>
      <w:r w:rsidRPr="00C20477">
        <w:rPr>
          <w:lang w:val="en-GB"/>
        </w:rPr>
        <w:lastRenderedPageBreak/>
        <w:t xml:space="preserve">inverse-square scaling </w:t>
      </w:r>
    </w:p>
    <w:p w14:paraId="272294F6" w14:textId="77777777" w:rsidR="00C20477" w:rsidRPr="00C20477" w:rsidRDefault="00C20477" w:rsidP="00C20477">
      <w:pPr>
        <w:numPr>
          <w:ilvl w:val="0"/>
          <w:numId w:val="10"/>
        </w:numPr>
        <w:rPr>
          <w:lang w:val="en-GB"/>
        </w:rPr>
      </w:pPr>
      <w:r w:rsidRPr="00C20477">
        <w:rPr>
          <w:lang w:val="en-GB"/>
        </w:rPr>
        <w:t xml:space="preserve">attenuation using the half-value layer of water </w:t>
      </w:r>
    </w:p>
    <w:p w14:paraId="74B959A3" w14:textId="77777777" w:rsidR="00C20477" w:rsidRPr="00C20477" w:rsidRDefault="00C20477" w:rsidP="00C20477">
      <w:pPr>
        <w:numPr>
          <w:ilvl w:val="0"/>
          <w:numId w:val="10"/>
        </w:numPr>
        <w:rPr>
          <w:lang w:val="en-GB"/>
        </w:rPr>
      </w:pPr>
      <w:r w:rsidRPr="00C20477">
        <w:rPr>
          <w:lang w:val="en-GB"/>
        </w:rPr>
        <w:t xml:space="preserve">the strengths and limitations of the point-source approximation </w:t>
      </w:r>
    </w:p>
    <w:p w14:paraId="05B0ABDE" w14:textId="77777777" w:rsidR="00C20477" w:rsidRPr="00C20477" w:rsidRDefault="00C20477" w:rsidP="00C20477">
      <w:pPr>
        <w:rPr>
          <w:lang w:val="en-GB"/>
        </w:rPr>
      </w:pPr>
      <w:r w:rsidRPr="00C20477">
        <w:rPr>
          <w:lang w:val="en-GB"/>
        </w:rPr>
        <w:t xml:space="preserve">Better answers will recognise that the field is only approximately represented by a point-source model, because the real source is an extended cobalt-60 rack, the water path length may vary slightly with geometry, and even small movements of the technician can materially alter the instantaneous dose rate. </w:t>
      </w:r>
    </w:p>
    <w:p w14:paraId="65BE1B9E" w14:textId="77777777" w:rsidR="00C20477" w:rsidRPr="00C20477" w:rsidRDefault="00000000" w:rsidP="00C20477">
      <w:pPr>
        <w:rPr>
          <w:lang w:val="en-GB"/>
        </w:rPr>
      </w:pPr>
      <w:r>
        <w:rPr>
          <w:lang w:val="en-GB"/>
        </w:rPr>
        <w:pict w14:anchorId="60B7F133">
          <v:rect id="_x0000_i1028" style="width:0;height:1.5pt" o:hralign="center" o:hrstd="t" o:hr="t" fillcolor="#a0a0a0" stroked="f"/>
        </w:pict>
      </w:r>
    </w:p>
    <w:p w14:paraId="49367089" w14:textId="77777777" w:rsidR="00C20477" w:rsidRPr="00C20477" w:rsidRDefault="00C20477" w:rsidP="00C20477">
      <w:pPr>
        <w:rPr>
          <w:b/>
          <w:bCs/>
          <w:lang w:val="en-GB"/>
        </w:rPr>
      </w:pPr>
      <w:r w:rsidRPr="00C20477">
        <w:rPr>
          <w:b/>
          <w:bCs/>
          <w:lang w:val="en-GB"/>
        </w:rPr>
        <w:t>2. Worked scientific solution</w:t>
      </w:r>
    </w:p>
    <w:p w14:paraId="48882670" w14:textId="77777777" w:rsidR="00C20477" w:rsidRPr="00C20477" w:rsidRDefault="00C20477" w:rsidP="00C20477">
      <w:pPr>
        <w:rPr>
          <w:b/>
          <w:bCs/>
          <w:lang w:val="en-GB"/>
        </w:rPr>
      </w:pPr>
      <w:r w:rsidRPr="00C20477">
        <w:rPr>
          <w:b/>
          <w:bCs/>
          <w:lang w:val="en-GB"/>
        </w:rPr>
        <w:t>2.1 Suitability of cobalt-60</w:t>
      </w:r>
    </w:p>
    <w:p w14:paraId="2A377B65" w14:textId="77777777" w:rsidR="00C20477" w:rsidRPr="00C20477" w:rsidRDefault="00C20477" w:rsidP="00C20477">
      <w:pPr>
        <w:rPr>
          <w:lang w:val="en-GB"/>
        </w:rPr>
      </w:pPr>
      <w:r w:rsidRPr="00C20477">
        <w:rPr>
          <w:lang w:val="en-GB"/>
        </w:rPr>
        <w:t>Cobalt-60 is suitable for industrial sterilisation because it emits two penetrating gamma rays of approximately 1.17 MeV and 1.33 MeV, which are well suited to delivering sterilising doses through packaged products and carrier materials. It can be manufactured in sealed source pencils with high specific activity and arranged in panoramic source racks to generate intense and relatively uniform irradiation fields around the product path.</w:t>
      </w:r>
    </w:p>
    <w:p w14:paraId="2D8589F7" w14:textId="77777777" w:rsidR="00C20477" w:rsidRPr="00C20477" w:rsidRDefault="00C20477" w:rsidP="00C20477">
      <w:pPr>
        <w:rPr>
          <w:lang w:val="en-GB"/>
        </w:rPr>
      </w:pPr>
      <w:r w:rsidRPr="00C20477">
        <w:rPr>
          <w:lang w:val="en-GB"/>
        </w:rPr>
        <w:t xml:space="preserve">Its half-life of about 5.27 years is long enough for practical industrial use, while still allowing a high gamma output. The assignment dossier also correctly notes that these gamma energies make cobalt-60 particularly suitable for industrial sterilisation work. </w:t>
      </w:r>
    </w:p>
    <w:p w14:paraId="770A8C03" w14:textId="77777777" w:rsidR="00C20477" w:rsidRPr="00C20477" w:rsidRDefault="00000000" w:rsidP="00C20477">
      <w:pPr>
        <w:rPr>
          <w:lang w:val="en-GB"/>
        </w:rPr>
      </w:pPr>
      <w:r>
        <w:rPr>
          <w:lang w:val="en-GB"/>
        </w:rPr>
        <w:pict w14:anchorId="0BAD0CCB">
          <v:rect id="_x0000_i1029" style="width:0;height:1.5pt" o:hralign="center" o:hrstd="t" o:hr="t" fillcolor="#a0a0a0" stroked="f"/>
        </w:pict>
      </w:r>
    </w:p>
    <w:p w14:paraId="6AAA53A3" w14:textId="77777777" w:rsidR="00C20477" w:rsidRPr="00C20477" w:rsidRDefault="00C20477" w:rsidP="00C20477">
      <w:pPr>
        <w:rPr>
          <w:b/>
          <w:bCs/>
          <w:lang w:val="en-GB"/>
        </w:rPr>
      </w:pPr>
      <w:r w:rsidRPr="00C20477">
        <w:rPr>
          <w:b/>
          <w:bCs/>
          <w:lang w:val="en-GB"/>
        </w:rPr>
        <w:t>2.2 Decay-corrected activity on the incident date</w:t>
      </w:r>
    </w:p>
    <w:p w14:paraId="23577A7E" w14:textId="77777777" w:rsidR="00C20477" w:rsidRPr="00C20477" w:rsidRDefault="00C20477" w:rsidP="00C20477">
      <w:pPr>
        <w:rPr>
          <w:lang w:val="en-GB"/>
        </w:rPr>
      </w:pPr>
      <w:r w:rsidRPr="00C20477">
        <w:rPr>
          <w:lang w:val="en-GB"/>
        </w:rPr>
        <w:t>Given:</w:t>
      </w:r>
    </w:p>
    <w:p w14:paraId="6E030B4A" w14:textId="77777777" w:rsidR="00C20477" w:rsidRPr="00C20477" w:rsidRDefault="00C20477" w:rsidP="00C20477">
      <w:pPr>
        <w:numPr>
          <w:ilvl w:val="0"/>
          <w:numId w:val="11"/>
        </w:numPr>
        <w:rPr>
          <w:lang w:val="en-GB"/>
        </w:rPr>
      </w:pPr>
      <w:r w:rsidRPr="00C20477">
        <w:rPr>
          <w:lang w:val="en-GB"/>
        </w:rPr>
        <w:t xml:space="preserve">Initial activity = 0.95 PBq on 22 June 2017 </w:t>
      </w:r>
    </w:p>
    <w:p w14:paraId="05D4F5B8" w14:textId="77777777" w:rsidR="00C20477" w:rsidRPr="00C20477" w:rsidRDefault="00C20477" w:rsidP="00C20477">
      <w:pPr>
        <w:numPr>
          <w:ilvl w:val="0"/>
          <w:numId w:val="11"/>
        </w:numPr>
        <w:rPr>
          <w:lang w:val="en-GB"/>
        </w:rPr>
      </w:pPr>
      <w:r w:rsidRPr="00C20477">
        <w:rPr>
          <w:lang w:val="en-GB"/>
        </w:rPr>
        <w:t xml:space="preserve">Incident date = 14 February 2025 </w:t>
      </w:r>
    </w:p>
    <w:p w14:paraId="55E3539B" w14:textId="77777777" w:rsidR="00C20477" w:rsidRPr="00C20477" w:rsidRDefault="00C20477" w:rsidP="00C20477">
      <w:pPr>
        <w:numPr>
          <w:ilvl w:val="0"/>
          <w:numId w:val="11"/>
        </w:numPr>
        <w:rPr>
          <w:lang w:val="en-GB"/>
        </w:rPr>
      </w:pPr>
      <w:r w:rsidRPr="00C20477">
        <w:rPr>
          <w:lang w:val="en-GB"/>
        </w:rPr>
        <w:t xml:space="preserve">Half-life of Co-60 ≈ 5.27 years </w:t>
      </w:r>
    </w:p>
    <w:p w14:paraId="0D0B5141" w14:textId="77777777" w:rsidR="00C20477" w:rsidRPr="00C20477" w:rsidRDefault="00C20477" w:rsidP="00C20477">
      <w:pPr>
        <w:rPr>
          <w:lang w:val="en-GB"/>
        </w:rPr>
      </w:pPr>
      <w:r w:rsidRPr="00C20477">
        <w:rPr>
          <w:lang w:val="en-GB"/>
        </w:rPr>
        <w:t>Elapsed time is approximately 7.65 years.</w:t>
      </w:r>
    </w:p>
    <w:p w14:paraId="0638EC54" w14:textId="77777777" w:rsidR="00C20477" w:rsidRPr="00C20477" w:rsidRDefault="00C20477" w:rsidP="00C20477">
      <w:pPr>
        <w:rPr>
          <w:lang w:val="en-GB"/>
        </w:rPr>
      </w:pPr>
      <w:r w:rsidRPr="00C20477">
        <w:rPr>
          <w:lang w:val="en-GB"/>
        </w:rPr>
        <w:t>Use:</w:t>
      </w:r>
    </w:p>
    <w:p w14:paraId="50CF1174" w14:textId="2E98488F" w:rsidR="00C20477" w:rsidRPr="00C20477" w:rsidRDefault="00C20477" w:rsidP="00C20477">
      <w:pPr>
        <w:rPr>
          <w:lang w:val="en-GB"/>
        </w:rPr>
      </w:pPr>
      <m:oMathPara>
        <m:oMath>
          <m:r>
            <w:rPr>
              <w:rFonts w:ascii="Cambria Math" w:hAnsi="Cambria Math"/>
              <w:lang w:val="en-GB"/>
            </w:rPr>
            <m:t>A=</m:t>
          </m:r>
          <m:sSub>
            <m:sSubPr>
              <m:ctrlPr>
                <w:rPr>
                  <w:rFonts w:ascii="Cambria Math" w:hAnsi="Cambria Math"/>
                  <w:lang w:val="en-GB"/>
                </w:rPr>
              </m:ctrlPr>
            </m:sSubPr>
            <m:e>
              <m:r>
                <w:rPr>
                  <w:rFonts w:ascii="Cambria Math" w:hAnsi="Cambria Math"/>
                  <w:lang w:val="en-GB"/>
                </w:rPr>
                <m:t>A</m:t>
              </m:r>
            </m:e>
            <m:sub>
              <m:r>
                <w:rPr>
                  <w:rFonts w:ascii="Cambria Math" w:hAnsi="Cambria Math"/>
                  <w:lang w:val="en-GB"/>
                </w:rPr>
                <m:t>0</m:t>
              </m:r>
            </m:sub>
          </m:sSub>
          <m:r>
            <m:rPr>
              <m:nor/>
            </m:rPr>
            <w:rPr>
              <w:lang w:val="en-GB"/>
            </w:rPr>
            <m:t> </m:t>
          </m:r>
          <m:sSup>
            <m:sSupPr>
              <m:ctrlPr>
                <w:rPr>
                  <w:rFonts w:ascii="Cambria Math" w:hAnsi="Cambria Math"/>
                  <w:lang w:val="en-GB"/>
                </w:rPr>
              </m:ctrlPr>
            </m:sSupPr>
            <m:e>
              <m:r>
                <w:rPr>
                  <w:rFonts w:ascii="Cambria Math" w:hAnsi="Cambria Math"/>
                  <w:lang w:val="en-GB"/>
                </w:rPr>
                <m:t>2</m:t>
              </m:r>
            </m:e>
            <m:sup>
              <m:r>
                <w:rPr>
                  <w:rFonts w:ascii="Cambria Math" w:hAnsi="Cambria Math"/>
                  <w:lang w:val="en-GB"/>
                </w:rPr>
                <m:t>-t</m:t>
              </m:r>
              <m:r>
                <m:rPr>
                  <m:sty m:val="p"/>
                </m:rPr>
                <w:rPr>
                  <w:rFonts w:ascii="Cambria Math" w:hAnsi="Cambria Math"/>
                  <w:lang w:val="en-GB"/>
                </w:rPr>
                <m:t>/</m:t>
              </m:r>
              <m:sSub>
                <m:sSubPr>
                  <m:ctrlPr>
                    <w:rPr>
                      <w:rFonts w:ascii="Cambria Math" w:hAnsi="Cambria Math"/>
                      <w:lang w:val="en-GB"/>
                    </w:rPr>
                  </m:ctrlPr>
                </m:sSubPr>
                <m:e>
                  <m:r>
                    <w:rPr>
                      <w:rFonts w:ascii="Cambria Math" w:hAnsi="Cambria Math"/>
                      <w:lang w:val="en-GB"/>
                    </w:rPr>
                    <m:t>T</m:t>
                  </m:r>
                </m:e>
                <m:sub>
                  <m:r>
                    <w:rPr>
                      <w:rFonts w:ascii="Cambria Math" w:hAnsi="Cambria Math"/>
                      <w:lang w:val="en-GB"/>
                    </w:rPr>
                    <m:t>1</m:t>
                  </m:r>
                  <m:r>
                    <m:rPr>
                      <m:sty m:val="p"/>
                    </m:rPr>
                    <w:rPr>
                      <w:rFonts w:ascii="Cambria Math" w:hAnsi="Cambria Math"/>
                      <w:lang w:val="en-GB"/>
                    </w:rPr>
                    <m:t>/</m:t>
                  </m:r>
                  <m:r>
                    <w:rPr>
                      <w:rFonts w:ascii="Cambria Math" w:hAnsi="Cambria Math"/>
                      <w:lang w:val="en-GB"/>
                    </w:rPr>
                    <m:t>2</m:t>
                  </m:r>
                </m:sub>
              </m:sSub>
            </m:sup>
          </m:sSup>
          <m:r>
            <m:rPr>
              <m:sty m:val="p"/>
            </m:rPr>
            <w:rPr>
              <w:lang w:val="en-GB"/>
            </w:rPr>
            <w:br/>
          </m:r>
        </m:oMath>
        <m:oMath>
          <m:r>
            <w:rPr>
              <w:rFonts w:ascii="Cambria Math" w:hAnsi="Cambria Math"/>
              <w:lang w:val="en-GB"/>
            </w:rPr>
            <m:t>A=0.95×</m:t>
          </m:r>
          <m:sSup>
            <m:sSupPr>
              <m:ctrlPr>
                <w:rPr>
                  <w:rFonts w:ascii="Cambria Math" w:hAnsi="Cambria Math"/>
                  <w:lang w:val="en-GB"/>
                </w:rPr>
              </m:ctrlPr>
            </m:sSupPr>
            <m:e>
              <m:r>
                <w:rPr>
                  <w:rFonts w:ascii="Cambria Math" w:hAnsi="Cambria Math"/>
                  <w:lang w:val="en-GB"/>
                </w:rPr>
                <m:t>2</m:t>
              </m:r>
            </m:e>
            <m:sup>
              <m:r>
                <w:rPr>
                  <w:rFonts w:ascii="Cambria Math" w:hAnsi="Cambria Math"/>
                  <w:lang w:val="en-GB"/>
                </w:rPr>
                <m:t>-7.65</m:t>
              </m:r>
              <m:r>
                <m:rPr>
                  <m:sty m:val="p"/>
                </m:rPr>
                <w:rPr>
                  <w:rFonts w:ascii="Cambria Math" w:hAnsi="Cambria Math"/>
                  <w:lang w:val="en-GB"/>
                </w:rPr>
                <m:t>/</m:t>
              </m:r>
              <m:r>
                <w:rPr>
                  <w:rFonts w:ascii="Cambria Math" w:hAnsi="Cambria Math"/>
                  <w:lang w:val="en-GB"/>
                </w:rPr>
                <m:t>5.27</m:t>
              </m:r>
            </m:sup>
          </m:sSup>
          <m:r>
            <m:rPr>
              <m:sty m:val="p"/>
            </m:rPr>
            <w:rPr>
              <w:lang w:val="en-GB"/>
            </w:rPr>
            <w:br/>
          </m:r>
        </m:oMath>
        <m:oMath>
          <m:r>
            <w:rPr>
              <w:rFonts w:ascii="Cambria Math" w:hAnsi="Cambria Math"/>
              <w:lang w:val="en-GB"/>
            </w:rPr>
            <m:t>A≈0.95×0.366≈0.35</m:t>
          </m:r>
          <m:r>
            <m:rPr>
              <m:nor/>
            </m:rPr>
            <w:rPr>
              <w:lang w:val="en-GB"/>
            </w:rPr>
            <m:t xml:space="preserve"> PBq</m:t>
          </m:r>
          <m:r>
            <m:rPr>
              <m:sty m:val="p"/>
            </m:rPr>
            <w:rPr>
              <w:lang w:val="en-GB"/>
            </w:rPr>
            <w:br/>
          </m:r>
        </m:oMath>
      </m:oMathPara>
    </w:p>
    <w:p w14:paraId="32DD7F29" w14:textId="77777777" w:rsidR="00C20477" w:rsidRPr="00C20477" w:rsidRDefault="00C20477" w:rsidP="00C20477">
      <w:pPr>
        <w:rPr>
          <w:lang w:val="en-GB"/>
        </w:rPr>
      </w:pPr>
      <w:r w:rsidRPr="00C20477">
        <w:rPr>
          <w:lang w:val="en-GB"/>
        </w:rPr>
        <w:lastRenderedPageBreak/>
        <w:t xml:space="preserve">Using a more exact elapsed time and rounding convention gives a value around </w:t>
      </w:r>
      <w:r w:rsidRPr="00C20477">
        <w:rPr>
          <w:b/>
          <w:bCs/>
          <w:lang w:val="en-GB"/>
        </w:rPr>
        <w:t>0.33–0.35 PBq</w:t>
      </w:r>
      <w:r w:rsidRPr="00C20477">
        <w:rPr>
          <w:lang w:val="en-GB"/>
        </w:rPr>
        <w:t>. A reasonable indicative value is therefore:</w:t>
      </w:r>
    </w:p>
    <w:p w14:paraId="76641092" w14:textId="39DD953D" w:rsidR="00C20477" w:rsidRPr="00C20477" w:rsidRDefault="00C20477" w:rsidP="00C20477">
      <w:pPr>
        <w:rPr>
          <w:lang w:val="en-GB"/>
        </w:rPr>
      </w:pPr>
      <m:oMathPara>
        <m:oMath>
          <m:r>
            <w:rPr>
              <w:rFonts w:ascii="Cambria Math" w:hAnsi="Cambria Math"/>
              <w:lang w:val="en-GB"/>
            </w:rPr>
            <m:t>A≈0.34</m:t>
          </m:r>
          <m:r>
            <m:rPr>
              <m:nor/>
            </m:rPr>
            <w:rPr>
              <w:lang w:val="en-GB"/>
            </w:rPr>
            <m:t xml:space="preserve"> PBq</m:t>
          </m:r>
          <m:r>
            <m:rPr>
              <m:sty m:val="p"/>
            </m:rPr>
            <w:rPr>
              <w:lang w:val="en-GB"/>
            </w:rPr>
            <w:br/>
          </m:r>
        </m:oMath>
      </m:oMathPara>
    </w:p>
    <w:p w14:paraId="77DCB895" w14:textId="77777777" w:rsidR="00C20477" w:rsidRPr="00C20477" w:rsidRDefault="00C20477" w:rsidP="00C20477">
      <w:pPr>
        <w:rPr>
          <w:lang w:val="en-GB"/>
        </w:rPr>
      </w:pPr>
      <w:r w:rsidRPr="00C20477">
        <w:rPr>
          <w:lang w:val="en-GB"/>
        </w:rPr>
        <w:t xml:space="preserve">Accept approximately </w:t>
      </w:r>
      <w:r w:rsidRPr="00C20477">
        <w:rPr>
          <w:b/>
          <w:bCs/>
          <w:lang w:val="en-GB"/>
        </w:rPr>
        <w:t>0.32–0.34 PBq</w:t>
      </w:r>
      <w:r w:rsidRPr="00C20477">
        <w:rPr>
          <w:lang w:val="en-GB"/>
        </w:rPr>
        <w:t xml:space="preserve"> depending on rounding method.</w:t>
      </w:r>
    </w:p>
    <w:p w14:paraId="69A21C98" w14:textId="77777777" w:rsidR="00C20477" w:rsidRPr="00C20477" w:rsidRDefault="00C20477" w:rsidP="00C20477">
      <w:pPr>
        <w:rPr>
          <w:lang w:val="en-GB"/>
        </w:rPr>
      </w:pPr>
      <w:r w:rsidRPr="00C20477">
        <w:rPr>
          <w:lang w:val="en-GB"/>
        </w:rPr>
        <w:t>For gamma constant calculations:</w:t>
      </w:r>
    </w:p>
    <w:p w14:paraId="0B2FE5CA" w14:textId="7841E72A" w:rsidR="00C20477" w:rsidRPr="00C20477" w:rsidRDefault="00C20477" w:rsidP="00C20477">
      <w:pPr>
        <w:rPr>
          <w:lang w:val="en-GB"/>
        </w:rPr>
      </w:pPr>
      <m:oMathPara>
        <m:oMath>
          <m:r>
            <w:rPr>
              <w:rFonts w:ascii="Cambria Math" w:hAnsi="Cambria Math"/>
              <w:lang w:val="en-GB"/>
            </w:rPr>
            <m:t>0.33</m:t>
          </m:r>
          <m:r>
            <m:rPr>
              <m:nor/>
            </m:rPr>
            <w:rPr>
              <w:lang w:val="en-GB"/>
            </w:rPr>
            <m:t xml:space="preserve"> PBq</m:t>
          </m:r>
          <m:r>
            <w:rPr>
              <w:rFonts w:ascii="Cambria Math" w:hAnsi="Cambria Math"/>
              <w:lang w:val="en-GB"/>
            </w:rPr>
            <m:t>=3.3×</m:t>
          </m:r>
          <m:sSup>
            <m:sSupPr>
              <m:ctrlPr>
                <w:rPr>
                  <w:rFonts w:ascii="Cambria Math" w:hAnsi="Cambria Math"/>
                  <w:lang w:val="en-GB"/>
                </w:rPr>
              </m:ctrlPr>
            </m:sSupPr>
            <m:e>
              <m:r>
                <w:rPr>
                  <w:rFonts w:ascii="Cambria Math" w:hAnsi="Cambria Math"/>
                  <w:lang w:val="en-GB"/>
                </w:rPr>
                <m:t>10</m:t>
              </m:r>
            </m:e>
            <m:sup>
              <m:r>
                <w:rPr>
                  <w:rFonts w:ascii="Cambria Math" w:hAnsi="Cambria Math"/>
                  <w:lang w:val="en-GB"/>
                </w:rPr>
                <m:t>5</m:t>
              </m:r>
            </m:sup>
          </m:sSup>
          <m:r>
            <m:rPr>
              <m:nor/>
            </m:rPr>
            <w:rPr>
              <w:lang w:val="en-GB"/>
            </w:rPr>
            <m:t xml:space="preserve"> GBq</m:t>
          </m:r>
          <m:r>
            <m:rPr>
              <m:sty m:val="p"/>
            </m:rPr>
            <w:rPr>
              <w:lang w:val="en-GB"/>
            </w:rPr>
            <w:br/>
          </m:r>
        </m:oMath>
      </m:oMathPara>
    </w:p>
    <w:p w14:paraId="478F1F72" w14:textId="77777777" w:rsidR="00C20477" w:rsidRPr="00C20477" w:rsidRDefault="00000000" w:rsidP="00C20477">
      <w:pPr>
        <w:rPr>
          <w:lang w:val="en-GB"/>
        </w:rPr>
      </w:pPr>
      <w:r>
        <w:rPr>
          <w:lang w:val="en-GB"/>
        </w:rPr>
        <w:pict w14:anchorId="08D0845E">
          <v:rect id="_x0000_i1030" style="width:0;height:1.5pt" o:hralign="center" o:hrstd="t" o:hr="t" fillcolor="#a0a0a0" stroked="f"/>
        </w:pict>
      </w:r>
    </w:p>
    <w:p w14:paraId="58B62092" w14:textId="77777777" w:rsidR="00C20477" w:rsidRPr="00C20477" w:rsidRDefault="00C20477" w:rsidP="00C20477">
      <w:pPr>
        <w:rPr>
          <w:b/>
          <w:bCs/>
          <w:lang w:val="en-GB"/>
        </w:rPr>
      </w:pPr>
      <w:r w:rsidRPr="00C20477">
        <w:rPr>
          <w:b/>
          <w:bCs/>
          <w:lang w:val="en-GB"/>
        </w:rPr>
        <w:t>2.3 Unshielded dose rate at 1.5 m</w:t>
      </w:r>
    </w:p>
    <w:p w14:paraId="5E0C57CE" w14:textId="77777777" w:rsidR="00C20477" w:rsidRPr="00C20477" w:rsidRDefault="00C20477" w:rsidP="00C20477">
      <w:pPr>
        <w:rPr>
          <w:lang w:val="en-GB"/>
        </w:rPr>
      </w:pPr>
      <w:r w:rsidRPr="00C20477">
        <w:rPr>
          <w:lang w:val="en-GB"/>
        </w:rPr>
        <w:t>Using the gamma constant method:</w:t>
      </w:r>
    </w:p>
    <w:p w14:paraId="1A9160B7" w14:textId="43A0CACD" w:rsidR="00C20477" w:rsidRPr="00C20477" w:rsidRDefault="00000000" w:rsidP="00C20477">
      <w:pPr>
        <w:rPr>
          <w:lang w:val="en-GB"/>
        </w:rPr>
      </w:pPr>
      <m:oMathPara>
        <m:oMath>
          <m:acc>
            <m:accPr>
              <m:chr m:val="̇"/>
              <m:ctrlPr>
                <w:rPr>
                  <w:rFonts w:ascii="Cambria Math" w:hAnsi="Cambria Math"/>
                  <w:lang w:val="en-GB"/>
                </w:rPr>
              </m:ctrlPr>
            </m:accPr>
            <m:e>
              <m:r>
                <w:rPr>
                  <w:rFonts w:ascii="Cambria Math" w:hAnsi="Cambria Math"/>
                  <w:lang w:val="en-GB"/>
                </w:rPr>
                <m:t>D</m:t>
              </m:r>
            </m:e>
          </m:acc>
          <m:r>
            <w:rPr>
              <w:rFonts w:ascii="Cambria Math" w:hAnsi="Cambria Math"/>
              <w:lang w:val="en-GB"/>
            </w:rPr>
            <m:t>=</m:t>
          </m:r>
          <m:r>
            <m:rPr>
              <m:sty m:val="p"/>
            </m:rPr>
            <w:rPr>
              <w:rFonts w:ascii="Cambria Math" w:hAnsi="Cambria Math"/>
              <w:lang w:val="en-GB"/>
            </w:rPr>
            <m:t>Γ</m:t>
          </m:r>
          <m:f>
            <m:fPr>
              <m:ctrlPr>
                <w:rPr>
                  <w:rFonts w:ascii="Cambria Math" w:hAnsi="Cambria Math"/>
                  <w:lang w:val="en-GB"/>
                </w:rPr>
              </m:ctrlPr>
            </m:fPr>
            <m:num>
              <m:r>
                <w:rPr>
                  <w:rFonts w:ascii="Cambria Math" w:hAnsi="Cambria Math"/>
                  <w:lang w:val="en-GB"/>
                </w:rPr>
                <m:t>A</m:t>
              </m:r>
            </m:num>
            <m:den>
              <m:sSup>
                <m:sSupPr>
                  <m:ctrlPr>
                    <w:rPr>
                      <w:rFonts w:ascii="Cambria Math" w:hAnsi="Cambria Math"/>
                      <w:lang w:val="en-GB"/>
                    </w:rPr>
                  </m:ctrlPr>
                </m:sSupPr>
                <m:e>
                  <m:r>
                    <w:rPr>
                      <w:rFonts w:ascii="Cambria Math" w:hAnsi="Cambria Math"/>
                      <w:lang w:val="en-GB"/>
                    </w:rPr>
                    <m:t>r</m:t>
                  </m:r>
                </m:e>
                <m:sup>
                  <m:r>
                    <w:rPr>
                      <w:rFonts w:ascii="Cambria Math" w:hAnsi="Cambria Math"/>
                      <w:lang w:val="en-GB"/>
                    </w:rPr>
                    <m:t>2</m:t>
                  </m:r>
                </m:sup>
              </m:sSup>
            </m:den>
          </m:f>
          <m:r>
            <m:rPr>
              <m:sty m:val="p"/>
            </m:rPr>
            <w:rPr>
              <w:lang w:val="en-GB"/>
            </w:rPr>
            <w:br/>
          </m:r>
        </m:oMath>
      </m:oMathPara>
    </w:p>
    <w:p w14:paraId="56380F04" w14:textId="77777777" w:rsidR="00C20477" w:rsidRPr="00C20477" w:rsidRDefault="00C20477" w:rsidP="00C20477">
      <w:pPr>
        <w:rPr>
          <w:lang w:val="en-GB"/>
        </w:rPr>
      </w:pPr>
      <w:r w:rsidRPr="00C20477">
        <w:rPr>
          <w:lang w:val="en-GB"/>
        </w:rPr>
        <w:t>Take for Co-60:</w:t>
      </w:r>
    </w:p>
    <w:p w14:paraId="3FA4F1AE" w14:textId="13C862D1" w:rsidR="00C20477" w:rsidRPr="00C20477" w:rsidRDefault="00C20477" w:rsidP="00C20477">
      <w:pPr>
        <w:rPr>
          <w:lang w:val="en-GB"/>
        </w:rPr>
      </w:pPr>
      <m:oMathPara>
        <m:oMath>
          <m:r>
            <m:rPr>
              <m:sty m:val="p"/>
            </m:rPr>
            <w:rPr>
              <w:rFonts w:ascii="Cambria Math" w:hAnsi="Cambria Math"/>
              <w:lang w:val="en-GB"/>
            </w:rPr>
            <m:t>Γ</m:t>
          </m:r>
          <m:r>
            <w:rPr>
              <w:rFonts w:ascii="Cambria Math" w:hAnsi="Cambria Math"/>
              <w:lang w:val="en-GB"/>
            </w:rPr>
            <m:t>≈0.35</m:t>
          </m:r>
          <m:sSup>
            <m:sSupPr>
              <m:ctrlPr>
                <w:rPr>
                  <w:rFonts w:ascii="Cambria Math" w:hAnsi="Cambria Math"/>
                  <w:lang w:val="en-GB"/>
                </w:rPr>
              </m:ctrlPr>
            </m:sSupPr>
            <m:e>
              <m:r>
                <m:rPr>
                  <m:nor/>
                </m:rPr>
                <w:rPr>
                  <w:lang w:val="en-GB"/>
                </w:rPr>
                <m:t xml:space="preserve"> mSv m</m:t>
              </m:r>
            </m:e>
            <m:sup>
              <m:r>
                <w:rPr>
                  <w:rFonts w:ascii="Cambria Math" w:hAnsi="Cambria Math"/>
                  <w:lang w:val="en-GB"/>
                </w:rPr>
                <m:t>2</m:t>
              </m:r>
            </m:sup>
          </m:sSup>
          <m:sSup>
            <m:sSupPr>
              <m:ctrlPr>
                <w:rPr>
                  <w:rFonts w:ascii="Cambria Math" w:hAnsi="Cambria Math"/>
                  <w:lang w:val="en-GB"/>
                </w:rPr>
              </m:ctrlPr>
            </m:sSupPr>
            <m:e>
              <m:r>
                <m:rPr>
                  <m:nor/>
                </m:rPr>
                <w:rPr>
                  <w:lang w:val="en-GB"/>
                </w:rPr>
                <m:t xml:space="preserve"> GBq</m:t>
              </m:r>
            </m:e>
            <m:sup>
              <m:r>
                <w:rPr>
                  <w:rFonts w:ascii="Cambria Math" w:hAnsi="Cambria Math"/>
                  <w:lang w:val="en-GB"/>
                </w:rPr>
                <m:t>-1</m:t>
              </m:r>
            </m:sup>
          </m:sSup>
          <m:sSup>
            <m:sSupPr>
              <m:ctrlPr>
                <w:rPr>
                  <w:rFonts w:ascii="Cambria Math" w:hAnsi="Cambria Math"/>
                  <w:lang w:val="en-GB"/>
                </w:rPr>
              </m:ctrlPr>
            </m:sSupPr>
            <m:e>
              <m:r>
                <m:rPr>
                  <m:nor/>
                </m:rPr>
                <w:rPr>
                  <w:lang w:val="en-GB"/>
                </w:rPr>
                <m:t xml:space="preserve"> h</m:t>
              </m:r>
            </m:e>
            <m:sup>
              <m:r>
                <w:rPr>
                  <w:rFonts w:ascii="Cambria Math" w:hAnsi="Cambria Math"/>
                  <w:lang w:val="en-GB"/>
                </w:rPr>
                <m:t>-1</m:t>
              </m:r>
            </m:sup>
          </m:sSup>
          <m:r>
            <m:rPr>
              <m:sty m:val="p"/>
            </m:rPr>
            <w:rPr>
              <w:lang w:val="en-GB"/>
            </w:rPr>
            <w:br/>
          </m:r>
        </m:oMath>
      </m:oMathPara>
    </w:p>
    <w:p w14:paraId="35D88943" w14:textId="59F9EBB3" w:rsidR="00C20477" w:rsidRPr="00C20477" w:rsidRDefault="00C20477" w:rsidP="00C20477">
      <w:pPr>
        <w:rPr>
          <w:lang w:val="en-GB"/>
        </w:rPr>
      </w:pPr>
      <w:r w:rsidRPr="00C20477">
        <w:rPr>
          <w:lang w:val="en-GB"/>
        </w:rPr>
        <w:t xml:space="preserve">At 1.5 m, with </w:t>
      </w:r>
      <m:oMath>
        <m:r>
          <w:rPr>
            <w:rFonts w:ascii="Cambria Math" w:hAnsi="Cambria Math"/>
            <w:lang w:val="en-GB"/>
          </w:rPr>
          <m:t>A≈3.3×</m:t>
        </m:r>
        <m:sSup>
          <m:sSupPr>
            <m:ctrlPr>
              <w:rPr>
                <w:rFonts w:ascii="Cambria Math" w:hAnsi="Cambria Math"/>
                <w:lang w:val="en-GB"/>
              </w:rPr>
            </m:ctrlPr>
          </m:sSupPr>
          <m:e>
            <m:r>
              <w:rPr>
                <w:rFonts w:ascii="Cambria Math" w:hAnsi="Cambria Math"/>
                <w:lang w:val="en-GB"/>
              </w:rPr>
              <m:t>10</m:t>
            </m:r>
          </m:e>
          <m:sup>
            <m:r>
              <w:rPr>
                <w:rFonts w:ascii="Cambria Math" w:hAnsi="Cambria Math"/>
                <w:lang w:val="en-GB"/>
              </w:rPr>
              <m:t>5</m:t>
            </m:r>
          </m:sup>
        </m:sSup>
      </m:oMath>
      <w:r w:rsidRPr="00C20477">
        <w:rPr>
          <w:lang w:val="en-GB"/>
        </w:rPr>
        <w:t>GBq:</w:t>
      </w:r>
    </w:p>
    <w:p w14:paraId="4F169C24" w14:textId="017D9F91" w:rsidR="00C20477" w:rsidRPr="00C20477" w:rsidRDefault="00000000" w:rsidP="00C20477">
      <w:pPr>
        <w:rPr>
          <w:lang w:val="en-GB"/>
        </w:rPr>
      </w:pPr>
      <m:oMathPara>
        <m:oMath>
          <m:acc>
            <m:accPr>
              <m:chr m:val="̇"/>
              <m:ctrlPr>
                <w:rPr>
                  <w:rFonts w:ascii="Cambria Math" w:hAnsi="Cambria Math"/>
                  <w:lang w:val="en-GB"/>
                </w:rPr>
              </m:ctrlPr>
            </m:accPr>
            <m:e>
              <m:r>
                <w:rPr>
                  <w:rFonts w:ascii="Cambria Math" w:hAnsi="Cambria Math"/>
                  <w:lang w:val="en-GB"/>
                </w:rPr>
                <m:t>D</m:t>
              </m:r>
            </m:e>
          </m:acc>
          <m:r>
            <w:rPr>
              <w:rFonts w:ascii="Cambria Math" w:hAnsi="Cambria Math"/>
              <w:lang w:val="en-GB"/>
            </w:rPr>
            <m:t>=0.35×</m:t>
          </m:r>
          <m:f>
            <m:fPr>
              <m:ctrlPr>
                <w:rPr>
                  <w:rFonts w:ascii="Cambria Math" w:hAnsi="Cambria Math"/>
                  <w:lang w:val="en-GB"/>
                </w:rPr>
              </m:ctrlPr>
            </m:fPr>
            <m:num>
              <m:r>
                <w:rPr>
                  <w:rFonts w:ascii="Cambria Math" w:hAnsi="Cambria Math"/>
                  <w:lang w:val="en-GB"/>
                </w:rPr>
                <m:t>3.3×</m:t>
              </m:r>
              <m:sSup>
                <m:sSupPr>
                  <m:ctrlPr>
                    <w:rPr>
                      <w:rFonts w:ascii="Cambria Math" w:hAnsi="Cambria Math"/>
                      <w:lang w:val="en-GB"/>
                    </w:rPr>
                  </m:ctrlPr>
                </m:sSupPr>
                <m:e>
                  <m:r>
                    <w:rPr>
                      <w:rFonts w:ascii="Cambria Math" w:hAnsi="Cambria Math"/>
                      <w:lang w:val="en-GB"/>
                    </w:rPr>
                    <m:t>10</m:t>
                  </m:r>
                </m:e>
                <m:sup>
                  <m:r>
                    <w:rPr>
                      <w:rFonts w:ascii="Cambria Math" w:hAnsi="Cambria Math"/>
                      <w:lang w:val="en-GB"/>
                    </w:rPr>
                    <m:t>5</m:t>
                  </m:r>
                </m:sup>
              </m:sSup>
            </m:num>
            <m:den>
              <m:sSup>
                <m:sSupPr>
                  <m:ctrlPr>
                    <w:rPr>
                      <w:rFonts w:ascii="Cambria Math" w:hAnsi="Cambria Math"/>
                      <w:lang w:val="en-GB"/>
                    </w:rPr>
                  </m:ctrlPr>
                </m:sSupPr>
                <m:e>
                  <m:r>
                    <w:rPr>
                      <w:rFonts w:ascii="Cambria Math" w:hAnsi="Cambria Math"/>
                      <w:lang w:val="en-GB"/>
                    </w:rPr>
                    <m:t>1.5</m:t>
                  </m:r>
                </m:e>
                <m:sup>
                  <m:r>
                    <w:rPr>
                      <w:rFonts w:ascii="Cambria Math" w:hAnsi="Cambria Math"/>
                      <w:lang w:val="en-GB"/>
                    </w:rPr>
                    <m:t>2</m:t>
                  </m:r>
                </m:sup>
              </m:sSup>
            </m:den>
          </m:f>
          <m:r>
            <m:rPr>
              <m:sty m:val="p"/>
            </m:rPr>
            <w:rPr>
              <w:lang w:val="en-GB"/>
            </w:rPr>
            <w:br/>
          </m:r>
        </m:oMath>
        <m:oMath>
          <m:acc>
            <m:accPr>
              <m:chr m:val="̇"/>
              <m:ctrlPr>
                <w:rPr>
                  <w:rFonts w:ascii="Cambria Math" w:hAnsi="Cambria Math"/>
                  <w:lang w:val="en-GB"/>
                </w:rPr>
              </m:ctrlPr>
            </m:accPr>
            <m:e>
              <m:r>
                <w:rPr>
                  <w:rFonts w:ascii="Cambria Math" w:hAnsi="Cambria Math"/>
                  <w:lang w:val="en-GB"/>
                </w:rPr>
                <m:t>D</m:t>
              </m:r>
            </m:e>
          </m:acc>
          <m:r>
            <w:rPr>
              <w:rFonts w:ascii="Cambria Math" w:hAnsi="Cambria Math"/>
              <w:lang w:val="en-GB"/>
            </w:rPr>
            <m:t>=0.35×</m:t>
          </m:r>
          <m:f>
            <m:fPr>
              <m:ctrlPr>
                <w:rPr>
                  <w:rFonts w:ascii="Cambria Math" w:hAnsi="Cambria Math"/>
                  <w:lang w:val="en-GB"/>
                </w:rPr>
              </m:ctrlPr>
            </m:fPr>
            <m:num>
              <m:r>
                <w:rPr>
                  <w:rFonts w:ascii="Cambria Math" w:hAnsi="Cambria Math"/>
                  <w:lang w:val="en-GB"/>
                </w:rPr>
                <m:t>3.3×</m:t>
              </m:r>
              <m:sSup>
                <m:sSupPr>
                  <m:ctrlPr>
                    <w:rPr>
                      <w:rFonts w:ascii="Cambria Math" w:hAnsi="Cambria Math"/>
                      <w:lang w:val="en-GB"/>
                    </w:rPr>
                  </m:ctrlPr>
                </m:sSupPr>
                <m:e>
                  <m:r>
                    <w:rPr>
                      <w:rFonts w:ascii="Cambria Math" w:hAnsi="Cambria Math"/>
                      <w:lang w:val="en-GB"/>
                    </w:rPr>
                    <m:t>10</m:t>
                  </m:r>
                </m:e>
                <m:sup>
                  <m:r>
                    <w:rPr>
                      <w:rFonts w:ascii="Cambria Math" w:hAnsi="Cambria Math"/>
                      <w:lang w:val="en-GB"/>
                    </w:rPr>
                    <m:t>5</m:t>
                  </m:r>
                </m:sup>
              </m:sSup>
            </m:num>
            <m:den>
              <m:r>
                <w:rPr>
                  <w:rFonts w:ascii="Cambria Math" w:hAnsi="Cambria Math"/>
                  <w:lang w:val="en-GB"/>
                </w:rPr>
                <m:t>2.25</m:t>
              </m:r>
            </m:den>
          </m:f>
          <m:r>
            <w:rPr>
              <w:rFonts w:ascii="Cambria Math" w:hAnsi="Cambria Math"/>
              <w:lang w:val="en-GB"/>
            </w:rPr>
            <m:t>≈5.1×</m:t>
          </m:r>
          <m:sSup>
            <m:sSupPr>
              <m:ctrlPr>
                <w:rPr>
                  <w:rFonts w:ascii="Cambria Math" w:hAnsi="Cambria Math"/>
                  <w:lang w:val="en-GB"/>
                </w:rPr>
              </m:ctrlPr>
            </m:sSupPr>
            <m:e>
              <m:r>
                <w:rPr>
                  <w:rFonts w:ascii="Cambria Math" w:hAnsi="Cambria Math"/>
                  <w:lang w:val="en-GB"/>
                </w:rPr>
                <m:t>10</m:t>
              </m:r>
            </m:e>
            <m:sup>
              <m:r>
                <w:rPr>
                  <w:rFonts w:ascii="Cambria Math" w:hAnsi="Cambria Math"/>
                  <w:lang w:val="en-GB"/>
                </w:rPr>
                <m:t>4</m:t>
              </m:r>
            </m:sup>
          </m:sSup>
          <m:sSup>
            <m:sSupPr>
              <m:ctrlPr>
                <w:rPr>
                  <w:rFonts w:ascii="Cambria Math" w:hAnsi="Cambria Math"/>
                  <w:lang w:val="en-GB"/>
                </w:rPr>
              </m:ctrlPr>
            </m:sSupPr>
            <m:e>
              <m:r>
                <m:rPr>
                  <m:nor/>
                </m:rPr>
                <w:rPr>
                  <w:lang w:val="en-GB"/>
                </w:rPr>
                <m:t xml:space="preserve"> mSv h</m:t>
              </m:r>
            </m:e>
            <m:sup>
              <m:r>
                <w:rPr>
                  <w:rFonts w:ascii="Cambria Math" w:hAnsi="Cambria Math"/>
                  <w:lang w:val="en-GB"/>
                </w:rPr>
                <m:t>-1</m:t>
              </m:r>
            </m:sup>
          </m:sSup>
          <m:r>
            <m:rPr>
              <m:sty m:val="p"/>
            </m:rPr>
            <w:rPr>
              <w:lang w:val="en-GB"/>
            </w:rPr>
            <w:br/>
          </m:r>
        </m:oMath>
        <m:oMath>
          <m:acc>
            <m:accPr>
              <m:chr m:val="̇"/>
              <m:ctrlPr>
                <w:rPr>
                  <w:rFonts w:ascii="Cambria Math" w:hAnsi="Cambria Math"/>
                  <w:lang w:val="en-GB"/>
                </w:rPr>
              </m:ctrlPr>
            </m:accPr>
            <m:e>
              <m:r>
                <w:rPr>
                  <w:rFonts w:ascii="Cambria Math" w:hAnsi="Cambria Math"/>
                  <w:lang w:val="en-GB"/>
                </w:rPr>
                <m:t>D</m:t>
              </m:r>
            </m:e>
          </m:acc>
          <m:r>
            <w:rPr>
              <w:rFonts w:ascii="Cambria Math" w:hAnsi="Cambria Math"/>
              <w:lang w:val="en-GB"/>
            </w:rPr>
            <m:t>≈51</m:t>
          </m:r>
          <m:sSup>
            <m:sSupPr>
              <m:ctrlPr>
                <w:rPr>
                  <w:rFonts w:ascii="Cambria Math" w:hAnsi="Cambria Math"/>
                  <w:lang w:val="en-GB"/>
                </w:rPr>
              </m:ctrlPr>
            </m:sSupPr>
            <m:e>
              <m:r>
                <m:rPr>
                  <m:nor/>
                </m:rPr>
                <w:rPr>
                  <w:lang w:val="en-GB"/>
                </w:rPr>
                <m:t xml:space="preserve"> Sv h</m:t>
              </m:r>
            </m:e>
            <m:sup>
              <m:r>
                <w:rPr>
                  <w:rFonts w:ascii="Cambria Math" w:hAnsi="Cambria Math"/>
                  <w:lang w:val="en-GB"/>
                </w:rPr>
                <m:t>-1</m:t>
              </m:r>
            </m:sup>
          </m:sSup>
          <m:r>
            <m:rPr>
              <m:sty m:val="p"/>
            </m:rPr>
            <w:rPr>
              <w:lang w:val="en-GB"/>
            </w:rPr>
            <w:br/>
          </m:r>
        </m:oMath>
      </m:oMathPara>
    </w:p>
    <w:p w14:paraId="3170F1E3" w14:textId="77777777" w:rsidR="00C20477" w:rsidRPr="00C20477" w:rsidRDefault="00C20477" w:rsidP="00C20477">
      <w:pPr>
        <w:rPr>
          <w:lang w:val="en-GB"/>
        </w:rPr>
      </w:pPr>
      <w:r w:rsidRPr="00C20477">
        <w:rPr>
          <w:lang w:val="en-GB"/>
        </w:rPr>
        <w:t xml:space="preserve">So the </w:t>
      </w:r>
      <w:r w:rsidRPr="00C20477">
        <w:rPr>
          <w:b/>
          <w:bCs/>
          <w:lang w:val="en-GB"/>
        </w:rPr>
        <w:t>unshielded dose rate at 1.5 m</w:t>
      </w:r>
      <w:r w:rsidRPr="00C20477">
        <w:rPr>
          <w:lang w:val="en-GB"/>
        </w:rPr>
        <w:t xml:space="preserve"> is approximately:</w:t>
      </w:r>
    </w:p>
    <w:p w14:paraId="54FC5F04" w14:textId="014ED211" w:rsidR="00C20477" w:rsidRPr="00C20477" w:rsidRDefault="00000000" w:rsidP="00C20477">
      <w:pPr>
        <w:rPr>
          <w:lang w:val="en-GB"/>
        </w:rPr>
      </w:pPr>
      <m:oMathPara>
        <m:oMath>
          <m:borderBox>
            <m:borderBoxPr>
              <m:ctrlPr>
                <w:rPr>
                  <w:rFonts w:ascii="Cambria Math" w:hAnsi="Cambria Math"/>
                  <w:lang w:val="en-GB"/>
                </w:rPr>
              </m:ctrlPr>
            </m:borderBoxPr>
            <m:e>
              <m:r>
                <w:rPr>
                  <w:rFonts w:ascii="Cambria Math" w:hAnsi="Cambria Math"/>
                  <w:lang w:val="en-GB"/>
                </w:rPr>
                <m:t>49</m:t>
              </m:r>
              <m:r>
                <m:rPr>
                  <m:nor/>
                </m:rPr>
                <w:rPr>
                  <w:lang w:val="en-GB"/>
                </w:rPr>
                <m:t>–</m:t>
              </m:r>
              <m:r>
                <w:rPr>
                  <w:rFonts w:ascii="Cambria Math" w:hAnsi="Cambria Math"/>
                  <w:lang w:val="en-GB"/>
                </w:rPr>
                <m:t>53</m:t>
              </m:r>
              <m:sSup>
                <m:sSupPr>
                  <m:ctrlPr>
                    <w:rPr>
                      <w:rFonts w:ascii="Cambria Math" w:hAnsi="Cambria Math"/>
                      <w:lang w:val="en-GB"/>
                    </w:rPr>
                  </m:ctrlPr>
                </m:sSupPr>
                <m:e>
                  <m:r>
                    <m:rPr>
                      <m:nor/>
                    </m:rPr>
                    <w:rPr>
                      <w:lang w:val="en-GB"/>
                    </w:rPr>
                    <m:t xml:space="preserve"> Sv h</m:t>
                  </m:r>
                </m:e>
                <m:sup>
                  <m:r>
                    <w:rPr>
                      <w:rFonts w:ascii="Cambria Math" w:hAnsi="Cambria Math"/>
                      <w:lang w:val="en-GB"/>
                    </w:rPr>
                    <m:t>-1</m:t>
                  </m:r>
                </m:sup>
              </m:sSup>
            </m:e>
          </m:borderBox>
          <m:r>
            <m:rPr>
              <m:sty m:val="p"/>
            </m:rPr>
            <w:rPr>
              <w:lang w:val="en-GB"/>
            </w:rPr>
            <w:br/>
          </m:r>
        </m:oMath>
      </m:oMathPara>
    </w:p>
    <w:p w14:paraId="70D5F637" w14:textId="77777777" w:rsidR="00C20477" w:rsidRPr="00C20477" w:rsidRDefault="00C20477" w:rsidP="00C20477">
      <w:pPr>
        <w:rPr>
          <w:lang w:val="en-GB"/>
        </w:rPr>
      </w:pPr>
      <w:r w:rsidRPr="00C20477">
        <w:rPr>
          <w:lang w:val="en-GB"/>
        </w:rPr>
        <w:t xml:space="preserve">A good answer should comment that the point-source assumption is acceptable for a hand calculation but does not exactly represent an extended source rack. A more rigorous treatment would model the source geometry and attenuation path in more detail. </w:t>
      </w:r>
    </w:p>
    <w:p w14:paraId="5B538D0C" w14:textId="77777777" w:rsidR="00C20477" w:rsidRPr="00C20477" w:rsidRDefault="00000000" w:rsidP="00C20477">
      <w:pPr>
        <w:rPr>
          <w:lang w:val="en-GB"/>
        </w:rPr>
      </w:pPr>
      <w:r>
        <w:rPr>
          <w:lang w:val="en-GB"/>
        </w:rPr>
        <w:pict w14:anchorId="4272BB9A">
          <v:rect id="_x0000_i1031" style="width:0;height:1.5pt" o:hralign="center" o:hrstd="t" o:hr="t" fillcolor="#a0a0a0" stroked="f"/>
        </w:pict>
      </w:r>
    </w:p>
    <w:p w14:paraId="2F56E2F2" w14:textId="77777777" w:rsidR="00C20477" w:rsidRPr="00C20477" w:rsidRDefault="00C20477" w:rsidP="00C20477">
      <w:pPr>
        <w:rPr>
          <w:b/>
          <w:bCs/>
          <w:lang w:val="en-GB"/>
        </w:rPr>
      </w:pPr>
      <w:r w:rsidRPr="00C20477">
        <w:rPr>
          <w:b/>
          <w:bCs/>
          <w:lang w:val="en-GB"/>
        </w:rPr>
        <w:lastRenderedPageBreak/>
        <w:t>2.4 Dose rate at 1.5 m accounting for 0.60 m water shielding</w:t>
      </w:r>
    </w:p>
    <w:p w14:paraId="334D32BC" w14:textId="77777777" w:rsidR="00C20477" w:rsidRPr="00C20477" w:rsidRDefault="00C20477" w:rsidP="00C20477">
      <w:pPr>
        <w:rPr>
          <w:lang w:val="en-GB"/>
        </w:rPr>
      </w:pPr>
      <w:r w:rsidRPr="00C20477">
        <w:rPr>
          <w:lang w:val="en-GB"/>
        </w:rPr>
        <w:t xml:space="preserve">The dossier states that approximately 0.60 m of intervening water lay between the source and the technician for most of the exposure, and that the half-value layer of water for Co-60 gamma radiation may be taken as 0.23 m. </w:t>
      </w:r>
    </w:p>
    <w:p w14:paraId="33A02173" w14:textId="77777777" w:rsidR="00C20477" w:rsidRPr="00C20477" w:rsidRDefault="00C20477" w:rsidP="00C20477">
      <w:pPr>
        <w:rPr>
          <w:lang w:val="en-GB"/>
        </w:rPr>
      </w:pPr>
      <w:r w:rsidRPr="00C20477">
        <w:rPr>
          <w:lang w:val="en-GB"/>
        </w:rPr>
        <w:t>Number of HVLs:</w:t>
      </w:r>
    </w:p>
    <w:p w14:paraId="213019BD" w14:textId="3F6E9625" w:rsidR="00C20477" w:rsidRPr="00C20477" w:rsidRDefault="00C20477" w:rsidP="00C20477">
      <w:pPr>
        <w:rPr>
          <w:lang w:val="en-GB"/>
        </w:rPr>
      </w:pPr>
      <m:oMathPara>
        <m:oMath>
          <m:r>
            <w:rPr>
              <w:rFonts w:ascii="Cambria Math" w:hAnsi="Cambria Math"/>
              <w:lang w:val="en-GB"/>
            </w:rPr>
            <m:t>n=</m:t>
          </m:r>
          <m:f>
            <m:fPr>
              <m:ctrlPr>
                <w:rPr>
                  <w:rFonts w:ascii="Cambria Math" w:hAnsi="Cambria Math"/>
                  <w:lang w:val="en-GB"/>
                </w:rPr>
              </m:ctrlPr>
            </m:fPr>
            <m:num>
              <m:r>
                <w:rPr>
                  <w:rFonts w:ascii="Cambria Math" w:hAnsi="Cambria Math"/>
                  <w:lang w:val="en-GB"/>
                </w:rPr>
                <m:t>0.60</m:t>
              </m:r>
            </m:num>
            <m:den>
              <m:r>
                <w:rPr>
                  <w:rFonts w:ascii="Cambria Math" w:hAnsi="Cambria Math"/>
                  <w:lang w:val="en-GB"/>
                </w:rPr>
                <m:t>0.23</m:t>
              </m:r>
            </m:den>
          </m:f>
          <m:r>
            <w:rPr>
              <w:rFonts w:ascii="Cambria Math" w:hAnsi="Cambria Math"/>
              <w:lang w:val="en-GB"/>
            </w:rPr>
            <m:t>≈2.61</m:t>
          </m:r>
          <m:r>
            <w:rPr>
              <w:lang w:val="en-GB"/>
            </w:rPr>
            <w:br/>
          </m:r>
        </m:oMath>
      </m:oMathPara>
    </w:p>
    <w:p w14:paraId="4D581CC9" w14:textId="77777777" w:rsidR="00C20477" w:rsidRPr="00C20477" w:rsidRDefault="00C20477" w:rsidP="00C20477">
      <w:pPr>
        <w:rPr>
          <w:lang w:val="en-GB"/>
        </w:rPr>
      </w:pPr>
      <w:r w:rsidRPr="00C20477">
        <w:rPr>
          <w:lang w:val="en-GB"/>
        </w:rPr>
        <w:t>Attenuation factor:</w:t>
      </w:r>
    </w:p>
    <w:p w14:paraId="48551C8B" w14:textId="6ED85C5C" w:rsidR="00C20477" w:rsidRPr="00C20477" w:rsidRDefault="00C20477" w:rsidP="00C20477">
      <w:pPr>
        <w:rPr>
          <w:lang w:val="en-GB"/>
        </w:rPr>
      </w:pPr>
      <m:oMathPara>
        <m:oMath>
          <m:r>
            <m:rPr>
              <m:nor/>
            </m:rPr>
            <w:rPr>
              <w:lang w:val="en-GB"/>
            </w:rPr>
            <m:t>Reduction factor</m:t>
          </m:r>
          <m:r>
            <w:rPr>
              <w:rFonts w:ascii="Cambria Math" w:hAnsi="Cambria Math"/>
              <w:lang w:val="en-GB"/>
            </w:rPr>
            <m:t>=</m:t>
          </m:r>
          <m:sSup>
            <m:sSupPr>
              <m:ctrlPr>
                <w:rPr>
                  <w:rFonts w:ascii="Cambria Math" w:hAnsi="Cambria Math"/>
                  <w:lang w:val="en-GB"/>
                </w:rPr>
              </m:ctrlPr>
            </m:sSupPr>
            <m:e>
              <m:r>
                <w:rPr>
                  <w:rFonts w:ascii="Cambria Math" w:hAnsi="Cambria Math"/>
                  <w:lang w:val="en-GB"/>
                </w:rPr>
                <m:t>2</m:t>
              </m:r>
            </m:e>
            <m:sup>
              <m:r>
                <w:rPr>
                  <w:rFonts w:ascii="Cambria Math" w:hAnsi="Cambria Math"/>
                  <w:lang w:val="en-GB"/>
                </w:rPr>
                <m:t>2.61</m:t>
              </m:r>
            </m:sup>
          </m:sSup>
          <m:r>
            <w:rPr>
              <w:rFonts w:ascii="Cambria Math" w:hAnsi="Cambria Math"/>
              <w:lang w:val="en-GB"/>
            </w:rPr>
            <m:t>≈6.1</m:t>
          </m:r>
          <m:r>
            <w:rPr>
              <w:lang w:val="en-GB"/>
            </w:rPr>
            <w:br/>
          </m:r>
        </m:oMath>
      </m:oMathPara>
    </w:p>
    <w:p w14:paraId="0434CBF4" w14:textId="77777777" w:rsidR="00C20477" w:rsidRPr="00C20477" w:rsidRDefault="00C20477" w:rsidP="00C20477">
      <w:pPr>
        <w:rPr>
          <w:lang w:val="en-GB"/>
        </w:rPr>
      </w:pPr>
      <w:r w:rsidRPr="00C20477">
        <w:rPr>
          <w:lang w:val="en-GB"/>
        </w:rPr>
        <w:t>So the transmitted fraction is approximately:</w:t>
      </w:r>
    </w:p>
    <w:p w14:paraId="7880FFBE" w14:textId="34D065D2" w:rsidR="00C20477" w:rsidRPr="00C20477" w:rsidRDefault="00000000" w:rsidP="00C20477">
      <w:pPr>
        <w:rPr>
          <w:lang w:val="en-GB"/>
        </w:rPr>
      </w:pPr>
      <m:oMathPara>
        <m:oMath>
          <m:f>
            <m:fPr>
              <m:ctrlPr>
                <w:rPr>
                  <w:rFonts w:ascii="Cambria Math" w:hAnsi="Cambria Math"/>
                  <w:lang w:val="en-GB"/>
                </w:rPr>
              </m:ctrlPr>
            </m:fPr>
            <m:num>
              <m:r>
                <w:rPr>
                  <w:rFonts w:ascii="Cambria Math" w:hAnsi="Cambria Math"/>
                  <w:lang w:val="en-GB"/>
                </w:rPr>
                <m:t>1</m:t>
              </m:r>
            </m:num>
            <m:den>
              <m:r>
                <w:rPr>
                  <w:rFonts w:ascii="Cambria Math" w:hAnsi="Cambria Math"/>
                  <w:lang w:val="en-GB"/>
                </w:rPr>
                <m:t>6.1</m:t>
              </m:r>
            </m:den>
          </m:f>
          <m:r>
            <w:rPr>
              <w:rFonts w:ascii="Cambria Math" w:hAnsi="Cambria Math"/>
              <w:lang w:val="en-GB"/>
            </w:rPr>
            <m:t>≈0.16</m:t>
          </m:r>
          <m:r>
            <w:rPr>
              <w:lang w:val="en-GB"/>
            </w:rPr>
            <w:br/>
          </m:r>
        </m:oMath>
      </m:oMathPara>
    </w:p>
    <w:p w14:paraId="07E00D65" w14:textId="77777777" w:rsidR="00C20477" w:rsidRPr="00C20477" w:rsidRDefault="00C20477" w:rsidP="00C20477">
      <w:pPr>
        <w:rPr>
          <w:lang w:val="en-GB"/>
        </w:rPr>
      </w:pPr>
      <w:r w:rsidRPr="00C20477">
        <w:rPr>
          <w:lang w:val="en-GB"/>
        </w:rPr>
        <w:t>Hence the shielded dose rate is:</w:t>
      </w:r>
    </w:p>
    <w:p w14:paraId="396E886D" w14:textId="43E84672" w:rsidR="00C20477" w:rsidRPr="00C20477" w:rsidRDefault="00000000" w:rsidP="00C20477">
      <w:pPr>
        <w:rPr>
          <w:lang w:val="en-GB"/>
        </w:rPr>
      </w:pPr>
      <m:oMathPara>
        <m:oMath>
          <m:sSub>
            <m:sSubPr>
              <m:ctrlPr>
                <w:rPr>
                  <w:rFonts w:ascii="Cambria Math" w:hAnsi="Cambria Math"/>
                  <w:lang w:val="en-GB"/>
                </w:rPr>
              </m:ctrlPr>
            </m:sSubPr>
            <m:e>
              <m:acc>
                <m:accPr>
                  <m:chr m:val="̇"/>
                  <m:ctrlPr>
                    <w:rPr>
                      <w:rFonts w:ascii="Cambria Math" w:hAnsi="Cambria Math"/>
                      <w:lang w:val="en-GB"/>
                    </w:rPr>
                  </m:ctrlPr>
                </m:accPr>
                <m:e>
                  <m:r>
                    <w:rPr>
                      <w:rFonts w:ascii="Cambria Math" w:hAnsi="Cambria Math"/>
                      <w:lang w:val="en-GB"/>
                    </w:rPr>
                    <m:t>D</m:t>
                  </m:r>
                </m:e>
              </m:acc>
            </m:e>
            <m:sub>
              <m:r>
                <m:rPr>
                  <m:nor/>
                </m:rPr>
                <w:rPr>
                  <w:lang w:val="en-GB"/>
                </w:rPr>
                <m:t>shielded</m:t>
              </m:r>
            </m:sub>
          </m:sSub>
          <m:r>
            <w:rPr>
              <w:rFonts w:ascii="Cambria Math" w:hAnsi="Cambria Math"/>
              <w:lang w:val="en-GB"/>
            </w:rPr>
            <m:t>≈</m:t>
          </m:r>
          <m:f>
            <m:fPr>
              <m:ctrlPr>
                <w:rPr>
                  <w:rFonts w:ascii="Cambria Math" w:hAnsi="Cambria Math"/>
                  <w:lang w:val="en-GB"/>
                </w:rPr>
              </m:ctrlPr>
            </m:fPr>
            <m:num>
              <m:r>
                <w:rPr>
                  <w:rFonts w:ascii="Cambria Math" w:hAnsi="Cambria Math"/>
                  <w:lang w:val="en-GB"/>
                </w:rPr>
                <m:t>51</m:t>
              </m:r>
            </m:num>
            <m:den>
              <m:r>
                <w:rPr>
                  <w:rFonts w:ascii="Cambria Math" w:hAnsi="Cambria Math"/>
                  <w:lang w:val="en-GB"/>
                </w:rPr>
                <m:t>6.1</m:t>
              </m:r>
            </m:den>
          </m:f>
          <m:r>
            <w:rPr>
              <w:rFonts w:ascii="Cambria Math" w:hAnsi="Cambria Math"/>
              <w:lang w:val="en-GB"/>
            </w:rPr>
            <m:t>≈8.4</m:t>
          </m:r>
          <m:sSup>
            <m:sSupPr>
              <m:ctrlPr>
                <w:rPr>
                  <w:rFonts w:ascii="Cambria Math" w:hAnsi="Cambria Math"/>
                  <w:lang w:val="en-GB"/>
                </w:rPr>
              </m:ctrlPr>
            </m:sSupPr>
            <m:e>
              <m:r>
                <m:rPr>
                  <m:nor/>
                </m:rPr>
                <w:rPr>
                  <w:lang w:val="en-GB"/>
                </w:rPr>
                <m:t xml:space="preserve"> Sv h</m:t>
              </m:r>
            </m:e>
            <m:sup>
              <m:r>
                <w:rPr>
                  <w:rFonts w:ascii="Cambria Math" w:hAnsi="Cambria Math"/>
                  <w:lang w:val="en-GB"/>
                </w:rPr>
                <m:t>-1</m:t>
              </m:r>
            </m:sup>
          </m:sSup>
          <m:r>
            <m:rPr>
              <m:sty m:val="p"/>
            </m:rPr>
            <w:rPr>
              <w:lang w:val="en-GB"/>
            </w:rPr>
            <w:br/>
          </m:r>
        </m:oMath>
      </m:oMathPara>
    </w:p>
    <w:p w14:paraId="607481EE" w14:textId="77777777" w:rsidR="00C20477" w:rsidRPr="00C20477" w:rsidRDefault="00C20477" w:rsidP="00C20477">
      <w:pPr>
        <w:rPr>
          <w:lang w:val="en-GB"/>
        </w:rPr>
      </w:pPr>
      <w:r w:rsidRPr="00C20477">
        <w:rPr>
          <w:lang w:val="en-GB"/>
        </w:rPr>
        <w:t>So a reasonable hand-calculated shielded dose rate is:</w:t>
      </w:r>
    </w:p>
    <w:p w14:paraId="70A97A79" w14:textId="6CDC952E" w:rsidR="00C20477" w:rsidRPr="00C20477" w:rsidRDefault="00000000" w:rsidP="00C20477">
      <w:pPr>
        <w:rPr>
          <w:lang w:val="en-GB"/>
        </w:rPr>
      </w:pPr>
      <m:oMathPara>
        <m:oMath>
          <m:borderBox>
            <m:borderBoxPr>
              <m:ctrlPr>
                <w:rPr>
                  <w:rFonts w:ascii="Cambria Math" w:hAnsi="Cambria Math"/>
                  <w:lang w:val="en-GB"/>
                </w:rPr>
              </m:ctrlPr>
            </m:borderBoxPr>
            <m:e>
              <m:r>
                <w:rPr>
                  <w:rFonts w:ascii="Cambria Math" w:hAnsi="Cambria Math"/>
                  <w:lang w:val="en-GB"/>
                </w:rPr>
                <m:t>8.0</m:t>
              </m:r>
              <m:r>
                <m:rPr>
                  <m:nor/>
                </m:rPr>
                <w:rPr>
                  <w:lang w:val="en-GB"/>
                </w:rPr>
                <m:t>–</m:t>
              </m:r>
              <m:r>
                <w:rPr>
                  <w:rFonts w:ascii="Cambria Math" w:hAnsi="Cambria Math"/>
                  <w:lang w:val="en-GB"/>
                </w:rPr>
                <m:t>8.8</m:t>
              </m:r>
              <m:sSup>
                <m:sSupPr>
                  <m:ctrlPr>
                    <w:rPr>
                      <w:rFonts w:ascii="Cambria Math" w:hAnsi="Cambria Math"/>
                      <w:lang w:val="en-GB"/>
                    </w:rPr>
                  </m:ctrlPr>
                </m:sSupPr>
                <m:e>
                  <m:r>
                    <m:rPr>
                      <m:nor/>
                    </m:rPr>
                    <w:rPr>
                      <w:lang w:val="en-GB"/>
                    </w:rPr>
                    <m:t xml:space="preserve"> Sv h</m:t>
                  </m:r>
                </m:e>
                <m:sup>
                  <m:r>
                    <w:rPr>
                      <w:rFonts w:ascii="Cambria Math" w:hAnsi="Cambria Math"/>
                      <w:lang w:val="en-GB"/>
                    </w:rPr>
                    <m:t>-1</m:t>
                  </m:r>
                </m:sup>
              </m:sSup>
            </m:e>
          </m:borderBox>
          <m:r>
            <m:rPr>
              <m:sty m:val="p"/>
            </m:rPr>
            <w:rPr>
              <w:lang w:val="en-GB"/>
            </w:rPr>
            <w:br/>
          </m:r>
        </m:oMath>
      </m:oMathPara>
    </w:p>
    <w:p w14:paraId="30CC6D31" w14:textId="77777777" w:rsidR="00C20477" w:rsidRPr="00C20477" w:rsidRDefault="00C20477" w:rsidP="00C20477">
      <w:pPr>
        <w:rPr>
          <w:lang w:val="en-GB"/>
        </w:rPr>
      </w:pPr>
      <w:r w:rsidRPr="00C20477">
        <w:rPr>
          <w:lang w:val="en-GB"/>
        </w:rPr>
        <w:t xml:space="preserve">This is in excellent agreement with the recorded </w:t>
      </w:r>
      <w:r w:rsidRPr="00C20477">
        <w:rPr>
          <w:b/>
          <w:bCs/>
          <w:lang w:val="en-GB"/>
        </w:rPr>
        <w:t>EPD peak dose rate of 8.5 Sv h</w:t>
      </w:r>
      <w:r w:rsidRPr="00C20477">
        <w:rPr>
          <w:rFonts w:ascii="Cambria Math" w:hAnsi="Cambria Math" w:cs="Cambria Math"/>
          <w:b/>
          <w:bCs/>
          <w:lang w:val="en-GB"/>
        </w:rPr>
        <w:t>⁻</w:t>
      </w:r>
      <w:r w:rsidRPr="00C20477">
        <w:rPr>
          <w:rFonts w:cs="Arial"/>
          <w:b/>
          <w:bCs/>
          <w:lang w:val="en-GB"/>
        </w:rPr>
        <w:t>¹</w:t>
      </w:r>
      <w:r w:rsidRPr="00C20477">
        <w:rPr>
          <w:lang w:val="en-GB"/>
        </w:rPr>
        <w:t xml:space="preserve">, which strongly validates the reconstruction. </w:t>
      </w:r>
    </w:p>
    <w:p w14:paraId="2D85C6BF" w14:textId="77777777" w:rsidR="00C20477" w:rsidRPr="00C20477" w:rsidRDefault="00000000" w:rsidP="00C20477">
      <w:pPr>
        <w:rPr>
          <w:lang w:val="en-GB"/>
        </w:rPr>
      </w:pPr>
      <w:r>
        <w:rPr>
          <w:lang w:val="en-GB"/>
        </w:rPr>
        <w:pict w14:anchorId="4693D84A">
          <v:rect id="_x0000_i1032" style="width:0;height:1.5pt" o:hralign="center" o:hrstd="t" o:hr="t" fillcolor="#a0a0a0" stroked="f"/>
        </w:pict>
      </w:r>
    </w:p>
    <w:p w14:paraId="00264DFB" w14:textId="77777777" w:rsidR="00C20477" w:rsidRPr="00C20477" w:rsidRDefault="00C20477" w:rsidP="00C20477">
      <w:pPr>
        <w:rPr>
          <w:b/>
          <w:bCs/>
          <w:lang w:val="en-GB"/>
        </w:rPr>
      </w:pPr>
      <w:r w:rsidRPr="00C20477">
        <w:rPr>
          <w:b/>
          <w:bCs/>
          <w:lang w:val="en-GB"/>
        </w:rPr>
        <w:t>2.5 Estimated effective dose</w:t>
      </w:r>
    </w:p>
    <w:p w14:paraId="588A3953" w14:textId="77777777" w:rsidR="00C20477" w:rsidRPr="00C20477" w:rsidRDefault="00C20477" w:rsidP="00C20477">
      <w:pPr>
        <w:rPr>
          <w:lang w:val="en-GB"/>
        </w:rPr>
      </w:pPr>
      <w:r w:rsidRPr="00C20477">
        <w:rPr>
          <w:lang w:val="en-GB"/>
        </w:rPr>
        <w:t>The post-incident reconstruction indicates:</w:t>
      </w:r>
    </w:p>
    <w:p w14:paraId="49C60643" w14:textId="77777777" w:rsidR="00C20477" w:rsidRPr="00C20477" w:rsidRDefault="00C20477" w:rsidP="00C20477">
      <w:pPr>
        <w:numPr>
          <w:ilvl w:val="0"/>
          <w:numId w:val="12"/>
        </w:numPr>
        <w:rPr>
          <w:lang w:val="en-GB"/>
        </w:rPr>
      </w:pPr>
      <w:r w:rsidRPr="00C20477">
        <w:rPr>
          <w:lang w:val="en-GB"/>
        </w:rPr>
        <w:t xml:space="preserve">torso approximately 1.5 m from the effective source position </w:t>
      </w:r>
    </w:p>
    <w:p w14:paraId="4CEB09C9" w14:textId="77777777" w:rsidR="00C20477" w:rsidRPr="00C20477" w:rsidRDefault="00C20477" w:rsidP="00C20477">
      <w:pPr>
        <w:numPr>
          <w:ilvl w:val="0"/>
          <w:numId w:val="12"/>
        </w:numPr>
        <w:rPr>
          <w:lang w:val="en-GB"/>
        </w:rPr>
      </w:pPr>
      <w:r w:rsidRPr="00C20477">
        <w:rPr>
          <w:lang w:val="en-GB"/>
        </w:rPr>
        <w:t xml:space="preserve">approximately 0.60 m of intervening water </w:t>
      </w:r>
    </w:p>
    <w:p w14:paraId="6FE34EDD" w14:textId="77777777" w:rsidR="00C20477" w:rsidRPr="00C20477" w:rsidRDefault="00C20477" w:rsidP="00C20477">
      <w:pPr>
        <w:numPr>
          <w:ilvl w:val="0"/>
          <w:numId w:val="12"/>
        </w:numPr>
        <w:rPr>
          <w:lang w:val="en-GB"/>
        </w:rPr>
      </w:pPr>
      <w:r w:rsidRPr="00C20477">
        <w:rPr>
          <w:lang w:val="en-GB"/>
        </w:rPr>
        <w:t xml:space="preserve">exposure duration approximately 8–15 s </w:t>
      </w:r>
    </w:p>
    <w:p w14:paraId="7E55753C" w14:textId="77777777" w:rsidR="00C20477" w:rsidRPr="00C20477" w:rsidRDefault="00C20477" w:rsidP="00C20477">
      <w:pPr>
        <w:rPr>
          <w:lang w:val="en-GB"/>
        </w:rPr>
      </w:pPr>
      <w:r w:rsidRPr="00C20477">
        <w:rPr>
          <w:lang w:val="en-GB"/>
        </w:rPr>
        <w:t>Using a shielded dose rate of about 8.4 Sv h</w:t>
      </w:r>
      <w:r w:rsidRPr="00C20477">
        <w:rPr>
          <w:rFonts w:ascii="Cambria Math" w:hAnsi="Cambria Math" w:cs="Cambria Math"/>
          <w:lang w:val="en-GB"/>
        </w:rPr>
        <w:t>⁻</w:t>
      </w:r>
      <w:r w:rsidRPr="00C20477">
        <w:rPr>
          <w:rFonts w:cs="Arial"/>
          <w:lang w:val="en-GB"/>
        </w:rPr>
        <w:t>¹</w:t>
      </w:r>
      <w:r w:rsidRPr="00C20477">
        <w:rPr>
          <w:lang w:val="en-GB"/>
        </w:rPr>
        <w:t>:</w:t>
      </w:r>
    </w:p>
    <w:p w14:paraId="2F7F6FDD" w14:textId="77777777" w:rsidR="00C20477" w:rsidRPr="00C20477" w:rsidRDefault="00C20477" w:rsidP="00C20477">
      <w:pPr>
        <w:rPr>
          <w:lang w:val="en-GB"/>
        </w:rPr>
      </w:pPr>
      <w:r w:rsidRPr="00C20477">
        <w:rPr>
          <w:lang w:val="en-GB"/>
        </w:rPr>
        <w:lastRenderedPageBreak/>
        <w:t>For 8 s:</w:t>
      </w:r>
    </w:p>
    <w:p w14:paraId="46F34EDF" w14:textId="42C525C3" w:rsidR="00C20477" w:rsidRPr="00C20477" w:rsidRDefault="00C20477" w:rsidP="00C20477">
      <w:pPr>
        <w:rPr>
          <w:lang w:val="en-GB"/>
        </w:rPr>
      </w:pPr>
      <m:oMathPara>
        <m:oMath>
          <m:r>
            <w:rPr>
              <w:rFonts w:ascii="Cambria Math" w:hAnsi="Cambria Math"/>
              <w:lang w:val="en-GB"/>
            </w:rPr>
            <m:t>D=8.4×</m:t>
          </m:r>
          <m:f>
            <m:fPr>
              <m:ctrlPr>
                <w:rPr>
                  <w:rFonts w:ascii="Cambria Math" w:hAnsi="Cambria Math"/>
                  <w:lang w:val="en-GB"/>
                </w:rPr>
              </m:ctrlPr>
            </m:fPr>
            <m:num>
              <m:r>
                <w:rPr>
                  <w:rFonts w:ascii="Cambria Math" w:hAnsi="Cambria Math"/>
                  <w:lang w:val="en-GB"/>
                </w:rPr>
                <m:t>8</m:t>
              </m:r>
            </m:num>
            <m:den>
              <m:r>
                <w:rPr>
                  <w:rFonts w:ascii="Cambria Math" w:hAnsi="Cambria Math"/>
                  <w:lang w:val="en-GB"/>
                </w:rPr>
                <m:t>3600</m:t>
              </m:r>
            </m:den>
          </m:f>
          <m:r>
            <w:rPr>
              <w:rFonts w:ascii="Cambria Math" w:hAnsi="Cambria Math"/>
              <w:lang w:val="en-GB"/>
            </w:rPr>
            <m:t>≈0.0187</m:t>
          </m:r>
          <m:r>
            <m:rPr>
              <m:nor/>
            </m:rPr>
            <w:rPr>
              <w:lang w:val="en-GB"/>
            </w:rPr>
            <m:t xml:space="preserve"> Sv</m:t>
          </m:r>
          <m:r>
            <w:rPr>
              <w:rFonts w:ascii="Cambria Math" w:hAnsi="Cambria Math"/>
              <w:lang w:val="en-GB"/>
            </w:rPr>
            <m:t>=18.7</m:t>
          </m:r>
          <m:r>
            <m:rPr>
              <m:nor/>
            </m:rPr>
            <w:rPr>
              <w:lang w:val="en-GB"/>
            </w:rPr>
            <m:t xml:space="preserve"> mSv</m:t>
          </m:r>
          <m:r>
            <m:rPr>
              <m:sty m:val="p"/>
            </m:rPr>
            <w:rPr>
              <w:lang w:val="en-GB"/>
            </w:rPr>
            <w:br/>
          </m:r>
        </m:oMath>
      </m:oMathPara>
    </w:p>
    <w:p w14:paraId="7F2595D4" w14:textId="77777777" w:rsidR="00C20477" w:rsidRPr="00C20477" w:rsidRDefault="00C20477" w:rsidP="00C20477">
      <w:pPr>
        <w:rPr>
          <w:lang w:val="en-GB"/>
        </w:rPr>
      </w:pPr>
      <w:r w:rsidRPr="00C20477">
        <w:rPr>
          <w:lang w:val="en-GB"/>
        </w:rPr>
        <w:t>For 15 s:</w:t>
      </w:r>
    </w:p>
    <w:p w14:paraId="5FF1D788" w14:textId="775B662C" w:rsidR="00C20477" w:rsidRPr="00C20477" w:rsidRDefault="00C20477" w:rsidP="00C20477">
      <w:pPr>
        <w:rPr>
          <w:lang w:val="en-GB"/>
        </w:rPr>
      </w:pPr>
      <m:oMathPara>
        <m:oMath>
          <m:r>
            <w:rPr>
              <w:rFonts w:ascii="Cambria Math" w:hAnsi="Cambria Math"/>
              <w:lang w:val="en-GB"/>
            </w:rPr>
            <m:t>D=8.4×</m:t>
          </m:r>
          <m:f>
            <m:fPr>
              <m:ctrlPr>
                <w:rPr>
                  <w:rFonts w:ascii="Cambria Math" w:hAnsi="Cambria Math"/>
                  <w:lang w:val="en-GB"/>
                </w:rPr>
              </m:ctrlPr>
            </m:fPr>
            <m:num>
              <m:r>
                <w:rPr>
                  <w:rFonts w:ascii="Cambria Math" w:hAnsi="Cambria Math"/>
                  <w:lang w:val="en-GB"/>
                </w:rPr>
                <m:t>15</m:t>
              </m:r>
            </m:num>
            <m:den>
              <m:r>
                <w:rPr>
                  <w:rFonts w:ascii="Cambria Math" w:hAnsi="Cambria Math"/>
                  <w:lang w:val="en-GB"/>
                </w:rPr>
                <m:t>3600</m:t>
              </m:r>
            </m:den>
          </m:f>
          <m:r>
            <w:rPr>
              <w:rFonts w:ascii="Cambria Math" w:hAnsi="Cambria Math"/>
              <w:lang w:val="en-GB"/>
            </w:rPr>
            <m:t>≈0.035</m:t>
          </m:r>
          <m:r>
            <m:rPr>
              <m:nor/>
            </m:rPr>
            <w:rPr>
              <w:lang w:val="en-GB"/>
            </w:rPr>
            <m:t xml:space="preserve"> Sv</m:t>
          </m:r>
          <m:r>
            <w:rPr>
              <w:rFonts w:ascii="Cambria Math" w:hAnsi="Cambria Math"/>
              <w:lang w:val="en-GB"/>
            </w:rPr>
            <m:t>=35</m:t>
          </m:r>
          <m:r>
            <m:rPr>
              <m:nor/>
            </m:rPr>
            <w:rPr>
              <w:lang w:val="en-GB"/>
            </w:rPr>
            <m:t xml:space="preserve"> mSv</m:t>
          </m:r>
          <m:r>
            <m:rPr>
              <m:sty m:val="p"/>
            </m:rPr>
            <w:rPr>
              <w:lang w:val="en-GB"/>
            </w:rPr>
            <w:br/>
          </m:r>
        </m:oMath>
      </m:oMathPara>
    </w:p>
    <w:p w14:paraId="5BE65D70" w14:textId="77777777" w:rsidR="00C20477" w:rsidRPr="00C20477" w:rsidRDefault="00C20477" w:rsidP="00C20477">
      <w:pPr>
        <w:rPr>
          <w:lang w:val="en-GB"/>
        </w:rPr>
      </w:pPr>
      <w:r w:rsidRPr="00C20477">
        <w:rPr>
          <w:lang w:val="en-GB"/>
        </w:rPr>
        <w:t>So a reasonable dose band is:</w:t>
      </w:r>
    </w:p>
    <w:p w14:paraId="2F9B7425" w14:textId="1EA70628" w:rsidR="00C20477" w:rsidRPr="00C20477" w:rsidRDefault="00000000" w:rsidP="00C20477">
      <w:pPr>
        <w:rPr>
          <w:lang w:val="en-GB"/>
        </w:rPr>
      </w:pPr>
      <m:oMathPara>
        <m:oMath>
          <m:borderBox>
            <m:borderBoxPr>
              <m:ctrlPr>
                <w:rPr>
                  <w:rFonts w:ascii="Cambria Math" w:hAnsi="Cambria Math"/>
                  <w:lang w:val="en-GB"/>
                </w:rPr>
              </m:ctrlPr>
            </m:borderBoxPr>
            <m:e>
              <m:r>
                <w:rPr>
                  <w:rFonts w:ascii="Cambria Math" w:hAnsi="Cambria Math"/>
                  <w:lang w:val="en-GB"/>
                </w:rPr>
                <m:t>18</m:t>
              </m:r>
              <m:r>
                <m:rPr>
                  <m:nor/>
                </m:rPr>
                <w:rPr>
                  <w:lang w:val="en-GB"/>
                </w:rPr>
                <m:t>–</m:t>
              </m:r>
              <m:r>
                <w:rPr>
                  <w:rFonts w:ascii="Cambria Math" w:hAnsi="Cambria Math"/>
                  <w:lang w:val="en-GB"/>
                </w:rPr>
                <m:t>37</m:t>
              </m:r>
              <m:r>
                <m:rPr>
                  <m:nor/>
                </m:rPr>
                <w:rPr>
                  <w:lang w:val="en-GB"/>
                </w:rPr>
                <m:t xml:space="preserve"> mSv</m:t>
              </m:r>
            </m:e>
          </m:borderBox>
          <m:r>
            <m:rPr>
              <m:sty m:val="p"/>
            </m:rPr>
            <w:rPr>
              <w:lang w:val="en-GB"/>
            </w:rPr>
            <w:br/>
          </m:r>
        </m:oMath>
      </m:oMathPara>
    </w:p>
    <w:p w14:paraId="79C37CD7" w14:textId="77777777" w:rsidR="00C20477" w:rsidRPr="00C20477" w:rsidRDefault="00C20477" w:rsidP="00C20477">
      <w:pPr>
        <w:rPr>
          <w:lang w:val="en-GB"/>
        </w:rPr>
      </w:pPr>
      <w:r w:rsidRPr="00C20477">
        <w:rPr>
          <w:lang w:val="en-GB"/>
        </w:rPr>
        <w:t>A representative central estimate, for example using 12 s exposure, is:</w:t>
      </w:r>
    </w:p>
    <w:p w14:paraId="5B99364B" w14:textId="51009676" w:rsidR="00C20477" w:rsidRPr="00C20477" w:rsidRDefault="00C20477" w:rsidP="00C20477">
      <w:pPr>
        <w:rPr>
          <w:lang w:val="en-GB"/>
        </w:rPr>
      </w:pPr>
      <m:oMathPara>
        <m:oMath>
          <m:r>
            <w:rPr>
              <w:rFonts w:ascii="Cambria Math" w:hAnsi="Cambria Math"/>
              <w:lang w:val="en-GB"/>
            </w:rPr>
            <m:t>D=8.4×</m:t>
          </m:r>
          <m:f>
            <m:fPr>
              <m:ctrlPr>
                <w:rPr>
                  <w:rFonts w:ascii="Cambria Math" w:hAnsi="Cambria Math"/>
                  <w:lang w:val="en-GB"/>
                </w:rPr>
              </m:ctrlPr>
            </m:fPr>
            <m:num>
              <m:r>
                <w:rPr>
                  <w:rFonts w:ascii="Cambria Math" w:hAnsi="Cambria Math"/>
                  <w:lang w:val="en-GB"/>
                </w:rPr>
                <m:t>12</m:t>
              </m:r>
            </m:num>
            <m:den>
              <m:r>
                <w:rPr>
                  <w:rFonts w:ascii="Cambria Math" w:hAnsi="Cambria Math"/>
                  <w:lang w:val="en-GB"/>
                </w:rPr>
                <m:t>3600</m:t>
              </m:r>
            </m:den>
          </m:f>
          <m:r>
            <w:rPr>
              <w:rFonts w:ascii="Cambria Math" w:hAnsi="Cambria Math"/>
              <w:lang w:val="en-GB"/>
            </w:rPr>
            <m:t>≈0.028</m:t>
          </m:r>
          <m:r>
            <m:rPr>
              <m:nor/>
            </m:rPr>
            <w:rPr>
              <w:lang w:val="en-GB"/>
            </w:rPr>
            <m:t xml:space="preserve"> Sv</m:t>
          </m:r>
          <m:r>
            <w:rPr>
              <w:rFonts w:ascii="Cambria Math" w:hAnsi="Cambria Math"/>
              <w:lang w:val="en-GB"/>
            </w:rPr>
            <m:t>=28</m:t>
          </m:r>
          <m:r>
            <m:rPr>
              <m:nor/>
            </m:rPr>
            <w:rPr>
              <w:lang w:val="en-GB"/>
            </w:rPr>
            <m:t xml:space="preserve"> mSv</m:t>
          </m:r>
          <m:r>
            <m:rPr>
              <m:sty m:val="p"/>
            </m:rPr>
            <w:rPr>
              <w:lang w:val="en-GB"/>
            </w:rPr>
            <w:br/>
          </m:r>
        </m:oMath>
      </m:oMathPara>
    </w:p>
    <w:p w14:paraId="1FC4D48F" w14:textId="77777777" w:rsidR="00C20477" w:rsidRPr="00C20477" w:rsidRDefault="00C20477" w:rsidP="00C20477">
      <w:pPr>
        <w:rPr>
          <w:lang w:val="en-GB"/>
        </w:rPr>
      </w:pPr>
      <w:r w:rsidRPr="00C20477">
        <w:rPr>
          <w:lang w:val="en-GB"/>
        </w:rPr>
        <w:t>So a useful central estimate is approximately:</w:t>
      </w:r>
    </w:p>
    <w:p w14:paraId="5D1B2859" w14:textId="76F24457" w:rsidR="00C20477" w:rsidRPr="00C20477" w:rsidRDefault="00000000" w:rsidP="00C20477">
      <w:pPr>
        <w:rPr>
          <w:lang w:val="en-GB"/>
        </w:rPr>
      </w:pPr>
      <m:oMathPara>
        <m:oMath>
          <m:borderBox>
            <m:borderBoxPr>
              <m:ctrlPr>
                <w:rPr>
                  <w:rFonts w:ascii="Cambria Math" w:hAnsi="Cambria Math"/>
                  <w:lang w:val="en-GB"/>
                </w:rPr>
              </m:ctrlPr>
            </m:borderBoxPr>
            <m:e>
              <m:r>
                <w:rPr>
                  <w:rFonts w:ascii="Cambria Math" w:hAnsi="Cambria Math"/>
                  <w:lang w:val="en-GB"/>
                </w:rPr>
                <m:t>28</m:t>
              </m:r>
              <m:r>
                <m:rPr>
                  <m:nor/>
                </m:rPr>
                <w:rPr>
                  <w:lang w:val="en-GB"/>
                </w:rPr>
                <m:t>–</m:t>
              </m:r>
              <m:r>
                <w:rPr>
                  <w:rFonts w:ascii="Cambria Math" w:hAnsi="Cambria Math"/>
                  <w:lang w:val="en-GB"/>
                </w:rPr>
                <m:t>33</m:t>
              </m:r>
              <m:r>
                <m:rPr>
                  <m:nor/>
                </m:rPr>
                <w:rPr>
                  <w:lang w:val="en-GB"/>
                </w:rPr>
                <m:t xml:space="preserve"> mSv</m:t>
              </m:r>
            </m:e>
          </m:borderBox>
          <m:r>
            <m:rPr>
              <m:sty m:val="p"/>
            </m:rPr>
            <w:rPr>
              <w:lang w:val="en-GB"/>
            </w:rPr>
            <w:br/>
          </m:r>
        </m:oMath>
      </m:oMathPara>
    </w:p>
    <w:p w14:paraId="75E7B339" w14:textId="77777777" w:rsidR="00C20477" w:rsidRPr="00C20477" w:rsidRDefault="00000000" w:rsidP="00C20477">
      <w:pPr>
        <w:rPr>
          <w:lang w:val="en-GB"/>
        </w:rPr>
      </w:pPr>
      <w:r>
        <w:rPr>
          <w:lang w:val="en-GB"/>
        </w:rPr>
        <w:pict w14:anchorId="30DD6474">
          <v:rect id="_x0000_i1033" style="width:0;height:1.5pt" o:hralign="center" o:hrstd="t" o:hr="t" fillcolor="#a0a0a0" stroked="f"/>
        </w:pict>
      </w:r>
    </w:p>
    <w:p w14:paraId="54D38A31" w14:textId="77777777" w:rsidR="00C20477" w:rsidRPr="00C20477" w:rsidRDefault="00C20477" w:rsidP="00C20477">
      <w:pPr>
        <w:rPr>
          <w:b/>
          <w:bCs/>
          <w:lang w:val="en-GB"/>
        </w:rPr>
      </w:pPr>
      <w:r w:rsidRPr="00C20477">
        <w:rPr>
          <w:b/>
          <w:bCs/>
          <w:lang w:val="en-GB"/>
        </w:rPr>
        <w:t>3. Comparison with dosimetry</w:t>
      </w:r>
    </w:p>
    <w:p w14:paraId="526956A3" w14:textId="77777777" w:rsidR="00C20477" w:rsidRPr="00C20477" w:rsidRDefault="00C20477" w:rsidP="00C20477">
      <w:pPr>
        <w:rPr>
          <w:lang w:val="en-GB"/>
        </w:rPr>
      </w:pPr>
      <w:r w:rsidRPr="00C20477">
        <w:rPr>
          <w:lang w:val="en-GB"/>
        </w:rPr>
        <w:t>Recorded dosimetry:</w:t>
      </w:r>
    </w:p>
    <w:p w14:paraId="2E2D8714" w14:textId="77777777" w:rsidR="00C20477" w:rsidRPr="00C20477" w:rsidRDefault="00C20477" w:rsidP="00C20477">
      <w:pPr>
        <w:numPr>
          <w:ilvl w:val="0"/>
          <w:numId w:val="13"/>
        </w:numPr>
        <w:rPr>
          <w:lang w:val="en-GB"/>
        </w:rPr>
      </w:pPr>
      <w:r w:rsidRPr="00C20477">
        <w:rPr>
          <w:lang w:val="en-GB"/>
        </w:rPr>
        <w:t xml:space="preserve">EPD dose = 27.6 mSv </w:t>
      </w:r>
    </w:p>
    <w:p w14:paraId="23A3D845" w14:textId="77777777" w:rsidR="00C20477" w:rsidRPr="00C20477" w:rsidRDefault="00C20477" w:rsidP="00C20477">
      <w:pPr>
        <w:numPr>
          <w:ilvl w:val="0"/>
          <w:numId w:val="13"/>
        </w:numPr>
        <w:rPr>
          <w:lang w:val="en-GB"/>
        </w:rPr>
      </w:pPr>
      <w:r w:rsidRPr="00C20477">
        <w:rPr>
          <w:lang w:val="en-GB"/>
        </w:rPr>
        <w:t>EPD peak dose rate = 8.5 Sv h</w:t>
      </w:r>
      <w:r w:rsidRPr="00C20477">
        <w:rPr>
          <w:rFonts w:ascii="Cambria Math" w:hAnsi="Cambria Math" w:cs="Cambria Math"/>
          <w:lang w:val="en-GB"/>
        </w:rPr>
        <w:t>⁻</w:t>
      </w:r>
      <w:r w:rsidRPr="00C20477">
        <w:rPr>
          <w:rFonts w:cs="Arial"/>
          <w:lang w:val="en-GB"/>
        </w:rPr>
        <w:t>¹</w:t>
      </w:r>
      <w:r w:rsidRPr="00C20477">
        <w:rPr>
          <w:lang w:val="en-GB"/>
        </w:rPr>
        <w:t xml:space="preserve"> </w:t>
      </w:r>
    </w:p>
    <w:p w14:paraId="5FAC85EA" w14:textId="77777777" w:rsidR="00C20477" w:rsidRPr="00C20477" w:rsidRDefault="00C20477" w:rsidP="00C20477">
      <w:pPr>
        <w:numPr>
          <w:ilvl w:val="0"/>
          <w:numId w:val="13"/>
        </w:numPr>
        <w:rPr>
          <w:lang w:val="en-GB"/>
        </w:rPr>
      </w:pPr>
      <w:r w:rsidRPr="00C20477">
        <w:rPr>
          <w:lang w:val="en-GB"/>
        </w:rPr>
        <w:t xml:space="preserve">TLD dose = 33.4 mSv </w:t>
      </w:r>
    </w:p>
    <w:p w14:paraId="789A3A58" w14:textId="77777777" w:rsidR="00C20477" w:rsidRPr="00C20477" w:rsidRDefault="00C20477" w:rsidP="00C20477">
      <w:pPr>
        <w:rPr>
          <w:lang w:val="en-GB"/>
        </w:rPr>
      </w:pPr>
      <w:r w:rsidRPr="00C20477">
        <w:rPr>
          <w:lang w:val="en-GB"/>
        </w:rPr>
        <w:t>The hand-calculated dose band of about 18–37 mSv is broadly consistent with the measured dosimetry. The central estimate lies close to the EPD reading, and the upper part of the range overlaps the TLD result.</w:t>
      </w:r>
    </w:p>
    <w:p w14:paraId="4FBD4817" w14:textId="77777777" w:rsidR="00C20477" w:rsidRPr="00C20477" w:rsidRDefault="00C20477" w:rsidP="00C20477">
      <w:pPr>
        <w:rPr>
          <w:lang w:val="en-GB"/>
        </w:rPr>
      </w:pPr>
      <w:r w:rsidRPr="00C20477">
        <w:rPr>
          <w:lang w:val="en-GB"/>
        </w:rPr>
        <w:t>The close agreement between the calculated shielded dose rate (~8.0–8.8 Sv h</w:t>
      </w:r>
      <w:r w:rsidRPr="00C20477">
        <w:rPr>
          <w:rFonts w:ascii="Cambria Math" w:hAnsi="Cambria Math" w:cs="Cambria Math"/>
          <w:lang w:val="en-GB"/>
        </w:rPr>
        <w:t>⁻</w:t>
      </w:r>
      <w:r w:rsidRPr="00C20477">
        <w:rPr>
          <w:rFonts w:cs="Arial"/>
          <w:lang w:val="en-GB"/>
        </w:rPr>
        <w:t>¹</w:t>
      </w:r>
      <w:r w:rsidRPr="00C20477">
        <w:rPr>
          <w:lang w:val="en-GB"/>
        </w:rPr>
        <w:t>) and the recorded EPD peak dose rate (8.5 Sv h</w:t>
      </w:r>
      <w:r w:rsidRPr="00C20477">
        <w:rPr>
          <w:rFonts w:ascii="Cambria Math" w:hAnsi="Cambria Math" w:cs="Cambria Math"/>
          <w:lang w:val="en-GB"/>
        </w:rPr>
        <w:t>⁻</w:t>
      </w:r>
      <w:r w:rsidRPr="00C20477">
        <w:rPr>
          <w:rFonts w:cs="Arial"/>
          <w:lang w:val="en-GB"/>
        </w:rPr>
        <w:t>¹</w:t>
      </w:r>
      <w:r w:rsidRPr="00C20477">
        <w:rPr>
          <w:lang w:val="en-GB"/>
        </w:rPr>
        <w:t>) is a strong validation point.</w:t>
      </w:r>
    </w:p>
    <w:p w14:paraId="2B837997" w14:textId="77777777" w:rsidR="00C20477" w:rsidRPr="00C20477" w:rsidRDefault="00C20477" w:rsidP="00C20477">
      <w:pPr>
        <w:rPr>
          <w:lang w:val="en-GB"/>
        </w:rPr>
      </w:pPr>
      <w:r w:rsidRPr="00C20477">
        <w:rPr>
          <w:lang w:val="en-GB"/>
        </w:rPr>
        <w:t>Plausible explanations for differences between calculated and measured values include:</w:t>
      </w:r>
    </w:p>
    <w:p w14:paraId="6DDC6A86" w14:textId="77777777" w:rsidR="00C20477" w:rsidRPr="00C20477" w:rsidRDefault="00C20477" w:rsidP="00C20477">
      <w:pPr>
        <w:numPr>
          <w:ilvl w:val="0"/>
          <w:numId w:val="14"/>
        </w:numPr>
        <w:rPr>
          <w:lang w:val="en-GB"/>
        </w:rPr>
      </w:pPr>
      <w:r w:rsidRPr="00C20477">
        <w:rPr>
          <w:lang w:val="en-GB"/>
        </w:rPr>
        <w:t xml:space="preserve">uncertainty in the actual exposure duration </w:t>
      </w:r>
    </w:p>
    <w:p w14:paraId="3BEF7A43" w14:textId="77777777" w:rsidR="00C20477" w:rsidRPr="00C20477" w:rsidRDefault="00C20477" w:rsidP="00C20477">
      <w:pPr>
        <w:numPr>
          <w:ilvl w:val="0"/>
          <w:numId w:val="14"/>
        </w:numPr>
        <w:rPr>
          <w:lang w:val="en-GB"/>
        </w:rPr>
      </w:pPr>
      <w:r w:rsidRPr="00C20477">
        <w:rPr>
          <w:lang w:val="en-GB"/>
        </w:rPr>
        <w:lastRenderedPageBreak/>
        <w:t xml:space="preserve">variation in torso position during the intervention </w:t>
      </w:r>
    </w:p>
    <w:p w14:paraId="6D321F40" w14:textId="77777777" w:rsidR="00C20477" w:rsidRPr="00C20477" w:rsidRDefault="00C20477" w:rsidP="00C20477">
      <w:pPr>
        <w:numPr>
          <w:ilvl w:val="0"/>
          <w:numId w:val="14"/>
        </w:numPr>
        <w:rPr>
          <w:lang w:val="en-GB"/>
        </w:rPr>
      </w:pPr>
      <w:r w:rsidRPr="00C20477">
        <w:rPr>
          <w:lang w:val="en-GB"/>
        </w:rPr>
        <w:t xml:space="preserve">differences in location between the chest-mounted EPD and waist-mounted TLD </w:t>
      </w:r>
    </w:p>
    <w:p w14:paraId="36E5BBF5" w14:textId="77777777" w:rsidR="00C20477" w:rsidRPr="00C20477" w:rsidRDefault="00C20477" w:rsidP="00C20477">
      <w:pPr>
        <w:numPr>
          <w:ilvl w:val="0"/>
          <w:numId w:val="14"/>
        </w:numPr>
        <w:rPr>
          <w:lang w:val="en-GB"/>
        </w:rPr>
      </w:pPr>
      <w:r w:rsidRPr="00C20477">
        <w:rPr>
          <w:lang w:val="en-GB"/>
        </w:rPr>
        <w:t xml:space="preserve">non-uniformity of the field </w:t>
      </w:r>
    </w:p>
    <w:p w14:paraId="26687A73" w14:textId="77777777" w:rsidR="00C20477" w:rsidRPr="00C20477" w:rsidRDefault="00C20477" w:rsidP="00C20477">
      <w:pPr>
        <w:numPr>
          <w:ilvl w:val="0"/>
          <w:numId w:val="14"/>
        </w:numPr>
        <w:rPr>
          <w:lang w:val="en-GB"/>
        </w:rPr>
      </w:pPr>
      <w:r w:rsidRPr="00C20477">
        <w:rPr>
          <w:lang w:val="en-GB"/>
        </w:rPr>
        <w:t xml:space="preserve">local scatter and source geometry effects </w:t>
      </w:r>
    </w:p>
    <w:p w14:paraId="112E5C75" w14:textId="77777777" w:rsidR="00C20477" w:rsidRPr="00C20477" w:rsidRDefault="00C20477" w:rsidP="00C20477">
      <w:pPr>
        <w:numPr>
          <w:ilvl w:val="0"/>
          <w:numId w:val="14"/>
        </w:numPr>
        <w:rPr>
          <w:lang w:val="en-GB"/>
        </w:rPr>
      </w:pPr>
      <w:r w:rsidRPr="00C20477">
        <w:rPr>
          <w:lang w:val="en-GB"/>
        </w:rPr>
        <w:t xml:space="preserve">slight variation in water path length during movement </w:t>
      </w:r>
    </w:p>
    <w:p w14:paraId="3A9D9D57" w14:textId="77777777" w:rsidR="00C20477" w:rsidRPr="00C20477" w:rsidRDefault="00C20477" w:rsidP="00C20477">
      <w:pPr>
        <w:rPr>
          <w:lang w:val="en-GB"/>
        </w:rPr>
      </w:pPr>
      <w:r w:rsidRPr="00C20477">
        <w:rPr>
          <w:lang w:val="en-GB"/>
        </w:rPr>
        <w:t>The best answers will explain these discrepancies qualitatively rather than forcing exact agreement.</w:t>
      </w:r>
    </w:p>
    <w:p w14:paraId="4BA9EC38" w14:textId="77777777" w:rsidR="00C20477" w:rsidRPr="00C20477" w:rsidRDefault="00000000" w:rsidP="00C20477">
      <w:pPr>
        <w:rPr>
          <w:lang w:val="en-GB"/>
        </w:rPr>
      </w:pPr>
      <w:r>
        <w:rPr>
          <w:lang w:val="en-GB"/>
        </w:rPr>
        <w:pict w14:anchorId="38637A40">
          <v:rect id="_x0000_i1034" style="width:0;height:1.5pt" o:hralign="center" o:hrstd="t" o:hr="t" fillcolor="#a0a0a0" stroked="f"/>
        </w:pict>
      </w:r>
    </w:p>
    <w:p w14:paraId="50D80379" w14:textId="77777777" w:rsidR="00C20477" w:rsidRPr="00C20477" w:rsidRDefault="00C20477" w:rsidP="00C20477">
      <w:pPr>
        <w:rPr>
          <w:b/>
          <w:bCs/>
          <w:lang w:val="en-GB"/>
        </w:rPr>
      </w:pPr>
      <w:r w:rsidRPr="00C20477">
        <w:rPr>
          <w:b/>
          <w:bCs/>
          <w:lang w:val="en-GB"/>
        </w:rPr>
        <w:t>4. Health implications</w:t>
      </w:r>
    </w:p>
    <w:p w14:paraId="0A0A1EB7" w14:textId="77777777" w:rsidR="00C20477" w:rsidRPr="00C20477" w:rsidRDefault="00C20477" w:rsidP="00C20477">
      <w:pPr>
        <w:rPr>
          <w:lang w:val="en-GB"/>
        </w:rPr>
      </w:pPr>
      <w:r w:rsidRPr="00C20477">
        <w:rPr>
          <w:lang w:val="en-GB"/>
        </w:rPr>
        <w:t>At a whole-body effective dose of order 30 mSv:</w:t>
      </w:r>
    </w:p>
    <w:p w14:paraId="4148F938" w14:textId="77777777" w:rsidR="00C20477" w:rsidRPr="00C20477" w:rsidRDefault="00C20477" w:rsidP="00C20477">
      <w:pPr>
        <w:numPr>
          <w:ilvl w:val="0"/>
          <w:numId w:val="15"/>
        </w:numPr>
        <w:rPr>
          <w:lang w:val="en-GB"/>
        </w:rPr>
      </w:pPr>
      <w:r w:rsidRPr="00C20477">
        <w:rPr>
          <w:lang w:val="en-GB"/>
        </w:rPr>
        <w:t xml:space="preserve">deterministic whole-body effects would not normally be expected </w:t>
      </w:r>
    </w:p>
    <w:p w14:paraId="278DAFAA" w14:textId="77777777" w:rsidR="00C20477" w:rsidRPr="00C20477" w:rsidRDefault="00C20477" w:rsidP="00C20477">
      <w:pPr>
        <w:numPr>
          <w:ilvl w:val="0"/>
          <w:numId w:val="15"/>
        </w:numPr>
        <w:rPr>
          <w:lang w:val="en-GB"/>
        </w:rPr>
      </w:pPr>
      <w:r w:rsidRPr="00C20477">
        <w:rPr>
          <w:lang w:val="en-GB"/>
        </w:rPr>
        <w:t xml:space="preserve">the principal radiological consequence is increased stochastic risk </w:t>
      </w:r>
    </w:p>
    <w:p w14:paraId="0198C9D4" w14:textId="77777777" w:rsidR="00C20477" w:rsidRPr="00C20477" w:rsidRDefault="00C20477" w:rsidP="00C20477">
      <w:pPr>
        <w:numPr>
          <w:ilvl w:val="0"/>
          <w:numId w:val="15"/>
        </w:numPr>
        <w:rPr>
          <w:lang w:val="en-GB"/>
        </w:rPr>
      </w:pPr>
      <w:r w:rsidRPr="00C20477">
        <w:rPr>
          <w:lang w:val="en-GB"/>
        </w:rPr>
        <w:t xml:space="preserve">the exposure is serious in occupational radiological protection terms and clearly warrants formal investigation and follow-up </w:t>
      </w:r>
    </w:p>
    <w:p w14:paraId="5D837EEA" w14:textId="77777777" w:rsidR="00C20477" w:rsidRPr="00C20477" w:rsidRDefault="00C20477" w:rsidP="00C20477">
      <w:pPr>
        <w:rPr>
          <w:lang w:val="en-GB"/>
        </w:rPr>
      </w:pPr>
      <w:r w:rsidRPr="00C20477">
        <w:rPr>
          <w:lang w:val="en-GB"/>
        </w:rPr>
        <w:t>The reported symptoms such as metallic taste, dizziness, nausea, headache and blurred vision are unlikely to be caused directly by radiation at this dose level and are more plausibly related to stress, anxiety, or the circumstances of the event. Good answers should note this cautiously and avoid overstating radiological injury.</w:t>
      </w:r>
    </w:p>
    <w:p w14:paraId="18A8B9FE" w14:textId="77777777" w:rsidR="00C20477" w:rsidRPr="00C20477" w:rsidRDefault="00C20477" w:rsidP="00C20477">
      <w:pPr>
        <w:rPr>
          <w:lang w:val="en-GB"/>
        </w:rPr>
      </w:pPr>
      <w:r w:rsidRPr="00C20477">
        <w:rPr>
          <w:lang w:val="en-GB"/>
        </w:rPr>
        <w:t>Students should not infer acute radiation syndrome or deterministic whole-body effects from a dose in this range.</w:t>
      </w:r>
    </w:p>
    <w:p w14:paraId="1BF40231" w14:textId="77777777" w:rsidR="00C20477" w:rsidRPr="00C20477" w:rsidRDefault="00000000" w:rsidP="00C20477">
      <w:pPr>
        <w:rPr>
          <w:lang w:val="en-GB"/>
        </w:rPr>
      </w:pPr>
      <w:r>
        <w:rPr>
          <w:lang w:val="en-GB"/>
        </w:rPr>
        <w:pict w14:anchorId="5B55C75C">
          <v:rect id="_x0000_i1035" style="width:0;height:1.5pt" o:hralign="center" o:hrstd="t" o:hr="t" fillcolor="#a0a0a0" stroked="f"/>
        </w:pict>
      </w:r>
    </w:p>
    <w:p w14:paraId="7B04DF20" w14:textId="77777777" w:rsidR="00C20477" w:rsidRPr="00C20477" w:rsidRDefault="00C20477" w:rsidP="00C20477">
      <w:pPr>
        <w:rPr>
          <w:b/>
          <w:bCs/>
          <w:lang w:val="en-GB"/>
        </w:rPr>
      </w:pPr>
      <w:r w:rsidRPr="00C20477">
        <w:rPr>
          <w:b/>
          <w:bCs/>
          <w:lang w:val="en-GB"/>
        </w:rPr>
        <w:t>5. IRR17 compliance issues likely to be discussed</w:t>
      </w:r>
    </w:p>
    <w:p w14:paraId="04F0B9DA" w14:textId="77777777" w:rsidR="00C20477" w:rsidRPr="00C20477" w:rsidRDefault="00C20477" w:rsidP="00C20477">
      <w:pPr>
        <w:rPr>
          <w:lang w:val="en-GB"/>
        </w:rPr>
      </w:pPr>
      <w:r w:rsidRPr="00C20477">
        <w:rPr>
          <w:lang w:val="en-GB"/>
        </w:rPr>
        <w:t>Likely issues include:</w:t>
      </w:r>
    </w:p>
    <w:p w14:paraId="221690FA" w14:textId="77777777" w:rsidR="00C20477" w:rsidRPr="00C20477" w:rsidRDefault="00C20477" w:rsidP="00C20477">
      <w:pPr>
        <w:numPr>
          <w:ilvl w:val="0"/>
          <w:numId w:val="16"/>
        </w:numPr>
        <w:rPr>
          <w:lang w:val="en-GB"/>
        </w:rPr>
      </w:pPr>
      <w:r w:rsidRPr="00C20477">
        <w:rPr>
          <w:lang w:val="en-GB"/>
        </w:rPr>
        <w:t xml:space="preserve">failure to ensure the source rack had reached a genuinely safe parked condition before access </w:t>
      </w:r>
    </w:p>
    <w:p w14:paraId="56C483D0" w14:textId="77777777" w:rsidR="00C20477" w:rsidRPr="00C20477" w:rsidRDefault="00C20477" w:rsidP="00C20477">
      <w:pPr>
        <w:numPr>
          <w:ilvl w:val="0"/>
          <w:numId w:val="16"/>
        </w:numPr>
        <w:rPr>
          <w:lang w:val="en-GB"/>
        </w:rPr>
      </w:pPr>
      <w:r w:rsidRPr="00C20477">
        <w:rPr>
          <w:lang w:val="en-GB"/>
        </w:rPr>
        <w:t xml:space="preserve">misinterpretation of plant indication and external dose-rate checks </w:t>
      </w:r>
    </w:p>
    <w:p w14:paraId="4C0196DB" w14:textId="77777777" w:rsidR="00C20477" w:rsidRPr="00C20477" w:rsidRDefault="00C20477" w:rsidP="00C20477">
      <w:pPr>
        <w:numPr>
          <w:ilvl w:val="0"/>
          <w:numId w:val="16"/>
        </w:numPr>
        <w:rPr>
          <w:lang w:val="en-GB"/>
        </w:rPr>
      </w:pPr>
      <w:r w:rsidRPr="00C20477">
        <w:rPr>
          <w:lang w:val="en-GB"/>
        </w:rPr>
        <w:t xml:space="preserve">inadequate response to the illuminated danger warning signs </w:t>
      </w:r>
    </w:p>
    <w:p w14:paraId="740536A8" w14:textId="77777777" w:rsidR="00C20477" w:rsidRPr="00C20477" w:rsidRDefault="00C20477" w:rsidP="00C20477">
      <w:pPr>
        <w:numPr>
          <w:ilvl w:val="0"/>
          <w:numId w:val="16"/>
        </w:numPr>
        <w:rPr>
          <w:lang w:val="en-GB"/>
        </w:rPr>
      </w:pPr>
      <w:r w:rsidRPr="00C20477">
        <w:rPr>
          <w:lang w:val="en-GB"/>
        </w:rPr>
        <w:t xml:space="preserve">weaknesses in defect reporting and maintenance of the hoist system </w:t>
      </w:r>
    </w:p>
    <w:p w14:paraId="070EC8D7" w14:textId="77777777" w:rsidR="00C20477" w:rsidRPr="00C20477" w:rsidRDefault="00C20477" w:rsidP="00C20477">
      <w:pPr>
        <w:numPr>
          <w:ilvl w:val="0"/>
          <w:numId w:val="16"/>
        </w:numPr>
        <w:rPr>
          <w:lang w:val="en-GB"/>
        </w:rPr>
      </w:pPr>
      <w:r w:rsidRPr="00C20477">
        <w:rPr>
          <w:lang w:val="en-GB"/>
        </w:rPr>
        <w:t xml:space="preserve">insufficient restriction of exposure once uncertainty existed over the source position </w:t>
      </w:r>
    </w:p>
    <w:p w14:paraId="5D3B92AE" w14:textId="77777777" w:rsidR="00C20477" w:rsidRPr="00C20477" w:rsidRDefault="00C20477" w:rsidP="00C20477">
      <w:pPr>
        <w:numPr>
          <w:ilvl w:val="0"/>
          <w:numId w:val="16"/>
        </w:numPr>
        <w:rPr>
          <w:lang w:val="en-GB"/>
        </w:rPr>
      </w:pPr>
      <w:r w:rsidRPr="00C20477">
        <w:rPr>
          <w:lang w:val="en-GB"/>
        </w:rPr>
        <w:lastRenderedPageBreak/>
        <w:t xml:space="preserve">the need for formal dose investigation and regulatory notification following the overexposure </w:t>
      </w:r>
    </w:p>
    <w:p w14:paraId="51770E5A" w14:textId="77777777" w:rsidR="00C20477" w:rsidRPr="00C20477" w:rsidRDefault="00C20477" w:rsidP="00C20477">
      <w:pPr>
        <w:rPr>
          <w:lang w:val="en-GB"/>
        </w:rPr>
      </w:pPr>
      <w:r w:rsidRPr="00C20477">
        <w:rPr>
          <w:lang w:val="en-GB"/>
        </w:rPr>
        <w:t>The strongest answers will apply the principles of IRR17 directly to the circumstances of the incident rather than merely reproducing legislative text.</w:t>
      </w:r>
    </w:p>
    <w:p w14:paraId="5F6E772C" w14:textId="77777777" w:rsidR="00C20477" w:rsidRPr="00C20477" w:rsidRDefault="00000000" w:rsidP="00C20477">
      <w:pPr>
        <w:rPr>
          <w:lang w:val="en-GB"/>
        </w:rPr>
      </w:pPr>
      <w:r>
        <w:rPr>
          <w:lang w:val="en-GB"/>
        </w:rPr>
        <w:pict w14:anchorId="04CDF3A9">
          <v:rect id="_x0000_i1036" style="width:0;height:1.5pt" o:hralign="center" o:hrstd="t" o:hr="t" fillcolor="#a0a0a0" stroked="f"/>
        </w:pict>
      </w:r>
    </w:p>
    <w:p w14:paraId="2BDEC314" w14:textId="77777777" w:rsidR="00C20477" w:rsidRPr="00C20477" w:rsidRDefault="00C20477" w:rsidP="00C20477">
      <w:pPr>
        <w:rPr>
          <w:b/>
          <w:bCs/>
          <w:lang w:val="en-GB"/>
        </w:rPr>
      </w:pPr>
      <w:r w:rsidRPr="00C20477">
        <w:rPr>
          <w:b/>
          <w:bCs/>
          <w:lang w:val="en-GB"/>
        </w:rPr>
        <w:t>6. ONR SAP evaluation – indicative points</w:t>
      </w:r>
    </w:p>
    <w:p w14:paraId="1BEEA5EB" w14:textId="77777777" w:rsidR="00C20477" w:rsidRPr="00C20477" w:rsidRDefault="00C20477" w:rsidP="00C20477">
      <w:pPr>
        <w:rPr>
          <w:lang w:val="en-GB"/>
        </w:rPr>
      </w:pPr>
      <w:r w:rsidRPr="00C20477">
        <w:rPr>
          <w:lang w:val="en-GB"/>
        </w:rPr>
        <w:t xml:space="preserve">Students are asked to evaluate the incident against </w:t>
      </w:r>
      <w:r w:rsidRPr="00C20477">
        <w:rPr>
          <w:b/>
          <w:bCs/>
          <w:lang w:val="en-GB"/>
        </w:rPr>
        <w:t>EKP.5 Defence in Depth</w:t>
      </w:r>
      <w:r w:rsidRPr="00C20477">
        <w:rPr>
          <w:lang w:val="en-GB"/>
        </w:rPr>
        <w:t xml:space="preserve"> and two other SAPs of their choice. Credit the quality of the reasoning rather than choice of labels alone.</w:t>
      </w:r>
    </w:p>
    <w:p w14:paraId="2D5FDF12" w14:textId="77777777" w:rsidR="00C20477" w:rsidRPr="00C20477" w:rsidRDefault="00C20477" w:rsidP="00C20477">
      <w:pPr>
        <w:rPr>
          <w:b/>
          <w:bCs/>
          <w:lang w:val="en-GB"/>
        </w:rPr>
      </w:pPr>
      <w:r w:rsidRPr="00C20477">
        <w:rPr>
          <w:b/>
          <w:bCs/>
          <w:lang w:val="en-GB"/>
        </w:rPr>
        <w:t>EKP.5 Defence in Depth</w:t>
      </w:r>
    </w:p>
    <w:p w14:paraId="51FD7FF1" w14:textId="77777777" w:rsidR="00C20477" w:rsidRPr="00C20477" w:rsidRDefault="00C20477" w:rsidP="00C20477">
      <w:pPr>
        <w:rPr>
          <w:lang w:val="en-GB"/>
        </w:rPr>
      </w:pPr>
      <w:r w:rsidRPr="00C20477">
        <w:rPr>
          <w:lang w:val="en-GB"/>
        </w:rPr>
        <w:t>Several layers of protection failed or were ineffective:</w:t>
      </w:r>
    </w:p>
    <w:p w14:paraId="0522288E" w14:textId="77777777" w:rsidR="00C20477" w:rsidRPr="00C20477" w:rsidRDefault="00C20477" w:rsidP="00C20477">
      <w:pPr>
        <w:numPr>
          <w:ilvl w:val="0"/>
          <w:numId w:val="17"/>
        </w:numPr>
        <w:rPr>
          <w:lang w:val="en-GB"/>
        </w:rPr>
      </w:pPr>
      <w:r w:rsidRPr="00C20477">
        <w:rPr>
          <w:lang w:val="en-GB"/>
        </w:rPr>
        <w:t xml:space="preserve">the hoist mechanism did not lower the source fully </w:t>
      </w:r>
    </w:p>
    <w:p w14:paraId="0A7A8790" w14:textId="77777777" w:rsidR="00C20477" w:rsidRPr="00C20477" w:rsidRDefault="00C20477" w:rsidP="00C20477">
      <w:pPr>
        <w:numPr>
          <w:ilvl w:val="0"/>
          <w:numId w:val="17"/>
        </w:numPr>
        <w:rPr>
          <w:lang w:val="en-GB"/>
        </w:rPr>
      </w:pPr>
      <w:r w:rsidRPr="00C20477">
        <w:rPr>
          <w:lang w:val="en-GB"/>
        </w:rPr>
        <w:t xml:space="preserve">the parked-source indication was interpreted as showing a safe state </w:t>
      </w:r>
    </w:p>
    <w:p w14:paraId="19AF46BA" w14:textId="77777777" w:rsidR="00C20477" w:rsidRPr="00C20477" w:rsidRDefault="00C20477" w:rsidP="00C20477">
      <w:pPr>
        <w:numPr>
          <w:ilvl w:val="0"/>
          <w:numId w:val="17"/>
        </w:numPr>
        <w:rPr>
          <w:lang w:val="en-GB"/>
        </w:rPr>
      </w:pPr>
      <w:r w:rsidRPr="00C20477">
        <w:rPr>
          <w:lang w:val="en-GB"/>
        </w:rPr>
        <w:t xml:space="preserve">the maze entrance interlock permitted access </w:t>
      </w:r>
    </w:p>
    <w:p w14:paraId="743915E0" w14:textId="77777777" w:rsidR="00C20477" w:rsidRPr="00C20477" w:rsidRDefault="00C20477" w:rsidP="00C20477">
      <w:pPr>
        <w:numPr>
          <w:ilvl w:val="0"/>
          <w:numId w:val="17"/>
        </w:numPr>
        <w:rPr>
          <w:lang w:val="en-GB"/>
        </w:rPr>
      </w:pPr>
      <w:r w:rsidRPr="00C20477">
        <w:rPr>
          <w:lang w:val="en-GB"/>
        </w:rPr>
        <w:t xml:space="preserve">the illuminated “Danger of Death” signs were not acted upon promptly </w:t>
      </w:r>
    </w:p>
    <w:p w14:paraId="4D091714" w14:textId="77777777" w:rsidR="00C20477" w:rsidRPr="00C20477" w:rsidRDefault="00C20477" w:rsidP="00C20477">
      <w:pPr>
        <w:numPr>
          <w:ilvl w:val="0"/>
          <w:numId w:val="17"/>
        </w:numPr>
        <w:rPr>
          <w:lang w:val="en-GB"/>
        </w:rPr>
      </w:pPr>
      <w:r w:rsidRPr="00C20477">
        <w:rPr>
          <w:lang w:val="en-GB"/>
        </w:rPr>
        <w:t xml:space="preserve">the technician entered into a region where a very high local dose rate still existed </w:t>
      </w:r>
    </w:p>
    <w:p w14:paraId="70C738E6" w14:textId="77777777" w:rsidR="00C20477" w:rsidRPr="00C20477" w:rsidRDefault="00C20477" w:rsidP="00C20477">
      <w:pPr>
        <w:rPr>
          <w:lang w:val="en-GB"/>
        </w:rPr>
      </w:pPr>
      <w:r w:rsidRPr="00C20477">
        <w:rPr>
          <w:lang w:val="en-GB"/>
        </w:rPr>
        <w:t>A strong answer will identify this as a classic breakdown of multiple independent protective barriers.</w:t>
      </w:r>
    </w:p>
    <w:p w14:paraId="25DEB935" w14:textId="77777777" w:rsidR="00C20477" w:rsidRPr="00C20477" w:rsidRDefault="00C20477" w:rsidP="00C20477">
      <w:pPr>
        <w:rPr>
          <w:b/>
          <w:bCs/>
          <w:lang w:val="en-GB"/>
        </w:rPr>
      </w:pPr>
      <w:r w:rsidRPr="00C20477">
        <w:rPr>
          <w:b/>
          <w:bCs/>
          <w:lang w:val="en-GB"/>
        </w:rPr>
        <w:t>Engineering safety / source position control</w:t>
      </w:r>
    </w:p>
    <w:p w14:paraId="6C73DE39" w14:textId="77777777" w:rsidR="00C20477" w:rsidRPr="00C20477" w:rsidRDefault="00C20477" w:rsidP="00C20477">
      <w:pPr>
        <w:rPr>
          <w:lang w:val="en-GB"/>
        </w:rPr>
      </w:pPr>
      <w:r w:rsidRPr="00C20477">
        <w:rPr>
          <w:lang w:val="en-GB"/>
        </w:rPr>
        <w:t>A good answer may observe that source position should be reliably known before access is possible. A condition in which the source remains only partly shielded while personnel are permitted entry is a serious engineering and safety systems failure.</w:t>
      </w:r>
    </w:p>
    <w:p w14:paraId="342124D9" w14:textId="77777777" w:rsidR="00C20477" w:rsidRPr="00C20477" w:rsidRDefault="00C20477" w:rsidP="00C20477">
      <w:pPr>
        <w:rPr>
          <w:b/>
          <w:bCs/>
          <w:lang w:val="en-GB"/>
        </w:rPr>
      </w:pPr>
      <w:r w:rsidRPr="00C20477">
        <w:rPr>
          <w:b/>
          <w:bCs/>
          <w:lang w:val="en-GB"/>
        </w:rPr>
        <w:t>Human factors / procedures</w:t>
      </w:r>
    </w:p>
    <w:p w14:paraId="768F6149" w14:textId="77777777" w:rsidR="00C20477" w:rsidRPr="00C20477" w:rsidRDefault="00C20477" w:rsidP="00C20477">
      <w:pPr>
        <w:rPr>
          <w:lang w:val="en-GB"/>
        </w:rPr>
      </w:pPr>
      <w:r w:rsidRPr="00C20477">
        <w:rPr>
          <w:lang w:val="en-GB"/>
        </w:rPr>
        <w:t>The event also reflects failures in interpretation and response. The technician either failed to notice or failed to act on the warning signs, and the operator placed too much reliance on an apparently normal external survey reading without properly accounting for maze geometry and partial shielding.</w:t>
      </w:r>
    </w:p>
    <w:p w14:paraId="75942028" w14:textId="77777777" w:rsidR="00C20477" w:rsidRPr="00C20477" w:rsidRDefault="00000000" w:rsidP="00C20477">
      <w:pPr>
        <w:rPr>
          <w:lang w:val="en-GB"/>
        </w:rPr>
      </w:pPr>
      <w:r>
        <w:rPr>
          <w:lang w:val="en-GB"/>
        </w:rPr>
        <w:pict w14:anchorId="6C0948B3">
          <v:rect id="_x0000_i1037" style="width:0;height:1.5pt" o:hralign="center" o:hrstd="t" o:hr="t" fillcolor="#a0a0a0" stroked="f"/>
        </w:pict>
      </w:r>
    </w:p>
    <w:p w14:paraId="4EA29B70" w14:textId="77777777" w:rsidR="00C20477" w:rsidRPr="00C20477" w:rsidRDefault="00C20477" w:rsidP="00C20477">
      <w:pPr>
        <w:rPr>
          <w:b/>
          <w:bCs/>
          <w:lang w:val="en-GB"/>
        </w:rPr>
      </w:pPr>
      <w:r w:rsidRPr="00C20477">
        <w:rPr>
          <w:b/>
          <w:bCs/>
          <w:lang w:val="en-GB"/>
        </w:rPr>
        <w:t>7. Proportionate ALARP improvements</w:t>
      </w:r>
    </w:p>
    <w:p w14:paraId="4F31E9BC" w14:textId="77777777" w:rsidR="00C20477" w:rsidRPr="00C20477" w:rsidRDefault="00C20477" w:rsidP="00C20477">
      <w:pPr>
        <w:rPr>
          <w:lang w:val="en-GB"/>
        </w:rPr>
      </w:pPr>
      <w:r w:rsidRPr="00C20477">
        <w:rPr>
          <w:lang w:val="en-GB"/>
        </w:rPr>
        <w:t>Credit any practical and proportionate improvements that clearly reduce risk. Indicative points include:</w:t>
      </w:r>
    </w:p>
    <w:p w14:paraId="48E0A72A" w14:textId="77777777" w:rsidR="00C20477" w:rsidRPr="00C20477" w:rsidRDefault="00C20477" w:rsidP="00C20477">
      <w:pPr>
        <w:numPr>
          <w:ilvl w:val="0"/>
          <w:numId w:val="18"/>
        </w:numPr>
        <w:rPr>
          <w:lang w:val="en-GB"/>
        </w:rPr>
      </w:pPr>
      <w:r w:rsidRPr="00C20477">
        <w:rPr>
          <w:lang w:val="en-GB"/>
        </w:rPr>
        <w:lastRenderedPageBreak/>
        <w:t xml:space="preserve">improve hoist condition monitoring and preventive maintenance </w:t>
      </w:r>
    </w:p>
    <w:p w14:paraId="6D79D63D" w14:textId="77777777" w:rsidR="00C20477" w:rsidRPr="00C20477" w:rsidRDefault="00C20477" w:rsidP="00C20477">
      <w:pPr>
        <w:numPr>
          <w:ilvl w:val="0"/>
          <w:numId w:val="18"/>
        </w:numPr>
        <w:rPr>
          <w:lang w:val="en-GB"/>
        </w:rPr>
      </w:pPr>
      <w:r w:rsidRPr="00C20477">
        <w:rPr>
          <w:lang w:val="en-GB"/>
        </w:rPr>
        <w:t xml:space="preserve">introduce redundant and diverse confirmation of true parked-source position </w:t>
      </w:r>
    </w:p>
    <w:p w14:paraId="761CD625" w14:textId="77777777" w:rsidR="00C20477" w:rsidRPr="00C20477" w:rsidRDefault="00C20477" w:rsidP="00C20477">
      <w:pPr>
        <w:numPr>
          <w:ilvl w:val="0"/>
          <w:numId w:val="18"/>
        </w:numPr>
        <w:rPr>
          <w:lang w:val="en-GB"/>
        </w:rPr>
      </w:pPr>
      <w:r w:rsidRPr="00C20477">
        <w:rPr>
          <w:lang w:val="en-GB"/>
        </w:rPr>
        <w:t xml:space="preserve">require positive radiological confirmation before access, not reliance on a single indication </w:t>
      </w:r>
    </w:p>
    <w:p w14:paraId="4B505089" w14:textId="77777777" w:rsidR="00C20477" w:rsidRPr="00C20477" w:rsidRDefault="00C20477" w:rsidP="00C20477">
      <w:pPr>
        <w:numPr>
          <w:ilvl w:val="0"/>
          <w:numId w:val="18"/>
        </w:numPr>
        <w:rPr>
          <w:lang w:val="en-GB"/>
        </w:rPr>
      </w:pPr>
      <w:r w:rsidRPr="00C20477">
        <w:rPr>
          <w:lang w:val="en-GB"/>
        </w:rPr>
        <w:t xml:space="preserve">strengthen procedural controls around response to illuminated danger signs </w:t>
      </w:r>
    </w:p>
    <w:p w14:paraId="632E84CA" w14:textId="77777777" w:rsidR="00C20477" w:rsidRPr="00C20477" w:rsidRDefault="00C20477" w:rsidP="00C20477">
      <w:pPr>
        <w:numPr>
          <w:ilvl w:val="0"/>
          <w:numId w:val="18"/>
        </w:numPr>
        <w:rPr>
          <w:lang w:val="en-GB"/>
        </w:rPr>
      </w:pPr>
      <w:r w:rsidRPr="00C20477">
        <w:rPr>
          <w:lang w:val="en-GB"/>
        </w:rPr>
        <w:t xml:space="preserve">improve staff training on maze-shielding effects and partially shielded source conditions </w:t>
      </w:r>
    </w:p>
    <w:p w14:paraId="0AA91E3D" w14:textId="77777777" w:rsidR="00C20477" w:rsidRPr="00C20477" w:rsidRDefault="00C20477" w:rsidP="00C20477">
      <w:pPr>
        <w:numPr>
          <w:ilvl w:val="0"/>
          <w:numId w:val="18"/>
        </w:numPr>
        <w:rPr>
          <w:lang w:val="en-GB"/>
        </w:rPr>
      </w:pPr>
      <w:r w:rsidRPr="00C20477">
        <w:rPr>
          <w:lang w:val="en-GB"/>
        </w:rPr>
        <w:t xml:space="preserve">review EPD alarm settings and immediate withdrawal rules </w:t>
      </w:r>
    </w:p>
    <w:p w14:paraId="14F9D05F" w14:textId="77777777" w:rsidR="00C20477" w:rsidRPr="00C20477" w:rsidRDefault="00C20477" w:rsidP="00C20477">
      <w:pPr>
        <w:numPr>
          <w:ilvl w:val="0"/>
          <w:numId w:val="18"/>
        </w:numPr>
        <w:rPr>
          <w:lang w:val="en-GB"/>
        </w:rPr>
      </w:pPr>
      <w:r w:rsidRPr="00C20477">
        <w:rPr>
          <w:lang w:val="en-GB"/>
        </w:rPr>
        <w:t xml:space="preserve">improve abnormal-condition escalation and maintenance defect reporting </w:t>
      </w:r>
    </w:p>
    <w:p w14:paraId="4EBB878E" w14:textId="77777777" w:rsidR="00C20477" w:rsidRPr="00C20477" w:rsidRDefault="00C20477" w:rsidP="00C20477">
      <w:pPr>
        <w:rPr>
          <w:lang w:val="en-GB"/>
        </w:rPr>
      </w:pPr>
      <w:r w:rsidRPr="00C20477">
        <w:rPr>
          <w:lang w:val="en-GB"/>
        </w:rPr>
        <w:t>Any proposed improvement should be explicitly justified in ALARP terms, i.e. a worthwhile reduction in risk for proportionate effort.</w:t>
      </w:r>
    </w:p>
    <w:p w14:paraId="0B4C3186" w14:textId="77777777" w:rsidR="00C20477" w:rsidRPr="00C20477" w:rsidRDefault="00000000" w:rsidP="00C20477">
      <w:pPr>
        <w:rPr>
          <w:lang w:val="en-GB"/>
        </w:rPr>
      </w:pPr>
      <w:r>
        <w:rPr>
          <w:lang w:val="en-GB"/>
        </w:rPr>
        <w:pict w14:anchorId="3B36DE9C">
          <v:rect id="_x0000_i1038" style="width:0;height:1.5pt" o:hralign="center" o:hrstd="t" o:hr="t" fillcolor="#a0a0a0" stroked="f"/>
        </w:pict>
      </w:r>
    </w:p>
    <w:p w14:paraId="05149A7B" w14:textId="77777777" w:rsidR="00C20477" w:rsidRPr="00C20477" w:rsidRDefault="00C20477" w:rsidP="00C20477">
      <w:pPr>
        <w:rPr>
          <w:b/>
          <w:bCs/>
          <w:lang w:val="en-GB"/>
        </w:rPr>
      </w:pPr>
      <w:r w:rsidRPr="00C20477">
        <w:rPr>
          <w:b/>
          <w:bCs/>
          <w:lang w:val="en-GB"/>
        </w:rPr>
        <w:t>8. Marker guidance on common errors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4256"/>
        <w:gridCol w:w="4384"/>
      </w:tblGrid>
      <w:tr w:rsidR="00C20477" w:rsidRPr="00C20477" w14:paraId="3E3DA3C8" w14:textId="77777777">
        <w:trPr>
          <w:tblHeader/>
          <w:tblCellSpacing w:w="15" w:type="dxa"/>
        </w:trPr>
        <w:tc>
          <w:tcPr>
            <w:tcW w:w="0" w:type="auto"/>
            <w:vAlign w:val="center"/>
            <w:hideMark/>
          </w:tcPr>
          <w:p w14:paraId="02770806" w14:textId="77777777" w:rsidR="00C20477" w:rsidRPr="00C20477" w:rsidRDefault="00C20477" w:rsidP="00C20477">
            <w:pPr>
              <w:rPr>
                <w:b/>
                <w:bCs/>
                <w:lang w:val="en-GB"/>
              </w:rPr>
            </w:pPr>
            <w:r w:rsidRPr="00C20477">
              <w:rPr>
                <w:b/>
                <w:bCs/>
                <w:lang w:val="en-GB"/>
              </w:rPr>
              <w:t>Common issue</w:t>
            </w:r>
          </w:p>
        </w:tc>
        <w:tc>
          <w:tcPr>
            <w:tcW w:w="0" w:type="auto"/>
            <w:vAlign w:val="center"/>
            <w:hideMark/>
          </w:tcPr>
          <w:p w14:paraId="2B7B8F85" w14:textId="77777777" w:rsidR="00C20477" w:rsidRPr="00C20477" w:rsidRDefault="00C20477" w:rsidP="00C20477">
            <w:pPr>
              <w:rPr>
                <w:b/>
                <w:bCs/>
                <w:lang w:val="en-GB"/>
              </w:rPr>
            </w:pPr>
            <w:r w:rsidRPr="00C20477">
              <w:rPr>
                <w:b/>
                <w:bCs/>
                <w:lang w:val="en-GB"/>
              </w:rPr>
              <w:t>How to treat it</w:t>
            </w:r>
          </w:p>
        </w:tc>
      </w:tr>
      <w:tr w:rsidR="00C20477" w:rsidRPr="00C20477" w14:paraId="2300608E" w14:textId="77777777">
        <w:trPr>
          <w:tblCellSpacing w:w="15" w:type="dxa"/>
        </w:trPr>
        <w:tc>
          <w:tcPr>
            <w:tcW w:w="0" w:type="auto"/>
            <w:vAlign w:val="center"/>
            <w:hideMark/>
          </w:tcPr>
          <w:p w14:paraId="5DC0FE8E" w14:textId="77777777" w:rsidR="00C20477" w:rsidRPr="00C20477" w:rsidRDefault="00C20477" w:rsidP="00C20477">
            <w:pPr>
              <w:rPr>
                <w:lang w:val="en-GB"/>
              </w:rPr>
            </w:pPr>
            <w:r w:rsidRPr="00C20477">
              <w:rPr>
                <w:lang w:val="en-GB"/>
              </w:rPr>
              <w:t>Incorrect PBq to GBq conversion</w:t>
            </w:r>
          </w:p>
        </w:tc>
        <w:tc>
          <w:tcPr>
            <w:tcW w:w="0" w:type="auto"/>
            <w:vAlign w:val="center"/>
            <w:hideMark/>
          </w:tcPr>
          <w:p w14:paraId="4FF271B1" w14:textId="77777777" w:rsidR="00C20477" w:rsidRPr="00C20477" w:rsidRDefault="00C20477" w:rsidP="00C20477">
            <w:pPr>
              <w:rPr>
                <w:lang w:val="en-GB"/>
              </w:rPr>
            </w:pPr>
            <w:r w:rsidRPr="00C20477">
              <w:rPr>
                <w:lang w:val="en-GB"/>
              </w:rPr>
              <w:t>Penalise units and numerical accuracy, but credit method where possible</w:t>
            </w:r>
          </w:p>
        </w:tc>
      </w:tr>
      <w:tr w:rsidR="00C20477" w:rsidRPr="00C20477" w14:paraId="550ADB3D" w14:textId="77777777">
        <w:trPr>
          <w:tblCellSpacing w:w="15" w:type="dxa"/>
        </w:trPr>
        <w:tc>
          <w:tcPr>
            <w:tcW w:w="0" w:type="auto"/>
            <w:vAlign w:val="center"/>
            <w:hideMark/>
          </w:tcPr>
          <w:p w14:paraId="6084E57A" w14:textId="77777777" w:rsidR="00C20477" w:rsidRPr="00C20477" w:rsidRDefault="00C20477" w:rsidP="00C20477">
            <w:pPr>
              <w:rPr>
                <w:lang w:val="en-GB"/>
              </w:rPr>
            </w:pPr>
            <w:r w:rsidRPr="00C20477">
              <w:rPr>
                <w:lang w:val="en-GB"/>
              </w:rPr>
              <w:t>Incorrect use of HVL attenuation</w:t>
            </w:r>
          </w:p>
        </w:tc>
        <w:tc>
          <w:tcPr>
            <w:tcW w:w="0" w:type="auto"/>
            <w:vAlign w:val="center"/>
            <w:hideMark/>
          </w:tcPr>
          <w:p w14:paraId="65645482" w14:textId="77777777" w:rsidR="00C20477" w:rsidRPr="00C20477" w:rsidRDefault="00C20477" w:rsidP="00C20477">
            <w:pPr>
              <w:rPr>
                <w:lang w:val="en-GB"/>
              </w:rPr>
            </w:pPr>
            <w:r w:rsidRPr="00C20477">
              <w:rPr>
                <w:lang w:val="en-GB"/>
              </w:rPr>
              <w:t>Credit structure if scientifically defensible</w:t>
            </w:r>
          </w:p>
        </w:tc>
      </w:tr>
      <w:tr w:rsidR="00C20477" w:rsidRPr="00C20477" w14:paraId="0DA0D6D1" w14:textId="77777777">
        <w:trPr>
          <w:tblCellSpacing w:w="15" w:type="dxa"/>
        </w:trPr>
        <w:tc>
          <w:tcPr>
            <w:tcW w:w="0" w:type="auto"/>
            <w:vAlign w:val="center"/>
            <w:hideMark/>
          </w:tcPr>
          <w:p w14:paraId="1C898F1A" w14:textId="77777777" w:rsidR="00C20477" w:rsidRPr="00C20477" w:rsidRDefault="00C20477" w:rsidP="00C20477">
            <w:pPr>
              <w:rPr>
                <w:lang w:val="en-GB"/>
              </w:rPr>
            </w:pPr>
            <w:r w:rsidRPr="00C20477">
              <w:rPr>
                <w:lang w:val="en-GB"/>
              </w:rPr>
              <w:t>Ignoring the water shielding</w:t>
            </w:r>
          </w:p>
        </w:tc>
        <w:tc>
          <w:tcPr>
            <w:tcW w:w="0" w:type="auto"/>
            <w:vAlign w:val="center"/>
            <w:hideMark/>
          </w:tcPr>
          <w:p w14:paraId="6443870C" w14:textId="77777777" w:rsidR="00C20477" w:rsidRPr="00C20477" w:rsidRDefault="00C20477" w:rsidP="00C20477">
            <w:pPr>
              <w:rPr>
                <w:lang w:val="en-GB"/>
              </w:rPr>
            </w:pPr>
            <w:r w:rsidRPr="00C20477">
              <w:rPr>
                <w:lang w:val="en-GB"/>
              </w:rPr>
              <w:t>Major loss of judgement and interpretation marks</w:t>
            </w:r>
          </w:p>
        </w:tc>
      </w:tr>
      <w:tr w:rsidR="00C20477" w:rsidRPr="00C20477" w14:paraId="0D6ECF77" w14:textId="77777777">
        <w:trPr>
          <w:tblCellSpacing w:w="15" w:type="dxa"/>
        </w:trPr>
        <w:tc>
          <w:tcPr>
            <w:tcW w:w="0" w:type="auto"/>
            <w:vAlign w:val="center"/>
            <w:hideMark/>
          </w:tcPr>
          <w:p w14:paraId="6E5DC246" w14:textId="77777777" w:rsidR="00C20477" w:rsidRPr="00C20477" w:rsidRDefault="00C20477" w:rsidP="00C20477">
            <w:pPr>
              <w:rPr>
                <w:lang w:val="en-GB"/>
              </w:rPr>
            </w:pPr>
            <w:r w:rsidRPr="00C20477">
              <w:rPr>
                <w:lang w:val="en-GB"/>
              </w:rPr>
              <w:t>Treating the external survey reading as proof of a safe internal condition</w:t>
            </w:r>
          </w:p>
        </w:tc>
        <w:tc>
          <w:tcPr>
            <w:tcW w:w="0" w:type="auto"/>
            <w:vAlign w:val="center"/>
            <w:hideMark/>
          </w:tcPr>
          <w:p w14:paraId="1DF2FA08" w14:textId="77777777" w:rsidR="00C20477" w:rsidRPr="00C20477" w:rsidRDefault="00C20477" w:rsidP="00C20477">
            <w:pPr>
              <w:rPr>
                <w:lang w:val="en-GB"/>
              </w:rPr>
            </w:pPr>
            <w:r w:rsidRPr="00C20477">
              <w:rPr>
                <w:lang w:val="en-GB"/>
              </w:rPr>
              <w:t>Better answers should explain why this is unsafe</w:t>
            </w:r>
          </w:p>
        </w:tc>
      </w:tr>
      <w:tr w:rsidR="00C20477" w:rsidRPr="00C20477" w14:paraId="21F9E40B" w14:textId="77777777">
        <w:trPr>
          <w:tblCellSpacing w:w="15" w:type="dxa"/>
        </w:trPr>
        <w:tc>
          <w:tcPr>
            <w:tcW w:w="0" w:type="auto"/>
            <w:vAlign w:val="center"/>
            <w:hideMark/>
          </w:tcPr>
          <w:p w14:paraId="6F19B170" w14:textId="77777777" w:rsidR="00C20477" w:rsidRPr="00C20477" w:rsidRDefault="00C20477" w:rsidP="00C20477">
            <w:pPr>
              <w:rPr>
                <w:lang w:val="en-GB"/>
              </w:rPr>
            </w:pPr>
            <w:r w:rsidRPr="00C20477">
              <w:rPr>
                <w:lang w:val="en-GB"/>
              </w:rPr>
              <w:t>Overstating health effects</w:t>
            </w:r>
          </w:p>
        </w:tc>
        <w:tc>
          <w:tcPr>
            <w:tcW w:w="0" w:type="auto"/>
            <w:vAlign w:val="center"/>
            <w:hideMark/>
          </w:tcPr>
          <w:p w14:paraId="47B91225" w14:textId="77777777" w:rsidR="00C20477" w:rsidRPr="00C20477" w:rsidRDefault="00C20477" w:rsidP="00C20477">
            <w:pPr>
              <w:rPr>
                <w:lang w:val="en-GB"/>
              </w:rPr>
            </w:pPr>
            <w:r w:rsidRPr="00C20477">
              <w:rPr>
                <w:lang w:val="en-GB"/>
              </w:rPr>
              <w:t>Correct firmly if deterministic injury is inferred from this dose range</w:t>
            </w:r>
          </w:p>
        </w:tc>
      </w:tr>
      <w:tr w:rsidR="00C20477" w:rsidRPr="00C20477" w14:paraId="6CA02997" w14:textId="77777777">
        <w:trPr>
          <w:tblCellSpacing w:w="15" w:type="dxa"/>
        </w:trPr>
        <w:tc>
          <w:tcPr>
            <w:tcW w:w="0" w:type="auto"/>
            <w:vAlign w:val="center"/>
            <w:hideMark/>
          </w:tcPr>
          <w:p w14:paraId="0AAE423B" w14:textId="77777777" w:rsidR="00C20477" w:rsidRPr="00C20477" w:rsidRDefault="00C20477" w:rsidP="00C20477">
            <w:pPr>
              <w:rPr>
                <w:lang w:val="en-GB"/>
              </w:rPr>
            </w:pPr>
            <w:r w:rsidRPr="00C20477">
              <w:rPr>
                <w:lang w:val="en-GB"/>
              </w:rPr>
              <w:t>Treating the point-source model as exact</w:t>
            </w:r>
          </w:p>
        </w:tc>
        <w:tc>
          <w:tcPr>
            <w:tcW w:w="0" w:type="auto"/>
            <w:vAlign w:val="center"/>
            <w:hideMark/>
          </w:tcPr>
          <w:p w14:paraId="5A2F88CE" w14:textId="77777777" w:rsidR="00C20477" w:rsidRPr="00C20477" w:rsidRDefault="00C20477" w:rsidP="00C20477">
            <w:pPr>
              <w:rPr>
                <w:lang w:val="en-GB"/>
              </w:rPr>
            </w:pPr>
            <w:r w:rsidRPr="00C20477">
              <w:rPr>
                <w:lang w:val="en-GB"/>
              </w:rPr>
              <w:t>Reward students who discuss its limitations</w:t>
            </w:r>
          </w:p>
        </w:tc>
      </w:tr>
    </w:tbl>
    <w:p w14:paraId="57686F21" w14:textId="77777777" w:rsidR="00C20477" w:rsidRPr="00C20477" w:rsidRDefault="00000000" w:rsidP="00C20477">
      <w:pPr>
        <w:rPr>
          <w:lang w:val="en-GB"/>
        </w:rPr>
      </w:pPr>
      <w:r>
        <w:rPr>
          <w:lang w:val="en-GB"/>
        </w:rPr>
        <w:pict w14:anchorId="4306C995">
          <v:rect id="_x0000_i1039" style="width:0;height:1.5pt" o:hralign="center" o:hrstd="t" o:hr="t" fillcolor="#a0a0a0" stroked="f"/>
        </w:pict>
      </w:r>
    </w:p>
    <w:p w14:paraId="5C7C26C5" w14:textId="77777777" w:rsidR="00C20477" w:rsidRPr="00C20477" w:rsidRDefault="00C20477" w:rsidP="00C20477">
      <w:pPr>
        <w:rPr>
          <w:b/>
          <w:bCs/>
          <w:lang w:val="en-GB"/>
        </w:rPr>
      </w:pPr>
      <w:r w:rsidRPr="00C20477">
        <w:rPr>
          <w:b/>
          <w:bCs/>
          <w:lang w:val="en-GB"/>
        </w:rPr>
        <w:t>9. Indicative concluding judgement</w:t>
      </w:r>
    </w:p>
    <w:p w14:paraId="21E82EFB" w14:textId="77777777" w:rsidR="00C20477" w:rsidRPr="00C20477" w:rsidRDefault="00C20477" w:rsidP="00C20477">
      <w:pPr>
        <w:rPr>
          <w:lang w:val="en-GB"/>
        </w:rPr>
      </w:pPr>
      <w:r w:rsidRPr="00C20477">
        <w:rPr>
          <w:lang w:val="en-GB"/>
        </w:rPr>
        <w:t xml:space="preserve">A strong student conclusion would state that the incident arose from incomplete lowering of the cobalt-60 source rack, combined with misleading interpretation of plant and survey information and failure to respond appropriately to active warning indicators. The maintenance technician entered while the source remained only partially shielded by </w:t>
      </w:r>
      <w:r w:rsidRPr="00C20477">
        <w:rPr>
          <w:lang w:val="en-GB"/>
        </w:rPr>
        <w:lastRenderedPageBreak/>
        <w:t>water and received a significant occupational dose of the order of a few tens of millisievert in only a few seconds.</w:t>
      </w:r>
    </w:p>
    <w:p w14:paraId="635F1DBC" w14:textId="77777777" w:rsidR="00C20477" w:rsidRPr="00C20477" w:rsidRDefault="00C20477" w:rsidP="00C20477">
      <w:pPr>
        <w:rPr>
          <w:lang w:val="en-GB"/>
        </w:rPr>
      </w:pPr>
      <w:r w:rsidRPr="00C20477">
        <w:rPr>
          <w:lang w:val="en-GB"/>
        </w:rPr>
        <w:t>Although deterministic whole-body injury would not be expected, the event represents a serious radiological protection failure and a clear breakdown in defence in depth across engineering controls, operational verification, and human response to warning systems.</w:t>
      </w:r>
    </w:p>
    <w:p w14:paraId="6F0D4132" w14:textId="3975CBF7" w:rsidR="003C68E9" w:rsidRDefault="003C68E9" w:rsidP="00C20477"/>
    <w:sectPr w:rsidR="003C68E9" w:rsidSect="00034616">
      <w:headerReference w:type="default" r:id="rId8"/>
      <w:footerReference w:type="default" r:id="rId9"/>
      <w:pgSz w:w="12240" w:h="15840"/>
      <w:pgMar w:top="1440" w:right="1800" w:bottom="1440" w:left="180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3F6375B" w14:textId="77777777" w:rsidR="00DD6FFD" w:rsidRDefault="00DD6FFD" w:rsidP="00FE0BC5">
      <w:pPr>
        <w:spacing w:after="0" w:line="240" w:lineRule="auto"/>
      </w:pPr>
      <w:r>
        <w:separator/>
      </w:r>
    </w:p>
  </w:endnote>
  <w:endnote w:type="continuationSeparator" w:id="0">
    <w:p w14:paraId="58CA41C9" w14:textId="77777777" w:rsidR="00DD6FFD" w:rsidRDefault="00DD6FFD" w:rsidP="00FE0BC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92800875"/>
      <w:docPartObj>
        <w:docPartGallery w:val="Page Numbers (Bottom of Page)"/>
        <w:docPartUnique/>
      </w:docPartObj>
    </w:sdtPr>
    <w:sdtContent>
      <w:p w14:paraId="3B8663FF" w14:textId="2245F83A" w:rsidR="00FE0BC5" w:rsidRDefault="00FE0BC5">
        <w:pPr>
          <w:pStyle w:val="Footer"/>
          <w:jc w:val="center"/>
        </w:pPr>
        <w:r>
          <w:fldChar w:fldCharType="begin"/>
        </w:r>
        <w:r>
          <w:instrText>PAGE   \* MERGEFORMAT</w:instrText>
        </w:r>
        <w:r>
          <w:fldChar w:fldCharType="separate"/>
        </w:r>
        <w:r>
          <w:rPr>
            <w:lang w:val="en-GB"/>
          </w:rPr>
          <w:t>2</w:t>
        </w:r>
        <w:r>
          <w:fldChar w:fldCharType="end"/>
        </w:r>
      </w:p>
    </w:sdtContent>
  </w:sdt>
  <w:p w14:paraId="7378B284" w14:textId="77777777" w:rsidR="00FE0BC5" w:rsidRDefault="00FE0BC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F7E4A32" w14:textId="77777777" w:rsidR="00DD6FFD" w:rsidRDefault="00DD6FFD" w:rsidP="00FE0BC5">
      <w:pPr>
        <w:spacing w:after="0" w:line="240" w:lineRule="auto"/>
      </w:pPr>
      <w:r>
        <w:separator/>
      </w:r>
    </w:p>
  </w:footnote>
  <w:footnote w:type="continuationSeparator" w:id="0">
    <w:p w14:paraId="0EF57BF5" w14:textId="77777777" w:rsidR="00DD6FFD" w:rsidRDefault="00DD6FFD" w:rsidP="00FE0BC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35330D" w14:textId="2C6D113E" w:rsidR="00FE0BC5" w:rsidRPr="00FE0BC5" w:rsidRDefault="00FE0BC5" w:rsidP="00FE0BC5">
    <w:pPr>
      <w:pStyle w:val="Header"/>
      <w:jc w:val="center"/>
      <w:rPr>
        <w:lang w:val="en-GB"/>
      </w:rPr>
    </w:pPr>
    <w:r>
      <w:rPr>
        <w:lang w:val="en-GB"/>
      </w:rPr>
      <w:t>OFFICIAL</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0BD65484"/>
    <w:multiLevelType w:val="multilevel"/>
    <w:tmpl w:val="2E8635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0CB77D54"/>
    <w:multiLevelType w:val="multilevel"/>
    <w:tmpl w:val="9F5889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0344459"/>
    <w:multiLevelType w:val="multilevel"/>
    <w:tmpl w:val="AFBC5E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BB93172"/>
    <w:multiLevelType w:val="multilevel"/>
    <w:tmpl w:val="1D22F6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1A319A8"/>
    <w:multiLevelType w:val="multilevel"/>
    <w:tmpl w:val="0E9268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4AE1CC6"/>
    <w:multiLevelType w:val="multilevel"/>
    <w:tmpl w:val="08B8F5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CC665C9"/>
    <w:multiLevelType w:val="multilevel"/>
    <w:tmpl w:val="2D6AB3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57E5AFA"/>
    <w:multiLevelType w:val="multilevel"/>
    <w:tmpl w:val="E3E0C5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69A81274"/>
    <w:multiLevelType w:val="multilevel"/>
    <w:tmpl w:val="2B4205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766732181">
    <w:abstractNumId w:val="8"/>
  </w:num>
  <w:num w:numId="2" w16cid:durableId="1968312593">
    <w:abstractNumId w:val="6"/>
  </w:num>
  <w:num w:numId="3" w16cid:durableId="948076501">
    <w:abstractNumId w:val="5"/>
  </w:num>
  <w:num w:numId="4" w16cid:durableId="942498207">
    <w:abstractNumId w:val="4"/>
  </w:num>
  <w:num w:numId="5" w16cid:durableId="1597707748">
    <w:abstractNumId w:val="7"/>
  </w:num>
  <w:num w:numId="6" w16cid:durableId="1952278731">
    <w:abstractNumId w:val="3"/>
  </w:num>
  <w:num w:numId="7" w16cid:durableId="2071076652">
    <w:abstractNumId w:val="2"/>
  </w:num>
  <w:num w:numId="8" w16cid:durableId="1340232117">
    <w:abstractNumId w:val="1"/>
  </w:num>
  <w:num w:numId="9" w16cid:durableId="861164268">
    <w:abstractNumId w:val="0"/>
  </w:num>
  <w:num w:numId="10" w16cid:durableId="720982577">
    <w:abstractNumId w:val="17"/>
  </w:num>
  <w:num w:numId="11" w16cid:durableId="41834655">
    <w:abstractNumId w:val="16"/>
  </w:num>
  <w:num w:numId="12" w16cid:durableId="1252928713">
    <w:abstractNumId w:val="15"/>
  </w:num>
  <w:num w:numId="13" w16cid:durableId="1913999746">
    <w:abstractNumId w:val="13"/>
  </w:num>
  <w:num w:numId="14" w16cid:durableId="357195658">
    <w:abstractNumId w:val="12"/>
  </w:num>
  <w:num w:numId="15" w16cid:durableId="392704099">
    <w:abstractNumId w:val="10"/>
  </w:num>
  <w:num w:numId="16" w16cid:durableId="1764909394">
    <w:abstractNumId w:val="11"/>
  </w:num>
  <w:num w:numId="17" w16cid:durableId="1573926201">
    <w:abstractNumId w:val="14"/>
  </w:num>
  <w:num w:numId="18" w16cid:durableId="1057515152">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34616"/>
    <w:rsid w:val="0006063C"/>
    <w:rsid w:val="0015074B"/>
    <w:rsid w:val="0029639D"/>
    <w:rsid w:val="002B7C73"/>
    <w:rsid w:val="00326F90"/>
    <w:rsid w:val="003A7323"/>
    <w:rsid w:val="003C68E9"/>
    <w:rsid w:val="00630D69"/>
    <w:rsid w:val="006E027F"/>
    <w:rsid w:val="00AA1D8D"/>
    <w:rsid w:val="00B21A9C"/>
    <w:rsid w:val="00B47730"/>
    <w:rsid w:val="00C20477"/>
    <w:rsid w:val="00CB0664"/>
    <w:rsid w:val="00DD6FFD"/>
    <w:rsid w:val="00F440DD"/>
    <w:rsid w:val="00FC693F"/>
    <w:rsid w:val="00FE0BC5"/>
    <w:rsid w:val="00FE12F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03CEE245"/>
  <w14:defaultImageDpi w14:val="300"/>
  <w15:docId w15:val="{F2C76631-E3C0-4334-807B-E678C3E9A4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rPr>
      <w:rFonts w:ascii="Arial" w:hAnsi="Arial"/>
    </w:rPr>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9</Pages>
  <Words>1612</Words>
  <Characters>9211</Characters>
  <Application>Microsoft Office Word</Application>
  <DocSecurity>0</DocSecurity>
  <Lines>270</Lines>
  <Paragraphs>193</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10630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Holloway, Ian Dr (NAVY PEOPLE-NUC PHYS MGR)</cp:lastModifiedBy>
  <cp:revision>5</cp:revision>
  <dcterms:created xsi:type="dcterms:W3CDTF">2026-03-24T15:03:00Z</dcterms:created>
  <dcterms:modified xsi:type="dcterms:W3CDTF">2026-03-27T13:21:00Z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d8a60473-494b-4586-a1bb-b0e663054676_Enabled">
    <vt:lpwstr>true</vt:lpwstr>
  </property>
  <property fmtid="{D5CDD505-2E9C-101B-9397-08002B2CF9AE}" pid="3" name="MSIP_Label_d8a60473-494b-4586-a1bb-b0e663054676_SetDate">
    <vt:lpwstr>2026-03-20T11:42:51Z</vt:lpwstr>
  </property>
  <property fmtid="{D5CDD505-2E9C-101B-9397-08002B2CF9AE}" pid="4" name="MSIP_Label_d8a60473-494b-4586-a1bb-b0e663054676_Method">
    <vt:lpwstr>Privileged</vt:lpwstr>
  </property>
  <property fmtid="{D5CDD505-2E9C-101B-9397-08002B2CF9AE}" pid="5" name="MSIP_Label_d8a60473-494b-4586-a1bb-b0e663054676_Name">
    <vt:lpwstr>MOD-1-O-‘UNMARKED’</vt:lpwstr>
  </property>
  <property fmtid="{D5CDD505-2E9C-101B-9397-08002B2CF9AE}" pid="6" name="MSIP_Label_d8a60473-494b-4586-a1bb-b0e663054676_SiteId">
    <vt:lpwstr>be7760ed-5953-484b-ae95-d0a16dfa09e5</vt:lpwstr>
  </property>
  <property fmtid="{D5CDD505-2E9C-101B-9397-08002B2CF9AE}" pid="7" name="MSIP_Label_d8a60473-494b-4586-a1bb-b0e663054676_ActionId">
    <vt:lpwstr>84da692b-1e15-4227-9311-9abfbd3939fc</vt:lpwstr>
  </property>
  <property fmtid="{D5CDD505-2E9C-101B-9397-08002B2CF9AE}" pid="8" name="MSIP_Label_d8a60473-494b-4586-a1bb-b0e663054676_ContentBits">
    <vt:lpwstr>0</vt:lpwstr>
  </property>
  <property fmtid="{D5CDD505-2E9C-101B-9397-08002B2CF9AE}" pid="9" name="MSIP_Label_d8a60473-494b-4586-a1bb-b0e663054676_Tag">
    <vt:lpwstr>10, 0, 1, 1</vt:lpwstr>
  </property>
</Properties>
</file>