
<file path=[Content_Types].xml><?xml version="1.0" encoding="utf-8"?>
<Types xmlns="http://schemas.openxmlformats.org/package/2006/content-types">
  <Default Extension="xml" ContentType="application/xml"/>
  <Default Extension="jpeg" ContentType="image/jpe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default"/>
          <w:color w:val="auto"/>
          <w:lang w:eastAsia="en-GB"/>
        </w:rPr>
      </w:pPr>
      <w:r>
        <w:rPr>
          <w:rFonts w:hint="default"/>
          <w:color w:val="auto"/>
          <w:lang w:eastAsia="en-GB"/>
        </w:rPr>
        <w:drawing>
          <wp:inline distT="0" distB="0" distL="0" distR="0">
            <wp:extent cx="2921000" cy="1168400"/>
            <wp:effectExtent l="0" t="0" r="5080" b="508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dspace.tsd.ac.uk/dspace/image/tsd-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Pr>
        <w:pageBreakBefore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color w:val="auto"/>
          <w:sz w:val="24"/>
          <w:szCs w:val="24"/>
          <w:lang w:eastAsia="en-GB"/>
        </w:rPr>
      </w:pPr>
    </w:p>
    <w:p>
      <w:pPr>
        <w:pageBreakBefore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color w:val="auto"/>
          <w:sz w:val="24"/>
          <w:szCs w:val="24"/>
          <w:lang w:eastAsia="en-GB"/>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Leading and Managing Projects (MBA)</w:t>
      </w:r>
    </w:p>
    <w:p>
      <w:pPr>
        <w:pageBreakBefore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color w:val="auto"/>
          <w:sz w:val="24"/>
          <w:szCs w:val="24"/>
          <w:lang w:eastAsia="en-GB"/>
        </w:rPr>
      </w:pPr>
      <w:r>
        <w:rPr>
          <w:rFonts w:hint="default" w:ascii="Times New Roman" w:hAnsi="Times New Roman" w:cs="Times New Roman"/>
          <w:color w:val="auto"/>
          <w:sz w:val="24"/>
          <w:szCs w:val="24"/>
          <w:lang w:eastAsia="en-GB"/>
        </w:rPr>
        <w:drawing>
          <wp:anchor distT="0" distB="0" distL="114300" distR="114300" simplePos="0" relativeHeight="251658240" behindDoc="0" locked="0" layoutInCell="1" allowOverlap="1">
            <wp:simplePos x="0" y="0"/>
            <wp:positionH relativeFrom="column">
              <wp:posOffset>1805305</wp:posOffset>
            </wp:positionH>
            <wp:positionV relativeFrom="paragraph">
              <wp:posOffset>409575</wp:posOffset>
            </wp:positionV>
            <wp:extent cx="1358900" cy="1358900"/>
            <wp:effectExtent l="0" t="0" r="0" b="12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anchor>
        </w:drawing>
      </w: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color w:val="auto"/>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color w:val="auto"/>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color w:val="auto"/>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color w:val="auto"/>
          <w:sz w:val="24"/>
          <w:szCs w:val="24"/>
        </w:rPr>
      </w:pPr>
    </w:p>
    <w:p>
      <w:pPr>
        <w:pageBreakBefore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color w:val="auto"/>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color w:val="auto"/>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color w:val="auto"/>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UWTSD and Swansea University intercollegiate football league project report</w:t>
      </w: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color w:val="auto"/>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color w:val="auto"/>
          <w:sz w:val="24"/>
          <w:szCs w:val="24"/>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color w:val="auto"/>
          <w:sz w:val="24"/>
          <w:szCs w:val="24"/>
          <w:lang w:val="en-US" w:eastAsia="zh-CN"/>
        </w:rPr>
      </w:pPr>
      <w:r>
        <w:rPr>
          <w:rFonts w:hint="default" w:ascii="Times New Roman" w:hAnsi="Times New Roman" w:cs="Times New Roman"/>
          <w:b/>
          <w:bCs/>
          <w:color w:val="auto"/>
          <w:sz w:val="24"/>
          <w:szCs w:val="24"/>
          <w:lang w:val="en-US" w:eastAsia="zh-CN"/>
        </w:rPr>
        <w:t>STUDENT NAME:Yue Zhang</w:t>
      </w: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lang w:val="en-US" w:eastAsia="zh-CN"/>
        </w:rPr>
        <w:t>STUDENT NUMBER:190467</w:t>
      </w:r>
    </w:p>
    <w:p>
      <w:pPr>
        <w:pageBreakBefore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color w:val="auto"/>
          <w:sz w:val="24"/>
          <w:szCs w:val="24"/>
        </w:rPr>
      </w:pPr>
    </w:p>
    <w:sdt>
      <w:sdtPr>
        <w:rPr>
          <w:rFonts w:hint="default" w:ascii="Times New Roman" w:hAnsi="Times New Roman" w:eastAsia="宋体" w:cs="Times New Roman"/>
          <w:color w:val="auto"/>
          <w:kern w:val="2"/>
          <w:sz w:val="24"/>
          <w:szCs w:val="24"/>
          <w:lang w:val="en-US" w:eastAsia="zh-CN" w:bidi="ar-SA"/>
        </w:rPr>
        <w:id w:val="147459808"/>
        <w15:color w:val="DBDBDB"/>
        <w:docPartObj>
          <w:docPartGallery w:val="Table of Contents"/>
          <w:docPartUnique/>
        </w:docPartObj>
      </w:sdtPr>
      <w:sdtEndPr>
        <w:rPr>
          <w:rFonts w:hint="default" w:ascii="Times New Roman" w:hAnsi="Times New Roman" w:cs="Times New Roman" w:eastAsiaTheme="minorEastAsia"/>
          <w:color w:val="auto"/>
          <w:kern w:val="2"/>
          <w:sz w:val="24"/>
          <w:szCs w:val="24"/>
          <w:lang w:val="en-US" w:eastAsia="zh-CN" w:bidi="ar-SA"/>
        </w:rPr>
      </w:sdtEndPr>
      <w:sdtContent>
        <w:p>
          <w:pPr>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lang w:val="en-US" w:eastAsia="zh-CN" w:bidi="ar-SA"/>
            </w:rPr>
            <w:sectPr>
              <w:pgSz w:w="11906" w:h="16838"/>
              <w:pgMar w:top="1417" w:right="1417" w:bottom="1417" w:left="1417" w:header="851" w:footer="992" w:gutter="0"/>
              <w:pgNumType w:fmt="decimal"/>
              <w:cols w:space="425" w:num="1"/>
              <w:docGrid w:type="lines" w:linePitch="312" w:charSpace="0"/>
            </w:sectPr>
          </w:pPr>
        </w:p>
        <w:p>
          <w:pPr>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cs="Times New Roman"/>
              <w:color w:val="auto"/>
              <w:sz w:val="24"/>
              <w:szCs w:val="24"/>
              <w:lang w:val="en-US"/>
            </w:rPr>
          </w:pPr>
          <w:r>
            <w:rPr>
              <w:rFonts w:hint="default" w:ascii="Times New Roman" w:hAnsi="Times New Roman" w:eastAsia="宋体" w:cs="Times New Roman"/>
              <w:color w:val="auto"/>
              <w:kern w:val="2"/>
              <w:sz w:val="24"/>
              <w:szCs w:val="24"/>
              <w:lang w:val="en-US" w:eastAsia="zh-CN" w:bidi="ar-SA"/>
            </w:rPr>
            <w:t>Contents</w:t>
          </w:r>
        </w:p>
        <w:p>
          <w:pPr>
            <w:pStyle w:val="8"/>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TOC \o "1-3" \h \u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_Toc26589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Executive summary</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_Toc26589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1</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8"/>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_Toc32689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1. Introduction</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_Toc32689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2</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8"/>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_Toc3230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1.1 Aim and objectives</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_Toc3230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2</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9"/>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_Toc2249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1.2 project necessity and historical background</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_Toc2249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3</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5"/>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_Toc2787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1.2.1 Necessity</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_Toc2787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3</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5"/>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_Toc17009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1.2.2 Historical background</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_Toc17009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4</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8"/>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_Toc15657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2. Environmental analysis</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_Toc15657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5</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8"/>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_Toc6154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3. Project operation</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_Toc6154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7</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8"/>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_Toc22712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4. Source of project funds</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_Toc22712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12</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9"/>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_Toc19303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4.1 Sponsor brand promotion planning</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_Toc19303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13</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9"/>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_Toc6945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4.2 Project Profit Planning</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_Toc6945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15</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8"/>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_Toc8915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5. Recommendation &amp; Findings</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_Toc8915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15</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Style w:val="8"/>
            <w:tabs>
              <w:tab w:val="right" w:leader="dot" w:pos="9072"/>
            </w:tabs>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\l _Toc7313 </w:instrText>
          </w:r>
          <w:r>
            <w:rPr>
              <w:rFonts w:hint="default" w:ascii="Times New Roman" w:hAnsi="Times New Roman" w:cs="Times New Roman"/>
              <w:color w:val="auto"/>
              <w:sz w:val="24"/>
              <w:szCs w:val="24"/>
              <w:lang w:val="en-US" w:eastAsia="zh-CN"/>
            </w:rPr>
            <w:fldChar w:fldCharType="separate"/>
          </w:r>
          <w:r>
            <w:rPr>
              <w:rFonts w:hint="default" w:ascii="Times New Roman" w:hAnsi="Times New Roman" w:cs="Times New Roman"/>
              <w:color w:val="auto"/>
              <w:sz w:val="24"/>
              <w:szCs w:val="24"/>
              <w:lang w:val="en-US" w:eastAsia="zh-CN"/>
            </w:rPr>
            <w:t>6. References</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PAGEREF _Toc7313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19</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lang w:val="en-US" w:eastAsia="zh-CN"/>
            </w:rPr>
            <w:fldChar w:fldCharType="end"/>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fldChar w:fldCharType="end"/>
          </w:r>
        </w:p>
      </w:sdtContent>
    </w:sdt>
    <w:p>
      <w:pPr>
        <w:pStyle w:val="2"/>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p>
    <w:p>
      <w:pPr>
        <w:pStyle w:val="2"/>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p>
    <w:p>
      <w:pPr>
        <w:pStyle w:val="2"/>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sectPr>
          <w:footerReference r:id="rId3" w:type="default"/>
          <w:pgSz w:w="11906" w:h="16838"/>
          <w:pgMar w:top="1417" w:right="1417" w:bottom="1417" w:left="1417" w:header="851" w:footer="992" w:gutter="0"/>
          <w:pgNumType w:fmt="decimal" w:start="1"/>
          <w:cols w:space="425" w:num="1"/>
          <w:docGrid w:type="lines" w:linePitch="312" w:charSpace="0"/>
        </w:sectPr>
      </w:pPr>
    </w:p>
    <w:p>
      <w:pPr>
        <w:pStyle w:val="2"/>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rPr>
      </w:pPr>
      <w:bookmarkStart w:id="0" w:name="_Toc26589"/>
      <w:r>
        <w:rPr>
          <w:rFonts w:hint="default" w:ascii="Times New Roman" w:hAnsi="Times New Roman" w:cs="Times New Roman"/>
          <w:color w:val="auto"/>
          <w:sz w:val="24"/>
          <w:szCs w:val="24"/>
          <w:lang w:val="en-US" w:eastAsia="zh-CN"/>
        </w:rPr>
        <w:t>Executive summary</w:t>
      </w:r>
      <w:bookmarkEnd w:id="0"/>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rPr>
        <w:t>⑴</w:t>
      </w:r>
      <w:r>
        <w:rPr>
          <w:rFonts w:hint="default" w:ascii="Times New Roman" w:hAnsi="Times New Roman" w:cs="Times New Roman"/>
          <w:color w:val="auto"/>
          <w:sz w:val="24"/>
          <w:szCs w:val="24"/>
        </w:rPr>
        <w:t>Project objective and necessity</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 xml:space="preserve">The </w:t>
      </w:r>
      <w:r>
        <w:rPr>
          <w:rFonts w:hint="default" w:ascii="Times New Roman" w:hAnsi="Times New Roman" w:cs="Times New Roman"/>
          <w:color w:val="auto"/>
          <w:sz w:val="24"/>
          <w:szCs w:val="24"/>
          <w:lang w:val="en-US" w:eastAsia="zh-CN"/>
        </w:rPr>
        <w:t>aim</w:t>
      </w:r>
      <w:r>
        <w:rPr>
          <w:rFonts w:hint="default" w:ascii="Times New Roman" w:hAnsi="Times New Roman" w:cs="Times New Roman"/>
          <w:color w:val="auto"/>
          <w:sz w:val="24"/>
          <w:szCs w:val="24"/>
        </w:rPr>
        <w:t xml:space="preserve"> of this project is to enhance the popularity of the </w:t>
      </w:r>
      <w:r>
        <w:rPr>
          <w:rFonts w:hint="default" w:ascii="Times New Roman" w:hAnsi="Times New Roman" w:cs="Times New Roman"/>
          <w:color w:val="auto"/>
          <w:sz w:val="24"/>
          <w:szCs w:val="24"/>
          <w:lang w:val="en-US" w:eastAsia="zh-CN"/>
        </w:rPr>
        <w:t>UWTSD and the Swansea University</w:t>
      </w:r>
      <w:r>
        <w:rPr>
          <w:rFonts w:hint="default" w:ascii="Times New Roman" w:hAnsi="Times New Roman" w:cs="Times New Roman"/>
          <w:color w:val="auto"/>
          <w:sz w:val="24"/>
          <w:szCs w:val="24"/>
        </w:rPr>
        <w:t xml:space="preserve"> in the society and</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achieve benefit.</w:t>
      </w:r>
      <w:r>
        <w:rPr>
          <w:rFonts w:hint="default" w:ascii="Times New Roman" w:hAnsi="Times New Roman" w:cs="Times New Roman"/>
          <w:color w:val="auto"/>
          <w:sz w:val="24"/>
          <w:szCs w:val="24"/>
          <w:lang w:val="en-US" w:eastAsia="zh-CN"/>
        </w:rPr>
        <w:t xml:space="preserve"> </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⑵</w:t>
      </w:r>
      <w:r>
        <w:rPr>
          <w:rFonts w:hint="default" w:ascii="Times New Roman" w:hAnsi="Times New Roman" w:cs="Times New Roman"/>
          <w:color w:val="auto"/>
          <w:sz w:val="24"/>
          <w:szCs w:val="24"/>
          <w:lang w:val="en-US" w:eastAsia="zh-CN"/>
        </w:rPr>
        <w:t>Audit</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SWOT model is adopted to analyze the project. The development of the project is characterized by the coexistence of strengths and weaknesses, opportunities and challenges</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⑶</w:t>
      </w:r>
      <w:r>
        <w:rPr>
          <w:rFonts w:hint="default" w:ascii="Times New Roman" w:hAnsi="Times New Roman" w:cs="Times New Roman"/>
          <w:color w:val="auto"/>
          <w:sz w:val="24"/>
          <w:szCs w:val="24"/>
          <w:lang w:val="en-US" w:eastAsia="zh-CN"/>
        </w:rPr>
        <w:t>Project operation</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 project runs for the second semester of 2020, from January 6, 2020 to March 6, 2020, for a total of two months. The first month is the preparation and promotion time for the project, and the next month is the competition time. The project budget is £ 4,578.</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⑷Project funding</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 funding source of the project mainly depends on the sponsorship fees and products of the brand sponsors, as well as the profits obtained during the operation of the project.The promotion of sponsors' brands can be divided into offline and online channels.The project can be profitable by selling tickets for matches, selling products sponsored by sponsors, and online "guess with prizes" games.</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⑸Recommendation &amp; Findings</w:t>
      </w: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UWTSD and Swansea University Inter-School Football League project is moving towards commercialization, and it will become a system and scale of commercial events, build football leagues into brand events. In the aspect of commercial operation, the NCAA in the United States is a very worthy example.</w:t>
      </w:r>
    </w:p>
    <w:p>
      <w:pPr>
        <w:pStyle w:val="2"/>
        <w:pageBreakBefore w:val="0"/>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1" w:name="_Toc32689"/>
      <w:r>
        <w:rPr>
          <w:rFonts w:hint="default" w:ascii="Times New Roman" w:hAnsi="Times New Roman" w:cs="Times New Roman"/>
          <w:color w:val="auto"/>
          <w:sz w:val="24"/>
          <w:szCs w:val="24"/>
          <w:lang w:val="en-US" w:eastAsia="zh-CN"/>
        </w:rPr>
        <w:t>Introduction</w:t>
      </w:r>
      <w:bookmarkEnd w:id="1"/>
    </w:p>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This is the report of the UWTSD and Swansea university intercollegiate football league project.This report will show the objective, necessity and historical background of the project, analyze the project environment with SWOT model, describe the project operation process and project funding source in detail, that is, how to attract sponsors and how to cooperate with sponsors. The last part is my Suggestions on the project and expectations for the development of the project.</w:t>
      </w:r>
    </w:p>
    <w:p>
      <w:pPr>
        <w:pStyle w:val="2"/>
        <w:pageBreakBefore w:val="0"/>
        <w:numPr>
          <w:ilvl w:val="1"/>
          <w:numId w:val="1"/>
        </w:numPr>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 </w:t>
      </w:r>
      <w:bookmarkStart w:id="2" w:name="_Toc3230"/>
      <w:r>
        <w:rPr>
          <w:rFonts w:hint="default" w:ascii="Times New Roman" w:hAnsi="Times New Roman" w:cs="Times New Roman"/>
          <w:color w:val="auto"/>
          <w:sz w:val="24"/>
          <w:szCs w:val="24"/>
          <w:lang w:val="en-US" w:eastAsia="zh-CN"/>
        </w:rPr>
        <w:t>Aim and objectives</w:t>
      </w:r>
      <w:bookmarkEnd w:id="2"/>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The aim of this project is to enhance the popularity of the two universities in the society and build an excellent university brand. </w:t>
      </w: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Objectives</w:t>
      </w: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①</w:t>
      </w:r>
      <w:r>
        <w:rPr>
          <w:rFonts w:hint="default" w:ascii="Times New Roman" w:hAnsi="Times New Roman" w:cs="Times New Roman"/>
          <w:color w:val="auto"/>
          <w:sz w:val="24"/>
          <w:szCs w:val="24"/>
          <w:lang w:val="en-US" w:eastAsia="zh-CN"/>
        </w:rPr>
        <w:t>Through the annual inter-university football league, more people at home and abroad will know the Swansea university and the UWTSD in Swansea, wales, UK.</w:t>
      </w: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 </w:t>
      </w:r>
      <w:r>
        <w:rPr>
          <w:rFonts w:hint="default" w:ascii="Times New Roman" w:hAnsi="Times New Roman" w:eastAsia="宋体" w:cs="Times New Roman"/>
          <w:color w:val="auto"/>
          <w:sz w:val="24"/>
          <w:szCs w:val="24"/>
          <w:lang w:val="en-US" w:eastAsia="zh-CN"/>
        </w:rPr>
        <w:t>②</w:t>
      </w:r>
      <w:r>
        <w:rPr>
          <w:rFonts w:hint="default" w:ascii="Times New Roman" w:hAnsi="Times New Roman" w:cs="Times New Roman"/>
          <w:color w:val="auto"/>
          <w:sz w:val="24"/>
          <w:szCs w:val="24"/>
          <w:lang w:val="en-US" w:eastAsia="zh-CN"/>
        </w:rPr>
        <w:t xml:space="preserve">The second purpose is to attract excellent brand sponsors to cooperate with the schools for a long time and achieve mutual benefit. </w:t>
      </w: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③</w:t>
      </w:r>
      <w:r>
        <w:rPr>
          <w:rFonts w:hint="default" w:ascii="Times New Roman" w:hAnsi="Times New Roman" w:cs="Times New Roman"/>
          <w:color w:val="auto"/>
          <w:sz w:val="24"/>
          <w:szCs w:val="24"/>
          <w:lang w:val="en-US" w:eastAsia="zh-CN"/>
        </w:rPr>
        <w:t>So an intercollegiate football match between UWTSD and Swansea university was held on the principle of "friendship first, competition second". In this competition, we look forward to the active and enthusiastic participation of students and teachers, as well as the wide support from the public. We also hope that the project will be a great success and continue in the future academic year.</w:t>
      </w:r>
    </w:p>
    <w:p>
      <w:pPr>
        <w:pageBreakBefore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color w:val="auto"/>
          <w:sz w:val="24"/>
          <w:szCs w:val="24"/>
          <w:lang w:val="en-US" w:eastAsia="zh-CN"/>
        </w:rPr>
      </w:pPr>
    </w:p>
    <w:p>
      <w:pPr>
        <w:pStyle w:val="3"/>
        <w:pageBreakBefore w:val="0"/>
        <w:numPr>
          <w:ilvl w:val="1"/>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3" w:name="_Toc2249"/>
      <w:r>
        <w:rPr>
          <w:rFonts w:hint="default" w:ascii="Times New Roman" w:hAnsi="Times New Roman" w:cs="Times New Roman"/>
          <w:color w:val="auto"/>
          <w:sz w:val="24"/>
          <w:szCs w:val="24"/>
          <w:lang w:val="en-US" w:eastAsia="zh-CN"/>
        </w:rPr>
        <w:t>project necessity and historical background</w:t>
      </w:r>
      <w:bookmarkEnd w:id="3"/>
    </w:p>
    <w:p>
      <w:pPr>
        <w:pStyle w:val="4"/>
        <w:pageBreakBefore w:val="0"/>
        <w:numPr>
          <w:ilvl w:val="2"/>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4" w:name="_Toc2787"/>
      <w:r>
        <w:rPr>
          <w:rFonts w:hint="default" w:ascii="Times New Roman" w:hAnsi="Times New Roman" w:cs="Times New Roman"/>
          <w:color w:val="auto"/>
          <w:sz w:val="24"/>
          <w:szCs w:val="24"/>
          <w:lang w:val="en-US" w:eastAsia="zh-CN"/>
        </w:rPr>
        <w:t>Necessity</w:t>
      </w:r>
      <w:bookmarkEnd w:id="4"/>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According to The British government, "sport is a powerful tool, and a planned increase in the participation rate of mass sport can help the government achieve ambitious goals such as economic recovery, improvement of national health, enhancement of social cohesion, reduction of crime, promotion of community stability and youth training" (Giddens, A.2013) So between two universities of Swansea (UWTSD and Swansea university) hold intercollegiate football project is necessary and meaningful, the success and continuation of the league has not only brought good reputation and funds to both schools , will also increase the popularity of the city of Swansea, even is likely to bring more tourists and students abroad, can promote the urban consumption and stimulating the economy of the city.</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In addition, Swansea University hosts Varsity with the University of Wales each April (Walsh online, 2015). Varsity has been held since 1997 and is already a very mature inter-school sports event. The sports contested include rugby union, hockey, cricket, squash, badminton, lacrosse, rowing, golf, basketball, football, American football, ultimate frisbee, netball, volleyball, fencing and an array of other sports. Profits go to charity. And UWTSD as another university with a long history in Swansea, should learn from the Varsity model to improve the comprehensive strength of the school. Therefore, Swansea University has sufficient experience in hosting intercollegiate sports events. In this cooperation with UWTSD, it can make full use of the existing experience and draw on the successful experience of Varsity to achieve the project goals.</w:t>
      </w:r>
    </w:p>
    <w:p>
      <w:pPr>
        <w:pStyle w:val="4"/>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5" w:name="_Toc17009"/>
      <w:r>
        <w:rPr>
          <w:rFonts w:hint="default" w:ascii="Times New Roman" w:hAnsi="Times New Roman" w:cs="Times New Roman"/>
          <w:color w:val="auto"/>
          <w:sz w:val="24"/>
          <w:szCs w:val="24"/>
          <w:lang w:val="en-US" w:eastAsia="zh-CN"/>
        </w:rPr>
        <w:t>1.2.2 Historical background</w:t>
      </w:r>
      <w:bookmarkEnd w:id="5"/>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Britain has a long history of inter-school sports leagues. As early as the 16th century, college students from two universities, Cambridge and Oxford, participated in sports such as cricket, tennis, rugby, equestrian and rowing. In 1827, the UK hosted the first ever intercollegiate sports competition, the cricket match between Cambridge and Oxford, and the first rowing competition between Cambridge and Oxford on the Thames in 1829 opened the two schools famous the prelude to the long intercollegiate rowing competition (</w:t>
      </w:r>
      <w:bookmarkStart w:id="6" w:name="OLE_LINK9"/>
      <w:r>
        <w:rPr>
          <w:rFonts w:hint="default" w:ascii="Times New Roman" w:hAnsi="Times New Roman" w:cs="Times New Roman"/>
          <w:color w:val="auto"/>
          <w:sz w:val="24"/>
          <w:szCs w:val="24"/>
          <w:lang w:val="en-US" w:eastAsia="zh-CN"/>
        </w:rPr>
        <w:t>Harris, H. A. 1975</w:t>
      </w:r>
      <w:bookmarkEnd w:id="6"/>
      <w:r>
        <w:rPr>
          <w:rFonts w:hint="default" w:ascii="Times New Roman" w:hAnsi="Times New Roman" w:cs="Times New Roman"/>
          <w:color w:val="auto"/>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In February 1918, the first British University Chancellor Forum held in Manchester, England, unanimously decided to establish the first British inter-school sports management agency --IVAB (The Inter Varsity Board of England and Wales ) to promote the development of university sports, its core goal is to promote the student-athlete of British universities to establish a "participation-oriented" concept of sports.</w:t>
      </w: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In the years since then, the inter-university athletic sports management organization in the UK has continued to develop and improve, and 16 additional associations have been established. The latest national university sports management organization is the BUCS (British Universities and Colleges Sport) established in 2008(BUCS,2019).</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At the same time, the United Kingdom also has a very long history of football. On October 26, 1863, the England Football Association (FA), the world ’s first football association, was announced in the United Kingdom. England ’s football is therefore called World Football Originator(Szymanski, S. 2006). As everyone knows, Britain has the best football team in the world and the country with the most football clubs in the world. </w:t>
      </w:r>
      <w:bookmarkStart w:id="7" w:name="OLE_LINK1"/>
      <w:r>
        <w:rPr>
          <w:rFonts w:hint="default" w:ascii="Times New Roman" w:hAnsi="Times New Roman" w:cs="Times New Roman"/>
          <w:color w:val="auto"/>
          <w:sz w:val="24"/>
          <w:szCs w:val="24"/>
          <w:lang w:val="en-US" w:eastAsia="zh-CN"/>
        </w:rPr>
        <w:t>The British are very passionate about football.</w:t>
      </w:r>
    </w:p>
    <w:bookmarkEnd w:id="7"/>
    <w:p>
      <w:pPr>
        <w:pStyle w:val="2"/>
        <w:pageBreakBefore w:val="0"/>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8" w:name="_Toc15657"/>
      <w:r>
        <w:rPr>
          <w:rFonts w:hint="default" w:ascii="Times New Roman" w:hAnsi="Times New Roman" w:cs="Times New Roman"/>
          <w:color w:val="auto"/>
          <w:sz w:val="24"/>
          <w:szCs w:val="24"/>
          <w:lang w:val="en-US" w:eastAsia="zh-CN"/>
        </w:rPr>
        <w:t>Environmental analysis</w:t>
      </w:r>
      <w:bookmarkEnd w:id="8"/>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According to the current situation of UWTSD and Swansea University, I used the SWOT model to analyze the project and obtained</w:t>
      </w:r>
      <w:r>
        <w:rPr>
          <w:rFonts w:hint="eastAsia" w:ascii="Times New Roman" w:hAnsi="Times New Roman" w:cs="Times New Roman"/>
          <w:color w:val="auto"/>
          <w:sz w:val="24"/>
          <w:szCs w:val="24"/>
          <w:lang w:val="en-US" w:eastAsia="zh-CN"/>
        </w:rPr>
        <w:t>. SWOT is a strategic planning method used to evaluate the Strengths, Weak</w:t>
      </w:r>
      <w:bookmarkStart w:id="27" w:name="_GoBack"/>
      <w:bookmarkEnd w:id="27"/>
      <w:r>
        <w:rPr>
          <w:rFonts w:hint="eastAsia" w:ascii="Times New Roman" w:hAnsi="Times New Roman" w:cs="Times New Roman"/>
          <w:color w:val="auto"/>
          <w:sz w:val="24"/>
          <w:szCs w:val="24"/>
          <w:lang w:val="en-US" w:eastAsia="zh-CN"/>
        </w:rPr>
        <w:t>nesses, Opportunities, and Threats involved in a project, organization, or in a business venture(Quincy, R., Lu, S., &amp; Huang, C. C. 2012)</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 s</w:t>
      </w:r>
      <w:r>
        <w:rPr>
          <w:rFonts w:hint="default" w:ascii="Times New Roman" w:hAnsi="Times New Roman" w:cs="Times New Roman"/>
          <w:color w:val="auto"/>
          <w:sz w:val="24"/>
          <w:szCs w:val="24"/>
        </w:rPr>
        <w:t>uperiority</w:t>
      </w:r>
      <w:r>
        <w:rPr>
          <w:rFonts w:hint="default" w:ascii="Times New Roman" w:hAnsi="Times New Roman" w:cs="Times New Roman"/>
          <w:color w:val="auto"/>
          <w:sz w:val="24"/>
          <w:szCs w:val="24"/>
          <w:lang w:val="en-US" w:eastAsia="zh-CN"/>
        </w:rPr>
        <w:t xml:space="preserve"> of the intercollegiate football league project is that the British people love football very much. From the above description, we can see that because of the background of British football history and the booming development of the British football club industry, the British are very passionate about football. This sport can be said to be a very popular sport in England. Therefore, this project will receive a lot of support and attention from the people and sponsors, and university students from both universities will also actively participate.</w:t>
      </w:r>
      <w:bookmarkStart w:id="9" w:name="OLE_LINK14"/>
      <w:r>
        <w:rPr>
          <w:rFonts w:hint="default" w:ascii="Times New Roman" w:hAnsi="Times New Roman" w:cs="Times New Roman"/>
          <w:color w:val="auto"/>
          <w:sz w:val="24"/>
          <w:szCs w:val="24"/>
          <w:lang w:val="en-US" w:eastAsia="zh-CN"/>
        </w:rPr>
        <w:t xml:space="preserve"> The second strength of the project is that Swansea University has hosted Varsity with the University of Wales since 1997. Therefore, Swansea University is very experienced in hosting inter-school sports leagues</w:t>
      </w:r>
      <w:bookmarkEnd w:id="9"/>
      <w:r>
        <w:rPr>
          <w:rFonts w:hint="default" w:ascii="Times New Roman" w:hAnsi="Times New Roman" w:cs="Times New Roman"/>
          <w:color w:val="auto"/>
          <w:sz w:val="24"/>
          <w:szCs w:val="24"/>
          <w:lang w:val="en-US" w:eastAsia="zh-CN"/>
        </w:rPr>
        <w:t>, which will help the project run smoothly. Varsity also includes football, but it is not the most attractive main event in Varsity. Its main event is rugby (THE RUGBY, 2019). So Swansea University can strengthen football training and development in the football league with UWTSD.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 weakness of the project is that the UWTSD in the UK do not have very high visibility and reputation(Hodges, L. 2009). Therefore, the project may be less attractive in attracting sponsors, attracting audiences and attention, we need to do more work and have better ideas to improve this aspect.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There are two opportunities. First, the involvement of two organizations, BUCS and LSM, can help manage, monitor, publicize and attract sponsorship for the project（</w:t>
      </w:r>
      <w:bookmarkStart w:id="10" w:name="OLE_LINK23"/>
      <w:r>
        <w:rPr>
          <w:rFonts w:hint="default" w:ascii="Times New Roman" w:hAnsi="Times New Roman" w:cs="Times New Roman"/>
          <w:color w:val="auto"/>
          <w:sz w:val="24"/>
          <w:szCs w:val="24"/>
          <w:lang w:val="en-US" w:eastAsia="zh-CN"/>
        </w:rPr>
        <w:t>BUCS，2019</w:t>
      </w:r>
      <w:bookmarkEnd w:id="10"/>
      <w:r>
        <w:rPr>
          <w:rFonts w:hint="default" w:ascii="Times New Roman" w:hAnsi="Times New Roman" w:cs="Times New Roman"/>
          <w:color w:val="auto"/>
          <w:sz w:val="24"/>
          <w:szCs w:val="24"/>
          <w:lang w:val="en-US" w:eastAsia="zh-CN"/>
        </w:rPr>
        <w:t>）(Total Sport Approach,2018) . Secondly, in the current new media environment, we can not only make full use of social media to publicize the project, but also make the project profit through social media（Bolotaeva, V., &amp; Cata, T. 2010). Details will be described in chapter 4 of the report.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Threat also has two points of the project, the first is the weather issue during the game, because the Swansea is a coastal city, its weather is very changeable, rainfall is very frequent, the wind speed can often reach 14 mph. According to the climate monitoring data of the past few years, the annual climate data of Swansea in March are: High Temp: 10 ° C, Low Temp: 5 ° C, Mean Temp: 7 ° C, Precipitation: 62.2 mm, Humidity: 81%, Dew Point: 4 ° C, Wind: 14 mph, Pressure: 1016 mbar, Visibility: 0 km (Time and Date, 2015). and football belongs to the outdoor activities is highly affected by the weather, so during the competition may change the schedule for the weather reason;Second, two other universities in the UK are also hosting matches during a football league match in March 2020, the BUCS 3-Up TTT will be hosted with the University of Bath Cycling Club on the 21 March 2020</w:t>
      </w:r>
      <w:bookmarkStart w:id="11" w:name="OLE_LINK13"/>
      <w:r>
        <w:rPr>
          <w:rFonts w:hint="default" w:ascii="Times New Roman" w:hAnsi="Times New Roman" w:cs="Times New Roman"/>
          <w:color w:val="auto"/>
          <w:sz w:val="24"/>
          <w:szCs w:val="24"/>
          <w:lang w:val="en-US" w:eastAsia="zh-CN"/>
        </w:rPr>
        <w:t>(</w:t>
      </w:r>
      <w:bookmarkStart w:id="12" w:name="OLE_LINK12"/>
      <w:r>
        <w:rPr>
          <w:rFonts w:hint="default" w:ascii="Times New Roman" w:hAnsi="Times New Roman" w:cs="Times New Roman"/>
          <w:color w:val="auto"/>
          <w:sz w:val="24"/>
          <w:szCs w:val="24"/>
          <w:lang w:val="en-US" w:eastAsia="zh-CN"/>
        </w:rPr>
        <w:t>BUCS Sport Events,2020</w:t>
      </w:r>
      <w:bookmarkEnd w:id="12"/>
      <w:r>
        <w:rPr>
          <w:rFonts w:hint="default" w:ascii="Times New Roman" w:hAnsi="Times New Roman" w:cs="Times New Roman"/>
          <w:color w:val="auto"/>
          <w:sz w:val="24"/>
          <w:szCs w:val="24"/>
          <w:lang w:val="en-US" w:eastAsia="zh-CN"/>
        </w:rPr>
        <w:t>).</w:t>
      </w:r>
      <w:bookmarkEnd w:id="11"/>
      <w:r>
        <w:rPr>
          <w:rFonts w:hint="default" w:ascii="Times New Roman" w:hAnsi="Times New Roman" w:cs="Times New Roman"/>
          <w:color w:val="auto"/>
          <w:sz w:val="24"/>
          <w:szCs w:val="24"/>
          <w:lang w:val="en-US" w:eastAsia="zh-CN"/>
        </w:rPr>
        <w:t xml:space="preserve"> and BUCS Trampoline &amp; DMT Championships will be hold on the 28 - 29 Mar 2020 (BUCS Sport Events,2020). This may reduce the public's attention to our project and prevent it from achieving the goal of raising the visibility and profitability of both universities.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Through the investigation and analysis of the above four angle, it is concluded that UWTSD and Swansea University football league project to carry out the s</w:t>
      </w:r>
      <w:r>
        <w:rPr>
          <w:rFonts w:hint="default" w:ascii="Times New Roman" w:hAnsi="Times New Roman" w:cs="Times New Roman"/>
          <w:color w:val="auto"/>
          <w:sz w:val="24"/>
          <w:szCs w:val="24"/>
        </w:rPr>
        <w:t>uperiority</w:t>
      </w:r>
      <w:r>
        <w:rPr>
          <w:rFonts w:hint="default" w:ascii="Times New Roman" w:hAnsi="Times New Roman" w:cs="Times New Roman"/>
          <w:color w:val="auto"/>
          <w:sz w:val="24"/>
          <w:szCs w:val="24"/>
          <w:lang w:val="en-US" w:eastAsia="zh-CN"/>
        </w:rPr>
        <w:t xml:space="preserve"> and weakness, opportunities and challenges, so during the project planning and operation to seize opportunity and advantage for its own weaknesses and external challenges also should actively cope with, formulate the second plan to ensure the smooth completion of the project.</w:t>
      </w:r>
    </w:p>
    <w:p>
      <w:pPr>
        <w:pStyle w:val="2"/>
        <w:pageBreakBefore w:val="0"/>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13" w:name="_Toc6154"/>
      <w:r>
        <w:rPr>
          <w:rFonts w:hint="default" w:ascii="Times New Roman" w:hAnsi="Times New Roman" w:cs="Times New Roman"/>
          <w:color w:val="auto"/>
          <w:sz w:val="24"/>
          <w:szCs w:val="24"/>
          <w:lang w:val="en-US" w:eastAsia="zh-CN"/>
        </w:rPr>
        <w:t>Project operation</w:t>
      </w:r>
      <w:bookmarkEnd w:id="13"/>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The UWTSD and Swansea University intercollegiate football league program will run from the second semester of 2020, from January 6, 2020 to March 6, 2020, for a total of two months.The first month is the preparation and promotion time, and the second month is the competition time.Due to the fear of weather or other force majeure, I set the competition time as one month, so that there would be enough time to complete the project in case of emergency.The detailed running process of the project is shown in </w:t>
      </w:r>
      <w:r>
        <w:rPr>
          <w:rFonts w:hint="eastAsia" w:ascii="Times New Roman" w:hAnsi="Times New Roman" w:cs="Times New Roman"/>
          <w:color w:val="auto"/>
          <w:sz w:val="24"/>
          <w:szCs w:val="24"/>
          <w:lang w:val="en-US" w:eastAsia="zh-CN"/>
        </w:rPr>
        <w:t xml:space="preserve">gantt chart </w:t>
      </w:r>
      <w:r>
        <w:rPr>
          <w:rFonts w:hint="default" w:ascii="Times New Roman" w:hAnsi="Times New Roman" w:cs="Times New Roman"/>
          <w:color w:val="auto"/>
          <w:sz w:val="24"/>
          <w:szCs w:val="24"/>
          <w:lang w:val="en-US" w:eastAsia="zh-CN"/>
        </w:rPr>
        <w:t>table 1 below(Maylor,H. 2010), and the expenditure list and budget for the football league project is shown in table 2.</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color w:val="auto"/>
        </w:rPr>
      </w:pPr>
      <w:r>
        <w:rPr>
          <w:color w:val="auto"/>
        </w:rPr>
        <w:drawing>
          <wp:inline distT="0" distB="0" distL="114300" distR="114300">
            <wp:extent cx="5760720" cy="2569210"/>
            <wp:effectExtent l="0" t="0" r="0" b="635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8"/>
                    <a:stretch>
                      <a:fillRect/>
                    </a:stretch>
                  </pic:blipFill>
                  <pic:spPr>
                    <a:xfrm>
                      <a:off x="0" y="0"/>
                      <a:ext cx="5760720" cy="2569210"/>
                    </a:xfrm>
                    <a:prstGeom prst="rect">
                      <a:avLst/>
                    </a:prstGeom>
                    <a:noFill/>
                    <a:ln>
                      <a:noFill/>
                    </a:ln>
                  </pic:spPr>
                </pic:pic>
              </a:graphicData>
            </a:graphic>
          </wp:inline>
        </w:drawing>
      </w:r>
    </w:p>
    <w:tbl>
      <w:tblPr>
        <w:tblStyle w:val="10"/>
        <w:tblW w:w="6433" w:type="dxa"/>
        <w:tblInd w:w="0" w:type="dxa"/>
        <w:shd w:val="clear" w:color="auto" w:fill="auto"/>
        <w:tblLayout w:type="autofit"/>
        <w:tblCellMar>
          <w:top w:w="0" w:type="dxa"/>
          <w:left w:w="0" w:type="dxa"/>
          <w:bottom w:w="0" w:type="dxa"/>
          <w:right w:w="0" w:type="dxa"/>
        </w:tblCellMar>
      </w:tblPr>
      <w:tblGrid>
        <w:gridCol w:w="2039"/>
        <w:gridCol w:w="1350"/>
        <w:gridCol w:w="1350"/>
        <w:gridCol w:w="1694"/>
      </w:tblGrid>
      <w:tr>
        <w:tblPrEx>
          <w:tblCellMar>
            <w:top w:w="0" w:type="dxa"/>
            <w:left w:w="0" w:type="dxa"/>
            <w:bottom w:w="0" w:type="dxa"/>
            <w:right w:w="0" w:type="dxa"/>
          </w:tblCellMar>
        </w:tblPrEx>
        <w:trPr>
          <w:trHeight w:val="624" w:hRule="atLeast"/>
        </w:trPr>
        <w:tc>
          <w:tcPr>
            <w:tcW w:w="2040" w:type="dxa"/>
            <w:tcBorders>
              <w:top w:val="single" w:color="000000" w:sz="4" w:space="0"/>
              <w:left w:val="single" w:color="000000" w:sz="4" w:space="0"/>
              <w:bottom w:val="single" w:color="000000" w:sz="4" w:space="0"/>
              <w:right w:val="single" w:color="000000" w:sz="4" w:space="0"/>
            </w:tcBorders>
            <w:shd w:val="clear" w:color="auto" w:fill="E6CD40"/>
            <w:tcMar>
              <w:top w:w="12" w:type="dxa"/>
              <w:left w:w="12" w:type="dxa"/>
              <w:right w:w="12" w:type="dxa"/>
            </w:tcMar>
            <w:vAlign w:val="bottom"/>
          </w:tcPr>
          <w:p>
            <w:pPr>
              <w:keepNext w:val="0"/>
              <w:keepLines w:val="0"/>
              <w:widowControl/>
              <w:suppressLineNumbers w:val="0"/>
              <w:jc w:val="left"/>
              <w:textAlignment w:val="bottom"/>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Task Name</w:t>
            </w:r>
          </w:p>
        </w:tc>
        <w:tc>
          <w:tcPr>
            <w:tcW w:w="1350" w:type="dxa"/>
            <w:tcBorders>
              <w:top w:val="single" w:color="000000" w:sz="4" w:space="0"/>
              <w:left w:val="single" w:color="000000" w:sz="4" w:space="0"/>
              <w:bottom w:val="single" w:color="000000" w:sz="4" w:space="0"/>
              <w:right w:val="single" w:color="000000" w:sz="4" w:space="0"/>
            </w:tcBorders>
            <w:shd w:val="clear" w:color="auto" w:fill="E6CD40"/>
            <w:tcMar>
              <w:top w:w="12" w:type="dxa"/>
              <w:left w:w="12" w:type="dxa"/>
              <w:right w:w="12" w:type="dxa"/>
            </w:tcMar>
            <w:vAlign w:val="bottom"/>
          </w:tcPr>
          <w:p>
            <w:pPr>
              <w:keepNext w:val="0"/>
              <w:keepLines w:val="0"/>
              <w:widowControl/>
              <w:suppressLineNumbers w:val="0"/>
              <w:jc w:val="left"/>
              <w:textAlignment w:val="bottom"/>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Start</w:t>
            </w:r>
          </w:p>
        </w:tc>
        <w:tc>
          <w:tcPr>
            <w:tcW w:w="1350" w:type="dxa"/>
            <w:tcBorders>
              <w:top w:val="single" w:color="000000" w:sz="4" w:space="0"/>
              <w:left w:val="single" w:color="000000" w:sz="4" w:space="0"/>
              <w:bottom w:val="single" w:color="000000" w:sz="4" w:space="0"/>
              <w:right w:val="single" w:color="000000" w:sz="4" w:space="0"/>
            </w:tcBorders>
            <w:shd w:val="clear" w:color="auto" w:fill="E6CD40"/>
            <w:tcMar>
              <w:top w:w="12" w:type="dxa"/>
              <w:left w:w="12" w:type="dxa"/>
              <w:right w:w="12" w:type="dxa"/>
            </w:tcMar>
            <w:vAlign w:val="bottom"/>
          </w:tcPr>
          <w:p>
            <w:pPr>
              <w:keepNext w:val="0"/>
              <w:keepLines w:val="0"/>
              <w:widowControl/>
              <w:suppressLineNumbers w:val="0"/>
              <w:jc w:val="left"/>
              <w:textAlignment w:val="bottom"/>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End</w:t>
            </w:r>
          </w:p>
        </w:tc>
        <w:tc>
          <w:tcPr>
            <w:tcW w:w="1695" w:type="dxa"/>
            <w:tcBorders>
              <w:top w:val="single" w:color="000000" w:sz="4" w:space="0"/>
              <w:left w:val="single" w:color="000000" w:sz="4" w:space="0"/>
              <w:bottom w:val="single" w:color="000000" w:sz="4" w:space="0"/>
              <w:right w:val="single" w:color="000000" w:sz="4" w:space="0"/>
            </w:tcBorders>
            <w:shd w:val="clear" w:color="auto" w:fill="E6CD40"/>
            <w:tcMar>
              <w:top w:w="12" w:type="dxa"/>
              <w:left w:w="12" w:type="dxa"/>
              <w:right w:w="12" w:type="dxa"/>
            </w:tcMar>
            <w:vAlign w:val="bottom"/>
          </w:tcPr>
          <w:p>
            <w:pPr>
              <w:keepNext w:val="0"/>
              <w:keepLines w:val="0"/>
              <w:widowControl/>
              <w:suppressLineNumbers w:val="0"/>
              <w:jc w:val="left"/>
              <w:textAlignment w:val="bottom"/>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Duration (days)</w:t>
            </w:r>
          </w:p>
        </w:tc>
      </w:tr>
      <w:tr>
        <w:tblPrEx>
          <w:shd w:val="clear" w:color="auto" w:fill="auto"/>
          <w:tblCellMar>
            <w:top w:w="0" w:type="dxa"/>
            <w:left w:w="0" w:type="dxa"/>
            <w:bottom w:w="0" w:type="dxa"/>
            <w:right w:w="0" w:type="dxa"/>
          </w:tblCellMar>
        </w:tblPrEx>
        <w:trPr>
          <w:trHeight w:val="312"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bottom"/>
          </w:tcPr>
          <w:p>
            <w:pPr>
              <w:rPr>
                <w:rFonts w:hint="eastAsia" w:ascii="宋体" w:hAnsi="宋体" w:eastAsia="宋体" w:cs="宋体"/>
                <w:i w:val="0"/>
                <w:color w:val="auto"/>
                <w:sz w:val="24"/>
                <w:szCs w:val="24"/>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bottom"/>
          </w:tcPr>
          <w:p>
            <w:pPr>
              <w:rPr>
                <w:rFonts w:hint="eastAsia" w:ascii="宋体" w:hAnsi="宋体" w:eastAsia="宋体" w:cs="宋体"/>
                <w:i w:val="0"/>
                <w:color w:val="auto"/>
                <w:sz w:val="24"/>
                <w:szCs w:val="24"/>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bottom"/>
          </w:tcPr>
          <w:p>
            <w:pPr>
              <w:rPr>
                <w:rFonts w:hint="eastAsia" w:ascii="宋体" w:hAnsi="宋体" w:eastAsia="宋体" w:cs="宋体"/>
                <w:i w:val="0"/>
                <w:color w:val="auto"/>
                <w:sz w:val="24"/>
                <w:szCs w:val="24"/>
                <w:u w:val="none"/>
              </w:rPr>
            </w:pPr>
          </w:p>
        </w:tc>
        <w:tc>
          <w:tcPr>
            <w:tcW w:w="169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bottom"/>
          </w:tcPr>
          <w:p>
            <w:pP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1248"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Contact relevant student union officers, LSM and BUCS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2020/1/6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2020/1/10</w:t>
            </w:r>
          </w:p>
        </w:tc>
        <w:tc>
          <w:tcPr>
            <w:tcW w:w="169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4</w:t>
            </w:r>
          </w:p>
        </w:tc>
      </w:tr>
      <w:tr>
        <w:tblPrEx>
          <w:tblCellMar>
            <w:top w:w="0" w:type="dxa"/>
            <w:left w:w="0" w:type="dxa"/>
            <w:bottom w:w="0" w:type="dxa"/>
            <w:right w:w="0" w:type="dxa"/>
          </w:tblCellMar>
        </w:tblPrEx>
        <w:trPr>
          <w:trHeight w:val="720"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Contact Sponsors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2020/1/6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2020/2/6</w:t>
            </w:r>
          </w:p>
        </w:tc>
        <w:tc>
          <w:tcPr>
            <w:tcW w:w="169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31</w:t>
            </w:r>
          </w:p>
        </w:tc>
      </w:tr>
      <w:tr>
        <w:tblPrEx>
          <w:tblCellMar>
            <w:top w:w="0" w:type="dxa"/>
            <w:left w:w="0" w:type="dxa"/>
            <w:bottom w:w="0" w:type="dxa"/>
            <w:right w:w="0" w:type="dxa"/>
          </w:tblCellMar>
        </w:tblPrEx>
        <w:trPr>
          <w:trHeight w:val="312"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Online Promotion</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2020/1/11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2020/2/6</w:t>
            </w:r>
          </w:p>
        </w:tc>
        <w:tc>
          <w:tcPr>
            <w:tcW w:w="169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26</w:t>
            </w:r>
          </w:p>
        </w:tc>
      </w:tr>
      <w:tr>
        <w:tblPrEx>
          <w:shd w:val="clear" w:color="auto" w:fill="auto"/>
          <w:tblCellMar>
            <w:top w:w="0" w:type="dxa"/>
            <w:left w:w="0" w:type="dxa"/>
            <w:bottom w:w="0" w:type="dxa"/>
            <w:right w:w="0" w:type="dxa"/>
          </w:tblCellMar>
        </w:tblPrEx>
        <w:trPr>
          <w:trHeight w:val="624"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Buy supplies for the game</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2020/1/12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2020/1/15</w:t>
            </w:r>
          </w:p>
        </w:tc>
        <w:tc>
          <w:tcPr>
            <w:tcW w:w="169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4</w:t>
            </w:r>
          </w:p>
        </w:tc>
      </w:tr>
      <w:tr>
        <w:tblPrEx>
          <w:shd w:val="clear" w:color="auto" w:fill="auto"/>
          <w:tblCellMar>
            <w:top w:w="0" w:type="dxa"/>
            <w:left w:w="0" w:type="dxa"/>
            <w:bottom w:w="0" w:type="dxa"/>
            <w:right w:w="0" w:type="dxa"/>
          </w:tblCellMar>
        </w:tblPrEx>
        <w:trPr>
          <w:trHeight w:val="312"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bottom"/>
          </w:tcPr>
          <w:p>
            <w:pPr>
              <w:keepNext w:val="0"/>
              <w:keepLines w:val="0"/>
              <w:widowControl/>
              <w:suppressLineNumbers w:val="0"/>
              <w:jc w:val="left"/>
              <w:textAlignment w:val="bottom"/>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Offline promotion</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2020/1/16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2020/1/18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3</w:t>
            </w:r>
          </w:p>
        </w:tc>
      </w:tr>
      <w:tr>
        <w:tblPrEx>
          <w:shd w:val="clear" w:color="auto" w:fill="auto"/>
          <w:tblCellMar>
            <w:top w:w="0" w:type="dxa"/>
            <w:left w:w="0" w:type="dxa"/>
            <w:bottom w:w="0" w:type="dxa"/>
            <w:right w:w="0" w:type="dxa"/>
          </w:tblCellMar>
        </w:tblPrEx>
        <w:trPr>
          <w:trHeight w:val="936"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bottom"/>
          </w:tcPr>
          <w:p>
            <w:pPr>
              <w:keepNext w:val="0"/>
              <w:keepLines w:val="0"/>
              <w:widowControl/>
              <w:suppressLineNumbers w:val="0"/>
              <w:jc w:val="left"/>
              <w:textAlignment w:val="bottom"/>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Collect athlete registration information</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2020/1/19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16</w:t>
            </w:r>
          </w:p>
        </w:tc>
      </w:tr>
      <w:tr>
        <w:tblPrEx>
          <w:tblCellMar>
            <w:top w:w="0" w:type="dxa"/>
            <w:left w:w="0" w:type="dxa"/>
            <w:bottom w:w="0" w:type="dxa"/>
            <w:right w:w="0" w:type="dxa"/>
          </w:tblCellMar>
        </w:tblPrEx>
        <w:trPr>
          <w:trHeight w:val="624"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bottom"/>
          </w:tcPr>
          <w:p>
            <w:pPr>
              <w:keepNext w:val="0"/>
              <w:keepLines w:val="0"/>
              <w:widowControl/>
              <w:suppressLineNumbers w:val="0"/>
              <w:jc w:val="left"/>
              <w:textAlignment w:val="bottom"/>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Match tickets are sold online</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2020/1/19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2020/3/7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48</w:t>
            </w:r>
          </w:p>
        </w:tc>
      </w:tr>
      <w:tr>
        <w:tblPrEx>
          <w:tblCellMar>
            <w:top w:w="0" w:type="dxa"/>
            <w:left w:w="0" w:type="dxa"/>
            <w:bottom w:w="0" w:type="dxa"/>
            <w:right w:w="0" w:type="dxa"/>
          </w:tblCellMar>
        </w:tblPrEx>
        <w:trPr>
          <w:trHeight w:val="690"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bottom"/>
          </w:tcPr>
          <w:p>
            <w:pPr>
              <w:keepNext w:val="0"/>
              <w:keepLines w:val="0"/>
              <w:widowControl/>
              <w:suppressLineNumbers w:val="0"/>
              <w:jc w:val="left"/>
              <w:textAlignment w:val="bottom"/>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Pre-match preparation</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2020/2/4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2020/2/6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3</w:t>
            </w:r>
          </w:p>
        </w:tc>
      </w:tr>
      <w:tr>
        <w:tblPrEx>
          <w:tblCellMar>
            <w:top w:w="0" w:type="dxa"/>
            <w:left w:w="0" w:type="dxa"/>
            <w:bottom w:w="0" w:type="dxa"/>
            <w:right w:w="0" w:type="dxa"/>
          </w:tblCellMar>
        </w:tblPrEx>
        <w:trPr>
          <w:trHeight w:val="660"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bottom"/>
          </w:tcPr>
          <w:p>
            <w:pPr>
              <w:keepNext w:val="0"/>
              <w:keepLines w:val="0"/>
              <w:widowControl/>
              <w:suppressLineNumbers w:val="0"/>
              <w:jc w:val="left"/>
              <w:textAlignment w:val="bottom"/>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Game in progress</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2020/2/7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2020/3/7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30</w:t>
            </w:r>
          </w:p>
        </w:tc>
      </w:tr>
      <w:tr>
        <w:tblPrEx>
          <w:shd w:val="clear" w:color="auto" w:fill="auto"/>
          <w:tblCellMar>
            <w:top w:w="0" w:type="dxa"/>
            <w:left w:w="0" w:type="dxa"/>
            <w:bottom w:w="0" w:type="dxa"/>
            <w:right w:w="0" w:type="dxa"/>
          </w:tblCellMar>
        </w:tblPrEx>
        <w:trPr>
          <w:trHeight w:val="645" w:hRule="atLeast"/>
        </w:trPr>
        <w:tc>
          <w:tcPr>
            <w:tcW w:w="204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bottom"/>
          </w:tcPr>
          <w:p>
            <w:pPr>
              <w:keepNext w:val="0"/>
              <w:keepLines w:val="0"/>
              <w:widowControl/>
              <w:suppressLineNumbers w:val="0"/>
              <w:jc w:val="left"/>
              <w:textAlignment w:val="bottom"/>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Field trip interview</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2020/2/7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2020/3/7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cMar>
              <w:top w:w="12" w:type="dxa"/>
              <w:left w:w="12" w:type="dxa"/>
              <w:right w:w="12" w:type="dxa"/>
            </w:tcMar>
            <w:vAlign w:val="center"/>
          </w:tcPr>
          <w:p>
            <w:pPr>
              <w:keepNext w:val="0"/>
              <w:keepLines w:val="0"/>
              <w:widowControl/>
              <w:suppressLineNumbers w:val="0"/>
              <w:jc w:val="left"/>
              <w:textAlignment w:val="center"/>
              <w:rPr>
                <w:rFonts w:hint="default" w:ascii="Microsoft Sans Serif" w:hAnsi="Microsoft Sans Serif" w:eastAsia="Microsoft Sans Serif" w:cs="Microsoft Sans Serif"/>
                <w:i w:val="0"/>
                <w:color w:val="auto"/>
                <w:sz w:val="24"/>
                <w:szCs w:val="24"/>
                <w:u w:val="none"/>
              </w:rPr>
            </w:pPr>
            <w:r>
              <w:rPr>
                <w:rFonts w:hint="default" w:ascii="Microsoft Sans Serif" w:hAnsi="Microsoft Sans Serif" w:eastAsia="Microsoft Sans Serif" w:cs="Microsoft Sans Serif"/>
                <w:i w:val="0"/>
                <w:color w:val="auto"/>
                <w:kern w:val="0"/>
                <w:sz w:val="24"/>
                <w:szCs w:val="24"/>
                <w:u w:val="none"/>
                <w:lang w:val="en-US" w:eastAsia="zh-CN" w:bidi="ar"/>
              </w:rPr>
              <w:t>30</w:t>
            </w:r>
          </w:p>
        </w:tc>
      </w:tr>
    </w:tbl>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color w:val="auto"/>
          <w:lang w:val="en-US" w:eastAsia="zh-CN"/>
        </w:rPr>
      </w:pPr>
    </w:p>
    <w:tbl>
      <w:tblPr>
        <w:tblStyle w:val="11"/>
        <w:tblW w:w="9572" w:type="dxa"/>
        <w:tblInd w:w="-2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4"/>
        <w:gridCol w:w="6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9572" w:type="dxa"/>
            <w:gridSpan w:val="2"/>
          </w:tcPr>
          <w:p>
            <w:pPr>
              <w:pageBreakBefore w:val="0"/>
              <w:numPr>
                <w:ilvl w:val="0"/>
                <w:numId w:val="0"/>
              </w:numPr>
              <w:kinsoku/>
              <w:wordWrap/>
              <w:overflowPunct/>
              <w:topLinePunct w:val="0"/>
              <w:autoSpaceDE/>
              <w:autoSpaceDN/>
              <w:bidi w:val="0"/>
              <w:adjustRightInd/>
              <w:snapToGrid/>
              <w:spacing w:line="480" w:lineRule="auto"/>
              <w:jc w:val="center"/>
              <w:textAlignment w:val="auto"/>
              <w:rPr>
                <w:rFonts w:hint="default" w:ascii="Times New Roman" w:hAnsi="Times New Roman" w:eastAsia="宋体" w:cs="Times New Roman"/>
                <w:color w:val="auto"/>
                <w:sz w:val="24"/>
                <w:szCs w:val="24"/>
                <w:vertAlign w:val="baseline"/>
                <w:lang w:val="en-US" w:eastAsia="zh-CN"/>
              </w:rPr>
            </w:pPr>
            <w:r>
              <w:rPr>
                <w:rFonts w:hint="eastAsia" w:ascii="Times New Roman" w:hAnsi="Times New Roman" w:eastAsia="宋体" w:cs="Times New Roman"/>
                <w:color w:val="auto"/>
                <w:sz w:val="24"/>
                <w:szCs w:val="24"/>
                <w:vertAlign w:val="baseline"/>
                <w:lang w:val="en-US" w:eastAsia="zh-CN"/>
              </w:rPr>
              <w:t>TABLE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Action</w:t>
            </w:r>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rPr>
            </w:pPr>
            <w:r>
              <w:rPr>
                <w:rFonts w:hint="default" w:ascii="Times New Roman" w:hAnsi="Times New Roman" w:eastAsia="宋体" w:cs="Times New Roman"/>
                <w:color w:val="auto"/>
                <w:sz w:val="24"/>
                <w:szCs w:val="24"/>
                <w:vertAlign w:val="baseline"/>
                <w:lang w:val="en-US" w:eastAsia="zh-CN"/>
              </w:rPr>
              <w:t>Outcome Achieved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bookmarkStart w:id="14" w:name="OLE_LINK10"/>
            <w:r>
              <w:rPr>
                <w:rFonts w:hint="default" w:ascii="Times New Roman" w:hAnsi="Times New Roman" w:eastAsia="宋体" w:cs="Times New Roman"/>
                <w:color w:val="auto"/>
                <w:sz w:val="24"/>
                <w:szCs w:val="24"/>
                <w:vertAlign w:val="baseline"/>
                <w:lang w:val="en-US" w:eastAsia="zh-CN"/>
              </w:rPr>
              <w:t>1.Contact relevant student union officers, LSM and BUCS</w:t>
            </w:r>
            <w:bookmarkEnd w:id="14"/>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color w:val="auto"/>
                <w:sz w:val="24"/>
                <w:szCs w:val="24"/>
                <w:vertAlign w:val="baseline"/>
                <w:lang w:val="en-US" w:eastAsia="zh-CN"/>
              </w:rPr>
            </w:pPr>
            <w:r>
              <w:rPr>
                <w:rFonts w:hint="default" w:ascii="Times New Roman" w:hAnsi="Times New Roman" w:cs="Times New Roman"/>
                <w:color w:val="auto"/>
                <w:sz w:val="24"/>
                <w:szCs w:val="24"/>
                <w:vertAlign w:val="baseline"/>
              </w:rPr>
              <w:t xml:space="preserve">The two student unions </w:t>
            </w:r>
            <w:r>
              <w:rPr>
                <w:rFonts w:hint="default" w:ascii="Times New Roman" w:hAnsi="Times New Roman" w:cs="Times New Roman"/>
                <w:color w:val="auto"/>
                <w:sz w:val="24"/>
                <w:szCs w:val="24"/>
                <w:vertAlign w:val="baseline"/>
                <w:lang w:val="en-US" w:eastAsia="zh-CN"/>
              </w:rPr>
              <w:t xml:space="preserve">,the BUCS </w:t>
            </w:r>
            <w:r>
              <w:rPr>
                <w:rFonts w:hint="default" w:ascii="Times New Roman" w:hAnsi="Times New Roman" w:cs="Times New Roman"/>
                <w:color w:val="auto"/>
                <w:sz w:val="24"/>
                <w:szCs w:val="24"/>
                <w:vertAlign w:val="baseline"/>
              </w:rPr>
              <w:t>and the LSM community understand the project and are willing to participate in the project</w:t>
            </w:r>
            <w:r>
              <w:rPr>
                <w:rFonts w:hint="default" w:ascii="Times New Roman" w:hAnsi="Times New Roman" w:cs="Times New Roman"/>
                <w:color w:val="auto"/>
                <w:sz w:val="24"/>
                <w:szCs w:val="24"/>
                <w:vertAlign w:val="baseline"/>
                <w:lang w:val="en-US" w:eastAsia="zh-CN"/>
              </w:rPr>
              <w:t>.</w:t>
            </w:r>
            <w:r>
              <w:rPr>
                <w:rFonts w:hint="default" w:ascii="Times New Roman" w:hAnsi="Times New Roman" w:cs="Times New Roman"/>
                <w:color w:val="auto"/>
                <w:sz w:val="24"/>
                <w:szCs w:val="24"/>
                <w:lang w:val="en-US" w:eastAsia="zh-CN"/>
              </w:rPr>
              <w:t xml:space="preserve"> The student union is very appealing to students. It can carry out online and offline project promotion on campus, and also play many important roles in the project.BUCS (British Universities and Colleges Sport) is responsible for the unified organization and management of intercollegiate competitive sports in the UK, which can effectively regulate the project funding and competition process, and ensure the fairness, openness and transparency of the project. Members of the LSM community specialize in the management and development of sports, so the LSM team can help the project run smoothly.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2.</w:t>
            </w:r>
            <w:r>
              <w:rPr>
                <w:rFonts w:hint="default" w:ascii="Times New Roman" w:hAnsi="Times New Roman" w:cs="Times New Roman"/>
                <w:color w:val="auto"/>
                <w:sz w:val="24"/>
                <w:szCs w:val="24"/>
                <w:vertAlign w:val="baseline"/>
              </w:rPr>
              <w:t>Contact Sponsor</w:t>
            </w:r>
            <w:r>
              <w:rPr>
                <w:rFonts w:hint="default" w:ascii="Times New Roman" w:hAnsi="Times New Roman" w:cs="Times New Roman"/>
                <w:color w:val="auto"/>
                <w:sz w:val="24"/>
                <w:szCs w:val="24"/>
                <w:vertAlign w:val="baseline"/>
                <w:lang w:val="en-US" w:eastAsia="zh-CN"/>
              </w:rPr>
              <w:t>s</w:t>
            </w:r>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color w:val="auto"/>
                <w:sz w:val="24"/>
                <w:szCs w:val="24"/>
                <w:vertAlign w:val="baseline"/>
                <w:lang w:val="en-US" w:eastAsia="zh-CN"/>
              </w:rPr>
            </w:pPr>
            <w:r>
              <w:rPr>
                <w:rFonts w:hint="default" w:ascii="Times New Roman" w:hAnsi="Times New Roman" w:cs="Times New Roman" w:eastAsiaTheme="minorEastAsia"/>
                <w:color w:val="auto"/>
                <w:sz w:val="24"/>
                <w:szCs w:val="24"/>
                <w:vertAlign w:val="baseline"/>
                <w:lang w:val="en-US" w:eastAsia="zh-CN"/>
              </w:rPr>
              <w:t>Contact brand sponsor</w:t>
            </w:r>
            <w:r>
              <w:rPr>
                <w:rFonts w:hint="default" w:ascii="Times New Roman" w:hAnsi="Times New Roman" w:cs="Times New Roman"/>
                <w:color w:val="auto"/>
                <w:sz w:val="24"/>
                <w:szCs w:val="24"/>
                <w:vertAlign w:val="baseline"/>
                <w:lang w:val="en-US" w:eastAsia="zh-CN"/>
              </w:rPr>
              <w:t>s</w:t>
            </w:r>
            <w:r>
              <w:rPr>
                <w:rFonts w:hint="default" w:ascii="Times New Roman" w:hAnsi="Times New Roman" w:cs="Times New Roman" w:eastAsiaTheme="minorEastAsia"/>
                <w:color w:val="auto"/>
                <w:sz w:val="24"/>
                <w:szCs w:val="24"/>
                <w:vertAlign w:val="baseline"/>
                <w:lang w:val="en-US" w:eastAsia="zh-CN"/>
              </w:rPr>
              <w:t xml:space="preserve"> to get sponsorship money or products from their brand</w:t>
            </w:r>
            <w:r>
              <w:rPr>
                <w:rFonts w:hint="default" w:ascii="Times New Roman" w:hAnsi="Times New Roman" w:cs="Times New Roman"/>
                <w:color w:val="auto"/>
                <w:sz w:val="24"/>
                <w:szCs w:val="24"/>
                <w:vertAlign w:val="baseline"/>
                <w:lang w:val="en-US" w:eastAsia="zh-CN"/>
              </w:rPr>
              <w:t>. As sponsorship is the key factor to support the project, members of the public relations department of the students' union of the two universities will be responsible for contacting sponsors during the whole preparatory period.Also, LSM and BUCS must have a lot of sponsor resources, so we can ask them to introduce sponsors to the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3.online promotion</w:t>
            </w:r>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 xml:space="preserve">The </w:t>
            </w:r>
            <w:bookmarkStart w:id="15" w:name="OLE_LINK7"/>
            <w:r>
              <w:rPr>
                <w:rFonts w:hint="default" w:ascii="Times New Roman" w:hAnsi="Times New Roman" w:cs="Times New Roman"/>
                <w:color w:val="auto"/>
                <w:sz w:val="24"/>
                <w:szCs w:val="24"/>
                <w:vertAlign w:val="baseline"/>
                <w:lang w:val="en-US" w:eastAsia="zh-CN"/>
              </w:rPr>
              <w:t>online promotion</w:t>
            </w:r>
            <w:bookmarkEnd w:id="15"/>
            <w:r>
              <w:rPr>
                <w:rFonts w:hint="default" w:ascii="Times New Roman" w:hAnsi="Times New Roman" w:cs="Times New Roman"/>
                <w:color w:val="auto"/>
                <w:sz w:val="24"/>
                <w:szCs w:val="24"/>
                <w:vertAlign w:val="baseline"/>
                <w:lang w:val="en-US" w:eastAsia="zh-CN"/>
              </w:rPr>
              <w:t xml:space="preserve"> will continue until the start of the game. The 26-day promotion will let as many people as possible know about the event. Not only the people of Swansea, but also people from other parts of the UK, and even people from other countries, Strive to expand the sphere of influence of the event. There are two types of online promotion: unpaid and paid. The methods of free online promotion are: the school's official website promotion of the two universities; the LSM and BUCS official website promotion; promoting through the individual Facebook, twitter and instagram of the students' union members. Paid online publicity is as follows: Hire two sporty online celebrities to promote the project on social media. Internet celebrities have many fans and have a strong influence and appeal, which can have a good publicity effect(Korotina, A., &amp; Jargalsaikhan, T. 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4.Buy supplies for the game</w:t>
            </w:r>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Buy all the supplies needed for the project and try to stay within the budget.The inventory and budget prices are detailed in table 2 below.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5.offline promotion</w:t>
            </w:r>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During the 3-day period, we will conduct intensive offline project publicity on the campus of the two schools, let teachers and students of the two schools know about the project and encourage students to sign up for the competition.There are three ways of offline promotion.First, put up posters and banners on campus.Second, set up a charity selling promotion station on campus, and sell the products (such as drinks and food) sponsored by brand sponsors at 10% below the market price. The proceeds from the charity selling will be used for project expenses.Third, contact the Swansea newspaper to promote the upcoming football league.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6.Collect athlete registration information</w:t>
            </w:r>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Students from both schools can sign up for the competition.There are two ways to register.First, you can register at the football league promotion interface of the school's official website.Second, you can submit the application form to the sports department of the student union.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7.Match tickets are sold online</w:t>
            </w:r>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Tickets are available on the official websites of the two schools and on the football league screens of the official websites of the LSM and BUCS.The price is ￡10 per person for adults and ￡5 per person for children.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8.Pre-match preparation</w:t>
            </w:r>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Pre-match preparations involve identifying the team and the players of each team and distributing jerseys and related items.The football field needs to be set up and the sponsor's brand advertising posters need to be put up at the games site.Prepare camera equipment and confirm camera crew.Confirm opening ceremony procedure, host and cheerleaders are ready for the opening ceremony.Contact hired Internet celebrities to broadcast the opening ceremony and the game live at the game site.Contact the Swansea newspaper to cover the opening ceremony.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9.</w:t>
            </w:r>
            <w:r>
              <w:rPr>
                <w:rFonts w:hint="default" w:ascii="Times New Roman" w:hAnsi="Times New Roman" w:cs="Times New Roman"/>
                <w:color w:val="auto"/>
                <w:sz w:val="24"/>
                <w:szCs w:val="24"/>
                <w:vertAlign w:val="baseline"/>
              </w:rPr>
              <w:t>Game in progress</w:t>
            </w:r>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The match will be played according to the schedule, and time will be adjusted in case of special circumstances. We will do a good job in security and logistics. To ensure the safety of athletes and ensure the first time for injured athletes to receive professional medical treatment.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2714"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10.</w:t>
            </w:r>
            <w:r>
              <w:rPr>
                <w:rFonts w:hint="default" w:ascii="Times New Roman" w:hAnsi="Times New Roman" w:cs="Times New Roman"/>
                <w:color w:val="auto"/>
                <w:sz w:val="24"/>
                <w:szCs w:val="24"/>
                <w:vertAlign w:val="baseline"/>
              </w:rPr>
              <w:t>Field trip interview</w:t>
            </w:r>
          </w:p>
        </w:tc>
        <w:tc>
          <w:tcPr>
            <w:tcW w:w="685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rPr>
              <w:t>Conduct random interviews and inspections during the game to get real and effective feedback and data</w:t>
            </w:r>
          </w:p>
        </w:tc>
      </w:tr>
    </w:tbl>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tbl>
      <w:tblPr>
        <w:tblStyle w:val="11"/>
        <w:tblW w:w="900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9"/>
        <w:gridCol w:w="2038"/>
        <w:gridCol w:w="261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7" w:type="dxa"/>
            <w:gridSpan w:val="4"/>
          </w:tcPr>
          <w:p>
            <w:pPr>
              <w:pageBreakBefore w:val="0"/>
              <w:numPr>
                <w:ilvl w:val="0"/>
                <w:numId w:val="0"/>
              </w:numPr>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TABLE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Spending on content</w:t>
            </w:r>
          </w:p>
        </w:tc>
        <w:tc>
          <w:tcPr>
            <w:tcW w:w="203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Number</w:t>
            </w:r>
          </w:p>
        </w:tc>
        <w:tc>
          <w:tcPr>
            <w:tcW w:w="261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The unit price</w:t>
            </w:r>
          </w:p>
        </w:tc>
        <w:tc>
          <w:tcPr>
            <w:tcW w:w="198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1.Soccer uniform</w:t>
            </w:r>
          </w:p>
        </w:tc>
        <w:tc>
          <w:tcPr>
            <w:tcW w:w="203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60</w:t>
            </w:r>
          </w:p>
        </w:tc>
        <w:tc>
          <w:tcPr>
            <w:tcW w:w="261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7 pounds</w:t>
            </w:r>
          </w:p>
        </w:tc>
        <w:tc>
          <w:tcPr>
            <w:tcW w:w="198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420pounds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2.Mineral water</w:t>
            </w:r>
          </w:p>
        </w:tc>
        <w:tc>
          <w:tcPr>
            <w:tcW w:w="203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100</w:t>
            </w:r>
          </w:p>
        </w:tc>
        <w:tc>
          <w:tcPr>
            <w:tcW w:w="261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8 pounds</w:t>
            </w:r>
          </w:p>
        </w:tc>
        <w:tc>
          <w:tcPr>
            <w:tcW w:w="198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800pounds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3.posters</w:t>
            </w:r>
          </w:p>
        </w:tc>
        <w:tc>
          <w:tcPr>
            <w:tcW w:w="203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12</w:t>
            </w:r>
          </w:p>
        </w:tc>
        <w:tc>
          <w:tcPr>
            <w:tcW w:w="261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3pounds</w:t>
            </w:r>
          </w:p>
        </w:tc>
        <w:tc>
          <w:tcPr>
            <w:tcW w:w="198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36pounds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4. banners</w:t>
            </w:r>
          </w:p>
        </w:tc>
        <w:tc>
          <w:tcPr>
            <w:tcW w:w="203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12</w:t>
            </w:r>
          </w:p>
        </w:tc>
        <w:tc>
          <w:tcPr>
            <w:tcW w:w="261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6 pounds</w:t>
            </w:r>
          </w:p>
        </w:tc>
        <w:tc>
          <w:tcPr>
            <w:tcW w:w="198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72pounds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5.Newspaper publicity</w:t>
            </w:r>
          </w:p>
        </w:tc>
        <w:tc>
          <w:tcPr>
            <w:tcW w:w="203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p>
        </w:tc>
        <w:tc>
          <w:tcPr>
            <w:tcW w:w="261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5</w:t>
            </w:r>
            <w:bookmarkStart w:id="16" w:name="OLE_LINK6"/>
            <w:r>
              <w:rPr>
                <w:rFonts w:hint="default" w:ascii="Times New Roman" w:hAnsi="Times New Roman" w:cs="Times New Roman"/>
                <w:color w:val="auto"/>
                <w:sz w:val="24"/>
                <w:szCs w:val="24"/>
                <w:vertAlign w:val="baseline"/>
                <w:lang w:val="en-US" w:eastAsia="zh-CN"/>
              </w:rPr>
              <w:t>pounds</w:t>
            </w:r>
            <w:bookmarkEnd w:id="16"/>
          </w:p>
        </w:tc>
        <w:tc>
          <w:tcPr>
            <w:tcW w:w="198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50pounds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6.Hire 2 Internet celebrities to publicize</w:t>
            </w:r>
          </w:p>
        </w:tc>
        <w:tc>
          <w:tcPr>
            <w:tcW w:w="203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2</w:t>
            </w:r>
          </w:p>
        </w:tc>
        <w:tc>
          <w:tcPr>
            <w:tcW w:w="261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800pounds</w:t>
            </w:r>
          </w:p>
        </w:tc>
        <w:tc>
          <w:tcPr>
            <w:tcW w:w="198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1600pounds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7.bonus</w:t>
            </w:r>
          </w:p>
        </w:tc>
        <w:tc>
          <w:tcPr>
            <w:tcW w:w="203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p>
        </w:tc>
        <w:tc>
          <w:tcPr>
            <w:tcW w:w="261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champion400pounds，</w:t>
            </w:r>
            <w:r>
              <w:rPr>
                <w:rFonts w:hint="default" w:ascii="Times New Roman" w:hAnsi="Times New Roman" w:cs="Times New Roman"/>
                <w:color w:val="auto"/>
                <w:sz w:val="24"/>
                <w:szCs w:val="24"/>
                <w:vertAlign w:val="baseline"/>
                <w:lang w:val="en-US" w:eastAsia="zh-CN"/>
              </w:rPr>
              <w:fldChar w:fldCharType="begin"/>
            </w:r>
            <w:r>
              <w:rPr>
                <w:rFonts w:hint="default" w:ascii="Times New Roman" w:hAnsi="Times New Roman" w:cs="Times New Roman"/>
                <w:color w:val="auto"/>
                <w:sz w:val="24"/>
                <w:szCs w:val="24"/>
                <w:vertAlign w:val="baseline"/>
                <w:lang w:val="en-US" w:eastAsia="zh-CN"/>
              </w:rPr>
              <w:instrText xml:space="preserve"> HYPERLINK "E:/%E6%9C%89%E9%81%93%E7%BF%BB%E8%AF%91/Dict/8.6.2.0/resultui/html/index.html" \l "/javascript:;" </w:instrText>
            </w:r>
            <w:r>
              <w:rPr>
                <w:rFonts w:hint="default" w:ascii="Times New Roman" w:hAnsi="Times New Roman" w:cs="Times New Roman"/>
                <w:color w:val="auto"/>
                <w:sz w:val="24"/>
                <w:szCs w:val="24"/>
                <w:vertAlign w:val="baseline"/>
                <w:lang w:val="en-US" w:eastAsia="zh-CN"/>
              </w:rPr>
              <w:fldChar w:fldCharType="separate"/>
            </w:r>
            <w:r>
              <w:rPr>
                <w:rFonts w:hint="default" w:ascii="Times New Roman" w:hAnsi="Times New Roman" w:cs="Times New Roman"/>
                <w:color w:val="auto"/>
                <w:sz w:val="24"/>
                <w:szCs w:val="24"/>
                <w:vertAlign w:val="baseline"/>
                <w:lang w:val="en-US" w:eastAsia="zh-CN"/>
              </w:rPr>
              <w:t>second</w:t>
            </w:r>
            <w:r>
              <w:rPr>
                <w:rFonts w:hint="default" w:ascii="Times New Roman" w:hAnsi="Times New Roman" w:cs="Times New Roman"/>
                <w:color w:val="auto"/>
                <w:sz w:val="24"/>
                <w:szCs w:val="24"/>
                <w:vertAlign w:val="baseline"/>
                <w:lang w:val="en-US" w:eastAsia="zh-CN"/>
              </w:rPr>
              <w:fldChar w:fldCharType="end"/>
            </w:r>
            <w:r>
              <w:rPr>
                <w:rFonts w:hint="default" w:ascii="Times New Roman" w:hAnsi="Times New Roman" w:cs="Times New Roman"/>
                <w:color w:val="auto"/>
                <w:sz w:val="24"/>
                <w:szCs w:val="24"/>
                <w:vertAlign w:val="baseline"/>
                <w:lang w:val="en-US" w:eastAsia="zh-CN"/>
              </w:rPr>
              <w:t> </w:t>
            </w:r>
            <w:r>
              <w:rPr>
                <w:rFonts w:hint="default" w:ascii="Times New Roman" w:hAnsi="Times New Roman" w:cs="Times New Roman"/>
                <w:color w:val="auto"/>
                <w:sz w:val="24"/>
                <w:szCs w:val="24"/>
                <w:vertAlign w:val="baseline"/>
                <w:lang w:val="en-US" w:eastAsia="zh-CN"/>
              </w:rPr>
              <w:fldChar w:fldCharType="begin"/>
            </w:r>
            <w:r>
              <w:rPr>
                <w:rFonts w:hint="default" w:ascii="Times New Roman" w:hAnsi="Times New Roman" w:cs="Times New Roman"/>
                <w:color w:val="auto"/>
                <w:sz w:val="24"/>
                <w:szCs w:val="24"/>
                <w:vertAlign w:val="baseline"/>
                <w:lang w:val="en-US" w:eastAsia="zh-CN"/>
              </w:rPr>
              <w:instrText xml:space="preserve"> HYPERLINK "E:/%E6%9C%89%E9%81%93%E7%BF%BB%E8%AF%91/Dict/8.6.2.0/resultui/html/index.html" \l "/javascript:;" </w:instrText>
            </w:r>
            <w:r>
              <w:rPr>
                <w:rFonts w:hint="default" w:ascii="Times New Roman" w:hAnsi="Times New Roman" w:cs="Times New Roman"/>
                <w:color w:val="auto"/>
                <w:sz w:val="24"/>
                <w:szCs w:val="24"/>
                <w:vertAlign w:val="baseline"/>
                <w:lang w:val="en-US" w:eastAsia="zh-CN"/>
              </w:rPr>
              <w:fldChar w:fldCharType="separate"/>
            </w:r>
            <w:r>
              <w:rPr>
                <w:rFonts w:hint="default" w:ascii="Times New Roman" w:hAnsi="Times New Roman" w:cs="Times New Roman"/>
                <w:color w:val="auto"/>
                <w:sz w:val="24"/>
                <w:szCs w:val="24"/>
                <w:vertAlign w:val="baseline"/>
                <w:lang w:val="en-US" w:eastAsia="zh-CN"/>
              </w:rPr>
              <w:t>place</w:t>
            </w:r>
            <w:r>
              <w:rPr>
                <w:rFonts w:hint="default" w:ascii="Times New Roman" w:hAnsi="Times New Roman" w:cs="Times New Roman"/>
                <w:color w:val="auto"/>
                <w:sz w:val="24"/>
                <w:szCs w:val="24"/>
                <w:vertAlign w:val="baseline"/>
                <w:lang w:val="en-US" w:eastAsia="zh-CN"/>
              </w:rPr>
              <w:fldChar w:fldCharType="end"/>
            </w:r>
            <w:r>
              <w:rPr>
                <w:rFonts w:hint="default" w:ascii="Times New Roman" w:hAnsi="Times New Roman" w:cs="Times New Roman"/>
                <w:color w:val="auto"/>
                <w:sz w:val="24"/>
                <w:szCs w:val="24"/>
                <w:vertAlign w:val="baseline"/>
                <w:lang w:val="en-US" w:eastAsia="zh-CN"/>
              </w:rPr>
              <w:t>200pounds</w:t>
            </w:r>
          </w:p>
        </w:tc>
        <w:tc>
          <w:tcPr>
            <w:tcW w:w="198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600pounds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9"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8.Hire a referee</w:t>
            </w:r>
          </w:p>
        </w:tc>
        <w:tc>
          <w:tcPr>
            <w:tcW w:w="2038"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10</w:t>
            </w:r>
          </w:p>
        </w:tc>
        <w:tc>
          <w:tcPr>
            <w:tcW w:w="261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100pounds</w:t>
            </w:r>
          </w:p>
        </w:tc>
        <w:tc>
          <w:tcPr>
            <w:tcW w:w="198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1000pounds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7" w:type="dxa"/>
            <w:gridSpan w:val="3"/>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rPr>
              <w:t>Unit price from Amazon Shopping website</w:t>
            </w:r>
          </w:p>
        </w:tc>
        <w:tc>
          <w:tcPr>
            <w:tcW w:w="1980"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vertAlign w:val="baseline"/>
                <w:lang w:val="en-US" w:eastAsia="zh-CN"/>
              </w:rPr>
            </w:pPr>
            <w:r>
              <w:rPr>
                <w:rFonts w:hint="default" w:ascii="Times New Roman" w:hAnsi="Times New Roman" w:cs="Times New Roman"/>
                <w:color w:val="auto"/>
                <w:sz w:val="24"/>
                <w:szCs w:val="24"/>
                <w:vertAlign w:val="baseline"/>
                <w:lang w:val="en-US" w:eastAsia="zh-CN"/>
              </w:rPr>
              <w:t>共计：4578pounds</w:t>
            </w:r>
          </w:p>
        </w:tc>
      </w:tr>
    </w:tbl>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p>
      <w:pPr>
        <w:pStyle w:val="2"/>
        <w:pageBreakBefore w:val="0"/>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17" w:name="_Toc22712"/>
      <w:r>
        <w:rPr>
          <w:rFonts w:hint="default" w:ascii="Times New Roman" w:hAnsi="Times New Roman" w:cs="Times New Roman"/>
          <w:color w:val="auto"/>
          <w:sz w:val="24"/>
          <w:szCs w:val="24"/>
          <w:lang w:val="en-US" w:eastAsia="zh-CN"/>
        </w:rPr>
        <w:t>Source of project funds</w:t>
      </w:r>
      <w:bookmarkEnd w:id="17"/>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    The UWTSD and Swansea University intercollegiate football league project will last for about one and a half months from the pre-publication to the end of the game. The two universities will jointly organize the project and will be held regularly in the second semester each spring in the future. , At least in Swansea has a relatively large influence. The funding source of the project mainly relies on the sponsorship fees and products of the brand sponsors. It is hoped that the two universities can form long-term and effective cooperation with the sponsors. With the development of the project, both universities and brand sponsors can obtain profits and enhance brand value. We hope to cooperate with UK brand sponsors, because it may be easier to contact the sponsors. We hope to support the UK ’s own brands, and at the same time, the sponsors will also support the development of education in the UK. Therefore, the target sponsor brands of the project are: Sweaty Betty (a British fashion sports brand founded in 1998), Robinsons (founded in 1823, and slowly developed into a juice recognized by the Queen Elizabeth II and the royal family, becoming the British leader Brand), J2O (a British local beverage brand was founded in 1998), Lactofree (this brand focuses on lactose-free milk, which is the only milk for lactose intolerance in the UK).</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Below I will introduce how to promote the sponsor's brand during the project, so that the sponsor can get more rewards in the project, and how the two universities can benefit from the project.</w:t>
      </w:r>
    </w:p>
    <w:p>
      <w:pPr>
        <w:pStyle w:val="3"/>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18" w:name="_Toc19303"/>
      <w:r>
        <w:rPr>
          <w:rFonts w:hint="default" w:ascii="Times New Roman" w:hAnsi="Times New Roman" w:cs="Times New Roman"/>
          <w:color w:val="auto"/>
          <w:sz w:val="24"/>
          <w:szCs w:val="24"/>
          <w:lang w:val="en-US" w:eastAsia="zh-CN"/>
        </w:rPr>
        <w:t>4.1</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Sponsor brand promotion planning</w:t>
      </w:r>
      <w:bookmarkEnd w:id="18"/>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Promotion of sponsor brands is divided into offline and online promotion channels.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First, let's introduce offline promotion methods: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① The brand with the highest amount of sponsorship, this project will be named after the brand, such as "the first Nike Cup Inter-School Football League".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② Posters, banners, competition tickets, and athlete jerseys advertised on the project are accompanied by the name and logo of the sponsor brand((Gwinner, K. 1997).</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③ The products sponsored by the sponsors are sold at a price lower than 10% of the market price. The sales locations are on the campuses of the two universities and at the competition site.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④ Distribute products sponsored by sponsors to athletes.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⑤ Each match will draw 10 lucky spectators at the scene and give sponsors' brand products to these 10 lucky spectators.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⑥ The top 60 spectators who purchase tickets for the on-site viewing can get sponsored brand products. (Both methods can be used to promote the sponsorship brand or mobilize people to watch the game.)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Then introduce the online sponsor brand promotion method: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① The project promotion interface of the official websites of the two universities and the official websites of LSM and BUCS are accompanied by the name and logo of the sponsor brand.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② We will employ two Internet celebrities to promote the project in the early stage and broadcast the game live on social media. Meanwhile, we will also promote the sponsors' brands. Such a strong publicity will be very helpful to the promotion of sponsors' brand value</w:t>
      </w:r>
      <w:bookmarkStart w:id="19" w:name="OLE_LINK41"/>
      <w:r>
        <w:rPr>
          <w:rFonts w:hint="default" w:ascii="Times New Roman" w:hAnsi="Times New Roman" w:cs="Times New Roman"/>
          <w:color w:val="auto"/>
          <w:sz w:val="24"/>
          <w:szCs w:val="24"/>
          <w:lang w:val="en-US" w:eastAsia="zh-CN"/>
        </w:rPr>
        <w:t>（</w:t>
      </w:r>
      <w:bookmarkStart w:id="20" w:name="OLE_LINK38"/>
      <w:r>
        <w:rPr>
          <w:rFonts w:hint="default" w:ascii="Times New Roman" w:hAnsi="Times New Roman" w:cs="Times New Roman"/>
          <w:color w:val="auto"/>
          <w:sz w:val="24"/>
          <w:szCs w:val="24"/>
          <w:lang w:val="en-US" w:eastAsia="zh-CN"/>
        </w:rPr>
        <w:t>Paul.M.Pedersen,2014)</w:t>
      </w:r>
      <w:bookmarkEnd w:id="19"/>
      <w:bookmarkEnd w:id="20"/>
      <w:r>
        <w:rPr>
          <w:rFonts w:hint="default" w:ascii="Times New Roman" w:hAnsi="Times New Roman" w:cs="Times New Roman"/>
          <w:color w:val="auto"/>
          <w:sz w:val="24"/>
          <w:szCs w:val="24"/>
          <w:lang w:val="en-US"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For the sponsorship of this project, the sponsor's brand can be well publicized(Stephen R. M,1999). Compared with the promotion of television, newspapers, the Internet and other media, the brand of the propaganda business in the school has a higher cost performance. The university campus not only has a good consumer market, but also establishes a good brand with a minimum of funds and in a short time Image.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p>
    <w:p>
      <w:pPr>
        <w:pStyle w:val="3"/>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21" w:name="_Toc6945"/>
      <w:r>
        <w:rPr>
          <w:rFonts w:hint="default" w:ascii="Times New Roman" w:hAnsi="Times New Roman" w:cs="Times New Roman"/>
          <w:color w:val="auto"/>
          <w:sz w:val="24"/>
          <w:szCs w:val="24"/>
          <w:lang w:val="en-US" w:eastAsia="zh-CN"/>
        </w:rPr>
        <w:t>4.2 Project Profit Planning</w:t>
      </w:r>
      <w:bookmarkEnd w:id="21"/>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① Tickets for on-site viewing are sold for 10 pounds per adult and 5 pounds per child.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② The products sponsored by the sponsors are sold at a price lower than 10% of the market price. The sales locations are on the campuses of the two universities and at the competition site.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③ During the game, the Internet celebrities will live broadcast the game on social media, and at the same time, they will play a "prize quiz" game with netizens. Netizens can guess which team will win this game. The participation fee is £ 1 and if you guess correctly you will receive a £ 10 bonus.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 funds obtained during the project will be used for the expenditure of this project. If there is a surplus, it will be deposited in the "UWTSD and Swansea University Inter-School Football League Fund" to be used to issue "sports scholarships" to students and the next Expenses of a football league.</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firstLine="420"/>
        <w:jc w:val="left"/>
        <w:textAlignment w:val="auto"/>
        <w:rPr>
          <w:rFonts w:hint="default" w:ascii="Times New Roman" w:hAnsi="Times New Roman" w:cs="Times New Roman"/>
          <w:color w:val="auto"/>
          <w:sz w:val="24"/>
          <w:szCs w:val="24"/>
          <w:lang w:val="en-US" w:eastAsia="zh-CN"/>
        </w:rPr>
      </w:pPr>
    </w:p>
    <w:p>
      <w:pPr>
        <w:pStyle w:val="2"/>
        <w:pageBreakBefore w:val="0"/>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22" w:name="_Toc8915"/>
      <w:r>
        <w:rPr>
          <w:rFonts w:hint="default" w:ascii="Times New Roman" w:hAnsi="Times New Roman" w:cs="Times New Roman"/>
          <w:color w:val="auto"/>
          <w:sz w:val="24"/>
          <w:szCs w:val="24"/>
          <w:lang w:val="en-US" w:eastAsia="zh-CN"/>
        </w:rPr>
        <w:t>Recommendation &amp; Findings</w:t>
      </w:r>
      <w:bookmarkEnd w:id="22"/>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UWTSD and Swansea University Inter-School Football League project is moving towards commercialization, and it will become a system and scale of commercial events, build football leagues into brand events. In the aspect of commercial operation, the NCAA in the United States is a very worthy example.The NCAA has a history of 114 years. On March 31, 1906, The National Collegiate Athletic Association (IAAUC) was formed. Four years later, it adopted its current name, The NCAA (The National Collegiate Athletic Association).The NCAA started out as an organization that discussed and made rules for rugby. The NCAA is the largest, most functional, most membership, and most representative non-profit intercollegiate sports management organization in the United States today. Its main purpose is to "promote the completion of advanced education for young adults with excellent performance through the development of intercollegiate sports competition".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 2007 NCAA financial report shows $621,791,807 in total revenue, including more than $500 million in television and marketing revenue, reflecting the NCAA's strong business capabilities.</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97"/>
        <w:gridCol w:w="3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2"/>
          </w:tcPr>
          <w:p>
            <w:pPr>
              <w:pageBreakBefore w:val="0"/>
              <w:numPr>
                <w:ilvl w:val="0"/>
                <w:numId w:val="0"/>
              </w:numPr>
              <w:kinsoku/>
              <w:wordWrap/>
              <w:overflowPunct/>
              <w:topLinePunct w:val="0"/>
              <w:autoSpaceDE/>
              <w:autoSpaceDN/>
              <w:bidi w:val="0"/>
              <w:adjustRightInd/>
              <w:snapToGrid/>
              <w:spacing w:line="480" w:lineRule="auto"/>
              <w:jc w:val="center"/>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2006- 2007 NCAA Income Report (usd)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7"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SOURCE</w:t>
            </w:r>
          </w:p>
        </w:tc>
        <w:tc>
          <w:tcPr>
            <w:tcW w:w="3125"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AMOUNT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7"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Television and marketing development revenue</w:t>
            </w:r>
          </w:p>
        </w:tc>
        <w:tc>
          <w:tcPr>
            <w:tcW w:w="3125"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509 376 034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7"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Tournament revenue</w:t>
            </w:r>
          </w:p>
        </w:tc>
        <w:tc>
          <w:tcPr>
            <w:tcW w:w="3125"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63 689 660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7"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Direct investment net income</w:t>
            </w:r>
          </w:p>
        </w:tc>
        <w:tc>
          <w:tcPr>
            <w:tcW w:w="3125"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32 821 756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7"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Revenue from sales and services</w:t>
            </w:r>
          </w:p>
        </w:tc>
        <w:tc>
          <w:tcPr>
            <w:tcW w:w="3125"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5 606 404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7"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Equipment donation income</w:t>
            </w:r>
          </w:p>
        </w:tc>
        <w:tc>
          <w:tcPr>
            <w:tcW w:w="3125"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2 654 775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7"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Other donated income</w:t>
            </w:r>
          </w:p>
        </w:tc>
        <w:tc>
          <w:tcPr>
            <w:tcW w:w="3125"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318 939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7"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National invitational tournament revenue</w:t>
            </w:r>
          </w:p>
        </w:tc>
        <w:tc>
          <w:tcPr>
            <w:tcW w:w="3125"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5 605 500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7"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Eligibility center income</w:t>
            </w:r>
          </w:p>
        </w:tc>
        <w:tc>
          <w:tcPr>
            <w:tcW w:w="3125"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1 718 739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7"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Total income</w:t>
            </w:r>
          </w:p>
        </w:tc>
        <w:tc>
          <w:tcPr>
            <w:tcW w:w="3125" w:type="dxa"/>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621 791 807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vertAlign w:val="baseline"/>
                <w:lang w:val="en-US" w:eastAsia="zh-CN"/>
              </w:rPr>
              <w:t>Excerpted from the NCAA official website 2007 financial report .</w:t>
            </w:r>
          </w:p>
        </w:tc>
      </w:tr>
    </w:tbl>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According to the 2007 NCAA financial report, it can be seen that NCAA's revenue mainly has the following aspects: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① Race broadcast income. It is worth mentioning that as early as the beginning of this century, the NCAA and CBS signed a $ 6 billion broadcast contract for 11 years, until 2014.</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②Corporate sponsorship income is also an important source of NCAA revenue(NCAA,2019). One of the main reasons for the success of intercollegiate sports events is the NCAA partnership with American elite companies。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③The sale of tickets and related products is the main content of NCAA income. NCAA has its own dedicated website and store that sells NCAA-related products, and is rich in content, covering 325 sports team-related products, from a total of more than 50,000 products from sports shirts to competition equipment, and has formed a good service concept and business system . This aspect of </w:t>
      </w:r>
      <w:bookmarkStart w:id="23" w:name="OLE_LINK8"/>
      <w:r>
        <w:rPr>
          <w:rFonts w:hint="default" w:ascii="Times New Roman" w:hAnsi="Times New Roman" w:cs="Times New Roman"/>
          <w:color w:val="auto"/>
          <w:sz w:val="24"/>
          <w:szCs w:val="24"/>
          <w:lang w:val="en-US" w:eastAsia="zh-CN"/>
        </w:rPr>
        <w:t>developing brand-related products is a very good profit point</w:t>
      </w:r>
      <w:bookmarkEnd w:id="23"/>
      <w:r>
        <w:rPr>
          <w:rFonts w:hint="default" w:ascii="Times New Roman" w:hAnsi="Times New Roman" w:cs="Times New Roman"/>
          <w:color w:val="auto"/>
          <w:sz w:val="24"/>
          <w:szCs w:val="24"/>
          <w:lang w:val="en-US" w:eastAsia="zh-CN"/>
        </w:rPr>
        <w:t>, which is worthy of reference for the project.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④ Establish a company. In the fall of 2005, the NCAA acquired the right of MIBA (Metropolitan Intercollegiate Basketball Association) to organize, promote and manage NIT (National Invitation Tournaments) preseason and playoffs, and established</w:t>
      </w:r>
      <w:bookmarkStart w:id="24" w:name="OLE_LINK15"/>
      <w:r>
        <w:rPr>
          <w:rFonts w:hint="default" w:ascii="Times New Roman" w:hAnsi="Times New Roman" w:cs="Times New Roman"/>
          <w:color w:val="auto"/>
          <w:sz w:val="24"/>
          <w:szCs w:val="24"/>
          <w:lang w:val="en-US" w:eastAsia="zh-CN"/>
        </w:rPr>
        <w:t xml:space="preserve"> NIT LLC</w:t>
      </w:r>
      <w:bookmarkEnd w:id="24"/>
      <w:r>
        <w:rPr>
          <w:rFonts w:hint="default" w:ascii="Times New Roman" w:hAnsi="Times New Roman" w:cs="Times New Roman"/>
          <w:color w:val="auto"/>
          <w:sz w:val="24"/>
          <w:szCs w:val="24"/>
          <w:lang w:val="en-US" w:eastAsia="zh-CN"/>
        </w:rPr>
        <w:t xml:space="preserve"> in September（Rosner, &amp; Shropshire,2011,p.531).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⑤ Direct investment income. From the 2006-2007 NCAA income report, we can see a net investment income of more than $ 30 million. Investment directions are: money market funds, domestic concentrated equity funds, international concentrated equity funds, domestic mutual funds, international mutual funds, US government securities, government enterprise fixed return funds, fixed income securities, etc., with a total investment income of $ 32,981,412.</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⑥ In addition, accepting social donations is also part of the NCAA income, and the number of donations of venues and equipment are the largest.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 successful case of the NCAA in the United States has shown us that the successful direction of the UWTSD and Swansea University Inter-School Football League Project is to move towards commercial operation. As NCAA Chairman Myles Brand said, business operations are not without their advantages, as long as we can ensure that the business activities of athletes and schools are consistent with the goals and values of higher education(</w:t>
      </w:r>
      <w:bookmarkStart w:id="25" w:name="OLE_LINK11"/>
      <w:r>
        <w:rPr>
          <w:rFonts w:hint="default" w:ascii="Times New Roman" w:hAnsi="Times New Roman" w:cs="Times New Roman"/>
          <w:color w:val="auto"/>
          <w:sz w:val="24"/>
          <w:szCs w:val="24"/>
          <w:lang w:val="en-US" w:eastAsia="zh-CN"/>
        </w:rPr>
        <w:t>NCAA, 2018</w:t>
      </w:r>
      <w:bookmarkEnd w:id="25"/>
      <w:r>
        <w:rPr>
          <w:rFonts w:hint="default" w:ascii="Times New Roman" w:hAnsi="Times New Roman" w:cs="Times New Roman"/>
          <w:color w:val="auto"/>
          <w:sz w:val="24"/>
          <w:szCs w:val="24"/>
          <w:lang w:val="en-US" w:eastAsia="zh-CN"/>
        </w:rPr>
        <w:t>). College sports events should not be borne by the education administrative department and schools, let alone by the participation fees of participants to maintain. The biggest advantage of college sports events is to have a large and dynamic consumer group(Rothwell,J.2015). This is a market that visionary major companies want to capture, but they have no way to start. And college sports events provide such a mutually beneficial and win-win platform. Through commercial operation to improve their profitability and get rid of the backward thinking paradigm as quickly as possible, college sports events can embark on a virtuous cycle of development.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p>
      <w:pPr>
        <w:pStyle w:val="2"/>
        <w:pageBreakBefore w:val="0"/>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bookmarkStart w:id="26" w:name="_Toc7313"/>
      <w:r>
        <w:rPr>
          <w:rFonts w:hint="default" w:ascii="Times New Roman" w:hAnsi="Times New Roman" w:cs="Times New Roman"/>
          <w:color w:val="auto"/>
          <w:sz w:val="24"/>
          <w:szCs w:val="24"/>
          <w:lang w:val="en-US" w:eastAsia="zh-CN"/>
        </w:rPr>
        <w:t>References</w:t>
      </w:r>
      <w:bookmarkEnd w:id="26"/>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BUCS，（2019）Get Active. Available at:https://www.bucs.org.uk/get-involved/get-active.html. (Accessed:9th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Bolotaeva, V., &amp; Cata, T. (2010). Marketing opportunities with social networks. Journal of Internet Social Networking and Virtual Communities, 2010, 1-8.Available at:http://citeseerx.ist.psu.edu/viewdoc/download?doi=10.1.1.473.2706&amp;rep=rep1&amp;type=pdf. (Accessed:9th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BUCS, (2019) Our history. Available at:https://www.bucs.org.uk/about/our-history.html. (Accessed:12th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Buraimo, B., Simmons, R., &amp; Szymanski, S. (2006). English football. Journal of sports economics,7(1),29-46.Available at:https: //journals.sagepub.com/doi/abs/10.1177/1527002505282911 (Accessed:15th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BUCS Sport Events,(2020)BUCS Cycling: 3-Up TTT Championships.Available at:https://www.bucs.org.uk/ (Accessed:15th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BUCS Sport Events,(2020)BUCS Trampoline &amp; DMT Championships.Available at:https://www.bucs.org.uk/ (Accessed:15th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Giddens, A. (2013). The third way: The renewal of social democracy. John Wiley &amp; Sons. Available at：https://books.google.co.uk/books?hl=zh-CN&amp;lr=&amp;id=MFbQFiEIntUC&amp;oi=fnd&amp;pg=PT5&amp;dq=Giddens,+A.+(2013).+The+third+way:+The+renewal+of+social+democracy.+John+Wiley+%26+Sons.&amp;ots=3t4We6eR40&amp;sig=ExL4jVy7FK0qxPIzdxF-YYVcjAM&amp;redir_esc=y#v=onepage&amp;q=Giddens%2C%20A.%20(2013).%20The%20third%20way%3A%20The%20renewal%20of%20social%20democracy.%20John%20Wiley%20%26%20Sons.&amp;f=false. (Accessed:11th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Gwinner, K. (1997). A model of image creation and image transfer in event sponsorship. International marketing review, 14(3), 145-158. Available at:https://www.emerald.com/insight/content/doi/10.1108/02651339710170221/full/html  (Accessed:11th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Harris, H. A. (1975). Sport in Britain: its origins and development. Available at:https://whel-primo.hosted.exlibrisgroup.com/primo-explore/fulldisplay?docid=44UWTSD_ALMA21172727600002421&amp;context=L&amp;vid=44WHELF_UWTSD_VU1&amp;lang=en_US&amp;search_scope=CSCOP_EVERYTHING&amp;adaptor=Local%20Search%20Engine&amp;tab=tab1&amp;query=any,contains,Sport%20in%20Britain:%20its%20origins%20and%20development&amp;offset=0. (Accessed:11th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Hodges, Lucy</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 xml:space="preserve"> (2009)</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 xml:space="preserve"> Is a merger the only way to save Lampeter?: Strapped for cash and the subject of a highly critical review, Lampeter is in crisis. Available at:https://www.independent.co.uk/news/education/higher/is-a-merger-the-only-way-to-save-lampeter-1625432.html (Accessed:9th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Korotina, A., &amp; Jargalsaikhan, T. (2016). Attitude towards Instagram micro-celebrities and their influence on consumers' purchasing decisions. Available at: http://www.diva-portal.org/smash/get/diva2:950526/FULLTEXT01.pdf. (Accessed:9th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Maylor, Harvey.(2010)</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Project Management. 4th ed. Harlow: Financial Times Prentice Hall, Available at: https://www-dawsonera-com.ezproxy.uwtsd.ac.uk/abstract/9780273743521.(Accessed: 11th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NCAA,(2019)NCAA Corporate Champions and Corporate Partners[ EB OL], Available at: https://www.ncaa.com/news/ncaa/article/2011-02-25/corporate-champions-and-partners. (Accessed:10th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NCAA, (2018) Office of the President. Available at:http://www.ncaa.org/about/who-we-are/office-president. (Accessed:10th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NCAA,(2007) 2007-2008Annual Report,Available at: https://www.ncaa.org/sites/default/files/Annual%20Report%202007-2008%20Final.pdf.  (Accessed:12th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Paul.M.Pedersen,(2014)A Commentary on Social Media Research From the Perspective of a Sport Communication Journal Editor. Available at:https://journals.sagepub.com/doi/abs/10.1177/2167479514527428. (Accessed:11th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Quincy, R., Lu, S., &amp; Huang, C. C. (2012). SWOT analysis: Raising capacity of your organization. Rutgers School of Social Work.</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 xml:space="preserve">Available at: </w:t>
      </w: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"https://web.archive.org/web/20160417010302/http:/socialwork.rutgers.edu/libraries/huamin/brochure_2.sflb." </w:instrText>
      </w:r>
      <w:r>
        <w:rPr>
          <w:rFonts w:hint="default" w:ascii="Times New Roman" w:hAnsi="Times New Roman" w:cs="Times New Roman"/>
          <w:color w:val="auto"/>
          <w:sz w:val="24"/>
          <w:szCs w:val="24"/>
          <w:lang w:val="en-US" w:eastAsia="zh-CN"/>
        </w:rPr>
        <w:fldChar w:fldCharType="separate"/>
      </w:r>
      <w:r>
        <w:rPr>
          <w:rStyle w:val="13"/>
          <w:rFonts w:hint="default" w:ascii="Times New Roman" w:hAnsi="Times New Roman" w:cs="Times New Roman"/>
          <w:color w:val="auto"/>
          <w:sz w:val="24"/>
          <w:szCs w:val="24"/>
          <w:lang w:val="en-US" w:eastAsia="zh-CN"/>
        </w:rPr>
        <w:t>https://web.archive.org/web/20160417010302/http://socialwork.rutgers.edu/libraries/huamin/brochure_2.sflb</w:t>
      </w:r>
      <w:r>
        <w:rPr>
          <w:rStyle w:val="13"/>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fldChar w:fldCharType="end"/>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(Accessed:1</w:t>
      </w:r>
      <w:r>
        <w:rPr>
          <w:rFonts w:hint="eastAsia" w:ascii="Times New Roman" w:hAnsi="Times New Roman" w:cs="Times New Roman"/>
          <w:color w:val="auto"/>
          <w:sz w:val="24"/>
          <w:szCs w:val="24"/>
          <w:lang w:val="en-US" w:eastAsia="zh-CN"/>
        </w:rPr>
        <w:t>5</w:t>
      </w:r>
      <w:r>
        <w:rPr>
          <w:rFonts w:hint="default" w:ascii="Times New Roman" w:hAnsi="Times New Roman" w:cs="Times New Roman"/>
          <w:color w:val="auto"/>
          <w:sz w:val="24"/>
          <w:szCs w:val="24"/>
          <w:lang w:val="en-US" w:eastAsia="zh-CN"/>
        </w:rPr>
        <w:t>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Rookwood, J., &amp; Chan, N. (2011). The 39th game: fan responses to the Premier League’s proposal to globalize the English game. Soccer &amp; Society, 12(6), 897-913.(Accessed:9th January 2020) Available at: https://www.tandfonline.com/doi/abs/10.1080/14660970.2011.609688. (Accessed:9th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Rothwell,J. (2015).What colleges do for local economies: A direct measure based on consumption. Available at:https://www.brookings.edu/research/what-colleges-do-for-local-economies-a-direct-measure-based-on-consumption/. (Accessed: 13th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Rosner, S., &amp; Shropshire, K. (Eds.). (2011). The business of sports. Jones &amp; Bartlett Publishers. Available at:https://books.google.co.uk/books?hl=zh-CN&amp;lr=&amp;id=-owSi55tLZAC&amp;oi=fnd&amp;pg=PR1&amp;dq=The+Business+of+Sports++Scott+Rosner%EF%BC%8C+Kenneth+Shropshire&amp;ots=4DIHT6QPGB&amp;sig=y8UHcG8DeAlKjmArXWCu2ICAo3g&amp;redir_esc=y#v=onepage&amp;q=The%20Business%20of%20Sports%20%20Scott%20Rosner%EF%BC%8C%20Kenneth%20Shropshire&amp;f=false. (Accessed:13th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Szymanski, S. (2006). 49 Football in England. Handbook on the Economics of Sport, 459. Available at:https://books.google.co.uk/books?hl=zh-CN&amp;lr=&amp;id=PGRkblShhU8C&amp;oi=fnd&amp;pg=PA459&amp;dq=England+Football+Association,+FA&amp;ots=EDdJxgtd1N&amp;sig=SOre6DwlN5SEoRRjIc23qNzfLes&amp;redir_esc=y#v=onepage&amp;q=England%20Football%20Association%2C%20FA&amp;f=false. (Accessed:12th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Stephen R. McDaniel, (1999) An investigation of match‐up effects in sport sponsorship advertising: The implications of consumer advertising schemas. Available at:https://onlinelibrary.wiley.com/doi/abs/10.1002/%28SICI%291520-6793%28199903%2916%3A2%3C163%3A%3AAID-MAR6%3E3.0.CO%3B2-Y (Accessed:11th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Total Sport Approach,(2018).The Londen Sport Method &amp; Fast Sport Fusion.Available at:http://totalsportapproach.eu/news/ (Accessed:9th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Time and Date,(2015)Climate &amp; Weather Averages in Swansea, Wales, United Kingdom. Available at:https://www.timeanddate.com/weather/uk/swansea/climate.(Accessed:9th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Walsh online(2015)Welsh Varsity 2015: Bigger than all but one Welsh regional crowd this season... more than 15,000 expected for University challenge. Available at:https://www.walesonline.co.uk/sport/rugby/rugby-news/welsh-varsity-2015-bigger-one-9090422. (Accessed:8th January 2020)</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Welsh Varsity(2019)THE RUGBY.Available at:https://welshvarsity.com/rugby (Accessed:8th January 2020)</w:t>
      </w:r>
    </w:p>
    <w:p>
      <w:pPr>
        <w:rPr>
          <w:rFonts w:hint="default" w:ascii="Times New Roman" w:hAnsi="Times New Roman" w:cs="Times New Roman"/>
          <w:color w:val="auto"/>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Chars="0"/>
        <w:jc w:val="left"/>
        <w:textAlignment w:val="auto"/>
        <w:rPr>
          <w:rFonts w:hint="default" w:ascii="Times New Roman" w:hAnsi="Times New Roman" w:cs="Times New Roman"/>
          <w:color w:val="auto"/>
          <w:sz w:val="24"/>
          <w:szCs w:val="24"/>
          <w:lang w:val="en-US" w:eastAsia="zh-CN"/>
        </w:rPr>
      </w:pPr>
    </w:p>
    <w:sectPr>
      <w:footerReference r:id="rId4" w:type="default"/>
      <w:pgSz w:w="11906" w:h="16838"/>
      <w:pgMar w:top="1417" w:right="1417" w:bottom="1417" w:left="141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bidi w:val="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50A90F"/>
    <w:multiLevelType w:val="multilevel"/>
    <w:tmpl w:val="4350A90F"/>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DB2895"/>
    <w:rsid w:val="04CA0054"/>
    <w:rsid w:val="07C53B5E"/>
    <w:rsid w:val="0B8905C3"/>
    <w:rsid w:val="155156F0"/>
    <w:rsid w:val="1C722DD3"/>
    <w:rsid w:val="1D6C5FC7"/>
    <w:rsid w:val="24DF7956"/>
    <w:rsid w:val="34607122"/>
    <w:rsid w:val="3CDB2895"/>
    <w:rsid w:val="419B4D54"/>
    <w:rsid w:val="445E6696"/>
    <w:rsid w:val="4D4161EB"/>
    <w:rsid w:val="510659E0"/>
    <w:rsid w:val="567029F8"/>
    <w:rsid w:val="57901B19"/>
    <w:rsid w:val="599B1D17"/>
    <w:rsid w:val="615D649E"/>
    <w:rsid w:val="6683133D"/>
    <w:rsid w:val="739A7ED7"/>
    <w:rsid w:val="7D806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heme="minorAscii" w:hAnsiTheme="minorAscii"/>
      <w:b/>
      <w:kern w:val="44"/>
      <w:sz w:val="2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21"/>
    </w:rPr>
  </w:style>
  <w:style w:type="paragraph" w:styleId="4">
    <w:name w:val="heading 3"/>
    <w:basedOn w:val="1"/>
    <w:next w:val="1"/>
    <w:link w:val="14"/>
    <w:unhideWhenUsed/>
    <w:qFormat/>
    <w:uiPriority w:val="0"/>
    <w:pPr>
      <w:keepNext/>
      <w:keepLines/>
      <w:spacing w:before="260" w:beforeLines="0" w:beforeAutospacing="0" w:after="260" w:afterLines="0" w:afterAutospacing="0" w:line="413" w:lineRule="auto"/>
      <w:outlineLvl w:val="2"/>
    </w:pPr>
    <w:rPr>
      <w:rFonts w:asciiTheme="minorAscii" w:hAnsiTheme="minorAscii"/>
      <w:b/>
      <w:sz w:val="1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table" w:styleId="11">
    <w:name w:val="Table Grid"/>
    <w:basedOn w:val="1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qFormat/>
    <w:uiPriority w:val="0"/>
    <w:rPr>
      <w:color w:val="0000FF"/>
      <w:u w:val="single"/>
    </w:rPr>
  </w:style>
  <w:style w:type="character" w:customStyle="1" w:styleId="14">
    <w:name w:val="标题 3 Char"/>
    <w:link w:val="4"/>
    <w:qFormat/>
    <w:uiPriority w:val="0"/>
    <w:rPr>
      <w:rFonts w:asciiTheme="minorAscii" w:hAnsiTheme="minorAscii"/>
      <w:b/>
      <w:sz w:val="18"/>
    </w:rPr>
  </w:style>
  <w:style w:type="paragraph" w:customStyle="1" w:styleId="15">
    <w:name w:val="WPSOffice手动目录 1"/>
    <w:qFormat/>
    <w:uiPriority w:val="0"/>
    <w:pPr>
      <w:ind w:leftChars="0"/>
    </w:pPr>
    <w:rPr>
      <w:rFonts w:ascii="Times New Roman" w:hAnsi="Times New Roman" w:eastAsia="宋体" w:cs="Times New Roman"/>
      <w:sz w:val="20"/>
      <w:szCs w:val="20"/>
    </w:rPr>
  </w:style>
  <w:style w:type="paragraph" w:customStyle="1" w:styleId="16">
    <w:name w:val="WPSOffice手动目录 2"/>
    <w:qFormat/>
    <w:uiPriority w:val="0"/>
    <w:pPr>
      <w:ind w:leftChars="200"/>
    </w:pPr>
    <w:rPr>
      <w:rFonts w:ascii="Times New Roman" w:hAnsi="Times New Roman" w:eastAsia="宋体" w:cs="Times New Roman"/>
      <w:sz w:val="20"/>
      <w:szCs w:val="20"/>
    </w:rPr>
  </w:style>
  <w:style w:type="paragraph" w:customStyle="1" w:styleId="17">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emf"/><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2020-01-07T21:11:00Z</dcterms:created>
  <dc:creator>张岳岳岳岳岳岳岳</dc:creator>
  <cp:lastModifiedBy>张岳岳岳岳岳岳岳</cp:lastModifiedBy>
  <dcterms:modified xsi:type="dcterms:W3CDTF">2020-01-15T16:35:09Z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