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BE842" w14:textId="3121DEF6" w:rsidR="00856EC0" w:rsidRPr="005917DC" w:rsidRDefault="00856EC0" w:rsidP="00856EC0">
      <w:pPr>
        <w:rPr>
          <w:b/>
          <w:bCs/>
          <w:color w:val="3A3A3A"/>
          <w:u w:val="single"/>
          <w:shd w:val="clear" w:color="auto" w:fill="FFFFFF"/>
        </w:rPr>
      </w:pPr>
      <w:r w:rsidRPr="005917DC">
        <w:rPr>
          <w:b/>
          <w:bCs/>
          <w:color w:val="3A3A3A"/>
          <w:u w:val="single"/>
          <w:shd w:val="clear" w:color="auto" w:fill="FFFFFF"/>
        </w:rPr>
        <w:t>Simmonds, Alan G. V., </w:t>
      </w:r>
      <w:r w:rsidRPr="005917DC">
        <w:rPr>
          <w:b/>
          <w:bCs/>
          <w:i/>
          <w:iCs/>
          <w:color w:val="3A3A3A"/>
          <w:u w:val="single"/>
          <w:shd w:val="clear" w:color="auto" w:fill="FFFFFF"/>
        </w:rPr>
        <w:t>Britain and World War One</w:t>
      </w:r>
      <w:r w:rsidRPr="005917DC">
        <w:rPr>
          <w:b/>
          <w:bCs/>
          <w:color w:val="3A3A3A"/>
          <w:u w:val="single"/>
          <w:shd w:val="clear" w:color="auto" w:fill="FFFFFF"/>
        </w:rPr>
        <w:t xml:space="preserve"> (Abingdon, </w:t>
      </w:r>
      <w:proofErr w:type="gramStart"/>
      <w:r w:rsidRPr="005917DC">
        <w:rPr>
          <w:b/>
          <w:bCs/>
          <w:color w:val="3A3A3A"/>
          <w:u w:val="single"/>
          <w:shd w:val="clear" w:color="auto" w:fill="FFFFFF"/>
        </w:rPr>
        <w:t>Oxon ;</w:t>
      </w:r>
      <w:proofErr w:type="gramEnd"/>
      <w:r w:rsidRPr="005917DC">
        <w:rPr>
          <w:b/>
          <w:bCs/>
          <w:color w:val="3A3A3A"/>
          <w:u w:val="single"/>
          <w:shd w:val="clear" w:color="auto" w:fill="FFFFFF"/>
        </w:rPr>
        <w:t>: Routledge, 2012)</w:t>
      </w:r>
    </w:p>
    <w:p w14:paraId="7B73485F" w14:textId="10AC6FE2" w:rsidR="00856EC0" w:rsidRPr="005917DC" w:rsidRDefault="00856EC0" w:rsidP="00856EC0">
      <w:pPr>
        <w:rPr>
          <w:b/>
          <w:bCs/>
          <w:color w:val="3A3A3A"/>
          <w:u w:val="single"/>
          <w:shd w:val="clear" w:color="auto" w:fill="FFFFFF"/>
        </w:rPr>
      </w:pPr>
    </w:p>
    <w:p w14:paraId="42A41BEA" w14:textId="6E4AFB31" w:rsidR="00856EC0" w:rsidRPr="005917DC" w:rsidRDefault="00856EC0">
      <w:r w:rsidRPr="005917DC">
        <w:t xml:space="preserve">Alan Simmonds revealing chapter on Britain and the First World War explores the supposed </w:t>
      </w:r>
      <w:r w:rsidR="009257CF" w:rsidRPr="005917DC">
        <w:t>increase in Pro War feelings amongst Britons and how these feelings were greatly exaggerated the media and politicians, for instance David Lloyd George writing in 1938 on the warlike crowds in Downing Street and the young people demonstrating for war against Germany</w:t>
      </w:r>
      <w:r w:rsidR="00DF21B9" w:rsidRPr="005917DC">
        <w:t>. Simmonds argues that studies have undermined the conception of pro war feelings in Britain. Simmonds refers to evidence from outside of London itself on the generally accepted view on war, using Littlehampton in Sussex as an example as it was noted that the outbreak of war quelled the bank holiday spirit to an ‘underlying suspense and subdued enjoyment.</w:t>
      </w:r>
      <w:r w:rsidR="00EB0E40" w:rsidRPr="005917DC">
        <w:t xml:space="preserve"> Simmonds also </w:t>
      </w:r>
      <w:r w:rsidR="00024454" w:rsidRPr="005917DC">
        <w:t>referred</w:t>
      </w:r>
      <w:r w:rsidR="00EB0E40" w:rsidRPr="005917DC">
        <w:t xml:space="preserve"> to a Methodist minister, Reverend James Mackay, in Newcastle writing on the 5</w:t>
      </w:r>
      <w:r w:rsidR="00EB0E40" w:rsidRPr="005917DC">
        <w:rPr>
          <w:vertAlign w:val="superscript"/>
        </w:rPr>
        <w:t>th of</w:t>
      </w:r>
      <w:r w:rsidR="00EB0E40" w:rsidRPr="005917DC">
        <w:t xml:space="preserve"> August 1914 describing a scene of weeping women, and no great demonstration of war enthusiasm. This chapter entitled ‘For King and Country’ attempts to </w:t>
      </w:r>
      <w:r w:rsidR="00024454" w:rsidRPr="005917DC">
        <w:t>reveal the quelled and more complex nature of war enthusiasm in Britain by exploring the different effects of war ranging from Lord Kitchener call for recruitment and the breakdown of the foreign exchange markets in the economy</w:t>
      </w:r>
      <w:r w:rsidR="00AA5DBB" w:rsidRPr="005917DC">
        <w:t xml:space="preserve"> whilst also acknowledging the muted feelings of pacificism in the media and other primary historical documents</w:t>
      </w:r>
      <w:r w:rsidR="00024454" w:rsidRPr="005917DC">
        <w:t>. This chapter of the book allows us to review Britain and the First World War from a revisionist standpoint historically and better understand the true enthusiasm for war against Germany.</w:t>
      </w:r>
      <w:r w:rsidR="00B618C0" w:rsidRPr="005917DC">
        <w:t xml:space="preserve"> Simmonds reliability as a secondary source is an important factor in understanding any bias in his work. Simmonds is a lecturer of Modern History at Hull University, specializing in British society in the First World War. It is because of his speciality that we can safely assume his research on ‘Britain and World War One’ is factually correct and accurate. </w:t>
      </w:r>
    </w:p>
    <w:p w14:paraId="42146287" w14:textId="48384B06" w:rsidR="00833179" w:rsidRPr="005917DC" w:rsidRDefault="00833179"/>
    <w:p w14:paraId="32A31007" w14:textId="21FFBC37" w:rsidR="00833179" w:rsidRPr="005917DC" w:rsidRDefault="00833179">
      <w:pPr>
        <w:rPr>
          <w:b/>
          <w:bCs/>
          <w:u w:val="single"/>
        </w:rPr>
      </w:pPr>
      <w:r w:rsidRPr="005917DC">
        <w:rPr>
          <w:b/>
          <w:bCs/>
          <w:u w:val="single"/>
        </w:rPr>
        <w:t xml:space="preserve">Louis Bibbings, ‘Images of Manliness: The Portrayal of Soldiers and Conscientious Objectors in the Great War’, </w:t>
      </w:r>
      <w:r w:rsidRPr="005917DC">
        <w:rPr>
          <w:b/>
          <w:bCs/>
          <w:i/>
          <w:iCs/>
          <w:u w:val="single"/>
        </w:rPr>
        <w:t>Sage &amp; Legal Studies, Issue 3, Volume 12, (2003)</w:t>
      </w:r>
    </w:p>
    <w:p w14:paraId="19A41EA4" w14:textId="6AE45475" w:rsidR="00833179" w:rsidRPr="005917DC" w:rsidRDefault="00833179"/>
    <w:p w14:paraId="67616AC8" w14:textId="1B7B5F5E" w:rsidR="004E26B8" w:rsidRPr="005917DC" w:rsidRDefault="002F02F1" w:rsidP="004E26B8">
      <w:r w:rsidRPr="005917DC">
        <w:t xml:space="preserve">Bibbings </w:t>
      </w:r>
      <w:r w:rsidR="008B4B1E" w:rsidRPr="005917DC">
        <w:t xml:space="preserve">journal article on the portrayal of </w:t>
      </w:r>
      <w:r w:rsidR="00E65F1E" w:rsidRPr="005917DC">
        <w:t xml:space="preserve">soldiers and </w:t>
      </w:r>
      <w:r w:rsidR="008B4B1E" w:rsidRPr="005917DC">
        <w:t xml:space="preserve">Conscientious Objectors </w:t>
      </w:r>
      <w:r w:rsidR="002C54F3" w:rsidRPr="005917DC">
        <w:t xml:space="preserve">does a great job at describing the supposed war enthusiasm </w:t>
      </w:r>
      <w:r w:rsidR="00ED31ED" w:rsidRPr="005917DC">
        <w:t>within Britain whilst also presenting an image of wartime Britain in our minds from the public opinion and media background.</w:t>
      </w:r>
      <w:r w:rsidR="00E65F1E" w:rsidRPr="005917DC">
        <w:t xml:space="preserve"> </w:t>
      </w:r>
      <w:r w:rsidR="000B3B70" w:rsidRPr="005917DC">
        <w:t xml:space="preserve">This journal article is based on social and legal studies examining the treatment of Conscientious Objectors and how they were portrayed during the war alongside the </w:t>
      </w:r>
      <w:r w:rsidR="004E26B8" w:rsidRPr="005917DC">
        <w:t>soldier’s</w:t>
      </w:r>
      <w:r w:rsidR="000B3B70" w:rsidRPr="005917DC">
        <w:t xml:space="preserve"> portrayal. </w:t>
      </w:r>
      <w:r w:rsidR="004E26B8" w:rsidRPr="005917DC">
        <w:t>Bibbings explains how the perception of Conscientious Objectors compared to soldiers of the war was that they were “widely considered to be a deviant group who represented an aberrant form of manhood”</w:t>
      </w:r>
      <w:r w:rsidR="004E26B8" w:rsidRPr="005917DC">
        <w:rPr>
          <w:rStyle w:val="FootnoteReference"/>
        </w:rPr>
        <w:footnoteReference w:id="1"/>
      </w:r>
      <w:r w:rsidR="004E26B8" w:rsidRPr="005917DC">
        <w:t xml:space="preserve"> and rejected his status as an Englishman in society. </w:t>
      </w:r>
      <w:r w:rsidR="001C4859" w:rsidRPr="005917DC">
        <w:t xml:space="preserve">One source used by Bibbings is </w:t>
      </w:r>
      <w:r w:rsidR="00A96F89" w:rsidRPr="005917DC">
        <w:t xml:space="preserve">Literary Critic </w:t>
      </w:r>
      <w:r w:rsidR="001C4859" w:rsidRPr="005917DC">
        <w:t>Sandra M. Gilbert</w:t>
      </w:r>
      <w:r w:rsidR="00A96F89" w:rsidRPr="005917DC">
        <w:t xml:space="preserve"> who </w:t>
      </w:r>
      <w:r w:rsidR="001C4859" w:rsidRPr="005917DC">
        <w:t xml:space="preserve">explores how even soldiers were not immune to the </w:t>
      </w:r>
      <w:r w:rsidR="00A96F89" w:rsidRPr="005917DC">
        <w:t>term</w:t>
      </w:r>
      <w:r w:rsidR="001C4859" w:rsidRPr="005917DC">
        <w:t xml:space="preserve"> ‘unmen’, as </w:t>
      </w:r>
      <w:r w:rsidR="00A96F89" w:rsidRPr="005917DC">
        <w:t>Gilbert</w:t>
      </w:r>
      <w:r w:rsidR="001C4859" w:rsidRPr="005917DC">
        <w:t xml:space="preserve"> suggests that the fit and healthy </w:t>
      </w:r>
      <w:r w:rsidR="00A96F89" w:rsidRPr="005917DC">
        <w:t xml:space="preserve">who </w:t>
      </w:r>
      <w:r w:rsidR="001C4859" w:rsidRPr="005917DC">
        <w:t>served in the war but were often returned either dead or injured permanently and therefore had lost their manliness also</w:t>
      </w:r>
      <w:r w:rsidR="00A96F89" w:rsidRPr="005917DC">
        <w:t>,</w:t>
      </w:r>
      <w:r w:rsidR="001C4859" w:rsidRPr="005917DC">
        <w:t xml:space="preserve"> along with Conscientious Objectors. </w:t>
      </w:r>
      <w:r w:rsidR="00E65F1E" w:rsidRPr="005917DC">
        <w:t xml:space="preserve">Bibbings is a Professor of Law, Gender and History at the University of Bristol, which when applying those skills to the attitudes of the Great War in Britain allows us to look from different viewpoints, for example, women during the war, the fairness of Tribunals for Conscientious Objectors lawfully and the historiography of the war. </w:t>
      </w:r>
      <w:r w:rsidR="003B2236" w:rsidRPr="005917DC">
        <w:t>Overall,</w:t>
      </w:r>
      <w:r w:rsidR="00E65F1E" w:rsidRPr="005917DC">
        <w:t xml:space="preserve"> this secondary source </w:t>
      </w:r>
      <w:r w:rsidR="003B2236" w:rsidRPr="005917DC">
        <w:t xml:space="preserve">does well to provide an accurately detailed historiography of the public portrayal of soldiers and Objectors of The Great War whilst also exploring the alternative possibilities of portrayal from soldiers injured during service and the feminization of Conscientious Objectors, with a lack of manhood within them </w:t>
      </w:r>
      <w:r w:rsidR="003B2236" w:rsidRPr="005917DC">
        <w:lastRenderedPageBreak/>
        <w:t>from a public perspective.</w:t>
      </w:r>
      <w:r w:rsidR="00DF1B6C" w:rsidRPr="005917DC">
        <w:t xml:space="preserve"> This secondary source therefore will be useful for the topic of Britain and The Great War when we look to understand the public reaction to not only Conscientious Objectors but also the perception of manliness during wartime.</w:t>
      </w:r>
    </w:p>
    <w:p w14:paraId="5488FB79" w14:textId="1F4A6249" w:rsidR="00833179" w:rsidRPr="005917DC" w:rsidRDefault="00833179"/>
    <w:p w14:paraId="78F6079B" w14:textId="7523F217" w:rsidR="005917DC" w:rsidRPr="005917DC" w:rsidRDefault="005917DC" w:rsidP="005917DC">
      <w:pPr>
        <w:rPr>
          <w:b/>
          <w:bCs/>
          <w:u w:val="single"/>
        </w:rPr>
      </w:pPr>
      <w:r w:rsidRPr="005917DC">
        <w:rPr>
          <w:b/>
          <w:bCs/>
          <w:u w:val="single"/>
        </w:rPr>
        <w:t>Zara Steiner, ‘Views of War: Britain Before the ‘Great War’</w:t>
      </w:r>
      <w:r>
        <w:rPr>
          <w:b/>
          <w:bCs/>
          <w:u w:val="single"/>
        </w:rPr>
        <w:t xml:space="preserve"> – and after</w:t>
      </w:r>
      <w:r w:rsidRPr="005917DC">
        <w:rPr>
          <w:b/>
          <w:bCs/>
          <w:u w:val="single"/>
        </w:rPr>
        <w:t xml:space="preserve">, </w:t>
      </w:r>
      <w:r>
        <w:rPr>
          <w:b/>
          <w:bCs/>
          <w:i/>
          <w:iCs/>
          <w:u w:val="single"/>
        </w:rPr>
        <w:t>International Relations</w:t>
      </w:r>
      <w:r w:rsidRPr="005917DC">
        <w:rPr>
          <w:b/>
          <w:bCs/>
          <w:i/>
          <w:iCs/>
          <w:u w:val="single"/>
        </w:rPr>
        <w:t xml:space="preserve">, Issue </w:t>
      </w:r>
      <w:r>
        <w:rPr>
          <w:b/>
          <w:bCs/>
          <w:i/>
          <w:iCs/>
          <w:u w:val="single"/>
        </w:rPr>
        <w:t>1</w:t>
      </w:r>
      <w:r w:rsidRPr="005917DC">
        <w:rPr>
          <w:b/>
          <w:bCs/>
          <w:i/>
          <w:iCs/>
          <w:u w:val="single"/>
        </w:rPr>
        <w:t>, Volume 1</w:t>
      </w:r>
      <w:r>
        <w:rPr>
          <w:b/>
          <w:bCs/>
          <w:i/>
          <w:iCs/>
          <w:u w:val="single"/>
        </w:rPr>
        <w:t>7</w:t>
      </w:r>
      <w:r w:rsidRPr="005917DC">
        <w:rPr>
          <w:b/>
          <w:bCs/>
          <w:i/>
          <w:iCs/>
          <w:u w:val="single"/>
        </w:rPr>
        <w:t>, (2003)</w:t>
      </w:r>
    </w:p>
    <w:p w14:paraId="0E31F39F" w14:textId="5EEC82F8" w:rsidR="00B618C0" w:rsidRPr="005917DC" w:rsidRDefault="00B618C0">
      <w:pPr>
        <w:rPr>
          <w:b/>
          <w:bCs/>
          <w:u w:val="single"/>
        </w:rPr>
      </w:pPr>
    </w:p>
    <w:p w14:paraId="3951564B" w14:textId="7A07EE33" w:rsidR="007A3D1A" w:rsidRDefault="00DE0CD2" w:rsidP="007A3D1A">
      <w:pPr>
        <w:rPr>
          <w:rFonts w:ascii="Arial" w:hAnsi="Arial" w:cs="Arial"/>
          <w:color w:val="202122"/>
          <w:sz w:val="21"/>
          <w:szCs w:val="21"/>
          <w:shd w:val="clear" w:color="auto" w:fill="FFFFFF"/>
        </w:rPr>
      </w:pPr>
      <w:r w:rsidRPr="005917DC">
        <w:t xml:space="preserve">Zara Steiner’s Journal Article ‘Views of War: Britain Before the ‘Great War’ – and After’ explores and discusses the attitudes towards war in Britain both during the pre-war period of the First World War and the subsequent post-war period leading towards 1939 and the beginning of the Second World War. Steiner argues that the eventual peace among nations managed to also highlight the significant losses of life on the Western Front therefore shifting the supposed pro-war sentiment after the First World War </w:t>
      </w:r>
      <w:r w:rsidR="00C81FCF" w:rsidRPr="005917DC">
        <w:t>towards a more anti-war approach when heading towards the Nazi Germany period and 1939. Steiner would also then argue that the idea of appeasement towards Hitler during the Nazi regime was not only supported by the Conservative government at the time but also had the backing of the public who did not want another war because of the experiences they suffered through 1914 to 1918 which in turn altered their feelings on war and empire</w:t>
      </w:r>
      <w:r w:rsidR="0015579A" w:rsidRPr="005917DC">
        <w:t xml:space="preserve">. According to Steiner the mood would only change due to the events that preceded war with Germany, Kristallnacht being a key event that shifted attitudes. </w:t>
      </w:r>
      <w:r w:rsidR="006E60CD">
        <w:t xml:space="preserve">Overall Steiner aims to show how the Great war left its mark on society in Britain and Europe as a whole when approaching war with the Nazi regime. </w:t>
      </w:r>
      <w:r w:rsidR="00CC6109">
        <w:t xml:space="preserve">Zara Steiner was born in New York 1928; </w:t>
      </w:r>
      <w:r w:rsidR="00BE4DEA">
        <w:t>therefore,</w:t>
      </w:r>
      <w:r w:rsidR="00CC6109">
        <w:t xml:space="preserve"> she would have lived through the great depression </w:t>
      </w:r>
      <w:r w:rsidR="00ED67FB">
        <w:t>and</w:t>
      </w:r>
      <w:r w:rsidR="00CC6109">
        <w:t xml:space="preserve"> the Second World War making some of her works a primary source by her personal experience. </w:t>
      </w:r>
      <w:r w:rsidR="00D45F7F">
        <w:t xml:space="preserve">Steiner was </w:t>
      </w:r>
      <w:r w:rsidR="007A3D1A">
        <w:t>a</w:t>
      </w:r>
      <w:r w:rsidR="00D45F7F">
        <w:t xml:space="preserve"> British-American Historian who gained a bachelors and master’s degree in history at Oxford university in 1950 and 1954. She also held a </w:t>
      </w:r>
      <w:r w:rsidR="007A3D1A">
        <w:t>Doctorate of History</w:t>
      </w:r>
      <w:r w:rsidR="00D45F7F">
        <w:t xml:space="preserve"> from Harvard in 1957 proving that Steiner has the ability to effectively explain to us the history in which she is </w:t>
      </w:r>
      <w:r w:rsidR="007A3D1A">
        <w:t>referring to. This is further proven when understanding that one of her specifications in history is the history of 20</w:t>
      </w:r>
      <w:r w:rsidR="007A3D1A" w:rsidRPr="007A3D1A">
        <w:rPr>
          <w:vertAlign w:val="superscript"/>
        </w:rPr>
        <w:t>th</w:t>
      </w:r>
      <w:r w:rsidR="007A3D1A">
        <w:t xml:space="preserve"> century Europe. Fellow historian Richard Evans described her as</w:t>
      </w:r>
      <w:r w:rsidR="007A3D1A">
        <w:rPr>
          <w:rFonts w:ascii="Arial" w:hAnsi="Arial" w:cs="Arial"/>
          <w:color w:val="202122"/>
          <w:sz w:val="21"/>
          <w:szCs w:val="21"/>
          <w:shd w:val="clear" w:color="auto" w:fill="FFFFFF"/>
        </w:rPr>
        <w:t xml:space="preserve"> “the "standard works" on international diplomacy between both world wars.”</w:t>
      </w:r>
      <w:r w:rsidR="007A3D1A">
        <w:rPr>
          <w:rStyle w:val="FootnoteReference"/>
          <w:rFonts w:ascii="Arial" w:hAnsi="Arial" w:cs="Arial"/>
          <w:color w:val="202122"/>
          <w:sz w:val="21"/>
          <w:szCs w:val="21"/>
          <w:shd w:val="clear" w:color="auto" w:fill="FFFFFF"/>
        </w:rPr>
        <w:footnoteReference w:id="2"/>
      </w:r>
      <w:r w:rsidR="00ED67FB">
        <w:rPr>
          <w:rFonts w:ascii="Arial" w:hAnsi="Arial" w:cs="Arial"/>
          <w:color w:val="202122"/>
          <w:sz w:val="21"/>
          <w:szCs w:val="21"/>
          <w:shd w:val="clear" w:color="auto" w:fill="FFFFFF"/>
        </w:rPr>
        <w:t xml:space="preserve"> It’s clear that Steiner is a respected individual within the historian community for her research in the international </w:t>
      </w:r>
      <w:r w:rsidR="00DF14B7">
        <w:rPr>
          <w:rFonts w:ascii="Arial" w:hAnsi="Arial" w:cs="Arial"/>
          <w:color w:val="202122"/>
          <w:sz w:val="21"/>
          <w:szCs w:val="21"/>
          <w:shd w:val="clear" w:color="auto" w:fill="FFFFFF"/>
        </w:rPr>
        <w:t>relations between countries.</w:t>
      </w:r>
    </w:p>
    <w:p w14:paraId="1D4A1B68" w14:textId="3751AB14" w:rsidR="00DF14B7" w:rsidRDefault="00DF14B7" w:rsidP="007A3D1A">
      <w:pPr>
        <w:rPr>
          <w:rFonts w:ascii="Arial" w:hAnsi="Arial" w:cs="Arial"/>
          <w:color w:val="202122"/>
          <w:sz w:val="21"/>
          <w:szCs w:val="21"/>
          <w:shd w:val="clear" w:color="auto" w:fill="FFFFFF"/>
        </w:rPr>
      </w:pPr>
    </w:p>
    <w:p w14:paraId="12844D7C" w14:textId="64A52E29" w:rsidR="00DF14B7" w:rsidRPr="00DF14B7" w:rsidRDefault="00445B5B" w:rsidP="00DF14B7">
      <w:pPr>
        <w:rPr>
          <w:rFonts w:asciiTheme="minorHAnsi" w:hAnsiTheme="minorHAnsi" w:cstheme="minorHAnsi"/>
          <w:b/>
          <w:bCs/>
          <w:u w:val="single"/>
        </w:rPr>
      </w:pPr>
      <w:r>
        <w:rPr>
          <w:rFonts w:asciiTheme="minorHAnsi" w:hAnsiTheme="minorHAnsi" w:cstheme="minorHAnsi"/>
          <w:b/>
          <w:bCs/>
          <w:color w:val="000000"/>
          <w:spacing w:val="-5"/>
          <w:u w:val="single"/>
          <w:shd w:val="clear" w:color="auto" w:fill="FFFFFF"/>
        </w:rPr>
        <w:t xml:space="preserve">Susan </w:t>
      </w:r>
      <w:proofErr w:type="spellStart"/>
      <w:r w:rsidR="00DF14B7" w:rsidRPr="00DF14B7">
        <w:rPr>
          <w:rFonts w:asciiTheme="minorHAnsi" w:hAnsiTheme="minorHAnsi" w:cstheme="minorHAnsi"/>
          <w:b/>
          <w:bCs/>
          <w:color w:val="000000"/>
          <w:spacing w:val="-5"/>
          <w:u w:val="single"/>
          <w:shd w:val="clear" w:color="auto" w:fill="FFFFFF"/>
        </w:rPr>
        <w:t>Pyecroft</w:t>
      </w:r>
      <w:proofErr w:type="spellEnd"/>
      <w:r>
        <w:rPr>
          <w:rFonts w:asciiTheme="minorHAnsi" w:hAnsiTheme="minorHAnsi" w:cstheme="minorHAnsi"/>
          <w:b/>
          <w:bCs/>
          <w:color w:val="000000"/>
          <w:spacing w:val="-5"/>
          <w:u w:val="single"/>
          <w:shd w:val="clear" w:color="auto" w:fill="FFFFFF"/>
        </w:rPr>
        <w:t>,</w:t>
      </w:r>
      <w:r w:rsidR="00DF14B7" w:rsidRPr="00DF14B7">
        <w:rPr>
          <w:rFonts w:asciiTheme="minorHAnsi" w:hAnsiTheme="minorHAnsi" w:cstheme="minorHAnsi"/>
          <w:b/>
          <w:bCs/>
          <w:color w:val="000000"/>
          <w:spacing w:val="-5"/>
          <w:u w:val="single"/>
          <w:shd w:val="clear" w:color="auto" w:fill="FFFFFF"/>
        </w:rPr>
        <w:t xml:space="preserve"> “British Working Women and the First World War.”</w:t>
      </w:r>
      <w:r>
        <w:rPr>
          <w:rFonts w:asciiTheme="minorHAnsi" w:hAnsiTheme="minorHAnsi" w:cstheme="minorHAnsi"/>
          <w:b/>
          <w:bCs/>
          <w:color w:val="000000"/>
          <w:spacing w:val="-5"/>
          <w:u w:val="single"/>
          <w:shd w:val="clear" w:color="auto" w:fill="FFFFFF"/>
        </w:rPr>
        <w:t>,</w:t>
      </w:r>
      <w:r w:rsidR="00DF14B7" w:rsidRPr="00DF14B7">
        <w:rPr>
          <w:rFonts w:asciiTheme="minorHAnsi" w:hAnsiTheme="minorHAnsi" w:cstheme="minorHAnsi"/>
          <w:b/>
          <w:bCs/>
          <w:color w:val="000000"/>
          <w:spacing w:val="-5"/>
          <w:u w:val="single"/>
          <w:shd w:val="clear" w:color="auto" w:fill="FFFFFF"/>
        </w:rPr>
        <w:t> </w:t>
      </w:r>
      <w:r w:rsidR="00DF14B7" w:rsidRPr="00DF14B7">
        <w:rPr>
          <w:rFonts w:asciiTheme="minorHAnsi" w:hAnsiTheme="minorHAnsi" w:cstheme="minorHAnsi"/>
          <w:b/>
          <w:bCs/>
          <w:i/>
          <w:iCs/>
          <w:color w:val="000000"/>
          <w:spacing w:val="-5"/>
          <w:u w:val="single"/>
          <w:shd w:val="clear" w:color="auto" w:fill="FFFFFF"/>
        </w:rPr>
        <w:t>The Historian</w:t>
      </w:r>
      <w:r w:rsidR="00DF14B7" w:rsidRPr="00DF14B7">
        <w:rPr>
          <w:rFonts w:asciiTheme="minorHAnsi" w:hAnsiTheme="minorHAnsi" w:cstheme="minorHAnsi"/>
          <w:b/>
          <w:bCs/>
          <w:color w:val="000000"/>
          <w:spacing w:val="-5"/>
          <w:u w:val="single"/>
          <w:shd w:val="clear" w:color="auto" w:fill="FFFFFF"/>
        </w:rPr>
        <w:t>, vol. 56, no. 4, Wiley, 1994, pp. 699–710, http://www.jstor.org/stable/24449074.</w:t>
      </w:r>
    </w:p>
    <w:p w14:paraId="531CF0B0" w14:textId="2FE8C871" w:rsidR="00DF14B7" w:rsidRDefault="00DF14B7" w:rsidP="007A3D1A">
      <w:pPr>
        <w:rPr>
          <w:rFonts w:asciiTheme="minorHAnsi" w:hAnsiTheme="minorHAnsi" w:cstheme="minorHAnsi"/>
          <w:b/>
          <w:bCs/>
          <w:u w:val="single"/>
        </w:rPr>
      </w:pPr>
    </w:p>
    <w:p w14:paraId="04E2DB6D" w14:textId="53FB9186" w:rsidR="009D171C" w:rsidRPr="009D171C" w:rsidRDefault="00445B5B" w:rsidP="009D171C">
      <w:r w:rsidRPr="009D171C">
        <w:t xml:space="preserve">Susan </w:t>
      </w:r>
      <w:proofErr w:type="spellStart"/>
      <w:r w:rsidRPr="009D171C">
        <w:t>Pyecroft’s</w:t>
      </w:r>
      <w:proofErr w:type="spellEnd"/>
      <w:r w:rsidRPr="009D171C">
        <w:t xml:space="preserve"> journal article ‘British women and the First World War’ begins to explore how the belief that the First World War would be a turning point for women was unfounded. </w:t>
      </w:r>
      <w:r w:rsidR="009D171C" w:rsidRPr="009D171C">
        <w:t xml:space="preserve">The author herself, Susan </w:t>
      </w:r>
      <w:proofErr w:type="spellStart"/>
      <w:r w:rsidR="009D171C" w:rsidRPr="009D171C">
        <w:t>Pyecroft</w:t>
      </w:r>
      <w:proofErr w:type="spellEnd"/>
      <w:r w:rsidR="009D171C" w:rsidRPr="009D171C">
        <w:t xml:space="preserve">, was a doctoral student of history at </w:t>
      </w:r>
      <w:r w:rsidR="009D171C" w:rsidRPr="009D171C">
        <w:rPr>
          <w:color w:val="000000" w:themeColor="text1"/>
          <w:shd w:val="clear" w:color="auto" w:fill="FFFFFF"/>
        </w:rPr>
        <w:t>Strathclyde University</w:t>
      </w:r>
      <w:r w:rsidR="009D171C" w:rsidRPr="009D171C">
        <w:t xml:space="preserve"> </w:t>
      </w:r>
      <w:r w:rsidRPr="009D171C">
        <w:t>She argues that a third of women were already working before war broke out and even so, during the war the media praised the women at work but al</w:t>
      </w:r>
      <w:r w:rsidR="00205502" w:rsidRPr="009D171C">
        <w:t xml:space="preserve">so forgot to mention the working conditions on the shop floor and how all the gains made during the war was lost almost immediately after the war ended. The vote women were given never actually extended to working women under 30 and went back to societal norms of women being mothers and nurturers. The aim of her work is to highlight how the First World War did nothing to help women in Britain </w:t>
      </w:r>
      <w:r w:rsidR="009D171C" w:rsidRPr="009D171C">
        <w:t>and had no lasting effect on the public perspective on women during the 20</w:t>
      </w:r>
      <w:r w:rsidR="009D171C" w:rsidRPr="009D171C">
        <w:rPr>
          <w:vertAlign w:val="superscript"/>
        </w:rPr>
        <w:t>th</w:t>
      </w:r>
      <w:r w:rsidR="009D171C" w:rsidRPr="009D171C">
        <w:t xml:space="preserve"> Century. </w:t>
      </w:r>
      <w:r w:rsidR="00DB5C48">
        <w:t xml:space="preserve">Some of her arguments include how the traditional view was still in place during wartime where women were given lower pay than men for the same roles they were previously in before wartime and the stereotype of women being the weaker sex of the two </w:t>
      </w:r>
      <w:r w:rsidR="00DB5C48">
        <w:lastRenderedPageBreak/>
        <w:t xml:space="preserve">and needing protection from the male prevailing in the workplace. </w:t>
      </w:r>
      <w:proofErr w:type="spellStart"/>
      <w:r w:rsidR="00DB5C48">
        <w:t>Pye</w:t>
      </w:r>
      <w:r w:rsidR="00416DF3">
        <w:t>croft</w:t>
      </w:r>
      <w:proofErr w:type="spellEnd"/>
      <w:r w:rsidR="00416DF3">
        <w:t xml:space="preserve"> finishes her article by pondering the fact that women through these experience’s did receive a measure of strength and confidence but still laments the fact that women in 1918 never got to see the promise land and returned to their old lives of being housewives and mothers without any hope of improving their social status. This article is useful when looking for wartime perspective from the point of view of women during wartime. </w:t>
      </w:r>
      <w:proofErr w:type="spellStart"/>
      <w:r w:rsidR="00416DF3">
        <w:t>Pyecroft</w:t>
      </w:r>
      <w:proofErr w:type="spellEnd"/>
      <w:r w:rsidR="00416DF3">
        <w:t xml:space="preserve"> is </w:t>
      </w:r>
      <w:r w:rsidR="004B79FA">
        <w:t>unbiased</w:t>
      </w:r>
      <w:r w:rsidR="00416DF3">
        <w:t xml:space="preserve"> acknowledging the troubles women went through in the war and the sad reality that they made no permanent progress in social status</w:t>
      </w:r>
      <w:r w:rsidR="004B79FA">
        <w:t>.</w:t>
      </w:r>
    </w:p>
    <w:p w14:paraId="105E5FF6" w14:textId="0E08A377" w:rsidR="00445B5B" w:rsidRPr="00445B5B" w:rsidRDefault="00445B5B" w:rsidP="007A3D1A"/>
    <w:p w14:paraId="6DFFE4A8" w14:textId="77777777" w:rsidR="00DF14B7" w:rsidRPr="00DF14B7" w:rsidRDefault="00DF14B7" w:rsidP="007A3D1A">
      <w:pPr>
        <w:rPr>
          <w:rFonts w:asciiTheme="minorHAnsi" w:hAnsiTheme="minorHAnsi" w:cstheme="minorHAnsi"/>
          <w:b/>
          <w:bCs/>
          <w:u w:val="single"/>
        </w:rPr>
      </w:pPr>
    </w:p>
    <w:p w14:paraId="4EBFB257" w14:textId="7CD6787A" w:rsidR="00521E32" w:rsidRDefault="00521E32" w:rsidP="005917DC"/>
    <w:p w14:paraId="4AD8D728" w14:textId="750C3DBF" w:rsidR="00CC6109" w:rsidRDefault="00700447" w:rsidP="005917DC">
      <w:pPr>
        <w:rPr>
          <w:b/>
          <w:bCs/>
          <w:u w:val="single"/>
        </w:rPr>
      </w:pPr>
      <w:r>
        <w:rPr>
          <w:b/>
          <w:bCs/>
          <w:u w:val="single"/>
        </w:rPr>
        <w:t>Book Review – Conscientious Objectors of The First World War</w:t>
      </w:r>
    </w:p>
    <w:p w14:paraId="124047D3" w14:textId="47102E70" w:rsidR="00700447" w:rsidRDefault="00700447" w:rsidP="005917DC">
      <w:pPr>
        <w:rPr>
          <w:b/>
          <w:bCs/>
          <w:u w:val="single"/>
        </w:rPr>
      </w:pPr>
    </w:p>
    <w:p w14:paraId="311B4264" w14:textId="77777777" w:rsidR="00ED67FB" w:rsidRDefault="00ED67FB" w:rsidP="00ED67FB">
      <w:r>
        <w:t>Ann Kramer’s academical book ‘Conscientious Objectors of The First World War’ is an insightful look into the minds and experience of Conscientious Objectors during the First World War. Ann Kramer also has an honours degree in History from Sussex University. Written in 2013 Kramer has the advantage of being able to write her work from a revisionist point of view, for example the removal of the Berlin wall in 1989 allowed new information to be brought forward for historians to ponder over, therefore also being used as a secondary source for people looking to use her research for their own work.</w:t>
      </w:r>
      <w:r w:rsidRPr="0070597D">
        <w:t xml:space="preserve"> </w:t>
      </w:r>
      <w:r>
        <w:t>Kramer’s work is seemingly for academics of History who are interested in 20</w:t>
      </w:r>
      <w:r w:rsidRPr="00BE4DEA">
        <w:rPr>
          <w:vertAlign w:val="superscript"/>
        </w:rPr>
        <w:t>th</w:t>
      </w:r>
      <w:r>
        <w:t xml:space="preserve"> Century history and more prominently the First World War, although this does not mean that this book is solely for historians. When specifically researching the author, Ann Kramer, it’s clear that her books are academical with topics such as human rights, women’s suffrage and as reviewed today, Conscientious Objectors.</w:t>
      </w:r>
      <w:r w:rsidRPr="0070597D">
        <w:t xml:space="preserve"> </w:t>
      </w:r>
      <w:r>
        <w:t>Her ambition is to spread information to her readers as she uncovers them herself although she is not without scrutiny for possible biasness. Her affiliations would be with women’s groups in society which may lend to her being bias when referencing moments of history involving women’s rights whilst also being involved in the peace movement herself, explaining her interest in Conscientious Objectors, but this can also lend her to biasness on behalf of Conscientious Objectors in her research.</w:t>
      </w:r>
    </w:p>
    <w:p w14:paraId="7DCEC899" w14:textId="77777777" w:rsidR="00ED67FB" w:rsidRDefault="00ED67FB" w:rsidP="00ED67FB"/>
    <w:p w14:paraId="00F2805C" w14:textId="77777777" w:rsidR="00ED67FB" w:rsidRDefault="00ED67FB" w:rsidP="00ED67FB">
      <w:r>
        <w:t>It’s clear that Kramer is an experienced author when it comes to historical research when understanding she has written multiple books on historical figures and groups such as women’s suffrage and conscientious objectors. Her research is invaluable when exploring the experience of objectors during the war, with the benefit of primary sources included in her research to add confidence in the accuracy of her claims when referencing her work. Whilst her work may contain some form of biasness this is a possibility in any historian’s work. You could argue that when writing about the American Civil War a southerner would be more sympathetic to the south rather than the north and vice versa. The point is that everyone will have some biasness in their field of work whether it’d be based on personal history or the research you have conducted leading you to a one-sided view.</w:t>
      </w:r>
    </w:p>
    <w:p w14:paraId="7232F6C0" w14:textId="77777777" w:rsidR="00ED67FB" w:rsidRDefault="00ED67FB" w:rsidP="00ED67FB"/>
    <w:p w14:paraId="28311FD6" w14:textId="77777777" w:rsidR="00ED67FB" w:rsidRDefault="00ED67FB" w:rsidP="00ED67FB">
      <w:r>
        <w:t xml:space="preserve">Kramer focuses on conscientious objectors in between 1914 and 1916, the First World War. She attempts to provide insight to an often-forgotten piece of history during the First World War, the conscientious objectors. She concentrates on the movement of conscientious objectors, which she believes deserves wider recognition, but also acknowledges that Britain was not the only country that had conscientious objectors, although she does claim that the movement in Britain was the largest. Kramer uses a mixture of primary and secondary sources to discuss the experiences of objectors during wartime and attempts to draw out an emotional response from the reader when learning of their hardships throughout the war. She </w:t>
      </w:r>
      <w:r>
        <w:lastRenderedPageBreak/>
        <w:t>uses the entire wartime period to give a balanced argument to the ups and downs of this group of people from the unfairness of the tribunals, the sanitary condition of the prisons and the improved public image of objectors after the First World War ended up to the run up of the Second World War. The use of primary sources gives credit to Kramer by reinforcing her claims of the experience of the objectors with first-hand witnesses whilst also using secondary sources from historians to back up her own claims by using other works. For example, Louis Bibbings who wrote a journal article on the perception of conscientious objectors as being cowards and shirkers, like Kramer’s claims of the prejudice towards them. Bibbings and Kramer both conclude that objectors were unfairly subjected to abuse and humiliation during the First World War. She also explains the many queries she had and thanked members of the Peace Pledge Union and many others for their help in her research, this also suggests the number of resources she had to create a balanced argument and historically accurate piece of work. Kramer organises her book in a way that walks you through the lives of a conscientious objector. She begins with an introduction obviously but then carries on her writing as if it was an historiography. She begins with the breakout of war in Europe and then moves on to conscription being introduced and the idea of conscience beginning to rise in society. Kramer moves on to explore the Tribunals to decide whether your eligible to be exempt from military service and explains that often they were unfairly treated in these Tribunals and suffered harsh treatment therefore in the future. She then goes on to describe the alternative service they went through, how they were given to the army, prison sentences, the home office scheme and then their release and the aftermath of the movement after the First World War.</w:t>
      </w:r>
    </w:p>
    <w:p w14:paraId="7F9F0BF6" w14:textId="77777777" w:rsidR="00ED67FB" w:rsidRDefault="00ED67FB" w:rsidP="00ED67FB"/>
    <w:p w14:paraId="139AD78D" w14:textId="77777777" w:rsidR="00ED67FB" w:rsidRDefault="00ED67FB" w:rsidP="00ED67FB">
      <w:r>
        <w:t xml:space="preserve">Her argument though is based on data and primary sources which gives her work credibility and allows people to trusty her research when using it in their own works. She uses these primary sources and data to mainly support her evidence. The types of primary sources she uses are from both government officials at the time, for example David Lloyd George, and the personal experiences of conscientious objectors at the time which are used to provide and insightful view on their personal struggles and evoke an emotional response from the readers. She also uses secondary sources to show her claims are not singular and that they are supported by other historians giving her further credibility in her works. </w:t>
      </w:r>
    </w:p>
    <w:p w14:paraId="364C0760" w14:textId="77777777" w:rsidR="00ED67FB" w:rsidRDefault="00ED67FB" w:rsidP="00ED67FB"/>
    <w:p w14:paraId="1DC3CED6" w14:textId="77777777" w:rsidR="00ED67FB" w:rsidRDefault="00ED67FB" w:rsidP="00ED67FB">
      <w:r>
        <w:t xml:space="preserve">The fact Kramer uses historiography to structure her arguments and book means that her work doesn’t break down or seem confusing when reading. When reading from an academic point of view it is very resourceful and for historians it is a book I would personally recommend when researching the lesser-known instances of the First World War. This book could also be for general readers who have an interest in history but also an interest in freedom of choice in a sense when looking at the motivations of the conscientious objectors. </w:t>
      </w:r>
    </w:p>
    <w:p w14:paraId="7BE29CDD" w14:textId="77777777" w:rsidR="00ED67FB" w:rsidRDefault="00ED67FB" w:rsidP="00ED67FB"/>
    <w:p w14:paraId="66C64B38" w14:textId="40484F69" w:rsidR="00107BFC" w:rsidRPr="00700447" w:rsidRDefault="00107BFC" w:rsidP="005917DC"/>
    <w:sectPr w:rsidR="00107BFC" w:rsidRPr="007004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32CA3" w14:textId="77777777" w:rsidR="00484610" w:rsidRDefault="00484610" w:rsidP="009257CF">
      <w:r>
        <w:separator/>
      </w:r>
    </w:p>
  </w:endnote>
  <w:endnote w:type="continuationSeparator" w:id="0">
    <w:p w14:paraId="12AD6732" w14:textId="77777777" w:rsidR="00484610" w:rsidRDefault="00484610" w:rsidP="00925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77371" w14:textId="77777777" w:rsidR="00484610" w:rsidRDefault="00484610" w:rsidP="009257CF">
      <w:r>
        <w:separator/>
      </w:r>
    </w:p>
  </w:footnote>
  <w:footnote w:type="continuationSeparator" w:id="0">
    <w:p w14:paraId="2CC1C2E6" w14:textId="77777777" w:rsidR="00484610" w:rsidRDefault="00484610" w:rsidP="009257CF">
      <w:r>
        <w:continuationSeparator/>
      </w:r>
    </w:p>
  </w:footnote>
  <w:footnote w:id="1">
    <w:p w14:paraId="28731546" w14:textId="5E1D4C68" w:rsidR="00035E3B" w:rsidRPr="005917DC" w:rsidRDefault="004E26B8" w:rsidP="00035E3B">
      <w:pPr>
        <w:rPr>
          <w:b/>
          <w:bCs/>
          <w:u w:val="single"/>
        </w:rPr>
      </w:pPr>
      <w:r>
        <w:rPr>
          <w:rStyle w:val="FootnoteReference"/>
        </w:rPr>
        <w:footnoteRef/>
      </w:r>
      <w:r>
        <w:t xml:space="preserve"> </w:t>
      </w:r>
      <w:r w:rsidR="00035E3B" w:rsidRPr="00035E3B">
        <w:rPr>
          <w:sz w:val="21"/>
          <w:szCs w:val="21"/>
        </w:rPr>
        <w:t xml:space="preserve">Louis Bibbings, ‘Images of Manliness: The Portrayal of Soldiers and Conscientious Objectors in the Great War’, </w:t>
      </w:r>
      <w:r w:rsidR="00035E3B" w:rsidRPr="00035E3B">
        <w:rPr>
          <w:i/>
          <w:iCs/>
          <w:sz w:val="21"/>
          <w:szCs w:val="21"/>
        </w:rPr>
        <w:t>Sage &amp; Legal Studies, Issue 3, Volume 12, (2003)</w:t>
      </w:r>
      <w:r w:rsidR="00035E3B">
        <w:rPr>
          <w:i/>
          <w:iCs/>
          <w:sz w:val="21"/>
          <w:szCs w:val="21"/>
        </w:rPr>
        <w:t>, p342</w:t>
      </w:r>
    </w:p>
    <w:p w14:paraId="57662261" w14:textId="6203E682" w:rsidR="004E26B8" w:rsidRDefault="004E26B8">
      <w:pPr>
        <w:pStyle w:val="FootnoteText"/>
      </w:pPr>
    </w:p>
  </w:footnote>
  <w:footnote w:id="2">
    <w:p w14:paraId="39793AB9" w14:textId="091D1458" w:rsidR="007A3D1A" w:rsidRDefault="007A3D1A">
      <w:pPr>
        <w:pStyle w:val="FootnoteText"/>
      </w:pPr>
      <w:r>
        <w:rPr>
          <w:rStyle w:val="FootnoteReference"/>
        </w:rPr>
        <w:footnoteRef/>
      </w:r>
      <w:r>
        <w:t xml:space="preserve"> Wikipedia, </w:t>
      </w:r>
      <w:r w:rsidR="00CC6109">
        <w:t xml:space="preserve">&lt; </w:t>
      </w:r>
      <w:hyperlink r:id="rId1" w:history="1">
        <w:r w:rsidR="00CC6109" w:rsidRPr="00FF225C">
          <w:rPr>
            <w:rStyle w:val="Hyperlink"/>
          </w:rPr>
          <w:t>https://en.wikipedia.org/wiki/Zara_Steiner</w:t>
        </w:r>
      </w:hyperlink>
      <w:r w:rsidR="00CC6109">
        <w:t xml:space="preserve"> &gt;, [Accessed 4/2/2022]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EC0"/>
    <w:rsid w:val="00024454"/>
    <w:rsid w:val="00035E3B"/>
    <w:rsid w:val="00046326"/>
    <w:rsid w:val="000B3B70"/>
    <w:rsid w:val="00107BFC"/>
    <w:rsid w:val="0015579A"/>
    <w:rsid w:val="001C1D26"/>
    <w:rsid w:val="001C4859"/>
    <w:rsid w:val="001E559F"/>
    <w:rsid w:val="00205502"/>
    <w:rsid w:val="00252367"/>
    <w:rsid w:val="00260900"/>
    <w:rsid w:val="002C0B81"/>
    <w:rsid w:val="002C54F3"/>
    <w:rsid w:val="002F02F1"/>
    <w:rsid w:val="002F7BA5"/>
    <w:rsid w:val="003B2236"/>
    <w:rsid w:val="00416DF3"/>
    <w:rsid w:val="00445B5B"/>
    <w:rsid w:val="0046776D"/>
    <w:rsid w:val="00484610"/>
    <w:rsid w:val="004B79FA"/>
    <w:rsid w:val="004E26B8"/>
    <w:rsid w:val="00521E32"/>
    <w:rsid w:val="005568A4"/>
    <w:rsid w:val="005917DC"/>
    <w:rsid w:val="005E25C4"/>
    <w:rsid w:val="0063070A"/>
    <w:rsid w:val="006A55F6"/>
    <w:rsid w:val="006E60CD"/>
    <w:rsid w:val="00700447"/>
    <w:rsid w:val="00725891"/>
    <w:rsid w:val="00743925"/>
    <w:rsid w:val="007A3D1A"/>
    <w:rsid w:val="00833179"/>
    <w:rsid w:val="00842789"/>
    <w:rsid w:val="00856EC0"/>
    <w:rsid w:val="00875CC1"/>
    <w:rsid w:val="008B4B1E"/>
    <w:rsid w:val="009257CF"/>
    <w:rsid w:val="00941C48"/>
    <w:rsid w:val="009421D8"/>
    <w:rsid w:val="009D171C"/>
    <w:rsid w:val="00A96F89"/>
    <w:rsid w:val="00AA5DBB"/>
    <w:rsid w:val="00B618C0"/>
    <w:rsid w:val="00BE4DEA"/>
    <w:rsid w:val="00C81FCF"/>
    <w:rsid w:val="00CC6109"/>
    <w:rsid w:val="00CD7701"/>
    <w:rsid w:val="00D30E6E"/>
    <w:rsid w:val="00D44ADE"/>
    <w:rsid w:val="00D45F7F"/>
    <w:rsid w:val="00DB5C48"/>
    <w:rsid w:val="00DE0CD2"/>
    <w:rsid w:val="00DF14B7"/>
    <w:rsid w:val="00DF1B6C"/>
    <w:rsid w:val="00DF21B9"/>
    <w:rsid w:val="00E65F1E"/>
    <w:rsid w:val="00EB0E40"/>
    <w:rsid w:val="00ED31ED"/>
    <w:rsid w:val="00ED67FB"/>
    <w:rsid w:val="00F57BFE"/>
    <w:rsid w:val="00F95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1437D"/>
  <w15:chartTrackingRefBased/>
  <w15:docId w15:val="{6E609432-4A73-5A48-8B39-47CCE0839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71C"/>
    <w:rPr>
      <w:rFonts w:ascii="Times New Roman" w:eastAsia="Times New Roman" w:hAnsi="Times New Roman" w:cs="Times New Roman"/>
      <w:lang w:eastAsia="en-GB"/>
    </w:rPr>
  </w:style>
  <w:style w:type="paragraph" w:styleId="Heading1">
    <w:name w:val="heading 1"/>
    <w:basedOn w:val="Normal"/>
    <w:link w:val="Heading1Char"/>
    <w:uiPriority w:val="9"/>
    <w:qFormat/>
    <w:rsid w:val="00DE0CD2"/>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257CF"/>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9257CF"/>
    <w:rPr>
      <w:sz w:val="20"/>
      <w:szCs w:val="20"/>
    </w:rPr>
  </w:style>
  <w:style w:type="character" w:styleId="FootnoteReference">
    <w:name w:val="footnote reference"/>
    <w:basedOn w:val="DefaultParagraphFont"/>
    <w:uiPriority w:val="99"/>
    <w:semiHidden/>
    <w:unhideWhenUsed/>
    <w:rsid w:val="009257CF"/>
    <w:rPr>
      <w:vertAlign w:val="superscript"/>
    </w:rPr>
  </w:style>
  <w:style w:type="character" w:customStyle="1" w:styleId="Heading1Char">
    <w:name w:val="Heading 1 Char"/>
    <w:basedOn w:val="DefaultParagraphFont"/>
    <w:link w:val="Heading1"/>
    <w:uiPriority w:val="9"/>
    <w:rsid w:val="00DE0CD2"/>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CC6109"/>
    <w:rPr>
      <w:color w:val="0563C1" w:themeColor="hyperlink"/>
      <w:u w:val="single"/>
    </w:rPr>
  </w:style>
  <w:style w:type="character" w:styleId="UnresolvedMention">
    <w:name w:val="Unresolved Mention"/>
    <w:basedOn w:val="DefaultParagraphFont"/>
    <w:uiPriority w:val="99"/>
    <w:semiHidden/>
    <w:unhideWhenUsed/>
    <w:rsid w:val="00CC61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668063">
      <w:bodyDiv w:val="1"/>
      <w:marLeft w:val="0"/>
      <w:marRight w:val="0"/>
      <w:marTop w:val="0"/>
      <w:marBottom w:val="0"/>
      <w:divBdr>
        <w:top w:val="none" w:sz="0" w:space="0" w:color="auto"/>
        <w:left w:val="none" w:sz="0" w:space="0" w:color="auto"/>
        <w:bottom w:val="none" w:sz="0" w:space="0" w:color="auto"/>
        <w:right w:val="none" w:sz="0" w:space="0" w:color="auto"/>
      </w:divBdr>
    </w:div>
    <w:div w:id="324086651">
      <w:bodyDiv w:val="1"/>
      <w:marLeft w:val="0"/>
      <w:marRight w:val="0"/>
      <w:marTop w:val="0"/>
      <w:marBottom w:val="0"/>
      <w:divBdr>
        <w:top w:val="none" w:sz="0" w:space="0" w:color="auto"/>
        <w:left w:val="none" w:sz="0" w:space="0" w:color="auto"/>
        <w:bottom w:val="none" w:sz="0" w:space="0" w:color="auto"/>
        <w:right w:val="none" w:sz="0" w:space="0" w:color="auto"/>
      </w:divBdr>
    </w:div>
    <w:div w:id="1847479800">
      <w:bodyDiv w:val="1"/>
      <w:marLeft w:val="0"/>
      <w:marRight w:val="0"/>
      <w:marTop w:val="0"/>
      <w:marBottom w:val="0"/>
      <w:divBdr>
        <w:top w:val="none" w:sz="0" w:space="0" w:color="auto"/>
        <w:left w:val="none" w:sz="0" w:space="0" w:color="auto"/>
        <w:bottom w:val="none" w:sz="0" w:space="0" w:color="auto"/>
        <w:right w:val="none" w:sz="0" w:space="0" w:color="auto"/>
      </w:divBdr>
    </w:div>
    <w:div w:id="1876962681">
      <w:bodyDiv w:val="1"/>
      <w:marLeft w:val="0"/>
      <w:marRight w:val="0"/>
      <w:marTop w:val="0"/>
      <w:marBottom w:val="0"/>
      <w:divBdr>
        <w:top w:val="none" w:sz="0" w:space="0" w:color="auto"/>
        <w:left w:val="none" w:sz="0" w:space="0" w:color="auto"/>
        <w:bottom w:val="none" w:sz="0" w:space="0" w:color="auto"/>
        <w:right w:val="none" w:sz="0" w:space="0" w:color="auto"/>
      </w:divBdr>
    </w:div>
    <w:div w:id="1971008859">
      <w:bodyDiv w:val="1"/>
      <w:marLeft w:val="0"/>
      <w:marRight w:val="0"/>
      <w:marTop w:val="0"/>
      <w:marBottom w:val="0"/>
      <w:divBdr>
        <w:top w:val="none" w:sz="0" w:space="0" w:color="auto"/>
        <w:left w:val="none" w:sz="0" w:space="0" w:color="auto"/>
        <w:bottom w:val="none" w:sz="0" w:space="0" w:color="auto"/>
        <w:right w:val="none" w:sz="0" w:space="0" w:color="auto"/>
      </w:divBdr>
    </w:div>
    <w:div w:id="2121876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en.wikipedia.org/wiki/Zara_Stein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8015EE-3858-F645-9F27-674C3C33C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2187</Words>
  <Characters>12471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bowen</dc:creator>
  <cp:keywords/>
  <dc:description/>
  <cp:lastModifiedBy>michael bowen</cp:lastModifiedBy>
  <cp:revision>3</cp:revision>
  <dcterms:created xsi:type="dcterms:W3CDTF">2022-02-04T22:18:00Z</dcterms:created>
  <dcterms:modified xsi:type="dcterms:W3CDTF">2022-02-04T22:18:00Z</dcterms:modified>
</cp:coreProperties>
</file>