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A480E3" w14:textId="2E3081E2" w:rsidR="00600888" w:rsidRPr="00073DD7" w:rsidRDefault="55785F00" w:rsidP="00073DD7">
      <w:pPr>
        <w:spacing w:line="360" w:lineRule="auto"/>
        <w:jc w:val="both"/>
        <w:rPr>
          <w:rFonts w:ascii="Calibri" w:eastAsia="Calibri" w:hAnsi="Calibri" w:cs="Calibri"/>
        </w:rPr>
      </w:pPr>
      <w:r w:rsidRPr="00073DD7">
        <w:rPr>
          <w:rFonts w:ascii="Calibri" w:eastAsia="Calibri" w:hAnsi="Calibri" w:cs="Calibri"/>
        </w:rPr>
        <w:t xml:space="preserve">                                   </w:t>
      </w:r>
      <w:r w:rsidR="3CDA7724" w:rsidRPr="00073DD7">
        <w:rPr>
          <w:rFonts w:ascii="Calibri" w:eastAsia="Calibri" w:hAnsi="Calibri" w:cs="Calibri"/>
        </w:rPr>
        <w:t>How does play support children’s emotional development?</w:t>
      </w:r>
    </w:p>
    <w:p w14:paraId="083A11BE" w14:textId="07A13820" w:rsidR="00600888" w:rsidRPr="00073DD7" w:rsidRDefault="05D3B794" w:rsidP="00073DD7">
      <w:pPr>
        <w:spacing w:line="360" w:lineRule="auto"/>
        <w:jc w:val="both"/>
        <w:rPr>
          <w:rFonts w:ascii="Calibri" w:eastAsia="Calibri" w:hAnsi="Calibri" w:cs="Calibri"/>
          <w:u w:val="single"/>
        </w:rPr>
      </w:pPr>
      <w:r w:rsidRPr="00073DD7">
        <w:rPr>
          <w:rFonts w:ascii="Calibri" w:eastAsia="Calibri" w:hAnsi="Calibri" w:cs="Calibri"/>
          <w:u w:val="single"/>
        </w:rPr>
        <w:t>Literature review:</w:t>
      </w:r>
    </w:p>
    <w:p w14:paraId="0996D08C" w14:textId="77777777" w:rsidR="001F6B88" w:rsidRPr="00A3572A" w:rsidRDefault="001F6B88" w:rsidP="001F6B88">
      <w:pPr>
        <w:spacing w:line="360" w:lineRule="auto"/>
        <w:jc w:val="both"/>
        <w:rPr>
          <w:rFonts w:ascii="Calibri" w:eastAsia="Calibri" w:hAnsi="Calibri" w:cs="Calibri"/>
          <w:b/>
          <w:bCs/>
        </w:rPr>
      </w:pPr>
      <w:r w:rsidRPr="00A3572A">
        <w:rPr>
          <w:rFonts w:ascii="Calibri" w:eastAsia="Calibri" w:hAnsi="Calibri" w:cs="Calibri"/>
          <w:b/>
          <w:bCs/>
        </w:rPr>
        <w:t>Play</w:t>
      </w:r>
    </w:p>
    <w:p w14:paraId="79CB2DB3" w14:textId="77777777" w:rsidR="001F6B88" w:rsidRPr="001F6B88" w:rsidRDefault="001F6B88" w:rsidP="001F6B88">
      <w:pPr>
        <w:spacing w:line="360" w:lineRule="auto"/>
        <w:jc w:val="both"/>
        <w:rPr>
          <w:rFonts w:ascii="Calibri" w:eastAsia="Calibri" w:hAnsi="Calibri" w:cs="Calibri"/>
        </w:rPr>
      </w:pPr>
      <w:r w:rsidRPr="001F6B88">
        <w:rPr>
          <w:rFonts w:ascii="Calibri" w:eastAsia="Calibri" w:hAnsi="Calibri" w:cs="Calibri"/>
        </w:rPr>
        <w:t xml:space="preserve">The aim of this essay is to discuss and evaluate the meaning of play within early years. According to Fleer (2021) research shows that practitioners were unable to define play as its meaning is infinity. </w:t>
      </w:r>
      <w:proofErr w:type="spellStart"/>
      <w:r w:rsidRPr="001F6B88">
        <w:rPr>
          <w:rFonts w:ascii="Calibri" w:eastAsia="Calibri" w:hAnsi="Calibri" w:cs="Calibri"/>
        </w:rPr>
        <w:t>Glanveanu</w:t>
      </w:r>
      <w:proofErr w:type="spellEnd"/>
      <w:r w:rsidRPr="001F6B88">
        <w:rPr>
          <w:rFonts w:ascii="Calibri" w:eastAsia="Calibri" w:hAnsi="Calibri" w:cs="Calibri"/>
        </w:rPr>
        <w:t xml:space="preserve"> (2019) states that play has a different meaning to all children, and that each child would not have the same answer. Practitioners should allow children to have their own unique meaning of play (</w:t>
      </w:r>
      <w:proofErr w:type="spellStart"/>
      <w:r w:rsidRPr="001F6B88">
        <w:rPr>
          <w:rFonts w:ascii="Calibri" w:eastAsia="Calibri" w:hAnsi="Calibri" w:cs="Calibri"/>
        </w:rPr>
        <w:t>Glanveanu</w:t>
      </w:r>
      <w:proofErr w:type="spellEnd"/>
      <w:r w:rsidRPr="001F6B88">
        <w:rPr>
          <w:rFonts w:ascii="Calibri" w:eastAsia="Calibri" w:hAnsi="Calibri" w:cs="Calibri"/>
        </w:rPr>
        <w:t xml:space="preserve">, 2019). One of the most important aspects to note is that play based learning can support a child’s physical and cognitive development (Education Endowment Foundation, No Date).  </w:t>
      </w:r>
    </w:p>
    <w:p w14:paraId="02A517A1" w14:textId="77777777" w:rsidR="001F6B88" w:rsidRPr="001F6B88" w:rsidRDefault="001F6B88" w:rsidP="001F6B88">
      <w:pPr>
        <w:spacing w:line="360" w:lineRule="auto"/>
        <w:jc w:val="both"/>
        <w:rPr>
          <w:rFonts w:ascii="Calibri" w:eastAsia="Calibri" w:hAnsi="Calibri" w:cs="Calibri"/>
        </w:rPr>
      </w:pPr>
      <w:r w:rsidRPr="001F6B88">
        <w:rPr>
          <w:rFonts w:ascii="Calibri" w:eastAsia="Calibri" w:hAnsi="Calibri" w:cs="Calibri"/>
        </w:rPr>
        <w:t xml:space="preserve">The Welsh Government (2022), states that play also means that children must pay attention to detail which supports their skill of self-awareness. Self-awareness also allows children to develop their social behavior when using collaboration to play with other children (Welsh Government, 2022). Play is an indoor and outdoor activity which supports a child’s learning and learning about the environment around them (Education Endowment Foundation, No Date). </w:t>
      </w:r>
    </w:p>
    <w:p w14:paraId="128828AC" w14:textId="77777777" w:rsidR="001F6B88" w:rsidRPr="001F6B88" w:rsidRDefault="001F6B88" w:rsidP="001F6B88">
      <w:pPr>
        <w:spacing w:line="360" w:lineRule="auto"/>
        <w:jc w:val="both"/>
        <w:rPr>
          <w:rFonts w:ascii="Calibri" w:eastAsia="Calibri" w:hAnsi="Calibri" w:cs="Calibri"/>
        </w:rPr>
      </w:pPr>
      <w:r w:rsidRPr="001F6B88">
        <w:rPr>
          <w:rFonts w:ascii="Calibri" w:eastAsia="Calibri" w:hAnsi="Calibri" w:cs="Calibri"/>
        </w:rPr>
        <w:t xml:space="preserve">Vygotsky (1978) </w:t>
      </w:r>
      <w:proofErr w:type="spellStart"/>
      <w:r w:rsidRPr="001F6B88">
        <w:rPr>
          <w:rFonts w:ascii="Calibri" w:eastAsia="Calibri" w:hAnsi="Calibri" w:cs="Calibri"/>
        </w:rPr>
        <w:t>emphasises</w:t>
      </w:r>
      <w:proofErr w:type="spellEnd"/>
      <w:r w:rsidRPr="001F6B88">
        <w:rPr>
          <w:rFonts w:ascii="Calibri" w:eastAsia="Calibri" w:hAnsi="Calibri" w:cs="Calibri"/>
        </w:rPr>
        <w:t xml:space="preserve"> that play is a crucial part of a child’s learning, development, speech development and cognitive development (Parker et al, 2022). One of the most important considerations of this study is that play allows children to be independent and allows children to identify themselves as a person (</w:t>
      </w:r>
      <w:proofErr w:type="spellStart"/>
      <w:r w:rsidRPr="001F6B88">
        <w:rPr>
          <w:rFonts w:ascii="Calibri" w:eastAsia="Calibri" w:hAnsi="Calibri" w:cs="Calibri"/>
        </w:rPr>
        <w:t>Glanveanu</w:t>
      </w:r>
      <w:proofErr w:type="spellEnd"/>
      <w:r w:rsidRPr="001F6B88">
        <w:rPr>
          <w:rFonts w:ascii="Calibri" w:eastAsia="Calibri" w:hAnsi="Calibri" w:cs="Calibri"/>
        </w:rPr>
        <w:t>, 2019). The Welsh Government (2022) agrees with (</w:t>
      </w:r>
      <w:proofErr w:type="spellStart"/>
      <w:r w:rsidRPr="001F6B88">
        <w:rPr>
          <w:rFonts w:ascii="Calibri" w:eastAsia="Calibri" w:hAnsi="Calibri" w:cs="Calibri"/>
        </w:rPr>
        <w:t>Glanveanu</w:t>
      </w:r>
      <w:proofErr w:type="spellEnd"/>
      <w:r w:rsidRPr="001F6B88">
        <w:rPr>
          <w:rFonts w:ascii="Calibri" w:eastAsia="Calibri" w:hAnsi="Calibri" w:cs="Calibri"/>
        </w:rPr>
        <w:t xml:space="preserve">, 2019) that play influences children to feel a form of self-worth which will support a child’s confidence in their learning and outside world.  </w:t>
      </w:r>
    </w:p>
    <w:p w14:paraId="0C8D1646" w14:textId="77777777" w:rsidR="001F6B88" w:rsidRPr="001F6B88" w:rsidRDefault="001F6B88" w:rsidP="001F6B88">
      <w:pPr>
        <w:spacing w:line="360" w:lineRule="auto"/>
        <w:jc w:val="both"/>
        <w:rPr>
          <w:rFonts w:ascii="Calibri" w:eastAsia="Calibri" w:hAnsi="Calibri" w:cs="Calibri"/>
        </w:rPr>
      </w:pPr>
      <w:r w:rsidRPr="001F6B88">
        <w:rPr>
          <w:rFonts w:ascii="Calibri" w:eastAsia="Calibri" w:hAnsi="Calibri" w:cs="Calibri"/>
        </w:rPr>
        <w:t xml:space="preserve">It’s a well-established fact that play supports children’s motor and memory development. This, in turn, supports a child’s social development. Neuroscientists highlight the role played by play in the growth and development of the brain.  (Parker et al, 2022). Furthermore, Parker et al (2022) suggest that, without play, children are impacted socially, emotionally and in terms of their learning.  The Early Years Company (2024) agrees with this view, noting that not only does play support a child’s holistic development, </w:t>
      </w:r>
      <w:proofErr w:type="gramStart"/>
      <w:r w:rsidRPr="001F6B88">
        <w:rPr>
          <w:rFonts w:ascii="Calibri" w:eastAsia="Calibri" w:hAnsi="Calibri" w:cs="Calibri"/>
        </w:rPr>
        <w:t>it</w:t>
      </w:r>
      <w:proofErr w:type="gramEnd"/>
      <w:r w:rsidRPr="001F6B88">
        <w:rPr>
          <w:rFonts w:ascii="Calibri" w:eastAsia="Calibri" w:hAnsi="Calibri" w:cs="Calibri"/>
        </w:rPr>
        <w:t xml:space="preserve"> can also promote new connections in the brain </w:t>
      </w:r>
      <w:r w:rsidRPr="001F6B88">
        <w:rPr>
          <w:rFonts w:ascii="Calibri" w:eastAsia="Calibri" w:hAnsi="Calibri" w:cs="Calibri"/>
        </w:rPr>
        <w:lastRenderedPageBreak/>
        <w:t xml:space="preserve">with benefits for building memory and cognitive flexibility. To </w:t>
      </w:r>
      <w:proofErr w:type="spellStart"/>
      <w:r w:rsidRPr="001F6B88">
        <w:rPr>
          <w:rFonts w:ascii="Calibri" w:eastAsia="Calibri" w:hAnsi="Calibri" w:cs="Calibri"/>
        </w:rPr>
        <w:t>summarise</w:t>
      </w:r>
      <w:proofErr w:type="spellEnd"/>
      <w:r w:rsidRPr="001F6B88">
        <w:rPr>
          <w:rFonts w:ascii="Calibri" w:eastAsia="Calibri" w:hAnsi="Calibri" w:cs="Calibri"/>
        </w:rPr>
        <w:t xml:space="preserve">, therefore, play is essential for a child’s holistic development by helping to embed emotional, social and cognitive development (Early Years Company, 2024).  </w:t>
      </w:r>
    </w:p>
    <w:p w14:paraId="1B9C1FFF" w14:textId="77777777" w:rsidR="001F6B88" w:rsidRPr="001F6B88" w:rsidRDefault="001F6B88" w:rsidP="001F6B88">
      <w:pPr>
        <w:spacing w:line="360" w:lineRule="auto"/>
        <w:jc w:val="both"/>
        <w:rPr>
          <w:rFonts w:ascii="Calibri" w:eastAsia="Calibri" w:hAnsi="Calibri" w:cs="Calibri"/>
        </w:rPr>
      </w:pPr>
      <w:r w:rsidRPr="001F6B88">
        <w:rPr>
          <w:rFonts w:ascii="Calibri" w:eastAsia="Calibri" w:hAnsi="Calibri" w:cs="Calibri"/>
        </w:rPr>
        <w:t xml:space="preserve">The new Curriculum for Wales (2023) is known as foundation learning. Secondly, it influences practitioners to have a pedagogy approach to children’s learning in the early years (Gov. Wales, No Date). Another factor in the New Curriculum for Wales for non-maintained settings, is that play is a fundamental right for all children and that children have an urge to play (Welsh Government, 2022). It is often said that play supports a child’s emotional development, but it can also support the child to learn about the world around them (Welsh Government, 2022).  </w:t>
      </w:r>
    </w:p>
    <w:p w14:paraId="4F8445B0" w14:textId="77777777" w:rsidR="001F6B88" w:rsidRPr="001F6B88" w:rsidRDefault="001F6B88" w:rsidP="001F6B88">
      <w:pPr>
        <w:spacing w:line="360" w:lineRule="auto"/>
        <w:jc w:val="both"/>
        <w:rPr>
          <w:rFonts w:ascii="Calibri" w:eastAsia="Calibri" w:hAnsi="Calibri" w:cs="Calibri"/>
        </w:rPr>
      </w:pPr>
      <w:r w:rsidRPr="001F6B88">
        <w:rPr>
          <w:rFonts w:ascii="Calibri" w:eastAsia="Calibri" w:hAnsi="Calibri" w:cs="Calibri"/>
        </w:rPr>
        <w:t xml:space="preserve">The UNCRC (1989) Article 31 states that every child has the right to engage in play activities that are appropriate and meet the child’s individual needs. Secondly, practitioners and parents/carers should promote opportunities for children during play and respect every child’s individual needs (UNCRC, 1989). Finally, play based learning may overlap with emotional strategies that can support a child’s behavioral development, (Education Endowment Foundation, No Date).   </w:t>
      </w:r>
    </w:p>
    <w:p w14:paraId="207258CA" w14:textId="018264A8" w:rsidR="001F6B88" w:rsidRPr="00A3572A" w:rsidRDefault="001F6B88" w:rsidP="001F6B88">
      <w:pPr>
        <w:spacing w:line="360" w:lineRule="auto"/>
        <w:jc w:val="both"/>
        <w:rPr>
          <w:rFonts w:ascii="Calibri" w:eastAsia="Calibri" w:hAnsi="Calibri" w:cs="Calibri"/>
          <w:b/>
          <w:bCs/>
        </w:rPr>
      </w:pPr>
      <w:r w:rsidRPr="00A3572A">
        <w:rPr>
          <w:rFonts w:ascii="Calibri" w:eastAsia="Calibri" w:hAnsi="Calibri" w:cs="Calibri"/>
          <w:b/>
          <w:bCs/>
        </w:rPr>
        <w:t>Emotional Development</w:t>
      </w:r>
      <w:r w:rsidR="00A3572A">
        <w:rPr>
          <w:rFonts w:ascii="Calibri" w:eastAsia="Calibri" w:hAnsi="Calibri" w:cs="Calibri"/>
          <w:b/>
          <w:bCs/>
        </w:rPr>
        <w:t xml:space="preserve"> </w:t>
      </w:r>
    </w:p>
    <w:p w14:paraId="5DC50DC8" w14:textId="77777777" w:rsidR="001F6B88" w:rsidRPr="001F6B88" w:rsidRDefault="001F6B88" w:rsidP="001F6B88">
      <w:pPr>
        <w:spacing w:line="360" w:lineRule="auto"/>
        <w:jc w:val="both"/>
        <w:rPr>
          <w:rFonts w:ascii="Calibri" w:eastAsia="Calibri" w:hAnsi="Calibri" w:cs="Calibri"/>
        </w:rPr>
      </w:pPr>
      <w:r w:rsidRPr="001F6B88">
        <w:rPr>
          <w:rFonts w:ascii="Calibri" w:eastAsia="Calibri" w:hAnsi="Calibri" w:cs="Calibri"/>
        </w:rPr>
        <w:t xml:space="preserve">The meaning of emotional development is learning to express yourself as a person through experiences and expressions (Izard et al, 2024). Secondly, children learn how to develop </w:t>
      </w:r>
      <w:proofErr w:type="gramStart"/>
      <w:r w:rsidRPr="001F6B88">
        <w:rPr>
          <w:rFonts w:ascii="Calibri" w:eastAsia="Calibri" w:hAnsi="Calibri" w:cs="Calibri"/>
        </w:rPr>
        <w:t>emotion</w:t>
      </w:r>
      <w:proofErr w:type="gramEnd"/>
      <w:r w:rsidRPr="001F6B88">
        <w:rPr>
          <w:rFonts w:ascii="Calibri" w:eastAsia="Calibri" w:hAnsi="Calibri" w:cs="Calibri"/>
        </w:rPr>
        <w:t xml:space="preserve"> from birth to adulthood. This occurs in simultaneity with cognitive and behavioral development, especially with cultural and social factors. Bratz (2022) states that emotional development plays a key role in children's well-being and achieves the best possible outcome through learning. According to Bratz (2022) parents/carers play a significant role in children's emotional development as this source believes that children learn how to use their emotions through having role models and positive interactions. Play is a key factor in children’s holistic development and without play in a child’s life, their emotional development can be adversely affected (American Academy of Pediatrics, 2007). Environment play a key role in a child’s emotional development and, if family structure and lifestyle chance, this may reduce the time a child has for free play at home (American Academy of Pediatrics, 2007).  Play and Playground Encyclopedia (Play and Playground Encyclopedia, No Date) proposes that environment is the key factor that affects a </w:t>
      </w:r>
      <w:r w:rsidRPr="001F6B88">
        <w:rPr>
          <w:rFonts w:ascii="Calibri" w:eastAsia="Calibri" w:hAnsi="Calibri" w:cs="Calibri"/>
        </w:rPr>
        <w:lastRenderedPageBreak/>
        <w:t xml:space="preserve">child’s emotional development and relationships with carers and siblings, especially in the first year of a child’s </w:t>
      </w:r>
      <w:proofErr w:type="gramStart"/>
      <w:r w:rsidRPr="001F6B88">
        <w:rPr>
          <w:rFonts w:ascii="Calibri" w:eastAsia="Calibri" w:hAnsi="Calibri" w:cs="Calibri"/>
        </w:rPr>
        <w:t>life ,</w:t>
      </w:r>
      <w:proofErr w:type="gramEnd"/>
      <w:r w:rsidRPr="001F6B88">
        <w:rPr>
          <w:rFonts w:ascii="Calibri" w:eastAsia="Calibri" w:hAnsi="Calibri" w:cs="Calibri"/>
        </w:rPr>
        <w:t xml:space="preserve"> are critical. In the first year of a child’s life, they learn how to develop emotions such as anger, sadness, fear and joy (Bratz, 2022). </w:t>
      </w:r>
      <w:proofErr w:type="gramStart"/>
      <w:r w:rsidRPr="001F6B88">
        <w:rPr>
          <w:rFonts w:ascii="Calibri" w:eastAsia="Calibri" w:hAnsi="Calibri" w:cs="Calibri"/>
        </w:rPr>
        <w:t>In order to</w:t>
      </w:r>
      <w:proofErr w:type="gramEnd"/>
      <w:r w:rsidRPr="001F6B88">
        <w:rPr>
          <w:rFonts w:ascii="Calibri" w:eastAsia="Calibri" w:hAnsi="Calibri" w:cs="Calibri"/>
        </w:rPr>
        <w:t xml:space="preserve"> develop emotionally, children </w:t>
      </w:r>
      <w:proofErr w:type="gramStart"/>
      <w:r w:rsidRPr="001F6B88">
        <w:rPr>
          <w:rFonts w:ascii="Calibri" w:eastAsia="Calibri" w:hAnsi="Calibri" w:cs="Calibri"/>
        </w:rPr>
        <w:t>firstly</w:t>
      </w:r>
      <w:proofErr w:type="gramEnd"/>
      <w:r w:rsidRPr="001F6B88">
        <w:rPr>
          <w:rFonts w:ascii="Calibri" w:eastAsia="Calibri" w:hAnsi="Calibri" w:cs="Calibri"/>
        </w:rPr>
        <w:t xml:space="preserve"> need to be able to have basic language in order to express their emotions.  </w:t>
      </w:r>
    </w:p>
    <w:p w14:paraId="6BAE87AC" w14:textId="77777777" w:rsidR="001F6B88" w:rsidRPr="001F6B88" w:rsidRDefault="001F6B88" w:rsidP="001F6B88">
      <w:pPr>
        <w:spacing w:line="360" w:lineRule="auto"/>
        <w:jc w:val="both"/>
        <w:rPr>
          <w:rFonts w:ascii="Calibri" w:eastAsia="Calibri" w:hAnsi="Calibri" w:cs="Calibri"/>
        </w:rPr>
      </w:pPr>
      <w:r w:rsidRPr="001F6B88">
        <w:rPr>
          <w:rFonts w:ascii="Calibri" w:eastAsia="Calibri" w:hAnsi="Calibri" w:cs="Calibri"/>
        </w:rPr>
        <w:t xml:space="preserve">For children to develop their unique potential, every child has the right to access play, this is backed up by the UNCRC (United Nations Charter on the Rights of the Child). Also, practitioners and parents/carers will be able to observe empirically how play benefits the child’s holistic development, (American Academy of Pediatrics, 2007). The UNICEF (No Date), states that when a child is going through an emotional challenge in their life, play allows them to express their feelings. Giving the child resources may allow the child to deal with emotions such as fear, anger and loss. Play allows children to express their feelings and emotions without words, (UNICEF No Date).  </w:t>
      </w:r>
    </w:p>
    <w:p w14:paraId="2197BF68" w14:textId="77777777" w:rsidR="001F6B88" w:rsidRPr="001F6B88" w:rsidRDefault="001F6B88" w:rsidP="001F6B88">
      <w:pPr>
        <w:spacing w:line="360" w:lineRule="auto"/>
        <w:jc w:val="both"/>
        <w:rPr>
          <w:rFonts w:ascii="Calibri" w:eastAsia="Calibri" w:hAnsi="Calibri" w:cs="Calibri"/>
        </w:rPr>
      </w:pPr>
      <w:r w:rsidRPr="001F6B88">
        <w:rPr>
          <w:rFonts w:ascii="Calibri" w:eastAsia="Calibri" w:hAnsi="Calibri" w:cs="Calibri"/>
        </w:rPr>
        <w:t>Environmental settings should improve children's social and emotional development through wider learning which promotes social and emotional skills, (Education Endowment Foundation, No Date). According to The Early Years Framework Foundation Stages, learning should include social, emotional and personal goals when children are learning through play.</w:t>
      </w:r>
    </w:p>
    <w:p w14:paraId="435B011A" w14:textId="5596BE3D" w:rsidR="00600888" w:rsidRPr="00073DD7" w:rsidRDefault="001F6B88" w:rsidP="001F6B88">
      <w:pPr>
        <w:spacing w:line="360" w:lineRule="auto"/>
        <w:jc w:val="both"/>
        <w:rPr>
          <w:rFonts w:ascii="Calibri" w:eastAsia="Calibri" w:hAnsi="Calibri" w:cs="Calibri"/>
        </w:rPr>
      </w:pPr>
      <w:r w:rsidRPr="001F6B88">
        <w:rPr>
          <w:rFonts w:ascii="Calibri" w:eastAsia="Calibri" w:hAnsi="Calibri" w:cs="Calibri"/>
        </w:rPr>
        <w:t xml:space="preserve">According to San (2021), every individual child should have the opportunity to play, as this article believes that play supports children’s emotional, physical and social development. Secondly, San (2021) believes that introducing emotional and social skills earlier in a child’s life will benefit the child in adulthood.  </w:t>
      </w:r>
    </w:p>
    <w:p w14:paraId="30853189" w14:textId="1A451EDA" w:rsidR="00600888" w:rsidRPr="00073DD7" w:rsidRDefault="00600888" w:rsidP="00073DD7">
      <w:pPr>
        <w:spacing w:line="360" w:lineRule="auto"/>
        <w:jc w:val="both"/>
        <w:rPr>
          <w:rFonts w:ascii="Calibri" w:eastAsia="Calibri" w:hAnsi="Calibri" w:cs="Calibri"/>
        </w:rPr>
      </w:pPr>
    </w:p>
    <w:p w14:paraId="240540DF" w14:textId="2185576E" w:rsidR="00600888" w:rsidRPr="00073DD7" w:rsidRDefault="0DF7C556" w:rsidP="00073DD7">
      <w:pPr>
        <w:spacing w:line="360" w:lineRule="auto"/>
        <w:jc w:val="both"/>
        <w:rPr>
          <w:rFonts w:ascii="Calibri" w:eastAsia="Calibri" w:hAnsi="Calibri" w:cs="Calibri"/>
          <w:b/>
          <w:bCs/>
          <w:u w:val="single"/>
        </w:rPr>
      </w:pPr>
      <w:r w:rsidRPr="00073DD7">
        <w:rPr>
          <w:rFonts w:ascii="Calibri" w:eastAsia="Calibri" w:hAnsi="Calibri" w:cs="Calibri"/>
          <w:b/>
          <w:bCs/>
          <w:u w:val="single"/>
        </w:rPr>
        <w:t xml:space="preserve">Methodology: </w:t>
      </w:r>
    </w:p>
    <w:p w14:paraId="4C1E5E87"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 xml:space="preserve">There is not one agreed objective definition of the term Research. Many scholars and academics have come up with several definitions. Many researchers such as Heibert, et al (2022) have </w:t>
      </w:r>
      <w:proofErr w:type="spellStart"/>
      <w:r w:rsidRPr="003B535D">
        <w:rPr>
          <w:rFonts w:ascii="Calibri" w:eastAsia="Calibri" w:hAnsi="Calibri" w:cs="Calibri"/>
        </w:rPr>
        <w:t>utilised</w:t>
      </w:r>
      <w:proofErr w:type="spellEnd"/>
      <w:r w:rsidRPr="003B535D">
        <w:rPr>
          <w:rFonts w:ascii="Calibri" w:eastAsia="Calibri" w:hAnsi="Calibri" w:cs="Calibri"/>
        </w:rPr>
        <w:t xml:space="preserve"> research to measure collecting information and he also states that our sources should be reliable for our research. According to the Oxford English Dictionary definition (2024), research is systematic study which allows us to establish facts in our sources to reach a new conclusion.  </w:t>
      </w:r>
    </w:p>
    <w:p w14:paraId="441D3AA8"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lastRenderedPageBreak/>
        <w:t xml:space="preserve">Kerlinger (1973) </w:t>
      </w:r>
      <w:proofErr w:type="spellStart"/>
      <w:r w:rsidRPr="003B535D">
        <w:rPr>
          <w:rFonts w:ascii="Calibri" w:eastAsia="Calibri" w:hAnsi="Calibri" w:cs="Calibri"/>
        </w:rPr>
        <w:t>emphasises</w:t>
      </w:r>
      <w:proofErr w:type="spellEnd"/>
      <w:r w:rsidRPr="003B535D">
        <w:rPr>
          <w:rFonts w:ascii="Calibri" w:eastAsia="Calibri" w:hAnsi="Calibri" w:cs="Calibri"/>
        </w:rPr>
        <w:t xml:space="preserve"> the investigative aspect of research in defining it as a systematic critical investigation of hypothetical proposals. What these definitions have in common is a view that research is a systematic procedure which relies on the support of reliable evidence to find answers to questions or improve current knowledge and understanding (Kerlinger, 1973) and (Oxford English Dictionary, 2024).  </w:t>
      </w:r>
    </w:p>
    <w:p w14:paraId="3060222A"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 xml:space="preserve">Research is important in the field of Early Years Education because it allows practitioners to reinforce the best practice, Heale and Twycross (2015).  To investigate the effect of research studies, Heale and Twycross (2015) state the importance of reliable research and they also state the reliability of quantitative research. The meaning of rigor is to examine the quality of how reliable the research is (Heale and Twycross, 2015). Johnson (2020) suggests that using the rigor method allows us to conduct the best possible outcome of quantitative research. In approach rigor in our research, both Heale and Twycross (2015) and Johnson (2020), both agree that the rigor approach allows researchers to conduct qualitive research.  </w:t>
      </w:r>
    </w:p>
    <w:p w14:paraId="730B64A5" w14:textId="77777777" w:rsidR="003B535D" w:rsidRPr="00A3572A" w:rsidRDefault="003B535D" w:rsidP="003B535D">
      <w:pPr>
        <w:spacing w:line="360" w:lineRule="auto"/>
        <w:jc w:val="both"/>
        <w:rPr>
          <w:rFonts w:ascii="Calibri" w:eastAsia="Calibri" w:hAnsi="Calibri" w:cs="Calibri"/>
          <w:b/>
          <w:bCs/>
        </w:rPr>
      </w:pPr>
      <w:r w:rsidRPr="00A3572A">
        <w:rPr>
          <w:rFonts w:ascii="Calibri" w:eastAsia="Calibri" w:hAnsi="Calibri" w:cs="Calibri"/>
          <w:b/>
          <w:bCs/>
        </w:rPr>
        <w:t xml:space="preserve">Qualitative and Quantitative  </w:t>
      </w:r>
    </w:p>
    <w:p w14:paraId="17210169"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There are three main types of approach to identify the meaning of research. These are Qualitative, Quantitative and the Mixed Method Approach. (</w:t>
      </w:r>
      <w:proofErr w:type="spellStart"/>
      <w:r w:rsidRPr="003B535D">
        <w:rPr>
          <w:rFonts w:ascii="Calibri" w:eastAsia="Calibri" w:hAnsi="Calibri" w:cs="Calibri"/>
        </w:rPr>
        <w:t>Taherdoost</w:t>
      </w:r>
      <w:proofErr w:type="spellEnd"/>
      <w:r w:rsidRPr="003B535D">
        <w:rPr>
          <w:rFonts w:ascii="Calibri" w:eastAsia="Calibri" w:hAnsi="Calibri" w:cs="Calibri"/>
        </w:rPr>
        <w:t xml:space="preserve">, 2022).  </w:t>
      </w:r>
    </w:p>
    <w:p w14:paraId="683FC92C"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 xml:space="preserve">The Quantitative method is used to measure numerical data to draw a conclusion. </w:t>
      </w:r>
      <w:proofErr w:type="spellStart"/>
      <w:r w:rsidRPr="003B535D">
        <w:rPr>
          <w:rFonts w:ascii="Calibri" w:eastAsia="Calibri" w:hAnsi="Calibri" w:cs="Calibri"/>
        </w:rPr>
        <w:t>Taherdoost</w:t>
      </w:r>
      <w:proofErr w:type="spellEnd"/>
      <w:r w:rsidRPr="003B535D">
        <w:rPr>
          <w:rFonts w:ascii="Calibri" w:eastAsia="Calibri" w:hAnsi="Calibri" w:cs="Calibri"/>
        </w:rPr>
        <w:t xml:space="preserve"> (2022) defines quantitative research as a method of deriving numerical data from observation to explain the phenomena that observation can reflect. He further points out that the quantitative method does not exclusively use numerical data but may also employ words in the form of descriptions or statements for example, about beliefs (</w:t>
      </w:r>
      <w:proofErr w:type="spellStart"/>
      <w:r w:rsidRPr="003B535D">
        <w:rPr>
          <w:rFonts w:ascii="Calibri" w:eastAsia="Calibri" w:hAnsi="Calibri" w:cs="Calibri"/>
        </w:rPr>
        <w:t>Taherdoost</w:t>
      </w:r>
      <w:proofErr w:type="spellEnd"/>
      <w:r w:rsidRPr="003B535D">
        <w:rPr>
          <w:rFonts w:ascii="Calibri" w:eastAsia="Calibri" w:hAnsi="Calibri" w:cs="Calibri"/>
        </w:rPr>
        <w:t xml:space="preserve">, 2022). These beliefs may be </w:t>
      </w:r>
      <w:proofErr w:type="spellStart"/>
      <w:r w:rsidRPr="003B535D">
        <w:rPr>
          <w:rFonts w:ascii="Calibri" w:eastAsia="Calibri" w:hAnsi="Calibri" w:cs="Calibri"/>
        </w:rPr>
        <w:t>analysed</w:t>
      </w:r>
      <w:proofErr w:type="spellEnd"/>
      <w:r w:rsidRPr="003B535D">
        <w:rPr>
          <w:rFonts w:ascii="Calibri" w:eastAsia="Calibri" w:hAnsi="Calibri" w:cs="Calibri"/>
        </w:rPr>
        <w:t xml:space="preserve"> by using the quantitative method. According to </w:t>
      </w:r>
      <w:proofErr w:type="spellStart"/>
      <w:r w:rsidRPr="003B535D">
        <w:rPr>
          <w:rFonts w:ascii="Calibri" w:eastAsia="Calibri" w:hAnsi="Calibri" w:cs="Calibri"/>
        </w:rPr>
        <w:t>Barrogo</w:t>
      </w:r>
      <w:proofErr w:type="spellEnd"/>
      <w:r w:rsidRPr="003B535D">
        <w:rPr>
          <w:rFonts w:ascii="Calibri" w:eastAsia="Calibri" w:hAnsi="Calibri" w:cs="Calibri"/>
        </w:rPr>
        <w:t xml:space="preserve"> (2022), quantitative methods can be used to describe the relation between one or more research questions. The use of quantitative case studies is a well-established approach in discovering differences between groups which allows us to see both the similarities and differences (</w:t>
      </w:r>
      <w:proofErr w:type="spellStart"/>
      <w:r w:rsidRPr="003B535D">
        <w:rPr>
          <w:rFonts w:ascii="Calibri" w:eastAsia="Calibri" w:hAnsi="Calibri" w:cs="Calibri"/>
        </w:rPr>
        <w:t>Barrogo</w:t>
      </w:r>
      <w:proofErr w:type="spellEnd"/>
      <w:r w:rsidRPr="003B535D">
        <w:rPr>
          <w:rFonts w:ascii="Calibri" w:eastAsia="Calibri" w:hAnsi="Calibri" w:cs="Calibri"/>
        </w:rPr>
        <w:t xml:space="preserve">, 2022). </w:t>
      </w:r>
    </w:p>
    <w:p w14:paraId="72158761"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 xml:space="preserve">The results of a questionnaire, for example, which uses declarative statements can be collated and </w:t>
      </w:r>
      <w:proofErr w:type="spellStart"/>
      <w:r w:rsidRPr="003B535D">
        <w:rPr>
          <w:rFonts w:ascii="Calibri" w:eastAsia="Calibri" w:hAnsi="Calibri" w:cs="Calibri"/>
        </w:rPr>
        <w:t>analysed</w:t>
      </w:r>
      <w:proofErr w:type="spellEnd"/>
      <w:r w:rsidRPr="003B535D">
        <w:rPr>
          <w:rFonts w:ascii="Calibri" w:eastAsia="Calibri" w:hAnsi="Calibri" w:cs="Calibri"/>
        </w:rPr>
        <w:t xml:space="preserve"> numerically. Quantitative and Qualitative research methods cannot therefore be regarded as entirely mutually exclusive (</w:t>
      </w:r>
      <w:proofErr w:type="spellStart"/>
      <w:r w:rsidRPr="003B535D">
        <w:rPr>
          <w:rFonts w:ascii="Calibri" w:eastAsia="Calibri" w:hAnsi="Calibri" w:cs="Calibri"/>
        </w:rPr>
        <w:t>Taherdoost</w:t>
      </w:r>
      <w:proofErr w:type="spellEnd"/>
      <w:r w:rsidRPr="003B535D">
        <w:rPr>
          <w:rFonts w:ascii="Calibri" w:eastAsia="Calibri" w:hAnsi="Calibri" w:cs="Calibri"/>
        </w:rPr>
        <w:t xml:space="preserve">, 2022). </w:t>
      </w:r>
    </w:p>
    <w:p w14:paraId="3EF791BE" w14:textId="77777777" w:rsidR="003B535D" w:rsidRPr="003B535D" w:rsidRDefault="003B535D" w:rsidP="003B535D">
      <w:pPr>
        <w:spacing w:line="360" w:lineRule="auto"/>
        <w:jc w:val="both"/>
        <w:rPr>
          <w:rFonts w:ascii="Calibri" w:eastAsia="Calibri" w:hAnsi="Calibri" w:cs="Calibri"/>
        </w:rPr>
      </w:pPr>
    </w:p>
    <w:p w14:paraId="3A9F0974" w14:textId="77777777" w:rsidR="003B535D" w:rsidRPr="00A3572A" w:rsidRDefault="003B535D" w:rsidP="003B535D">
      <w:pPr>
        <w:spacing w:line="360" w:lineRule="auto"/>
        <w:jc w:val="both"/>
        <w:rPr>
          <w:rFonts w:ascii="Calibri" w:eastAsia="Calibri" w:hAnsi="Calibri" w:cs="Calibri"/>
          <w:b/>
          <w:bCs/>
        </w:rPr>
      </w:pPr>
      <w:r w:rsidRPr="00A3572A">
        <w:rPr>
          <w:rFonts w:ascii="Calibri" w:eastAsia="Calibri" w:hAnsi="Calibri" w:cs="Calibri"/>
          <w:b/>
          <w:bCs/>
        </w:rPr>
        <w:t xml:space="preserve"> The Qualitative Approach  </w:t>
      </w:r>
    </w:p>
    <w:p w14:paraId="023A8268"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 xml:space="preserve">The qualitative approach is to collect and </w:t>
      </w:r>
      <w:proofErr w:type="spellStart"/>
      <w:r w:rsidRPr="003B535D">
        <w:rPr>
          <w:rFonts w:ascii="Calibri" w:eastAsia="Calibri" w:hAnsi="Calibri" w:cs="Calibri"/>
        </w:rPr>
        <w:t>analyse</w:t>
      </w:r>
      <w:proofErr w:type="spellEnd"/>
      <w:r w:rsidRPr="003B535D">
        <w:rPr>
          <w:rFonts w:ascii="Calibri" w:eastAsia="Calibri" w:hAnsi="Calibri" w:cs="Calibri"/>
        </w:rPr>
        <w:t xml:space="preserve"> research data that is descriptive and is based on the collection of data from primary, first-hand sources (Aspers, 2019). In this article, Aspers (2019) argues that case studies and observation of routine is a form of qualitative approach. The difference between the qualitative approach and methods is that it cannot be defined by number, but on the other hand qualitative research methods can be collated and reported numerically (Aspers, 2019).  </w:t>
      </w:r>
    </w:p>
    <w:p w14:paraId="19A98C67"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 xml:space="preserve">One of the most important considerations of this study is that the qualitative method allows researchers to answer questions such as what and why, and how this method might work better to conduct the research question (NHS England, 2017). There are at least three methods that are used for qualitative approach interviews, focus groups and observation. In approaching these methods, they can be combined to reach a conclusion, it also may be useful to use more than one approach as these approaches all have strengths and weaknesses (NHS England, 2017). </w:t>
      </w:r>
    </w:p>
    <w:p w14:paraId="223F0CED" w14:textId="326ADB84"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 xml:space="preserve">One limitation to qualitative approach is that it will allow you to have insight on how people feel about the research question, but it cannot tell other people’s opinions who are not taking part in the interviews, focus groups and observation (NHS England, 2017).  </w:t>
      </w:r>
    </w:p>
    <w:p w14:paraId="67DFA508" w14:textId="77777777" w:rsidR="003B535D" w:rsidRPr="00A3572A" w:rsidRDefault="003B535D" w:rsidP="003B535D">
      <w:pPr>
        <w:spacing w:line="360" w:lineRule="auto"/>
        <w:jc w:val="both"/>
        <w:rPr>
          <w:rFonts w:ascii="Calibri" w:eastAsia="Calibri" w:hAnsi="Calibri" w:cs="Calibri"/>
          <w:b/>
          <w:bCs/>
        </w:rPr>
      </w:pPr>
      <w:r w:rsidRPr="00A3572A">
        <w:rPr>
          <w:rFonts w:ascii="Calibri" w:eastAsia="Calibri" w:hAnsi="Calibri" w:cs="Calibri"/>
          <w:b/>
          <w:bCs/>
        </w:rPr>
        <w:t xml:space="preserve">Mixed Method Approach  </w:t>
      </w:r>
    </w:p>
    <w:p w14:paraId="09CB01F2"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The first aspect to note about the mixed method approach is that it combines and integrates quantitative and qualitative data (</w:t>
      </w:r>
      <w:proofErr w:type="spellStart"/>
      <w:r w:rsidRPr="003B535D">
        <w:rPr>
          <w:rFonts w:ascii="Calibri" w:eastAsia="Calibri" w:hAnsi="Calibri" w:cs="Calibri"/>
        </w:rPr>
        <w:t>Schooneboom</w:t>
      </w:r>
      <w:proofErr w:type="spellEnd"/>
      <w:r w:rsidRPr="003B535D">
        <w:rPr>
          <w:rFonts w:ascii="Calibri" w:eastAsia="Calibri" w:hAnsi="Calibri" w:cs="Calibri"/>
        </w:rPr>
        <w:t xml:space="preserve">, 2023). According to </w:t>
      </w:r>
      <w:proofErr w:type="spellStart"/>
      <w:r w:rsidRPr="003B535D">
        <w:rPr>
          <w:rFonts w:ascii="Calibri" w:eastAsia="Calibri" w:hAnsi="Calibri" w:cs="Calibri"/>
        </w:rPr>
        <w:t>Taherdoost</w:t>
      </w:r>
      <w:proofErr w:type="spellEnd"/>
      <w:r w:rsidRPr="003B535D">
        <w:rPr>
          <w:rFonts w:ascii="Calibri" w:eastAsia="Calibri" w:hAnsi="Calibri" w:cs="Calibri"/>
        </w:rPr>
        <w:t xml:space="preserve"> (2022), the mixed method approach can benefit researchers to tackle complex research.  </w:t>
      </w:r>
    </w:p>
    <w:p w14:paraId="4C1652D1" w14:textId="77777777" w:rsidR="003B535D" w:rsidRPr="003B535D" w:rsidRDefault="003B535D" w:rsidP="003B535D">
      <w:pPr>
        <w:spacing w:line="360" w:lineRule="auto"/>
        <w:jc w:val="both"/>
        <w:rPr>
          <w:rFonts w:ascii="Calibri" w:eastAsia="Calibri" w:hAnsi="Calibri" w:cs="Calibri"/>
        </w:rPr>
      </w:pPr>
      <w:proofErr w:type="spellStart"/>
      <w:r w:rsidRPr="003B535D">
        <w:rPr>
          <w:rFonts w:ascii="Calibri" w:eastAsia="Calibri" w:hAnsi="Calibri" w:cs="Calibri"/>
        </w:rPr>
        <w:t>Taherdoost</w:t>
      </w:r>
      <w:proofErr w:type="spellEnd"/>
      <w:r w:rsidRPr="003B535D">
        <w:rPr>
          <w:rFonts w:ascii="Calibri" w:eastAsia="Calibri" w:hAnsi="Calibri" w:cs="Calibri"/>
        </w:rPr>
        <w:t xml:space="preserve"> (2022) maintains that the Mixed Method Approach to research can help social and healthcare workers where numerical data is available but qualitative data is essential to the integrity of the research. Secondly, the word mixed in mixed method approach is an essential step in the research process as it allows researchers to use data collection and data analysis. </w:t>
      </w:r>
      <w:proofErr w:type="spellStart"/>
      <w:r w:rsidRPr="003B535D">
        <w:rPr>
          <w:rFonts w:ascii="Calibri" w:eastAsia="Calibri" w:hAnsi="Calibri" w:cs="Calibri"/>
        </w:rPr>
        <w:t>Taherdoost</w:t>
      </w:r>
      <w:proofErr w:type="spellEnd"/>
      <w:r w:rsidRPr="003B535D">
        <w:rPr>
          <w:rFonts w:ascii="Calibri" w:eastAsia="Calibri" w:hAnsi="Calibri" w:cs="Calibri"/>
        </w:rPr>
        <w:t xml:space="preserve"> (2022) and Shorten (2017) both agree that the mixed method approach can help research to have a better understanding of the qualitative and quantitative method.  </w:t>
      </w:r>
    </w:p>
    <w:p w14:paraId="0F73F4B8" w14:textId="77777777" w:rsidR="003B535D" w:rsidRPr="00A3572A" w:rsidRDefault="003B535D" w:rsidP="003B535D">
      <w:pPr>
        <w:spacing w:line="360" w:lineRule="auto"/>
        <w:jc w:val="both"/>
        <w:rPr>
          <w:rFonts w:ascii="Calibri" w:eastAsia="Calibri" w:hAnsi="Calibri" w:cs="Calibri"/>
          <w:b/>
          <w:bCs/>
        </w:rPr>
      </w:pPr>
      <w:r w:rsidRPr="00A3572A">
        <w:rPr>
          <w:rFonts w:ascii="Calibri" w:eastAsia="Calibri" w:hAnsi="Calibri" w:cs="Calibri"/>
          <w:b/>
          <w:bCs/>
        </w:rPr>
        <w:lastRenderedPageBreak/>
        <w:t xml:space="preserve">Triangulation  </w:t>
      </w:r>
    </w:p>
    <w:p w14:paraId="6E7FF3AF"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 xml:space="preserve">Triangulation refers to the use of multiple methods or data sources in qualitative research to develop a comprehensive understanding of phenomena (Patton, 1999). According to Noble and Heale (2019), triangulation is a main factor that increases the credibility of research findings.  </w:t>
      </w:r>
    </w:p>
    <w:p w14:paraId="3DB46D4C"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The meaning of credibility is how believable a study is and to measure how accurately it reflects and evaluates what is being investigated (Noble and Heale, 2019). One key issue of a single method approach is having the inherent risk of biases, but on the other hand triangulation method can help to avoid this by combining theories, methods and observers to confirm findings (Noble and Heale, 2019). Furthermore, Noble and Heale (2019) and Patton (1999) both believe that it is important to use several reliable sources of qualitative research to double-check or back up hypotheses or ideas. Triangulation's aim in research is to understand the purpose and to examine different opinions and views and to have a clear understanding of these views (</w:t>
      </w:r>
      <w:proofErr w:type="spellStart"/>
      <w:r w:rsidRPr="003B535D">
        <w:rPr>
          <w:rFonts w:ascii="Calibri" w:eastAsia="Calibri" w:hAnsi="Calibri" w:cs="Calibri"/>
        </w:rPr>
        <w:t>Abbadia</w:t>
      </w:r>
      <w:proofErr w:type="spellEnd"/>
      <w:r w:rsidRPr="003B535D">
        <w:rPr>
          <w:rFonts w:ascii="Calibri" w:eastAsia="Calibri" w:hAnsi="Calibri" w:cs="Calibri"/>
        </w:rPr>
        <w:t xml:space="preserve">, 2023). There are different types of triangulations, proposed by Denzin (1978) and Noble and Heale (2019) explain the 4 types. One of these types is data triangulation which involves the collection of different types of data from people, for example families and early years practitioners to get more than one perspective. Data can also be triangulated for time, space and location, for example length of time, time of day.    </w:t>
      </w:r>
    </w:p>
    <w:p w14:paraId="4DD1C5AA" w14:textId="77777777" w:rsidR="003B535D" w:rsidRPr="00A3572A" w:rsidRDefault="003B535D" w:rsidP="003B535D">
      <w:pPr>
        <w:spacing w:line="360" w:lineRule="auto"/>
        <w:jc w:val="both"/>
        <w:rPr>
          <w:rFonts w:ascii="Calibri" w:eastAsia="Calibri" w:hAnsi="Calibri" w:cs="Calibri"/>
          <w:b/>
          <w:bCs/>
        </w:rPr>
      </w:pPr>
      <w:r w:rsidRPr="00A3572A">
        <w:rPr>
          <w:rFonts w:ascii="Calibri" w:eastAsia="Calibri" w:hAnsi="Calibri" w:cs="Calibri"/>
          <w:b/>
          <w:bCs/>
        </w:rPr>
        <w:t xml:space="preserve">Researcher methodology  </w:t>
      </w:r>
    </w:p>
    <w:p w14:paraId="0398E86C"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 xml:space="preserve">The method the researcher is intending to use is an interview and this will be conducted with children in an early-year-old nursery and with early-year-old practitioners. To establish whether an interview process is the researcher's most effective method, the research will investigate the strengths and weaknesses of this method. The researcher is going to </w:t>
      </w:r>
      <w:proofErr w:type="spellStart"/>
      <w:r w:rsidRPr="003B535D">
        <w:rPr>
          <w:rFonts w:ascii="Calibri" w:eastAsia="Calibri" w:hAnsi="Calibri" w:cs="Calibri"/>
        </w:rPr>
        <w:t>analyse</w:t>
      </w:r>
      <w:proofErr w:type="spellEnd"/>
      <w:r w:rsidRPr="003B535D">
        <w:rPr>
          <w:rFonts w:ascii="Calibri" w:eastAsia="Calibri" w:hAnsi="Calibri" w:cs="Calibri"/>
        </w:rPr>
        <w:t xml:space="preserve"> these systematically. Interviews are a primary data source and a qualitative data source. To have a better understanding of these, the researcher will use a qualitative method to conduct the research. Interviews are effective for qualitative research as they help us to explore and understand participants' experiences which are highly subjective. One of the benefits of an interview is that it is a richer source of information from a small number of people about feelings, attitudes, </w:t>
      </w:r>
      <w:r w:rsidRPr="003B535D">
        <w:rPr>
          <w:rFonts w:ascii="Calibri" w:eastAsia="Calibri" w:hAnsi="Calibri" w:cs="Calibri"/>
        </w:rPr>
        <w:lastRenderedPageBreak/>
        <w:t xml:space="preserve">opinions and preferences (Rutledge, 2020). Interviews represent a qualitative approach to research methodology as it relies on information (Rutledge and Hogg, 2020).   </w:t>
      </w:r>
    </w:p>
    <w:p w14:paraId="1C192CA9"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 xml:space="preserve">The researcher will need to use Triangulation, namely investigator triangulation, to confirm the findings. For example, one could have another member of staff in the interview or make a transcript of the interview and get it checked by a person who was present at the interview.  The researcher will use Theory Triangulation to interpret the data from the interview, using theories about child development and play.  </w:t>
      </w:r>
    </w:p>
    <w:p w14:paraId="0CD3166E"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 xml:space="preserve">To begin, the researchers will introduce themselves and explain the aim of this interview and how they will use the data that they have collected. An article in her Sight (2023) states that introducing oneself sets the atmosphere for interview </w:t>
      </w:r>
      <w:proofErr w:type="gramStart"/>
      <w:r w:rsidRPr="003B535D">
        <w:rPr>
          <w:rFonts w:ascii="Calibri" w:eastAsia="Calibri" w:hAnsi="Calibri" w:cs="Calibri"/>
        </w:rPr>
        <w:t>and also</w:t>
      </w:r>
      <w:proofErr w:type="gramEnd"/>
      <w:r w:rsidRPr="003B535D">
        <w:rPr>
          <w:rFonts w:ascii="Calibri" w:eastAsia="Calibri" w:hAnsi="Calibri" w:cs="Calibri"/>
        </w:rPr>
        <w:t xml:space="preserve"> allows practitioners and children to build trust. To investigate how play affects a child’s emotional development, the research will obtain information from the interview. Questions will be simple open-ended questions for early years children and practitioners (Shannon, 2023). The main </w:t>
      </w:r>
      <w:proofErr w:type="gramStart"/>
      <w:r w:rsidRPr="003B535D">
        <w:rPr>
          <w:rFonts w:ascii="Calibri" w:eastAsia="Calibri" w:hAnsi="Calibri" w:cs="Calibri"/>
        </w:rPr>
        <w:t>benefits</w:t>
      </w:r>
      <w:proofErr w:type="gramEnd"/>
      <w:r w:rsidRPr="003B535D">
        <w:rPr>
          <w:rFonts w:ascii="Calibri" w:eastAsia="Calibri" w:hAnsi="Calibri" w:cs="Calibri"/>
        </w:rPr>
        <w:t xml:space="preserve"> of an open-ended question </w:t>
      </w:r>
      <w:proofErr w:type="gramStart"/>
      <w:r w:rsidRPr="003B535D">
        <w:rPr>
          <w:rFonts w:ascii="Calibri" w:eastAsia="Calibri" w:hAnsi="Calibri" w:cs="Calibri"/>
        </w:rPr>
        <w:t>is</w:t>
      </w:r>
      <w:proofErr w:type="gramEnd"/>
      <w:r w:rsidRPr="003B535D">
        <w:rPr>
          <w:rFonts w:ascii="Calibri" w:eastAsia="Calibri" w:hAnsi="Calibri" w:cs="Calibri"/>
        </w:rPr>
        <w:t xml:space="preserve"> that it allows children and practitioners to express their opinion without feeling there is a right or wrong answer. They also encourage longer discussion to ensure the researcher gains in-depth information around the research topic (Shannon, 2023). To avoid the child and practitioner feeling confused, the interviewer will ensure the question is clear and easy to understand. Open-ended questions allow children and practitioners to have that sense of independence which will guide them to find their own truth about how play effect their development. To make each child and practitioner feel comfortable, the interview will have a sequence of questions by grouping them in </w:t>
      </w:r>
      <w:proofErr w:type="gramStart"/>
      <w:r w:rsidRPr="003B535D">
        <w:rPr>
          <w:rFonts w:ascii="Calibri" w:eastAsia="Calibri" w:hAnsi="Calibri" w:cs="Calibri"/>
        </w:rPr>
        <w:t>theme</w:t>
      </w:r>
      <w:proofErr w:type="gramEnd"/>
      <w:r w:rsidRPr="003B535D">
        <w:rPr>
          <w:rFonts w:ascii="Calibri" w:eastAsia="Calibri" w:hAnsi="Calibri" w:cs="Calibri"/>
        </w:rPr>
        <w:t xml:space="preserve">, this will ensure that the researcher can easily move back and forth between questions and topics.  </w:t>
      </w:r>
    </w:p>
    <w:p w14:paraId="191034EF" w14:textId="77777777" w:rsidR="003B535D" w:rsidRPr="003B535D" w:rsidRDefault="003B535D" w:rsidP="003B535D">
      <w:pPr>
        <w:spacing w:line="360" w:lineRule="auto"/>
        <w:jc w:val="both"/>
        <w:rPr>
          <w:rFonts w:ascii="Calibri" w:eastAsia="Calibri" w:hAnsi="Calibri" w:cs="Calibri"/>
        </w:rPr>
      </w:pPr>
      <w:r w:rsidRPr="003B535D">
        <w:rPr>
          <w:rFonts w:ascii="Calibri" w:eastAsia="Calibri" w:hAnsi="Calibri" w:cs="Calibri"/>
        </w:rPr>
        <w:t xml:space="preserve">The interview schedule will comprise structured and open-ended questions to identify and explore how a recorded interview will proceed and helps the researcher to engage and listen to what the children and practitioners say (Clovers, 2022). I will use data triangulation to compare time, space and location. Another benefit of a recorded interview is that the researcher doesn’t rely on the participant’s memory, and it gives an accurate record of what each participant says. The research interview will take place in an area where they feel comfortable and secure. </w:t>
      </w:r>
      <w:r w:rsidRPr="003B535D">
        <w:rPr>
          <w:rFonts w:ascii="Calibri" w:eastAsia="Calibri" w:hAnsi="Calibri" w:cs="Calibri"/>
        </w:rPr>
        <w:lastRenderedPageBreak/>
        <w:t xml:space="preserve">Ensuring the child’s needs are being </w:t>
      </w:r>
      <w:proofErr w:type="gramStart"/>
      <w:r w:rsidRPr="003B535D">
        <w:rPr>
          <w:rFonts w:ascii="Calibri" w:eastAsia="Calibri" w:hAnsi="Calibri" w:cs="Calibri"/>
        </w:rPr>
        <w:t>met,</w:t>
      </w:r>
      <w:proofErr w:type="gramEnd"/>
      <w:r w:rsidRPr="003B535D">
        <w:rPr>
          <w:rFonts w:ascii="Calibri" w:eastAsia="Calibri" w:hAnsi="Calibri" w:cs="Calibri"/>
        </w:rPr>
        <w:t xml:space="preserve"> is a key consideration in conducting the interview. On the other hand, practitioners will be interviewed in a classroom or in a quiet area. The sample size the researcher will be using is ten children in the early years, and ten early years practitioners. This is to have a wide range of different opinions on how play affects a child’s emotional development. Each interview will take around ten minutes to ensure that each question is addressing the topic question. On the other hand, if children are losing interest, the researcher will repeat, under conditions which will adjust the factors in the conduct of the interview. The research will ensure that consent will be obtained during this process and the research will explain the policy and where the data of the child or practitioner will be stored. The research will use a consent form which will go out to parents/carers to sign that they allow their child’s information to be used for this research topic.  </w:t>
      </w:r>
    </w:p>
    <w:p w14:paraId="60641C57" w14:textId="7091FA50" w:rsidR="00600888" w:rsidRPr="00073DD7" w:rsidRDefault="00600888" w:rsidP="00073DD7">
      <w:pPr>
        <w:spacing w:after="240" w:line="360" w:lineRule="auto"/>
        <w:jc w:val="both"/>
        <w:rPr>
          <w:rFonts w:ascii="Calibri" w:eastAsia="Calibri" w:hAnsi="Calibri" w:cs="Calibri"/>
          <w:b/>
          <w:bCs/>
          <w:i/>
          <w:iCs/>
          <w:u w:val="single"/>
        </w:rPr>
      </w:pPr>
    </w:p>
    <w:p w14:paraId="576036FF" w14:textId="77777777" w:rsidR="002656D4" w:rsidRDefault="002656D4" w:rsidP="00073DD7">
      <w:pPr>
        <w:spacing w:after="240" w:line="360" w:lineRule="auto"/>
        <w:rPr>
          <w:rFonts w:ascii="Calibri" w:eastAsia="Calibri" w:hAnsi="Calibri" w:cs="Calibri"/>
          <w:b/>
          <w:bCs/>
        </w:rPr>
      </w:pPr>
      <w:r w:rsidRPr="00073DD7">
        <w:rPr>
          <w:rFonts w:ascii="Calibri" w:eastAsia="Calibri" w:hAnsi="Calibri" w:cs="Calibri"/>
          <w:b/>
          <w:bCs/>
        </w:rPr>
        <w:t xml:space="preserve">Ethics </w:t>
      </w:r>
    </w:p>
    <w:p w14:paraId="366CEF7D" w14:textId="77777777" w:rsidR="00A3572A" w:rsidRPr="00A3572A" w:rsidRDefault="00A3572A" w:rsidP="00A3572A">
      <w:pPr>
        <w:spacing w:after="240" w:line="360" w:lineRule="auto"/>
        <w:rPr>
          <w:rFonts w:ascii="Calibri" w:eastAsia="Calibri" w:hAnsi="Calibri" w:cs="Calibri"/>
        </w:rPr>
      </w:pPr>
      <w:r w:rsidRPr="00A3572A">
        <w:rPr>
          <w:rFonts w:ascii="Calibri" w:eastAsia="Calibri" w:hAnsi="Calibri" w:cs="Calibri"/>
        </w:rPr>
        <w:t>Ethical issues arise in all aspects of research and at all stages of the research process. However, ethical issues gain even more importance when the subjects of the research are young children.</w:t>
      </w:r>
    </w:p>
    <w:p w14:paraId="0C2C65DB" w14:textId="77777777" w:rsidR="00A3572A" w:rsidRPr="00A3572A" w:rsidRDefault="00A3572A" w:rsidP="00A3572A">
      <w:pPr>
        <w:spacing w:after="240" w:line="360" w:lineRule="auto"/>
        <w:rPr>
          <w:rFonts w:ascii="Calibri" w:eastAsia="Calibri" w:hAnsi="Calibri" w:cs="Calibri"/>
        </w:rPr>
      </w:pPr>
      <w:r w:rsidRPr="00A3572A">
        <w:rPr>
          <w:rFonts w:ascii="Calibri" w:eastAsia="Calibri" w:hAnsi="Calibri" w:cs="Calibri"/>
        </w:rPr>
        <w:t xml:space="preserve">Harcourt (2011), in an article in the publication, states that the purpose of research in childhood studies enables us to understand early years, and to support us to gain new knowledge of children’s experiences and children’s perspective. Its importance of hearing the child’s voice in research studies is imperative. It is a well-known fact that vast bodies of research material on childhood tend to ignore the child’s perspective. Harcourt (2011) claims that this is known as the looking down standpoint but on the other hand, Alanen (1998), advocates an alternative which is the looking up perspective which involves trying to understand children’s viewpoint on their own experiences and environment. Article 12 of the UNCRC [United Nations Charter on the Rights of the Child] (No date) children should have their voices heard and have informed conduct of research into Early Years. </w:t>
      </w:r>
    </w:p>
    <w:p w14:paraId="1E4C3510" w14:textId="77777777" w:rsidR="00A3572A" w:rsidRPr="00A3572A" w:rsidRDefault="00A3572A" w:rsidP="00A3572A">
      <w:pPr>
        <w:spacing w:after="240" w:line="360" w:lineRule="auto"/>
        <w:rPr>
          <w:rFonts w:ascii="Calibri" w:eastAsia="Calibri" w:hAnsi="Calibri" w:cs="Calibri"/>
        </w:rPr>
      </w:pPr>
      <w:r w:rsidRPr="00A3572A">
        <w:rPr>
          <w:rFonts w:ascii="Calibri" w:eastAsia="Calibri" w:hAnsi="Calibri" w:cs="Calibri"/>
        </w:rPr>
        <w:t xml:space="preserve">Researchers must be mindful of the inequality in the relationship of participants in research into the Early Years. There is an inevitable power imbalance in the relationship, which may </w:t>
      </w:r>
      <w:r w:rsidRPr="00A3572A">
        <w:rPr>
          <w:rFonts w:ascii="Calibri" w:eastAsia="Calibri" w:hAnsi="Calibri" w:cs="Calibri"/>
        </w:rPr>
        <w:lastRenderedPageBreak/>
        <w:t xml:space="preserve">make children feel vulnerable as they may depend on the adult they look up to (Harcourt, 2011). According to Mayne (2018), practitioners should allow children to emprise their voices and this should be provided by opportunities. Ethical considerations in the conduct of educational research are intended to protect the rights of all those involved in the research and, indeed, all participants in the findings, this means the research subject, the children and researchers (Mayne, 2018). </w:t>
      </w:r>
    </w:p>
    <w:p w14:paraId="6C9C6A9F" w14:textId="77777777" w:rsidR="00A3572A" w:rsidRPr="00A3572A" w:rsidRDefault="00A3572A" w:rsidP="00A3572A">
      <w:pPr>
        <w:spacing w:after="240" w:line="360" w:lineRule="auto"/>
        <w:rPr>
          <w:rFonts w:ascii="Calibri" w:eastAsia="Calibri" w:hAnsi="Calibri" w:cs="Calibri"/>
          <w:b/>
          <w:bCs/>
        </w:rPr>
      </w:pPr>
      <w:r w:rsidRPr="00A3572A">
        <w:rPr>
          <w:rFonts w:ascii="Calibri" w:eastAsia="Calibri" w:hAnsi="Calibri" w:cs="Calibri"/>
          <w:b/>
          <w:bCs/>
        </w:rPr>
        <w:t xml:space="preserve">Consent </w:t>
      </w:r>
    </w:p>
    <w:p w14:paraId="47B33E5D" w14:textId="77777777" w:rsidR="00A3572A" w:rsidRPr="00A3572A" w:rsidRDefault="00A3572A" w:rsidP="00A3572A">
      <w:pPr>
        <w:spacing w:after="240" w:line="360" w:lineRule="auto"/>
        <w:rPr>
          <w:rFonts w:ascii="Calibri" w:eastAsia="Calibri" w:hAnsi="Calibri" w:cs="Calibri"/>
        </w:rPr>
      </w:pPr>
      <w:r w:rsidRPr="00A3572A">
        <w:rPr>
          <w:rFonts w:ascii="Calibri" w:eastAsia="Calibri" w:hAnsi="Calibri" w:cs="Calibri"/>
        </w:rPr>
        <w:t>Research is a partnership between participants and partnerships depend on trust and consent (Gaurav, 2019). It is the pupils, parents and practitioners who provide the consent, the parents being the ones who give the legal consent. Informed consent is gained or refused by giving a clear explanation in language appropriate to the child or caregiver, of the purpose and structure of the research, in this case, the interviews. Explaining to parents can be done in a formal and informal setting such as a meeting with a group of parents/caregivers as well as answering questions and addressing concerns raised by individual parents in informal encounters. It is important to give parents time to consider their decision (Gaurav, 2019).  What is important is to make sure parents/caregivers understand what will be done with the findings of the research and how this will positively impact their child’s experience, wellbeing and progress at school and at home. It is also important to make it clear that there are no negative consequences to refusing to participate in the research and that the child or caregiver can withdraw at any stage (Harcourt, 2011)</w:t>
      </w:r>
    </w:p>
    <w:p w14:paraId="426C3F24" w14:textId="77777777" w:rsidR="00A3572A" w:rsidRPr="00A3572A" w:rsidRDefault="00A3572A" w:rsidP="00A3572A">
      <w:pPr>
        <w:spacing w:after="240" w:line="360" w:lineRule="auto"/>
        <w:rPr>
          <w:rFonts w:ascii="Calibri" w:eastAsia="Calibri" w:hAnsi="Calibri" w:cs="Calibri"/>
        </w:rPr>
      </w:pPr>
      <w:proofErr w:type="gramStart"/>
      <w:r w:rsidRPr="00A3572A">
        <w:rPr>
          <w:rFonts w:ascii="Calibri" w:eastAsia="Calibri" w:hAnsi="Calibri" w:cs="Calibri"/>
        </w:rPr>
        <w:t>Informed</w:t>
      </w:r>
      <w:proofErr w:type="gramEnd"/>
      <w:r w:rsidRPr="00A3572A">
        <w:rPr>
          <w:rFonts w:ascii="Calibri" w:eastAsia="Calibri" w:hAnsi="Calibri" w:cs="Calibri"/>
        </w:rPr>
        <w:t xml:space="preserve"> consent is crucial in any research project but there are also many challenges and barriers which would affect the legitimization in gaining consent to research with children in the early years. Harcourt (2011) and (Perry 2003) both agree that children play a key factor in research and that is why listening to children also has a potential to show parents/caregivers the outcome of these experiences. </w:t>
      </w:r>
    </w:p>
    <w:p w14:paraId="4DBF1B3F" w14:textId="77777777" w:rsidR="00A3572A" w:rsidRPr="00A3572A" w:rsidRDefault="00A3572A" w:rsidP="00A3572A">
      <w:pPr>
        <w:spacing w:after="240" w:line="360" w:lineRule="auto"/>
        <w:rPr>
          <w:rFonts w:ascii="Calibri" w:eastAsia="Calibri" w:hAnsi="Calibri" w:cs="Calibri"/>
        </w:rPr>
      </w:pPr>
      <w:r w:rsidRPr="00A3572A">
        <w:rPr>
          <w:rFonts w:ascii="Calibri" w:eastAsia="Calibri" w:hAnsi="Calibri" w:cs="Calibri"/>
        </w:rPr>
        <w:t xml:space="preserve">It is not always easy to assess whether young children have a clear understanding as children tend to respond to adults with the correct answer. Key to avoiding this is to gain a form of </w:t>
      </w:r>
      <w:r w:rsidRPr="00A3572A">
        <w:rPr>
          <w:rFonts w:ascii="Calibri" w:eastAsia="Calibri" w:hAnsi="Calibri" w:cs="Calibri"/>
        </w:rPr>
        <w:lastRenderedPageBreak/>
        <w:t>professional trust in a relationship, trust and security with the child (Harcourt, 2011). Another key factor is the adult researchers are essential for gaining meaningful consent from the child and collaborative participation. My explanations would be in the form of effective dialogue with the child participants. For effective dialogue to take place and for the child to be empowered to decide about participation, the researcher will use language which would be very important. Using words that are familiar to the child can help. Using language that is part of the classroom culture, for example in relation to emotions and feelings, is also important. To ensure that the child has agency, collaborative language should be used, such as, “Let’s talk about what we can do together”. In setting up the framework for the researcher interview, the researcher believes it is vital that the children can make connections between the research and their experience and how the outcomes of the research will improve their experience.</w:t>
      </w:r>
    </w:p>
    <w:p w14:paraId="3785318E" w14:textId="77777777" w:rsidR="00A3572A" w:rsidRPr="00A3572A" w:rsidRDefault="00A3572A" w:rsidP="00A3572A">
      <w:pPr>
        <w:spacing w:after="240" w:line="360" w:lineRule="auto"/>
        <w:rPr>
          <w:rFonts w:ascii="Calibri" w:eastAsia="Calibri" w:hAnsi="Calibri" w:cs="Calibri"/>
        </w:rPr>
      </w:pPr>
      <w:r w:rsidRPr="00A3572A">
        <w:rPr>
          <w:rFonts w:ascii="Calibri" w:eastAsia="Calibri" w:hAnsi="Calibri" w:cs="Calibri"/>
        </w:rPr>
        <w:t xml:space="preserve">With the principles of informed consent in mind, the researcher would wish to conduct their research in a setting where they have spent some time, such as placement setting. This would mean that the researcher will build meaningful relationships with the children in the study in a familiar setting and overtime. An understanding of the children, including prior knowledge of their individual characteristics, would enable the researcher to make informed decisions about the framework of research and how best to engage with the participants. The researcher will need to have a former record of consent before the research starts. Where interviews are recorded, consent can be recorded during the interview. Transcripts of the interview should be made and validated as correct. This can be verified by having another experienced practitioner in the room. Having another person present is also important for safeguarding. </w:t>
      </w:r>
    </w:p>
    <w:p w14:paraId="0BCADD1F" w14:textId="77777777" w:rsidR="00A3572A" w:rsidRPr="00A3572A" w:rsidRDefault="00A3572A" w:rsidP="00A3572A">
      <w:pPr>
        <w:spacing w:after="240" w:line="360" w:lineRule="auto"/>
        <w:rPr>
          <w:rFonts w:ascii="Calibri" w:eastAsia="Calibri" w:hAnsi="Calibri" w:cs="Calibri"/>
        </w:rPr>
      </w:pPr>
      <w:r w:rsidRPr="00A3572A">
        <w:rPr>
          <w:rFonts w:ascii="Calibri" w:eastAsia="Calibri" w:hAnsi="Calibri" w:cs="Calibri"/>
        </w:rPr>
        <w:t>The ethical considerations which should guide consent in Early Years research can be summarized in a model of the interactive narrative approach to informed consent devised (British Educational research association, 2018). To ensure the quality of participation, they propose 4 Participation Rights which are the basis for Informed Consent. They are Information, Understanding, Voice and Influence. I hope I have covered all four principles in this section (British Educational research association, 2018).</w:t>
      </w:r>
    </w:p>
    <w:p w14:paraId="00919B26" w14:textId="77777777" w:rsidR="00A3572A" w:rsidRPr="00A3572A" w:rsidRDefault="00A3572A" w:rsidP="00A3572A">
      <w:pPr>
        <w:spacing w:after="240" w:line="360" w:lineRule="auto"/>
        <w:rPr>
          <w:rFonts w:ascii="Calibri" w:eastAsia="Calibri" w:hAnsi="Calibri" w:cs="Calibri"/>
        </w:rPr>
      </w:pPr>
      <w:r w:rsidRPr="00A3572A">
        <w:rPr>
          <w:rFonts w:ascii="Calibri" w:eastAsia="Calibri" w:hAnsi="Calibri" w:cs="Calibri"/>
        </w:rPr>
        <w:lastRenderedPageBreak/>
        <w:t>The BERA (2018) states that researchers must also consider the most useful ways of involving and informing participants at the end of the process on how to give feedback, how to share findings whilst preserving anonymity and confidentiality. It is a key factor in completing the research cycle by making the connection between the research findings and positive outcomes for participants. The findings of the researcher could, for example, be used to present a case to Governors for funding an outdoor play area or in supporting the case for prioritizing outdoor play in the school development plan. The key factor is that all stakeholders are involved at every stage of the process from beginning to end and to respect the partnership between participants, parents and the setting (British Educational research association, 2018).</w:t>
      </w:r>
    </w:p>
    <w:p w14:paraId="6CF9ACB6" w14:textId="77777777" w:rsidR="00A3572A" w:rsidRPr="00A3572A" w:rsidRDefault="00A3572A" w:rsidP="00A3572A">
      <w:pPr>
        <w:spacing w:after="240" w:line="360" w:lineRule="auto"/>
        <w:rPr>
          <w:rFonts w:ascii="Calibri" w:eastAsia="Calibri" w:hAnsi="Calibri" w:cs="Calibri"/>
          <w:b/>
          <w:bCs/>
        </w:rPr>
      </w:pPr>
      <w:r w:rsidRPr="00A3572A">
        <w:rPr>
          <w:rFonts w:ascii="Calibri" w:eastAsia="Calibri" w:hAnsi="Calibri" w:cs="Calibri"/>
          <w:b/>
          <w:bCs/>
        </w:rPr>
        <w:t xml:space="preserve">Confidentiality and Collecting and Storing Personal Information </w:t>
      </w:r>
    </w:p>
    <w:p w14:paraId="4163ACE4" w14:textId="77777777" w:rsidR="00A3572A" w:rsidRPr="00A3572A" w:rsidRDefault="00A3572A" w:rsidP="00A3572A">
      <w:pPr>
        <w:spacing w:after="240" w:line="360" w:lineRule="auto"/>
        <w:rPr>
          <w:rFonts w:ascii="Calibri" w:eastAsia="Calibri" w:hAnsi="Calibri" w:cs="Calibri"/>
        </w:rPr>
      </w:pPr>
      <w:r w:rsidRPr="00A3572A">
        <w:rPr>
          <w:rFonts w:ascii="Calibri" w:eastAsia="Calibri" w:hAnsi="Calibri" w:cs="Calibri"/>
        </w:rPr>
        <w:t>Another important ethical issue in conducting research into Early Years is that of storing personal information gathered during the research. Collecting and storing personal information is regulated by the (Data Protection Act, 2018). To comply with the Act, all participants’ personal information must be kept confidential. It states that children’s personal data needs special protection. The Data Protection Act (2018) states that every child has the same right as adults about their personal information. Also, even if a child is too young, they still have those rights (Data Protection Act, 2018).</w:t>
      </w:r>
    </w:p>
    <w:p w14:paraId="27EC8610" w14:textId="77777777" w:rsidR="00A3572A" w:rsidRPr="00A3572A" w:rsidRDefault="00A3572A" w:rsidP="00A3572A">
      <w:pPr>
        <w:spacing w:after="240" w:line="360" w:lineRule="auto"/>
        <w:rPr>
          <w:rFonts w:ascii="Calibri" w:eastAsia="Calibri" w:hAnsi="Calibri" w:cs="Calibri"/>
        </w:rPr>
      </w:pPr>
      <w:r w:rsidRPr="00A3572A">
        <w:rPr>
          <w:rFonts w:ascii="Calibri" w:eastAsia="Calibri" w:hAnsi="Calibri" w:cs="Calibri"/>
        </w:rPr>
        <w:t xml:space="preserve">Anonymity is an important component of confidentiality. When it comes to research at the chosen setting of the researcher, only those people within the setting who need to know a participant’s identity should know (BERA, 2018). It may not be necessary to disclose the identity of participants if findings are to be used to inform policy, improve practice or implement change. The findings of the research study can be reported in such a way </w:t>
      </w:r>
      <w:proofErr w:type="gramStart"/>
      <w:r w:rsidRPr="00A3572A">
        <w:rPr>
          <w:rFonts w:ascii="Calibri" w:eastAsia="Calibri" w:hAnsi="Calibri" w:cs="Calibri"/>
        </w:rPr>
        <w:t>so as</w:t>
      </w:r>
      <w:proofErr w:type="gramEnd"/>
      <w:r w:rsidRPr="00A3572A">
        <w:rPr>
          <w:rFonts w:ascii="Calibri" w:eastAsia="Calibri" w:hAnsi="Calibri" w:cs="Calibri"/>
        </w:rPr>
        <w:t xml:space="preserve"> not to disclose the identity of the participating children (BERA, 2018). Confidentiality is made more difficult where the number of participants is small.  Another factor cares also needs to be taken into consideration especially if the findings are to be shared beyond the setting itself (BERA, 2018). Given the age of the participants, the issues and concerns that apply to all research take on even greater importance (BERA, 2018).  </w:t>
      </w:r>
    </w:p>
    <w:p w14:paraId="7C3A92C1" w14:textId="37DFE87B" w:rsidR="003B535D" w:rsidRPr="003B535D" w:rsidRDefault="00A3572A" w:rsidP="00A3572A">
      <w:pPr>
        <w:spacing w:after="240" w:line="360" w:lineRule="auto"/>
        <w:rPr>
          <w:rFonts w:ascii="Calibri" w:eastAsia="Calibri" w:hAnsi="Calibri" w:cs="Calibri"/>
        </w:rPr>
      </w:pPr>
      <w:r w:rsidRPr="00A3572A">
        <w:rPr>
          <w:rFonts w:ascii="Calibri" w:eastAsia="Calibri" w:hAnsi="Calibri" w:cs="Calibri"/>
        </w:rPr>
        <w:lastRenderedPageBreak/>
        <w:t>In this section the researcher has addressed the ethical issues that arise in the context of research into early childhood.</w:t>
      </w:r>
    </w:p>
    <w:p w14:paraId="441F602F" w14:textId="77777777" w:rsidR="009B054B" w:rsidRPr="00073DD7" w:rsidRDefault="009B054B" w:rsidP="00073DD7">
      <w:pPr>
        <w:spacing w:after="240" w:line="360" w:lineRule="auto"/>
        <w:rPr>
          <w:rFonts w:ascii="Calibri" w:eastAsia="Calibri" w:hAnsi="Calibri" w:cs="Calibri"/>
        </w:rPr>
      </w:pPr>
    </w:p>
    <w:p w14:paraId="2D762327" w14:textId="77777777" w:rsidR="009B054B" w:rsidRPr="00073DD7" w:rsidRDefault="009B054B" w:rsidP="00073DD7">
      <w:pPr>
        <w:spacing w:after="240" w:line="360" w:lineRule="auto"/>
        <w:rPr>
          <w:rFonts w:ascii="Calibri" w:eastAsia="Calibri" w:hAnsi="Calibri" w:cs="Calibri"/>
        </w:rPr>
      </w:pPr>
    </w:p>
    <w:p w14:paraId="3C8649CB" w14:textId="77777777" w:rsidR="009B054B" w:rsidRDefault="009B054B" w:rsidP="0871CD5E">
      <w:pPr>
        <w:spacing w:after="240"/>
        <w:rPr>
          <w:rFonts w:ascii="Calibri" w:eastAsia="Calibri" w:hAnsi="Calibri" w:cs="Calibri"/>
        </w:rPr>
      </w:pPr>
    </w:p>
    <w:p w14:paraId="0F12D046" w14:textId="4FD47623" w:rsidR="009B054B" w:rsidRPr="00AF719E" w:rsidRDefault="009B054B" w:rsidP="0871CD5E">
      <w:pPr>
        <w:spacing w:after="240"/>
        <w:rPr>
          <w:rFonts w:ascii="Aptos" w:eastAsia="Aptos" w:hAnsi="Aptos" w:cs="Aptos"/>
          <w:color w:val="000000" w:themeColor="text1"/>
          <w:lang w:val="en-GB"/>
        </w:rPr>
      </w:pPr>
    </w:p>
    <w:p w14:paraId="45BD6D76" w14:textId="77777777" w:rsidR="00073DD7" w:rsidRDefault="00073DD7" w:rsidP="0871CD5E">
      <w:pPr>
        <w:spacing w:after="240"/>
        <w:rPr>
          <w:rFonts w:ascii="Aptos" w:eastAsia="Aptos" w:hAnsi="Aptos" w:cs="Aptos"/>
          <w:b/>
          <w:bCs/>
          <w:i/>
          <w:iCs/>
          <w:color w:val="000000" w:themeColor="text1"/>
          <w:u w:val="single"/>
          <w:lang w:val="en-GB"/>
        </w:rPr>
      </w:pPr>
    </w:p>
    <w:p w14:paraId="6D497B6A" w14:textId="77777777" w:rsidR="00073DD7" w:rsidRDefault="00073DD7" w:rsidP="0871CD5E">
      <w:pPr>
        <w:spacing w:after="240"/>
        <w:rPr>
          <w:rFonts w:ascii="Aptos" w:eastAsia="Aptos" w:hAnsi="Aptos" w:cs="Aptos"/>
          <w:b/>
          <w:bCs/>
          <w:i/>
          <w:iCs/>
          <w:color w:val="000000" w:themeColor="text1"/>
          <w:u w:val="single"/>
          <w:lang w:val="en-GB"/>
        </w:rPr>
      </w:pPr>
    </w:p>
    <w:p w14:paraId="5EEDB14A" w14:textId="58427623" w:rsidR="00073DD7" w:rsidRPr="00073DD7" w:rsidRDefault="3AE688BA" w:rsidP="00073DD7">
      <w:pPr>
        <w:spacing w:after="240"/>
        <w:rPr>
          <w:rFonts w:ascii="Aptos" w:eastAsia="Aptos" w:hAnsi="Aptos" w:cs="Aptos"/>
          <w:b/>
          <w:bCs/>
          <w:i/>
          <w:iCs/>
          <w:color w:val="000000" w:themeColor="text1"/>
          <w:u w:val="single"/>
          <w:lang w:val="en-GB"/>
        </w:rPr>
      </w:pPr>
      <w:r w:rsidRPr="0871CD5E">
        <w:rPr>
          <w:rFonts w:ascii="Aptos" w:eastAsia="Aptos" w:hAnsi="Aptos" w:cs="Aptos"/>
          <w:b/>
          <w:bCs/>
          <w:i/>
          <w:iCs/>
          <w:color w:val="000000" w:themeColor="text1"/>
          <w:u w:val="single"/>
          <w:lang w:val="en-GB"/>
        </w:rPr>
        <w:t xml:space="preserve">References list </w:t>
      </w:r>
    </w:p>
    <w:p w14:paraId="5FB74E34" w14:textId="77777777" w:rsidR="00073DD7" w:rsidRDefault="00073DD7" w:rsidP="0871CD5E">
      <w:pPr>
        <w:jc w:val="both"/>
        <w:rPr>
          <w:rFonts w:ascii="Calibri" w:eastAsia="Calibri" w:hAnsi="Calibri" w:cs="Calibri"/>
        </w:rPr>
      </w:pPr>
      <w:r w:rsidRPr="0871CD5E">
        <w:rPr>
          <w:rFonts w:ascii="Calibri" w:eastAsia="Calibri" w:hAnsi="Calibri" w:cs="Calibri"/>
          <w:color w:val="1B1B1B"/>
        </w:rPr>
        <w:t xml:space="preserve">Aspers, P., &amp; Corte, U. (2019). </w:t>
      </w:r>
      <w:r w:rsidRPr="0871CD5E">
        <w:rPr>
          <w:rFonts w:ascii="Calibri" w:eastAsia="Calibri" w:hAnsi="Calibri" w:cs="Calibri"/>
          <w:i/>
          <w:iCs/>
          <w:color w:val="1B1B1B"/>
        </w:rPr>
        <w:t>What is Qualitative in Qualitative Research. Qualitative sociology,</w:t>
      </w:r>
      <w:r w:rsidRPr="0871CD5E">
        <w:rPr>
          <w:rFonts w:ascii="Calibri" w:eastAsia="Calibri" w:hAnsi="Calibri" w:cs="Calibri"/>
          <w:color w:val="1B1B1B"/>
        </w:rPr>
        <w:t xml:space="preserve"> 42(2), 139-160.  </w:t>
      </w:r>
      <w:hyperlink r:id="rId7">
        <w:r w:rsidRPr="0871CD5E">
          <w:rPr>
            <w:rStyle w:val="Hyperlink"/>
            <w:rFonts w:ascii="Calibri" w:eastAsia="Calibri" w:hAnsi="Calibri" w:cs="Calibri"/>
          </w:rPr>
          <w:t>https://doi.org/10.1007/s11133-019-9413-7</w:t>
        </w:r>
      </w:hyperlink>
    </w:p>
    <w:p w14:paraId="1640176E" w14:textId="77777777" w:rsidR="00073DD7" w:rsidRDefault="00073DD7" w:rsidP="0871CD5E">
      <w:pPr>
        <w:rPr>
          <w:rFonts w:ascii="Calibri" w:eastAsia="Calibri" w:hAnsi="Calibri" w:cs="Calibri"/>
        </w:rPr>
      </w:pPr>
      <w:r w:rsidRPr="0871CD5E">
        <w:rPr>
          <w:rFonts w:ascii="Calibri" w:eastAsia="Calibri" w:hAnsi="Calibri" w:cs="Calibri"/>
          <w:color w:val="1B1B1B"/>
        </w:rPr>
        <w:t xml:space="preserve">Austin, Z., &amp; Sutton, J. (2014). </w:t>
      </w:r>
      <w:r w:rsidRPr="0871CD5E">
        <w:rPr>
          <w:rFonts w:ascii="Calibri" w:eastAsia="Calibri" w:hAnsi="Calibri" w:cs="Calibri"/>
          <w:i/>
          <w:iCs/>
          <w:color w:val="1B1B1B"/>
        </w:rPr>
        <w:t>Qualitative research: getting started. The Canadian journal of hospital pharmacy,</w:t>
      </w:r>
      <w:r w:rsidRPr="0871CD5E">
        <w:rPr>
          <w:rFonts w:ascii="Calibri" w:eastAsia="Calibri" w:hAnsi="Calibri" w:cs="Calibri"/>
          <w:color w:val="1B1B1B"/>
        </w:rPr>
        <w:t xml:space="preserve"> </w:t>
      </w:r>
      <w:r w:rsidRPr="0871CD5E">
        <w:rPr>
          <w:rFonts w:ascii="Calibri" w:eastAsia="Calibri" w:hAnsi="Calibri" w:cs="Calibri"/>
          <w:i/>
          <w:iCs/>
          <w:color w:val="1B1B1B"/>
        </w:rPr>
        <w:t>67</w:t>
      </w:r>
      <w:r w:rsidRPr="0871CD5E">
        <w:rPr>
          <w:rFonts w:ascii="Calibri" w:eastAsia="Calibri" w:hAnsi="Calibri" w:cs="Calibri"/>
          <w:color w:val="1B1B1B"/>
        </w:rPr>
        <w:t>(6), 436–440. https://doi.org/10.4212/cjhp.v67i6.1406</w:t>
      </w:r>
    </w:p>
    <w:p w14:paraId="33CF9813" w14:textId="77777777" w:rsidR="00073DD7" w:rsidRDefault="00073DD7" w:rsidP="0871CD5E">
      <w:pPr>
        <w:rPr>
          <w:rFonts w:ascii="Calibri" w:eastAsia="Calibri" w:hAnsi="Calibri" w:cs="Calibri"/>
        </w:rPr>
      </w:pPr>
      <w:r w:rsidRPr="0871CD5E">
        <w:rPr>
          <w:rFonts w:ascii="Calibri" w:eastAsia="Calibri" w:hAnsi="Calibri" w:cs="Calibri"/>
          <w:color w:val="1B1B1B"/>
        </w:rPr>
        <w:t xml:space="preserve">Ave, G., Frerichs, L., Jones, J., Kim, M., Schaal, J., Vassar, S., Varma, D., Striley, C., </w:t>
      </w:r>
      <w:proofErr w:type="spellStart"/>
      <w:r w:rsidRPr="0871CD5E">
        <w:rPr>
          <w:rFonts w:ascii="Calibri" w:eastAsia="Calibri" w:hAnsi="Calibri" w:cs="Calibri"/>
          <w:color w:val="1B1B1B"/>
        </w:rPr>
        <w:t>Ruktanonchai</w:t>
      </w:r>
      <w:proofErr w:type="spellEnd"/>
      <w:r w:rsidRPr="0871CD5E">
        <w:rPr>
          <w:rFonts w:ascii="Calibri" w:eastAsia="Calibri" w:hAnsi="Calibri" w:cs="Calibri"/>
          <w:color w:val="1B1B1B"/>
        </w:rPr>
        <w:t xml:space="preserve">, C., Black, A., Hankins, J., Lovelady, N., Cene, C., Green, M., Young, T., Tiwari, S., Cheney, A., </w:t>
      </w:r>
      <w:proofErr w:type="spellStart"/>
      <w:r w:rsidRPr="0871CD5E">
        <w:rPr>
          <w:rFonts w:ascii="Calibri" w:eastAsia="Calibri" w:hAnsi="Calibri" w:cs="Calibri"/>
          <w:color w:val="1B1B1B"/>
        </w:rPr>
        <w:t>Cottler</w:t>
      </w:r>
      <w:proofErr w:type="spellEnd"/>
      <w:r w:rsidRPr="0871CD5E">
        <w:rPr>
          <w:rFonts w:ascii="Calibri" w:eastAsia="Calibri" w:hAnsi="Calibri" w:cs="Calibri"/>
          <w:color w:val="1B1B1B"/>
        </w:rPr>
        <w:t xml:space="preserve">, L., Sullivan, G., Brown, A., … Corbie-Smith, G. (2018). </w:t>
      </w:r>
      <w:r w:rsidRPr="0871CD5E">
        <w:rPr>
          <w:rFonts w:ascii="Calibri" w:eastAsia="Calibri" w:hAnsi="Calibri" w:cs="Calibri"/>
          <w:i/>
          <w:iCs/>
          <w:color w:val="1B1B1B"/>
        </w:rPr>
        <w:t>Conceptualizing trust in community-academic research partnerships using concept mapping approach:</w:t>
      </w:r>
      <w:r w:rsidRPr="0871CD5E">
        <w:rPr>
          <w:rFonts w:ascii="Calibri" w:eastAsia="Calibri" w:hAnsi="Calibri" w:cs="Calibri"/>
          <w:color w:val="1B1B1B"/>
        </w:rPr>
        <w:t xml:space="preserve"> A multi-CTSA study. </w:t>
      </w:r>
      <w:r w:rsidRPr="0871CD5E">
        <w:rPr>
          <w:rFonts w:ascii="Calibri" w:eastAsia="Calibri" w:hAnsi="Calibri" w:cs="Calibri"/>
          <w:i/>
          <w:iCs/>
          <w:color w:val="1B1B1B"/>
        </w:rPr>
        <w:t>Evaluation and program planning</w:t>
      </w:r>
      <w:r w:rsidRPr="0871CD5E">
        <w:rPr>
          <w:rFonts w:ascii="Calibri" w:eastAsia="Calibri" w:hAnsi="Calibri" w:cs="Calibri"/>
          <w:color w:val="1B1B1B"/>
        </w:rPr>
        <w:t xml:space="preserve">, </w:t>
      </w:r>
      <w:r w:rsidRPr="0871CD5E">
        <w:rPr>
          <w:rFonts w:ascii="Calibri" w:eastAsia="Calibri" w:hAnsi="Calibri" w:cs="Calibri"/>
          <w:i/>
          <w:iCs/>
          <w:color w:val="1B1B1B"/>
        </w:rPr>
        <w:t>66</w:t>
      </w:r>
      <w:r w:rsidRPr="0871CD5E">
        <w:rPr>
          <w:rFonts w:ascii="Calibri" w:eastAsia="Calibri" w:hAnsi="Calibri" w:cs="Calibri"/>
          <w:color w:val="1B1B1B"/>
        </w:rPr>
        <w:t>, 70–78. https://doi.org/10.1016/j.evalprogplan.2017.10.007</w:t>
      </w:r>
    </w:p>
    <w:p w14:paraId="3E09E4D3" w14:textId="77777777" w:rsidR="00073DD7" w:rsidRDefault="00073DD7" w:rsidP="0871CD5E">
      <w:pPr>
        <w:jc w:val="both"/>
        <w:rPr>
          <w:rFonts w:ascii="Calibri" w:eastAsia="Calibri" w:hAnsi="Calibri" w:cs="Calibri"/>
        </w:rPr>
      </w:pPr>
      <w:r w:rsidRPr="0871CD5E">
        <w:rPr>
          <w:rFonts w:ascii="Calibri" w:eastAsia="Calibri" w:hAnsi="Calibri" w:cs="Calibri"/>
          <w:color w:val="1B1B1B"/>
        </w:rPr>
        <w:t xml:space="preserve">Barroga, E., &amp; </w:t>
      </w:r>
      <w:proofErr w:type="spellStart"/>
      <w:r w:rsidRPr="0871CD5E">
        <w:rPr>
          <w:rFonts w:ascii="Calibri" w:eastAsia="Calibri" w:hAnsi="Calibri" w:cs="Calibri"/>
          <w:color w:val="1B1B1B"/>
        </w:rPr>
        <w:t>Matanguihan</w:t>
      </w:r>
      <w:proofErr w:type="spellEnd"/>
      <w:r w:rsidRPr="0871CD5E">
        <w:rPr>
          <w:rFonts w:ascii="Calibri" w:eastAsia="Calibri" w:hAnsi="Calibri" w:cs="Calibri"/>
          <w:color w:val="1B1B1B"/>
        </w:rPr>
        <w:t xml:space="preserve">, G. J. (2022). </w:t>
      </w:r>
      <w:r w:rsidRPr="0871CD5E">
        <w:rPr>
          <w:rFonts w:ascii="Calibri" w:eastAsia="Calibri" w:hAnsi="Calibri" w:cs="Calibri"/>
          <w:i/>
          <w:iCs/>
          <w:color w:val="1B1B1B"/>
        </w:rPr>
        <w:t>A Practical Guide to Writing Quantitative and Qualitative Research Questions and Hypotheses in Scholarly Articles. Journal of Korean medical science,</w:t>
      </w:r>
      <w:r w:rsidRPr="0871CD5E">
        <w:rPr>
          <w:rFonts w:ascii="Calibri" w:eastAsia="Calibri" w:hAnsi="Calibri" w:cs="Calibri"/>
          <w:color w:val="1B1B1B"/>
        </w:rPr>
        <w:t xml:space="preserve"> </w:t>
      </w:r>
      <w:r w:rsidRPr="0871CD5E">
        <w:rPr>
          <w:rFonts w:ascii="Calibri" w:eastAsia="Calibri" w:hAnsi="Calibri" w:cs="Calibri"/>
          <w:i/>
          <w:iCs/>
          <w:color w:val="1B1B1B"/>
        </w:rPr>
        <w:t>37</w:t>
      </w:r>
      <w:r w:rsidRPr="0871CD5E">
        <w:rPr>
          <w:rFonts w:ascii="Calibri" w:eastAsia="Calibri" w:hAnsi="Calibri" w:cs="Calibri"/>
          <w:color w:val="1B1B1B"/>
        </w:rPr>
        <w:t xml:space="preserve">(16), e121. </w:t>
      </w:r>
      <w:hyperlink r:id="rId8">
        <w:r w:rsidRPr="0871CD5E">
          <w:rPr>
            <w:rStyle w:val="Hyperlink"/>
            <w:rFonts w:ascii="Calibri" w:eastAsia="Calibri" w:hAnsi="Calibri" w:cs="Calibri"/>
          </w:rPr>
          <w:t>https://doi.org/10.3346/jkms.2022.37.e121</w:t>
        </w:r>
      </w:hyperlink>
    </w:p>
    <w:p w14:paraId="1C9C36EA" w14:textId="77777777" w:rsidR="00073DD7" w:rsidRDefault="00073DD7" w:rsidP="0871CD5E">
      <w:pPr>
        <w:rPr>
          <w:rFonts w:ascii="Calibri" w:eastAsia="Calibri" w:hAnsi="Calibri" w:cs="Calibri"/>
          <w:color w:val="000000" w:themeColor="text1"/>
        </w:rPr>
      </w:pPr>
      <w:r w:rsidRPr="0871CD5E">
        <w:rPr>
          <w:rFonts w:ascii="Calibri" w:eastAsia="Calibri" w:hAnsi="Calibri" w:cs="Calibri"/>
          <w:color w:val="000000" w:themeColor="text1"/>
        </w:rPr>
        <w:t xml:space="preserve">British Educational research association (2018) </w:t>
      </w:r>
      <w:r w:rsidRPr="0871CD5E">
        <w:rPr>
          <w:rFonts w:ascii="Calibri" w:eastAsia="Calibri" w:hAnsi="Calibri" w:cs="Calibri"/>
          <w:i/>
          <w:iCs/>
          <w:color w:val="000000" w:themeColor="text1"/>
        </w:rPr>
        <w:t xml:space="preserve">Ethical Guideline </w:t>
      </w:r>
      <w:proofErr w:type="gramStart"/>
      <w:r w:rsidRPr="0871CD5E">
        <w:rPr>
          <w:rFonts w:ascii="Calibri" w:eastAsia="Calibri" w:hAnsi="Calibri" w:cs="Calibri"/>
          <w:i/>
          <w:iCs/>
          <w:color w:val="000000" w:themeColor="text1"/>
        </w:rPr>
        <w:t>For</w:t>
      </w:r>
      <w:proofErr w:type="gramEnd"/>
      <w:r w:rsidRPr="0871CD5E">
        <w:rPr>
          <w:rFonts w:ascii="Calibri" w:eastAsia="Calibri" w:hAnsi="Calibri" w:cs="Calibri"/>
          <w:i/>
          <w:iCs/>
          <w:color w:val="000000" w:themeColor="text1"/>
        </w:rPr>
        <w:t xml:space="preserve"> Educational Research. </w:t>
      </w:r>
      <w:r w:rsidRPr="0871CD5E">
        <w:rPr>
          <w:rFonts w:ascii="Calibri" w:eastAsia="Calibri" w:hAnsi="Calibri" w:cs="Calibri"/>
          <w:color w:val="000000" w:themeColor="text1"/>
        </w:rPr>
        <w:t>4</w:t>
      </w:r>
      <w:r w:rsidRPr="0871CD5E">
        <w:rPr>
          <w:rFonts w:ascii="Calibri" w:eastAsia="Calibri" w:hAnsi="Calibri" w:cs="Calibri"/>
          <w:color w:val="000000" w:themeColor="text1"/>
          <w:vertAlign w:val="superscript"/>
        </w:rPr>
        <w:t>th</w:t>
      </w:r>
      <w:r w:rsidRPr="0871CD5E">
        <w:rPr>
          <w:rFonts w:ascii="Calibri" w:eastAsia="Calibri" w:hAnsi="Calibri" w:cs="Calibri"/>
          <w:color w:val="000000" w:themeColor="text1"/>
        </w:rPr>
        <w:t xml:space="preserve"> </w:t>
      </w:r>
      <w:proofErr w:type="spellStart"/>
      <w:proofErr w:type="gramStart"/>
      <w:r w:rsidRPr="0871CD5E">
        <w:rPr>
          <w:rFonts w:ascii="Calibri" w:eastAsia="Calibri" w:hAnsi="Calibri" w:cs="Calibri"/>
          <w:color w:val="000000" w:themeColor="text1"/>
        </w:rPr>
        <w:t>edn</w:t>
      </w:r>
      <w:proofErr w:type="spellEnd"/>
      <w:proofErr w:type="gramEnd"/>
      <w:r w:rsidRPr="0871CD5E">
        <w:rPr>
          <w:rFonts w:ascii="Calibri" w:eastAsia="Calibri" w:hAnsi="Calibri" w:cs="Calibri"/>
          <w:color w:val="000000" w:themeColor="text1"/>
        </w:rPr>
        <w:t xml:space="preserve">. London: BERA. </w:t>
      </w:r>
    </w:p>
    <w:p w14:paraId="2FF374B1" w14:textId="77777777" w:rsidR="00073DD7" w:rsidRDefault="00073DD7" w:rsidP="0871CD5E">
      <w:pPr>
        <w:spacing w:after="240"/>
        <w:rPr>
          <w:rFonts w:ascii="Calibri" w:eastAsia="Calibri" w:hAnsi="Calibri" w:cs="Calibri"/>
          <w:color w:val="000000" w:themeColor="text1"/>
        </w:rPr>
      </w:pPr>
      <w:r w:rsidRPr="0871CD5E">
        <w:rPr>
          <w:rFonts w:ascii="Calibri" w:eastAsia="Calibri" w:hAnsi="Calibri" w:cs="Calibri"/>
          <w:color w:val="000000" w:themeColor="text1"/>
          <w:lang w:val="en-GB"/>
        </w:rPr>
        <w:t>Carter, N., Bryant-</w:t>
      </w:r>
      <w:proofErr w:type="spellStart"/>
      <w:r w:rsidRPr="0871CD5E">
        <w:rPr>
          <w:rFonts w:ascii="Calibri" w:eastAsia="Calibri" w:hAnsi="Calibri" w:cs="Calibri"/>
          <w:color w:val="000000" w:themeColor="text1"/>
          <w:lang w:val="en-GB"/>
        </w:rPr>
        <w:t>Lukosius</w:t>
      </w:r>
      <w:proofErr w:type="spellEnd"/>
      <w:r w:rsidRPr="0871CD5E">
        <w:rPr>
          <w:rFonts w:ascii="Calibri" w:eastAsia="Calibri" w:hAnsi="Calibri" w:cs="Calibri"/>
          <w:color w:val="000000" w:themeColor="text1"/>
          <w:lang w:val="en-GB"/>
        </w:rPr>
        <w:t xml:space="preserve">, D., DiCenso, A., Blythe, J. and Neville, A.J. (2014). </w:t>
      </w:r>
      <w:r w:rsidRPr="0871CD5E">
        <w:rPr>
          <w:rFonts w:ascii="Calibri" w:eastAsia="Calibri" w:hAnsi="Calibri" w:cs="Calibri"/>
          <w:i/>
          <w:iCs/>
          <w:color w:val="000000" w:themeColor="text1"/>
          <w:lang w:val="en-GB"/>
        </w:rPr>
        <w:t xml:space="preserve">The Use of Triangulation in Qualitative Research. </w:t>
      </w:r>
      <w:r w:rsidRPr="0871CD5E">
        <w:rPr>
          <w:rFonts w:ascii="Calibri" w:eastAsia="Calibri" w:hAnsi="Calibri" w:cs="Calibri"/>
          <w:color w:val="000000" w:themeColor="text1"/>
          <w:lang w:val="en-GB"/>
        </w:rPr>
        <w:t xml:space="preserve">[online] National Library of Medicine. Available at: </w:t>
      </w:r>
      <w:hyperlink r:id="rId9">
        <w:r w:rsidRPr="0871CD5E">
          <w:rPr>
            <w:rStyle w:val="Hyperlink"/>
            <w:rFonts w:ascii="Calibri" w:eastAsia="Calibri" w:hAnsi="Calibri" w:cs="Calibri"/>
            <w:lang w:val="en-GB"/>
          </w:rPr>
          <w:t>https://pubmed.ncbi.nlm.nih.gov/25158659/</w:t>
        </w:r>
      </w:hyperlink>
      <w:r w:rsidRPr="0871CD5E">
        <w:rPr>
          <w:rFonts w:ascii="Calibri" w:eastAsia="Calibri" w:hAnsi="Calibri" w:cs="Calibri"/>
          <w:color w:val="000000" w:themeColor="text1"/>
          <w:lang w:val="en-GB"/>
        </w:rPr>
        <w:t>.</w:t>
      </w:r>
    </w:p>
    <w:p w14:paraId="29D0814B" w14:textId="77777777" w:rsidR="00073DD7" w:rsidRDefault="00073DD7" w:rsidP="0871CD5E">
      <w:pPr>
        <w:rPr>
          <w:rFonts w:ascii="Calibri" w:eastAsia="Calibri" w:hAnsi="Calibri" w:cs="Calibri"/>
        </w:rPr>
      </w:pPr>
      <w:r w:rsidRPr="0871CD5E">
        <w:rPr>
          <w:rFonts w:ascii="Calibri" w:eastAsia="Calibri" w:hAnsi="Calibri" w:cs="Calibri"/>
        </w:rPr>
        <w:lastRenderedPageBreak/>
        <w:t xml:space="preserve">Clovers (2024) </w:t>
      </w:r>
      <w:r w:rsidRPr="0871CD5E">
        <w:rPr>
          <w:rFonts w:ascii="Calibri" w:eastAsia="Calibri" w:hAnsi="Calibri" w:cs="Calibri"/>
          <w:i/>
          <w:iCs/>
        </w:rPr>
        <w:t xml:space="preserve">Why you shouldn’t be afraid of recording an interview. </w:t>
      </w:r>
      <w:r w:rsidRPr="0871CD5E">
        <w:rPr>
          <w:rFonts w:ascii="Calibri" w:eastAsia="Calibri" w:hAnsi="Calibri" w:cs="Calibri"/>
        </w:rPr>
        <w:t xml:space="preserve">Available at: </w:t>
      </w:r>
      <w:hyperlink r:id="rId10" w:anchor=":~:text=Why%20do%20recruiters%20and%20hiring%20managers%20record%20interviews%3F,Can%20be%20used%20to%20resolve%20legal%20disputes%20">
        <w:r w:rsidRPr="0871CD5E">
          <w:rPr>
            <w:rStyle w:val="Hyperlink"/>
            <w:rFonts w:ascii="Calibri" w:eastAsia="Calibri" w:hAnsi="Calibri" w:cs="Calibri"/>
          </w:rPr>
          <w:t>Why you shouldn’t be afraid of recording an interview - Clovers</w:t>
        </w:r>
      </w:hyperlink>
      <w:r w:rsidRPr="0871CD5E">
        <w:rPr>
          <w:rFonts w:ascii="Calibri" w:eastAsia="Calibri" w:hAnsi="Calibri" w:cs="Calibri"/>
        </w:rPr>
        <w:t xml:space="preserve"> Accessed:21 October 2024). </w:t>
      </w:r>
    </w:p>
    <w:p w14:paraId="3EFCEFAA" w14:textId="77777777" w:rsidR="00073DD7" w:rsidRDefault="00073DD7" w:rsidP="0871CD5E">
      <w:pPr>
        <w:jc w:val="both"/>
        <w:rPr>
          <w:rFonts w:ascii="Calibri" w:eastAsia="Calibri" w:hAnsi="Calibri" w:cs="Calibri"/>
        </w:rPr>
      </w:pPr>
      <w:r w:rsidRPr="0871CD5E">
        <w:rPr>
          <w:rFonts w:ascii="Calibri" w:eastAsia="Calibri" w:hAnsi="Calibri" w:cs="Calibri"/>
        </w:rPr>
        <w:t xml:space="preserve">Education Endowment Foundation (No Date). </w:t>
      </w:r>
      <w:r w:rsidRPr="0871CD5E">
        <w:rPr>
          <w:rFonts w:ascii="Calibri" w:eastAsia="Calibri" w:hAnsi="Calibri" w:cs="Calibri"/>
          <w:i/>
          <w:iCs/>
        </w:rPr>
        <w:t xml:space="preserve">Social and Emotional Strategies. </w:t>
      </w:r>
      <w:r w:rsidRPr="0871CD5E">
        <w:rPr>
          <w:rFonts w:ascii="Calibri" w:eastAsia="Calibri" w:hAnsi="Calibri" w:cs="Calibri"/>
        </w:rPr>
        <w:t xml:space="preserve">Available </w:t>
      </w:r>
      <w:proofErr w:type="spellStart"/>
      <w:r w:rsidRPr="0871CD5E">
        <w:rPr>
          <w:rFonts w:ascii="Calibri" w:eastAsia="Calibri" w:hAnsi="Calibri" w:cs="Calibri"/>
        </w:rPr>
        <w:t>at:</w:t>
      </w:r>
      <w:hyperlink r:id="rId11">
        <w:r w:rsidRPr="0871CD5E">
          <w:rPr>
            <w:rStyle w:val="Hyperlink"/>
            <w:rFonts w:ascii="Calibri" w:eastAsia="Calibri" w:hAnsi="Calibri" w:cs="Calibri"/>
          </w:rPr>
          <w:t>Social</w:t>
        </w:r>
        <w:proofErr w:type="spellEnd"/>
        <w:r w:rsidRPr="0871CD5E">
          <w:rPr>
            <w:rStyle w:val="Hyperlink"/>
            <w:rFonts w:ascii="Calibri" w:eastAsia="Calibri" w:hAnsi="Calibri" w:cs="Calibri"/>
          </w:rPr>
          <w:t xml:space="preserve"> and emotional learning strategies | EEF (educationendowmentfoundation.org.uk)</w:t>
        </w:r>
      </w:hyperlink>
      <w:r w:rsidRPr="0871CD5E">
        <w:rPr>
          <w:rFonts w:ascii="Calibri" w:eastAsia="Calibri" w:hAnsi="Calibri" w:cs="Calibri"/>
        </w:rPr>
        <w:t xml:space="preserve"> (Accessed 12 October 2024).</w:t>
      </w:r>
    </w:p>
    <w:p w14:paraId="0883294C" w14:textId="77777777" w:rsidR="00073DD7" w:rsidRDefault="00073DD7" w:rsidP="0871CD5E">
      <w:pPr>
        <w:spacing w:after="240"/>
        <w:rPr>
          <w:rFonts w:ascii="Calibri" w:eastAsia="Calibri" w:hAnsi="Calibri" w:cs="Calibri"/>
        </w:rPr>
      </w:pPr>
      <w:r w:rsidRPr="0871CD5E">
        <w:rPr>
          <w:rFonts w:ascii="Calibri" w:eastAsia="Calibri" w:hAnsi="Calibri" w:cs="Calibri"/>
          <w:color w:val="212121"/>
        </w:rPr>
        <w:t xml:space="preserve">Ginsburg, K. R. (2007) </w:t>
      </w:r>
      <w:r w:rsidRPr="0871CD5E">
        <w:rPr>
          <w:rFonts w:ascii="Calibri" w:eastAsia="Calibri" w:hAnsi="Calibri" w:cs="Calibri"/>
          <w:i/>
          <w:iCs/>
          <w:color w:val="212121"/>
        </w:rPr>
        <w:t>The importance of play in promoting healthy child development and maintaining strong parent-child bonds, 119</w:t>
      </w:r>
      <w:r w:rsidRPr="0871CD5E">
        <w:rPr>
          <w:rFonts w:ascii="Calibri" w:eastAsia="Calibri" w:hAnsi="Calibri" w:cs="Calibri"/>
          <w:color w:val="212121"/>
        </w:rPr>
        <w:t xml:space="preserve">(1), pp.182-91. </w:t>
      </w:r>
      <w:proofErr w:type="spellStart"/>
      <w:r w:rsidRPr="0871CD5E">
        <w:rPr>
          <w:rFonts w:ascii="Calibri" w:eastAsia="Calibri" w:hAnsi="Calibri" w:cs="Calibri"/>
          <w:color w:val="212121"/>
        </w:rPr>
        <w:t>doi</w:t>
      </w:r>
      <w:proofErr w:type="spellEnd"/>
      <w:r w:rsidRPr="0871CD5E">
        <w:rPr>
          <w:rFonts w:ascii="Calibri" w:eastAsia="Calibri" w:hAnsi="Calibri" w:cs="Calibri"/>
          <w:color w:val="212121"/>
        </w:rPr>
        <w:t xml:space="preserve">: 10.1542/20062697 </w:t>
      </w:r>
    </w:p>
    <w:p w14:paraId="2AD4089A" w14:textId="77777777" w:rsidR="00073DD7" w:rsidRDefault="00073DD7" w:rsidP="0871CD5E">
      <w:pPr>
        <w:spacing w:after="240"/>
        <w:rPr>
          <w:rFonts w:ascii="Calibri" w:eastAsia="Calibri" w:hAnsi="Calibri" w:cs="Calibri"/>
          <w:color w:val="000000" w:themeColor="text1"/>
        </w:rPr>
      </w:pPr>
      <w:r w:rsidRPr="0871CD5E">
        <w:rPr>
          <w:rFonts w:ascii="Calibri" w:eastAsia="Calibri" w:hAnsi="Calibri" w:cs="Calibri"/>
          <w:color w:val="000000" w:themeColor="text1"/>
          <w:lang w:val="en-GB"/>
        </w:rPr>
        <w:t xml:space="preserve">Ginsburg, K.R. (2007). </w:t>
      </w:r>
      <w:r w:rsidRPr="0871CD5E">
        <w:rPr>
          <w:rFonts w:ascii="Calibri" w:eastAsia="Calibri" w:hAnsi="Calibri" w:cs="Calibri"/>
          <w:i/>
          <w:iCs/>
          <w:color w:val="000000" w:themeColor="text1"/>
          <w:lang w:val="en-GB"/>
        </w:rPr>
        <w:t xml:space="preserve">The Importance of Play in Promoting Healthy Child Development and Maintaining Strong Parent-Child Bonds. American Academy of </w:t>
      </w:r>
      <w:proofErr w:type="spellStart"/>
      <w:r w:rsidRPr="0871CD5E">
        <w:rPr>
          <w:rFonts w:ascii="Calibri" w:eastAsia="Calibri" w:hAnsi="Calibri" w:cs="Calibri"/>
          <w:i/>
          <w:iCs/>
          <w:color w:val="000000" w:themeColor="text1"/>
          <w:lang w:val="en-GB"/>
        </w:rPr>
        <w:t>Pediatrics</w:t>
      </w:r>
      <w:proofErr w:type="spellEnd"/>
      <w:r w:rsidRPr="0871CD5E">
        <w:rPr>
          <w:rFonts w:ascii="Calibri" w:eastAsia="Calibri" w:hAnsi="Calibri" w:cs="Calibri"/>
          <w:i/>
          <w:iCs/>
          <w:color w:val="000000" w:themeColor="text1"/>
          <w:lang w:val="en-GB"/>
        </w:rPr>
        <w:t xml:space="preserve">. </w:t>
      </w:r>
      <w:r w:rsidRPr="0871CD5E">
        <w:rPr>
          <w:rFonts w:ascii="Calibri" w:eastAsia="Calibri" w:hAnsi="Calibri" w:cs="Calibri"/>
          <w:color w:val="000000" w:themeColor="text1"/>
          <w:lang w:val="en-GB"/>
        </w:rPr>
        <w:t xml:space="preserve"> 119(1), pp.182–191. </w:t>
      </w:r>
      <w:proofErr w:type="spellStart"/>
      <w:r w:rsidRPr="0871CD5E">
        <w:rPr>
          <w:rFonts w:ascii="Calibri" w:eastAsia="Calibri" w:hAnsi="Calibri" w:cs="Calibri"/>
          <w:color w:val="000000" w:themeColor="text1"/>
          <w:lang w:val="en-GB"/>
        </w:rPr>
        <w:t>doi:https</w:t>
      </w:r>
      <w:proofErr w:type="spellEnd"/>
      <w:r w:rsidRPr="0871CD5E">
        <w:rPr>
          <w:rFonts w:ascii="Calibri" w:eastAsia="Calibri" w:hAnsi="Calibri" w:cs="Calibri"/>
          <w:color w:val="000000" w:themeColor="text1"/>
          <w:lang w:val="en-GB"/>
        </w:rPr>
        <w:t>://doi.org/10.1542/peds.2006-2697.</w:t>
      </w:r>
    </w:p>
    <w:p w14:paraId="235AB412" w14:textId="77777777" w:rsidR="00073DD7" w:rsidRDefault="00073DD7" w:rsidP="0871CD5E">
      <w:pPr>
        <w:jc w:val="both"/>
        <w:rPr>
          <w:rFonts w:ascii="Calibri" w:eastAsia="Calibri" w:hAnsi="Calibri" w:cs="Calibri"/>
        </w:rPr>
      </w:pPr>
      <w:proofErr w:type="spellStart"/>
      <w:r w:rsidRPr="0871CD5E">
        <w:rPr>
          <w:rFonts w:ascii="Calibri" w:eastAsia="Calibri" w:hAnsi="Calibri" w:cs="Calibri"/>
        </w:rPr>
        <w:t>Glaveanu</w:t>
      </w:r>
      <w:proofErr w:type="spellEnd"/>
      <w:r w:rsidRPr="0871CD5E">
        <w:rPr>
          <w:rFonts w:ascii="Calibri" w:eastAsia="Calibri" w:hAnsi="Calibri" w:cs="Calibri"/>
        </w:rPr>
        <w:t xml:space="preserve">, P.V. (2019) </w:t>
      </w:r>
      <w:r w:rsidRPr="0871CD5E">
        <w:rPr>
          <w:rFonts w:ascii="Calibri" w:eastAsia="Calibri" w:hAnsi="Calibri" w:cs="Calibri"/>
          <w:i/>
          <w:iCs/>
        </w:rPr>
        <w:t>The Creativity Reader.</w:t>
      </w:r>
      <w:r w:rsidRPr="0871CD5E">
        <w:rPr>
          <w:rFonts w:ascii="Calibri" w:eastAsia="Calibri" w:hAnsi="Calibri" w:cs="Calibri"/>
        </w:rPr>
        <w:t xml:space="preserve"> Oxford University Press: New York. </w:t>
      </w:r>
    </w:p>
    <w:p w14:paraId="69BACBE3" w14:textId="77777777" w:rsidR="00073DD7" w:rsidRDefault="00073DD7" w:rsidP="0871CD5E">
      <w:pPr>
        <w:rPr>
          <w:rFonts w:ascii="Calibri" w:eastAsia="Calibri" w:hAnsi="Calibri" w:cs="Calibri"/>
        </w:rPr>
      </w:pPr>
      <w:r w:rsidRPr="0871CD5E">
        <w:rPr>
          <w:rFonts w:ascii="Calibri" w:eastAsia="Calibri" w:hAnsi="Calibri" w:cs="Calibri"/>
        </w:rPr>
        <w:t xml:space="preserve">Harcourt, D. Perry, B. and Waller, T. (2011) </w:t>
      </w:r>
      <w:r w:rsidRPr="0871CD5E">
        <w:rPr>
          <w:rFonts w:ascii="Calibri" w:eastAsia="Calibri" w:hAnsi="Calibri" w:cs="Calibri"/>
          <w:i/>
          <w:iCs/>
          <w:color w:val="000000" w:themeColor="text1"/>
        </w:rPr>
        <w:t xml:space="preserve">Researching Young Children’s </w:t>
      </w:r>
      <w:proofErr w:type="gramStart"/>
      <w:r w:rsidRPr="0871CD5E">
        <w:rPr>
          <w:rFonts w:ascii="Calibri" w:eastAsia="Calibri" w:hAnsi="Calibri" w:cs="Calibri"/>
          <w:i/>
          <w:iCs/>
          <w:color w:val="000000" w:themeColor="text1"/>
        </w:rPr>
        <w:t>Perspectives :</w:t>
      </w:r>
      <w:proofErr w:type="gramEnd"/>
      <w:r w:rsidRPr="0871CD5E">
        <w:rPr>
          <w:rFonts w:ascii="Calibri" w:eastAsia="Calibri" w:hAnsi="Calibri" w:cs="Calibri"/>
          <w:i/>
          <w:iCs/>
          <w:color w:val="000000" w:themeColor="text1"/>
        </w:rPr>
        <w:t xml:space="preserve"> Debating the Ethics and Dilemmas of Educational Research with Children.</w:t>
      </w:r>
      <w:r w:rsidRPr="0871CD5E">
        <w:rPr>
          <w:rFonts w:ascii="Calibri" w:eastAsia="Calibri" w:hAnsi="Calibri" w:cs="Calibri"/>
          <w:color w:val="000000" w:themeColor="text1"/>
        </w:rPr>
        <w:t xml:space="preserve"> New York: Routledge. Available at: https://research-ebsco-com.ezproxy.uwtsd.ac.uk/linkprocessor/plink?id=5446a2c4-31f5-339b-8dd4-43e153403187 (Accessed: 23 October 2024).</w:t>
      </w:r>
    </w:p>
    <w:p w14:paraId="3E2CA9E4" w14:textId="77777777" w:rsidR="00073DD7" w:rsidRDefault="00073DD7" w:rsidP="0871CD5E">
      <w:pPr>
        <w:spacing w:after="240"/>
        <w:rPr>
          <w:rFonts w:ascii="Calibri" w:eastAsia="Calibri" w:hAnsi="Calibri" w:cs="Calibri"/>
          <w:color w:val="000000" w:themeColor="text1"/>
        </w:rPr>
      </w:pPr>
      <w:r w:rsidRPr="0871CD5E">
        <w:rPr>
          <w:rFonts w:ascii="Calibri" w:eastAsia="Calibri" w:hAnsi="Calibri" w:cs="Calibri"/>
          <w:color w:val="000000" w:themeColor="text1"/>
          <w:lang w:val="en-GB"/>
        </w:rPr>
        <w:t xml:space="preserve">Heale, R. and Twycross, A. (2015). </w:t>
      </w:r>
      <w:r w:rsidRPr="0871CD5E">
        <w:rPr>
          <w:rFonts w:ascii="Calibri" w:eastAsia="Calibri" w:hAnsi="Calibri" w:cs="Calibri"/>
          <w:i/>
          <w:iCs/>
          <w:color w:val="000000" w:themeColor="text1"/>
          <w:lang w:val="en-GB"/>
        </w:rPr>
        <w:t>Validity and reliability in quantitative studies .</w:t>
      </w:r>
      <w:r w:rsidRPr="0871CD5E">
        <w:rPr>
          <w:rFonts w:ascii="Calibri" w:eastAsia="Calibri" w:hAnsi="Calibri" w:cs="Calibri"/>
          <w:color w:val="000000" w:themeColor="text1"/>
          <w:lang w:val="en-GB"/>
        </w:rPr>
        <w:t xml:space="preserve"> [online] Evidence Base Nursing. Available at: </w:t>
      </w:r>
      <w:hyperlink r:id="rId12" w:anchor="ref-1">
        <w:r w:rsidRPr="0871CD5E">
          <w:rPr>
            <w:rStyle w:val="Hyperlink"/>
            <w:rFonts w:ascii="Calibri" w:eastAsia="Calibri" w:hAnsi="Calibri" w:cs="Calibri"/>
            <w:lang w:val="en-GB"/>
          </w:rPr>
          <w:t>https://ebn.bmj.com/content/18/3/66#ref-1</w:t>
        </w:r>
      </w:hyperlink>
      <w:r w:rsidRPr="0871CD5E">
        <w:rPr>
          <w:rFonts w:ascii="Calibri" w:eastAsia="Calibri" w:hAnsi="Calibri" w:cs="Calibri"/>
          <w:color w:val="000000" w:themeColor="text1"/>
          <w:lang w:val="en-GB"/>
        </w:rPr>
        <w:t xml:space="preserve"> [Accessed 12 Oct. 2024].</w:t>
      </w:r>
    </w:p>
    <w:p w14:paraId="527E7548" w14:textId="77777777" w:rsidR="00073DD7" w:rsidRDefault="00073DD7" w:rsidP="0871CD5E">
      <w:pPr>
        <w:rPr>
          <w:rFonts w:ascii="Calibri" w:eastAsia="Calibri" w:hAnsi="Calibri" w:cs="Calibri"/>
        </w:rPr>
      </w:pPr>
      <w:r w:rsidRPr="0871CD5E">
        <w:rPr>
          <w:rFonts w:ascii="Calibri" w:eastAsia="Calibri" w:hAnsi="Calibri" w:cs="Calibri"/>
        </w:rPr>
        <w:t xml:space="preserve">In Her Sight (2024) </w:t>
      </w:r>
      <w:r w:rsidRPr="0871CD5E">
        <w:rPr>
          <w:rFonts w:ascii="Calibri" w:eastAsia="Calibri" w:hAnsi="Calibri" w:cs="Calibri"/>
          <w:i/>
          <w:iCs/>
        </w:rPr>
        <w:t>How to Introduce Yourself in an interview &amp; Make a Lasting Impression.</w:t>
      </w:r>
      <w:r w:rsidRPr="0871CD5E">
        <w:rPr>
          <w:rFonts w:ascii="Calibri" w:eastAsia="Calibri" w:hAnsi="Calibri" w:cs="Calibri"/>
        </w:rPr>
        <w:t xml:space="preserve"> Available at: </w:t>
      </w:r>
      <w:hyperlink r:id="rId13">
        <w:r w:rsidRPr="0871CD5E">
          <w:rPr>
            <w:rStyle w:val="Hyperlink"/>
            <w:rFonts w:ascii="Calibri" w:eastAsia="Calibri" w:hAnsi="Calibri" w:cs="Calibri"/>
          </w:rPr>
          <w:t xml:space="preserve">How to Introduce Yourself in an Interview &amp; Make a Lasting Impression | </w:t>
        </w:r>
        <w:proofErr w:type="spellStart"/>
        <w:r w:rsidRPr="0871CD5E">
          <w:rPr>
            <w:rStyle w:val="Hyperlink"/>
            <w:rFonts w:ascii="Calibri" w:eastAsia="Calibri" w:hAnsi="Calibri" w:cs="Calibri"/>
          </w:rPr>
          <w:t>InHerSight</w:t>
        </w:r>
        <w:proofErr w:type="spellEnd"/>
      </w:hyperlink>
      <w:r w:rsidRPr="0871CD5E">
        <w:rPr>
          <w:rFonts w:ascii="Calibri" w:eastAsia="Calibri" w:hAnsi="Calibri" w:cs="Calibri"/>
        </w:rPr>
        <w:t xml:space="preserve">  (Accessed: 21 October 2024)</w:t>
      </w:r>
    </w:p>
    <w:p w14:paraId="586622BF" w14:textId="77777777" w:rsidR="00073DD7" w:rsidRDefault="00073DD7" w:rsidP="0871CD5E">
      <w:pPr>
        <w:jc w:val="both"/>
        <w:rPr>
          <w:rFonts w:ascii="Calibri" w:eastAsia="Calibri" w:hAnsi="Calibri" w:cs="Calibri"/>
        </w:rPr>
      </w:pPr>
      <w:r w:rsidRPr="0871CD5E">
        <w:rPr>
          <w:rFonts w:ascii="Calibri" w:eastAsia="Calibri" w:hAnsi="Calibri" w:cs="Calibri"/>
        </w:rPr>
        <w:t xml:space="preserve">Izard, C.E. and Trentacosta, J. Ch. (2020) </w:t>
      </w:r>
      <w:r w:rsidRPr="0871CD5E">
        <w:rPr>
          <w:rFonts w:ascii="Calibri" w:eastAsia="Calibri" w:hAnsi="Calibri" w:cs="Calibri"/>
          <w:i/>
          <w:iCs/>
        </w:rPr>
        <w:t>Emotional Development</w:t>
      </w:r>
      <w:r w:rsidRPr="0871CD5E">
        <w:rPr>
          <w:rFonts w:ascii="Calibri" w:eastAsia="Calibri" w:hAnsi="Calibri" w:cs="Calibri"/>
        </w:rPr>
        <w:t xml:space="preserve">. Available </w:t>
      </w:r>
      <w:proofErr w:type="spellStart"/>
      <w:r w:rsidRPr="0871CD5E">
        <w:rPr>
          <w:rFonts w:ascii="Calibri" w:eastAsia="Calibri" w:hAnsi="Calibri" w:cs="Calibri"/>
        </w:rPr>
        <w:t>at:</w:t>
      </w:r>
      <w:hyperlink r:id="rId14">
        <w:r w:rsidRPr="0871CD5E">
          <w:rPr>
            <w:rStyle w:val="Hyperlink"/>
            <w:rFonts w:ascii="Calibri" w:eastAsia="Calibri" w:hAnsi="Calibri" w:cs="Calibri"/>
          </w:rPr>
          <w:t>Emotional</w:t>
        </w:r>
        <w:proofErr w:type="spellEnd"/>
        <w:r w:rsidRPr="0871CD5E">
          <w:rPr>
            <w:rStyle w:val="Hyperlink"/>
            <w:rFonts w:ascii="Calibri" w:eastAsia="Calibri" w:hAnsi="Calibri" w:cs="Calibri"/>
          </w:rPr>
          <w:t xml:space="preserve"> development | Definition, Examples, Children, &amp; Adolescence | Britannica</w:t>
        </w:r>
      </w:hyperlink>
      <w:r w:rsidRPr="0871CD5E">
        <w:rPr>
          <w:rFonts w:ascii="Calibri" w:eastAsia="Calibri" w:hAnsi="Calibri" w:cs="Calibri"/>
        </w:rPr>
        <w:t xml:space="preserve"> (Accessed 12 October 2024). </w:t>
      </w:r>
    </w:p>
    <w:p w14:paraId="614FE030" w14:textId="77777777" w:rsidR="00073DD7" w:rsidRDefault="00073DD7" w:rsidP="0871CD5E">
      <w:pPr>
        <w:jc w:val="both"/>
        <w:rPr>
          <w:rFonts w:ascii="Calibri" w:eastAsia="Calibri" w:hAnsi="Calibri" w:cs="Calibri"/>
        </w:rPr>
      </w:pPr>
      <w:r w:rsidRPr="0871CD5E">
        <w:rPr>
          <w:rFonts w:ascii="Calibri" w:eastAsia="Calibri" w:hAnsi="Calibri" w:cs="Calibri"/>
          <w:color w:val="1B1B1B"/>
        </w:rPr>
        <w:t xml:space="preserve">Johnson, J. L., Adkins, D., &amp; Chauvin, S. (2020). </w:t>
      </w:r>
      <w:r w:rsidRPr="0871CD5E">
        <w:rPr>
          <w:rFonts w:ascii="Calibri" w:eastAsia="Calibri" w:hAnsi="Calibri" w:cs="Calibri"/>
          <w:i/>
          <w:iCs/>
          <w:color w:val="1B1B1B"/>
        </w:rPr>
        <w:t>A Review of the Quality Indicators of Rigor in Qualitative Research.</w:t>
      </w:r>
      <w:r w:rsidRPr="0871CD5E">
        <w:rPr>
          <w:rFonts w:ascii="Calibri" w:eastAsia="Calibri" w:hAnsi="Calibri" w:cs="Calibri"/>
          <w:color w:val="1B1B1B"/>
        </w:rPr>
        <w:t xml:space="preserve"> </w:t>
      </w:r>
      <w:r w:rsidRPr="0871CD5E">
        <w:rPr>
          <w:rFonts w:ascii="Calibri" w:eastAsia="Calibri" w:hAnsi="Calibri" w:cs="Calibri"/>
          <w:i/>
          <w:iCs/>
          <w:color w:val="1B1B1B"/>
        </w:rPr>
        <w:t>American journal of pharmaceutical education, 84(1) 7120. Https://</w:t>
      </w:r>
      <w:r w:rsidRPr="0871CD5E">
        <w:rPr>
          <w:rFonts w:ascii="Calibri" w:eastAsia="Calibri" w:hAnsi="Calibri" w:cs="Calibri"/>
          <w:color w:val="1B1B1B"/>
        </w:rPr>
        <w:t xml:space="preserve">doi/ </w:t>
      </w:r>
      <w:hyperlink r:id="rId15">
        <w:r w:rsidRPr="0871CD5E">
          <w:rPr>
            <w:rStyle w:val="Hyperlink"/>
            <w:rFonts w:ascii="Calibri" w:eastAsia="Calibri" w:hAnsi="Calibri" w:cs="Calibri"/>
            <w:color w:val="005EA2"/>
          </w:rPr>
          <w:t>10.5688/ajpe7120</w:t>
        </w:r>
      </w:hyperlink>
    </w:p>
    <w:p w14:paraId="5058735E" w14:textId="77777777" w:rsidR="00073DD7" w:rsidRDefault="00073DD7" w:rsidP="0871CD5E">
      <w:pPr>
        <w:spacing w:after="240"/>
        <w:rPr>
          <w:rFonts w:ascii="Calibri" w:eastAsia="Calibri" w:hAnsi="Calibri" w:cs="Calibri"/>
        </w:rPr>
      </w:pPr>
      <w:r w:rsidRPr="0871CD5E">
        <w:rPr>
          <w:rFonts w:ascii="Calibri" w:eastAsia="Calibri" w:hAnsi="Calibri" w:cs="Calibri"/>
        </w:rPr>
        <w:t xml:space="preserve">Kirk, G. and Jay, J. (2018) </w:t>
      </w:r>
      <w:r w:rsidRPr="0871CD5E">
        <w:rPr>
          <w:rFonts w:ascii="Calibri" w:eastAsia="Calibri" w:hAnsi="Calibri" w:cs="Calibri"/>
          <w:i/>
          <w:iCs/>
        </w:rPr>
        <w:t>Supporting kindergarten Children’s Social and Emotional Development: Examining the Synergetic Role of Environment, Play, and Relationships,</w:t>
      </w:r>
      <w:r w:rsidRPr="0871CD5E">
        <w:rPr>
          <w:rFonts w:ascii="Calibri" w:eastAsia="Calibri" w:hAnsi="Calibri" w:cs="Calibri"/>
        </w:rPr>
        <w:t xml:space="preserve"> 32(4), pp.472-485 Article 1495671. Available at: </w:t>
      </w:r>
      <w:hyperlink r:id="rId16">
        <w:r w:rsidRPr="0871CD5E">
          <w:rPr>
            <w:rStyle w:val="Hyperlink"/>
            <w:rFonts w:ascii="Calibri" w:eastAsia="Calibri" w:hAnsi="Calibri" w:cs="Calibri"/>
          </w:rPr>
          <w:t xml:space="preserve">Supporting Kindergarten Children’s Social and Emotional </w:t>
        </w:r>
        <w:r w:rsidRPr="0871CD5E">
          <w:rPr>
            <w:rStyle w:val="Hyperlink"/>
            <w:rFonts w:ascii="Calibri" w:eastAsia="Calibri" w:hAnsi="Calibri" w:cs="Calibri"/>
          </w:rPr>
          <w:lastRenderedPageBreak/>
          <w:t>Development: Examining the Synergetic Role of Environments, Play, and Relationships (uwtsd.ac.uk)</w:t>
        </w:r>
      </w:hyperlink>
    </w:p>
    <w:p w14:paraId="6C4EC67F" w14:textId="77777777" w:rsidR="00073DD7" w:rsidRDefault="00073DD7" w:rsidP="0871CD5E">
      <w:pPr>
        <w:rPr>
          <w:rFonts w:ascii="Calibri" w:eastAsia="Calibri" w:hAnsi="Calibri" w:cs="Calibri"/>
        </w:rPr>
      </w:pPr>
      <w:r w:rsidRPr="0871CD5E">
        <w:rPr>
          <w:rFonts w:ascii="Calibri" w:eastAsia="Calibri" w:hAnsi="Calibri" w:cs="Calibri"/>
          <w:color w:val="3D3F42"/>
        </w:rPr>
        <w:t xml:space="preserve">Mayne, F., Howitt, C., &amp; Rennie, L. (2018). </w:t>
      </w:r>
      <w:r w:rsidRPr="0871CD5E">
        <w:rPr>
          <w:rFonts w:ascii="Calibri" w:eastAsia="Calibri" w:hAnsi="Calibri" w:cs="Calibri"/>
          <w:i/>
          <w:iCs/>
          <w:color w:val="3D3F42"/>
        </w:rPr>
        <w:t>Rights, Power and Agency in Early Childhood Research Design: Developing a Rights-Based Research Ethics and Participation Planning Framework</w:t>
      </w:r>
      <w:r w:rsidRPr="0871CD5E">
        <w:rPr>
          <w:rFonts w:ascii="Calibri" w:eastAsia="Calibri" w:hAnsi="Calibri" w:cs="Calibri"/>
          <w:color w:val="3D3F42"/>
        </w:rPr>
        <w:t xml:space="preserve">. Australasian Journal of Early Childhood, 43(3), 4-14. </w:t>
      </w:r>
      <w:hyperlink r:id="rId17">
        <w:r w:rsidRPr="0871CD5E">
          <w:rPr>
            <w:rStyle w:val="Hyperlink"/>
            <w:rFonts w:ascii="Calibri" w:eastAsia="Calibri" w:hAnsi="Calibri" w:cs="Calibri"/>
          </w:rPr>
          <w:t>https://doi-org.ezproxy.uwtsd.ac.uk/10.23965/AJEC.43.3.01</w:t>
        </w:r>
      </w:hyperlink>
    </w:p>
    <w:p w14:paraId="2521DED0" w14:textId="77777777" w:rsidR="00073DD7" w:rsidRDefault="00073DD7" w:rsidP="0871CD5E">
      <w:pPr>
        <w:rPr>
          <w:rFonts w:ascii="Calibri" w:eastAsia="Calibri" w:hAnsi="Calibri" w:cs="Calibri"/>
          <w:color w:val="000000" w:themeColor="text1"/>
        </w:rPr>
      </w:pPr>
      <w:r w:rsidRPr="0871CD5E">
        <w:rPr>
          <w:rFonts w:ascii="Calibri" w:eastAsia="Calibri" w:hAnsi="Calibri" w:cs="Calibri"/>
        </w:rPr>
        <w:t xml:space="preserve">Miller, T. Birch, M. Mauthner, M. Jessop, J. </w:t>
      </w:r>
      <w:r w:rsidRPr="0871CD5E">
        <w:rPr>
          <w:rFonts w:ascii="Calibri" w:eastAsia="Calibri" w:hAnsi="Calibri" w:cs="Calibri"/>
          <w:color w:val="000000" w:themeColor="text1"/>
        </w:rPr>
        <w:t xml:space="preserve">(2012) </w:t>
      </w:r>
      <w:r w:rsidRPr="0871CD5E">
        <w:rPr>
          <w:rFonts w:ascii="Calibri" w:eastAsia="Calibri" w:hAnsi="Calibri" w:cs="Calibri"/>
          <w:i/>
          <w:iCs/>
          <w:color w:val="000000" w:themeColor="text1"/>
        </w:rPr>
        <w:t>Ethics in Qualitative Research</w:t>
      </w:r>
      <w:r w:rsidRPr="0871CD5E">
        <w:rPr>
          <w:rFonts w:ascii="Calibri" w:eastAsia="Calibri" w:hAnsi="Calibri" w:cs="Calibri"/>
          <w:color w:val="000000" w:themeColor="text1"/>
        </w:rPr>
        <w:t>. Los Angeles, Calif: SAGE Publications Ltd. Available at: https://research-ebsco-com.ezproxy.uwtsd.ac.uk/linkprocessor/plink?id=9f90c214-532f-35b2-bb70-f4ca73d3179f (Accessed: 23 October 2024).</w:t>
      </w:r>
    </w:p>
    <w:p w14:paraId="1F6DA1F6" w14:textId="77777777" w:rsidR="00073DD7" w:rsidRDefault="00073DD7" w:rsidP="0871CD5E">
      <w:pPr>
        <w:spacing w:after="240"/>
        <w:rPr>
          <w:rFonts w:ascii="Calibri" w:eastAsia="Calibri" w:hAnsi="Calibri" w:cs="Calibri"/>
          <w:color w:val="000000" w:themeColor="text1"/>
        </w:rPr>
      </w:pPr>
      <w:r w:rsidRPr="0871CD5E">
        <w:rPr>
          <w:rFonts w:ascii="Calibri" w:eastAsia="Calibri" w:hAnsi="Calibri" w:cs="Calibri"/>
          <w:color w:val="000000" w:themeColor="text1"/>
          <w:lang w:val="en-GB"/>
        </w:rPr>
        <w:t xml:space="preserve">Noble, H. and Heale, R. (2019). </w:t>
      </w:r>
      <w:r w:rsidRPr="0871CD5E">
        <w:rPr>
          <w:rFonts w:ascii="Calibri" w:eastAsia="Calibri" w:hAnsi="Calibri" w:cs="Calibri"/>
          <w:i/>
          <w:iCs/>
          <w:color w:val="000000" w:themeColor="text1"/>
          <w:lang w:val="en-GB"/>
        </w:rPr>
        <w:t>Triangulation in Research. Evidence Based Nursing</w:t>
      </w:r>
      <w:r w:rsidRPr="0871CD5E">
        <w:rPr>
          <w:rFonts w:ascii="Calibri" w:eastAsia="Calibri" w:hAnsi="Calibri" w:cs="Calibri"/>
          <w:color w:val="000000" w:themeColor="text1"/>
          <w:lang w:val="en-GB"/>
        </w:rPr>
        <w:t>, 22(3), pp.67–68.</w:t>
      </w:r>
    </w:p>
    <w:p w14:paraId="4BEB3062" w14:textId="77777777" w:rsidR="00073DD7" w:rsidRDefault="00073DD7" w:rsidP="0871CD5E">
      <w:pPr>
        <w:rPr>
          <w:rFonts w:ascii="Calibri" w:eastAsia="Calibri" w:hAnsi="Calibri" w:cs="Calibri"/>
        </w:rPr>
      </w:pPr>
      <w:r w:rsidRPr="0871CD5E">
        <w:rPr>
          <w:rFonts w:ascii="Calibri" w:eastAsia="Calibri" w:hAnsi="Calibri" w:cs="Calibri"/>
        </w:rPr>
        <w:t xml:space="preserve"> NSPCC (2023) </w:t>
      </w:r>
      <w:r w:rsidRPr="0871CD5E">
        <w:rPr>
          <w:rFonts w:ascii="Calibri" w:eastAsia="Calibri" w:hAnsi="Calibri" w:cs="Calibri"/>
          <w:i/>
          <w:iCs/>
        </w:rPr>
        <w:t>Research Ethics principles.</w:t>
      </w:r>
      <w:r w:rsidRPr="0871CD5E">
        <w:rPr>
          <w:rFonts w:ascii="Calibri" w:eastAsia="Calibri" w:hAnsi="Calibri" w:cs="Calibri"/>
        </w:rPr>
        <w:t xml:space="preserve"> Available at: </w:t>
      </w:r>
      <w:hyperlink r:id="rId18">
        <w:r w:rsidRPr="0871CD5E">
          <w:rPr>
            <w:rStyle w:val="Hyperlink"/>
            <w:rFonts w:ascii="Calibri" w:eastAsia="Calibri" w:hAnsi="Calibri" w:cs="Calibri"/>
          </w:rPr>
          <w:t>NSPCC Research Ethics Principles</w:t>
        </w:r>
      </w:hyperlink>
      <w:r w:rsidRPr="0871CD5E">
        <w:rPr>
          <w:rFonts w:ascii="Calibri" w:eastAsia="Calibri" w:hAnsi="Calibri" w:cs="Calibri"/>
        </w:rPr>
        <w:t xml:space="preserve"> (Accessed: 22 October 2024). </w:t>
      </w:r>
    </w:p>
    <w:p w14:paraId="18AC0D86" w14:textId="77777777" w:rsidR="00073DD7" w:rsidRDefault="00073DD7" w:rsidP="0871CD5E">
      <w:pPr>
        <w:rPr>
          <w:rFonts w:ascii="Calibri" w:eastAsia="Calibri" w:hAnsi="Calibri" w:cs="Calibri"/>
          <w:color w:val="3D3F42"/>
        </w:rPr>
      </w:pPr>
      <w:r w:rsidRPr="0871CD5E">
        <w:rPr>
          <w:rFonts w:ascii="Calibri" w:eastAsia="Calibri" w:hAnsi="Calibri" w:cs="Calibri"/>
          <w:color w:val="3D3F42"/>
        </w:rPr>
        <w:t xml:space="preserve"> Palaiologou, I. (2012) </w:t>
      </w:r>
      <w:r w:rsidRPr="0871CD5E">
        <w:rPr>
          <w:rFonts w:ascii="Calibri" w:eastAsia="Calibri" w:hAnsi="Calibri" w:cs="Calibri"/>
          <w:i/>
          <w:iCs/>
          <w:color w:val="3D3F42"/>
        </w:rPr>
        <w:t>Ethical Practice in Early Childhood.</w:t>
      </w:r>
      <w:r w:rsidRPr="0871CD5E">
        <w:rPr>
          <w:rFonts w:ascii="Calibri" w:eastAsia="Calibri" w:hAnsi="Calibri" w:cs="Calibri"/>
          <w:color w:val="3D3F42"/>
        </w:rPr>
        <w:t xml:space="preserve"> London: SAGE Publications </w:t>
      </w:r>
    </w:p>
    <w:p w14:paraId="1B8F9311" w14:textId="77777777" w:rsidR="00073DD7" w:rsidRDefault="00073DD7" w:rsidP="0871CD5E">
      <w:pPr>
        <w:spacing w:after="240"/>
        <w:rPr>
          <w:rFonts w:ascii="Calibri" w:eastAsia="Calibri" w:hAnsi="Calibri" w:cs="Calibri"/>
        </w:rPr>
      </w:pPr>
      <w:r w:rsidRPr="0871CD5E">
        <w:rPr>
          <w:rFonts w:ascii="Calibri" w:eastAsia="Calibri" w:hAnsi="Calibri" w:cs="Calibri"/>
        </w:rPr>
        <w:t xml:space="preserve">Parker, R. Thomsen, S.B and Berry, A. (2022) </w:t>
      </w:r>
      <w:r w:rsidRPr="0871CD5E">
        <w:rPr>
          <w:rFonts w:ascii="Calibri" w:eastAsia="Calibri" w:hAnsi="Calibri" w:cs="Calibri"/>
          <w:i/>
          <w:iCs/>
        </w:rPr>
        <w:t>Learning Through Play at School- A Framework for Policy and Practice, (</w:t>
      </w:r>
      <w:r w:rsidRPr="0871CD5E">
        <w:rPr>
          <w:rFonts w:ascii="Calibri" w:eastAsia="Calibri" w:hAnsi="Calibri" w:cs="Calibri"/>
        </w:rPr>
        <w:t xml:space="preserve">February) article 751801. Available at: </w:t>
      </w:r>
      <w:hyperlink r:id="rId19">
        <w:r w:rsidRPr="0871CD5E">
          <w:rPr>
            <w:rStyle w:val="Hyperlink"/>
            <w:rFonts w:ascii="Calibri" w:eastAsia="Calibri" w:hAnsi="Calibri" w:cs="Calibri"/>
          </w:rPr>
          <w:t>Frontiers | Learning Through Play at School – A Framework for Policy and Practice (frontiersin.org)</w:t>
        </w:r>
      </w:hyperlink>
    </w:p>
    <w:p w14:paraId="6E09AE4B" w14:textId="77777777" w:rsidR="00073DD7" w:rsidRDefault="00073DD7" w:rsidP="0871CD5E">
      <w:pPr>
        <w:jc w:val="both"/>
        <w:rPr>
          <w:rFonts w:ascii="Calibri" w:eastAsia="Calibri" w:hAnsi="Calibri" w:cs="Calibri"/>
        </w:rPr>
      </w:pPr>
      <w:r w:rsidRPr="0871CD5E">
        <w:rPr>
          <w:rFonts w:ascii="Calibri" w:eastAsia="Calibri" w:hAnsi="Calibri" w:cs="Calibri"/>
        </w:rPr>
        <w:t xml:space="preserve">San, </w:t>
      </w:r>
      <w:proofErr w:type="gramStart"/>
      <w:r w:rsidRPr="0871CD5E">
        <w:rPr>
          <w:rFonts w:ascii="Calibri" w:eastAsia="Calibri" w:hAnsi="Calibri" w:cs="Calibri"/>
        </w:rPr>
        <w:t>N,.</w:t>
      </w:r>
      <w:proofErr w:type="gramEnd"/>
      <w:r w:rsidRPr="0871CD5E">
        <w:rPr>
          <w:rFonts w:ascii="Calibri" w:eastAsia="Calibri" w:hAnsi="Calibri" w:cs="Calibri"/>
        </w:rPr>
        <w:t xml:space="preserve"> M.H., Myint, A. A., &amp; Oo, C. Z. (2021). </w:t>
      </w:r>
      <w:r w:rsidRPr="0871CD5E">
        <w:rPr>
          <w:rFonts w:ascii="Calibri" w:eastAsia="Calibri" w:hAnsi="Calibri" w:cs="Calibri"/>
          <w:i/>
          <w:iCs/>
        </w:rPr>
        <w:t>Using play to improve the social and emotional development of preschool children. Southeast Asia Early Childhood</w:t>
      </w:r>
      <w:r w:rsidRPr="0871CD5E">
        <w:rPr>
          <w:rFonts w:ascii="Calibri" w:eastAsia="Calibri" w:hAnsi="Calibri" w:cs="Calibri"/>
        </w:rPr>
        <w:t xml:space="preserve"> Journal,10(2), 16-35. </w:t>
      </w:r>
      <w:hyperlink r:id="rId20">
        <w:r w:rsidRPr="0871CD5E">
          <w:rPr>
            <w:rStyle w:val="Hyperlink"/>
            <w:rFonts w:ascii="Calibri" w:eastAsia="Calibri" w:hAnsi="Calibri" w:cs="Calibri"/>
          </w:rPr>
          <w:t>https://doi.org/10.37134/saecj.vol10.2.2.2021</w:t>
        </w:r>
      </w:hyperlink>
    </w:p>
    <w:p w14:paraId="04705927" w14:textId="77777777" w:rsidR="00073DD7" w:rsidRDefault="00073DD7" w:rsidP="0871CD5E">
      <w:pPr>
        <w:spacing w:after="240"/>
        <w:rPr>
          <w:rFonts w:ascii="Calibri" w:eastAsia="Calibri" w:hAnsi="Calibri" w:cs="Calibri"/>
          <w:color w:val="000000" w:themeColor="text1"/>
        </w:rPr>
      </w:pPr>
      <w:proofErr w:type="spellStart"/>
      <w:r w:rsidRPr="0871CD5E">
        <w:rPr>
          <w:rFonts w:ascii="Calibri" w:eastAsia="Calibri" w:hAnsi="Calibri" w:cs="Calibri"/>
          <w:color w:val="000000" w:themeColor="text1"/>
          <w:lang w:val="en-GB"/>
        </w:rPr>
        <w:t>Sandelowski</w:t>
      </w:r>
      <w:proofErr w:type="spellEnd"/>
      <w:r w:rsidRPr="0871CD5E">
        <w:rPr>
          <w:rFonts w:ascii="Calibri" w:eastAsia="Calibri" w:hAnsi="Calibri" w:cs="Calibri"/>
          <w:color w:val="000000" w:themeColor="text1"/>
          <w:lang w:val="en-GB"/>
        </w:rPr>
        <w:t xml:space="preserve">, M., Voils, C.I., Leeman, J. and Crandell, J.L. (2011). </w:t>
      </w:r>
      <w:r w:rsidRPr="0871CD5E">
        <w:rPr>
          <w:rFonts w:ascii="Calibri" w:eastAsia="Calibri" w:hAnsi="Calibri" w:cs="Calibri"/>
          <w:i/>
          <w:iCs/>
          <w:color w:val="000000" w:themeColor="text1"/>
          <w:lang w:val="en-GB"/>
        </w:rPr>
        <w:t>Mapping the Mixed Methods–Mixed Research Synthesis Terrain. Journal of Mixed Methods Research,</w:t>
      </w:r>
      <w:r w:rsidRPr="0871CD5E">
        <w:rPr>
          <w:rFonts w:ascii="Calibri" w:eastAsia="Calibri" w:hAnsi="Calibri" w:cs="Calibri"/>
          <w:color w:val="000000" w:themeColor="text1"/>
          <w:lang w:val="en-GB"/>
        </w:rPr>
        <w:t xml:space="preserve"> 6(4), pp.317–331. </w:t>
      </w:r>
      <w:proofErr w:type="spellStart"/>
      <w:r w:rsidRPr="0871CD5E">
        <w:rPr>
          <w:rFonts w:ascii="Calibri" w:eastAsia="Calibri" w:hAnsi="Calibri" w:cs="Calibri"/>
          <w:color w:val="000000" w:themeColor="text1"/>
          <w:lang w:val="en-GB"/>
        </w:rPr>
        <w:t>doi:https</w:t>
      </w:r>
      <w:proofErr w:type="spellEnd"/>
      <w:r w:rsidRPr="0871CD5E">
        <w:rPr>
          <w:rFonts w:ascii="Calibri" w:eastAsia="Calibri" w:hAnsi="Calibri" w:cs="Calibri"/>
          <w:color w:val="000000" w:themeColor="text1"/>
          <w:lang w:val="en-GB"/>
        </w:rPr>
        <w:t>://doi.org/10.1177/1558689811427913.</w:t>
      </w:r>
    </w:p>
    <w:p w14:paraId="6518E1D7" w14:textId="77777777" w:rsidR="00073DD7" w:rsidRDefault="00073DD7" w:rsidP="0871CD5E">
      <w:pPr>
        <w:spacing w:after="240"/>
        <w:rPr>
          <w:rFonts w:ascii="Calibri" w:eastAsia="Calibri" w:hAnsi="Calibri" w:cs="Calibri"/>
          <w:color w:val="000000" w:themeColor="text1"/>
        </w:rPr>
      </w:pPr>
      <w:proofErr w:type="spellStart"/>
      <w:r w:rsidRPr="0871CD5E">
        <w:rPr>
          <w:rFonts w:ascii="Calibri" w:eastAsia="Calibri" w:hAnsi="Calibri" w:cs="Calibri"/>
          <w:color w:val="000000" w:themeColor="text1"/>
          <w:lang w:val="en-GB"/>
        </w:rPr>
        <w:t>Sandelowski</w:t>
      </w:r>
      <w:proofErr w:type="spellEnd"/>
      <w:r w:rsidRPr="0871CD5E">
        <w:rPr>
          <w:rFonts w:ascii="Calibri" w:eastAsia="Calibri" w:hAnsi="Calibri" w:cs="Calibri"/>
          <w:color w:val="000000" w:themeColor="text1"/>
          <w:lang w:val="en-GB"/>
        </w:rPr>
        <w:t xml:space="preserve">, M., Voils, C.I., Leeman, J. and Crandell, J.L. (2011). </w:t>
      </w:r>
      <w:r w:rsidRPr="0871CD5E">
        <w:rPr>
          <w:rFonts w:ascii="Calibri" w:eastAsia="Calibri" w:hAnsi="Calibri" w:cs="Calibri"/>
          <w:i/>
          <w:iCs/>
          <w:color w:val="000000" w:themeColor="text1"/>
          <w:lang w:val="en-GB"/>
        </w:rPr>
        <w:t>Mapping the Mixed Methods–Mixed Research Synthesis Terrain. Journal of Mixed Methods Research,</w:t>
      </w:r>
      <w:r w:rsidRPr="0871CD5E">
        <w:rPr>
          <w:rFonts w:ascii="Calibri" w:eastAsia="Calibri" w:hAnsi="Calibri" w:cs="Calibri"/>
          <w:color w:val="000000" w:themeColor="text1"/>
          <w:lang w:val="en-GB"/>
        </w:rPr>
        <w:t xml:space="preserve"> 6(4), pp.317–331. </w:t>
      </w:r>
      <w:proofErr w:type="spellStart"/>
      <w:r w:rsidRPr="0871CD5E">
        <w:rPr>
          <w:rFonts w:ascii="Calibri" w:eastAsia="Calibri" w:hAnsi="Calibri" w:cs="Calibri"/>
          <w:color w:val="000000" w:themeColor="text1"/>
          <w:lang w:val="en-GB"/>
        </w:rPr>
        <w:t>doi:https</w:t>
      </w:r>
      <w:proofErr w:type="spellEnd"/>
      <w:r w:rsidRPr="0871CD5E">
        <w:rPr>
          <w:rFonts w:ascii="Calibri" w:eastAsia="Calibri" w:hAnsi="Calibri" w:cs="Calibri"/>
          <w:color w:val="000000" w:themeColor="text1"/>
          <w:lang w:val="en-GB"/>
        </w:rPr>
        <w:t>://doi.org/10.1177/1558689811427913.</w:t>
      </w:r>
    </w:p>
    <w:p w14:paraId="069CE98C" w14:textId="77777777" w:rsidR="00073DD7" w:rsidRDefault="00073DD7" w:rsidP="0871CD5E">
      <w:pPr>
        <w:rPr>
          <w:rFonts w:ascii="Calibri" w:eastAsia="Calibri" w:hAnsi="Calibri" w:cs="Calibri"/>
        </w:rPr>
      </w:pPr>
      <w:r w:rsidRPr="0871CD5E">
        <w:rPr>
          <w:rFonts w:ascii="Calibri" w:eastAsia="Calibri" w:hAnsi="Calibri" w:cs="Calibri"/>
        </w:rPr>
        <w:t xml:space="preserve">Shannon, A. (2023) </w:t>
      </w:r>
      <w:r w:rsidRPr="0871CD5E">
        <w:rPr>
          <w:rFonts w:ascii="Calibri" w:eastAsia="Calibri" w:hAnsi="Calibri" w:cs="Calibri"/>
          <w:i/>
          <w:iCs/>
        </w:rPr>
        <w:t>The power of open-ended questions in the Early years.</w:t>
      </w:r>
      <w:r w:rsidRPr="0871CD5E">
        <w:rPr>
          <w:rFonts w:ascii="Calibri" w:eastAsia="Calibri" w:hAnsi="Calibri" w:cs="Calibri"/>
        </w:rPr>
        <w:t xml:space="preserve"> Available at: </w:t>
      </w:r>
      <w:hyperlink r:id="rId21">
        <w:r w:rsidRPr="0871CD5E">
          <w:rPr>
            <w:rStyle w:val="Hyperlink"/>
            <w:rFonts w:ascii="Calibri" w:eastAsia="Calibri" w:hAnsi="Calibri" w:cs="Calibri"/>
          </w:rPr>
          <w:t xml:space="preserve">The power of open-ended questions in ECE | </w:t>
        </w:r>
        <w:proofErr w:type="spellStart"/>
        <w:r w:rsidRPr="0871CD5E">
          <w:rPr>
            <w:rStyle w:val="Hyperlink"/>
            <w:rFonts w:ascii="Calibri" w:eastAsia="Calibri" w:hAnsi="Calibri" w:cs="Calibri"/>
          </w:rPr>
          <w:t>Famly</w:t>
        </w:r>
        <w:proofErr w:type="spellEnd"/>
      </w:hyperlink>
      <w:r w:rsidRPr="0871CD5E">
        <w:rPr>
          <w:rFonts w:ascii="Calibri" w:eastAsia="Calibri" w:hAnsi="Calibri" w:cs="Calibri"/>
        </w:rPr>
        <w:t xml:space="preserve">  (Accessed: 21 October 2024). </w:t>
      </w:r>
    </w:p>
    <w:p w14:paraId="4CB85DAD" w14:textId="77777777" w:rsidR="00073DD7" w:rsidRDefault="00073DD7" w:rsidP="0871CD5E">
      <w:pPr>
        <w:jc w:val="both"/>
        <w:rPr>
          <w:rFonts w:ascii="Calibri" w:eastAsia="Calibri" w:hAnsi="Calibri" w:cs="Calibri"/>
        </w:rPr>
      </w:pPr>
      <w:r w:rsidRPr="0871CD5E">
        <w:rPr>
          <w:rFonts w:ascii="Calibri" w:eastAsia="Calibri" w:hAnsi="Calibri" w:cs="Calibri"/>
          <w:i/>
          <w:iCs/>
          <w:color w:val="1B1B1B"/>
        </w:rPr>
        <w:lastRenderedPageBreak/>
        <w:t xml:space="preserve">Shorten, A. and </w:t>
      </w:r>
      <w:proofErr w:type="spellStart"/>
      <w:proofErr w:type="gramStart"/>
      <w:r w:rsidRPr="0871CD5E">
        <w:rPr>
          <w:rFonts w:ascii="Calibri" w:eastAsia="Calibri" w:hAnsi="Calibri" w:cs="Calibri"/>
          <w:i/>
          <w:iCs/>
          <w:color w:val="1B1B1B"/>
        </w:rPr>
        <w:t>Smith,J</w:t>
      </w:r>
      <w:proofErr w:type="spellEnd"/>
      <w:r w:rsidRPr="0871CD5E">
        <w:rPr>
          <w:rFonts w:ascii="Calibri" w:eastAsia="Calibri" w:hAnsi="Calibri" w:cs="Calibri"/>
          <w:i/>
          <w:iCs/>
          <w:color w:val="1B1B1B"/>
        </w:rPr>
        <w:t>.</w:t>
      </w:r>
      <w:proofErr w:type="gramEnd"/>
      <w:r w:rsidRPr="0871CD5E">
        <w:rPr>
          <w:rFonts w:ascii="Calibri" w:eastAsia="Calibri" w:hAnsi="Calibri" w:cs="Calibri"/>
          <w:i/>
          <w:iCs/>
          <w:color w:val="1B1B1B"/>
        </w:rPr>
        <w:t xml:space="preserve"> (2017) </w:t>
      </w:r>
      <w:proofErr w:type="spellStart"/>
      <w:r w:rsidRPr="0871CD5E">
        <w:rPr>
          <w:rFonts w:ascii="Calibri" w:eastAsia="Calibri" w:hAnsi="Calibri" w:cs="Calibri"/>
          <w:i/>
          <w:iCs/>
          <w:color w:val="1B1B1B"/>
        </w:rPr>
        <w:t>MIxed</w:t>
      </w:r>
      <w:proofErr w:type="spellEnd"/>
      <w:r w:rsidRPr="0871CD5E">
        <w:rPr>
          <w:rFonts w:ascii="Calibri" w:eastAsia="Calibri" w:hAnsi="Calibri" w:cs="Calibri"/>
          <w:i/>
          <w:iCs/>
          <w:color w:val="1B1B1B"/>
        </w:rPr>
        <w:t xml:space="preserve"> methods research: expanding the evidence based. Available at: </w:t>
      </w:r>
      <w:hyperlink r:id="rId22">
        <w:r w:rsidRPr="0871CD5E">
          <w:rPr>
            <w:rStyle w:val="Hyperlink"/>
            <w:rFonts w:ascii="Calibri" w:eastAsia="Calibri" w:hAnsi="Calibri" w:cs="Calibri"/>
          </w:rPr>
          <w:t>Mixed methods research: expanding the evidence base | Evidence-Based Nursing</w:t>
        </w:r>
      </w:hyperlink>
      <w:r w:rsidRPr="0871CD5E">
        <w:rPr>
          <w:rFonts w:ascii="Calibri" w:eastAsia="Calibri" w:hAnsi="Calibri" w:cs="Calibri"/>
        </w:rPr>
        <w:t xml:space="preserve"> (Accessed: 20 October 2024.)</w:t>
      </w:r>
    </w:p>
    <w:p w14:paraId="57EE8A11" w14:textId="77777777" w:rsidR="00073DD7" w:rsidRDefault="00073DD7" w:rsidP="0871CD5E">
      <w:pPr>
        <w:spacing w:after="240"/>
        <w:rPr>
          <w:rFonts w:ascii="Calibri" w:eastAsia="Calibri" w:hAnsi="Calibri" w:cs="Calibri"/>
        </w:rPr>
      </w:pPr>
      <w:r w:rsidRPr="0871CD5E">
        <w:rPr>
          <w:rFonts w:ascii="Calibri" w:eastAsia="Calibri" w:hAnsi="Calibri" w:cs="Calibri"/>
        </w:rPr>
        <w:t xml:space="preserve"> The Early Years Company (2024) </w:t>
      </w:r>
      <w:r w:rsidRPr="0871CD5E">
        <w:rPr>
          <w:rFonts w:ascii="Calibri" w:eastAsia="Calibri" w:hAnsi="Calibri" w:cs="Calibri"/>
          <w:i/>
          <w:iCs/>
        </w:rPr>
        <w:t xml:space="preserve">The Importance of Creative Play in Early Years Education. </w:t>
      </w:r>
      <w:r w:rsidRPr="0871CD5E">
        <w:rPr>
          <w:rFonts w:ascii="Calibri" w:eastAsia="Calibri" w:hAnsi="Calibri" w:cs="Calibri"/>
        </w:rPr>
        <w:t xml:space="preserve">Available at: </w:t>
      </w:r>
      <w:hyperlink r:id="rId23">
        <w:r w:rsidRPr="0871CD5E">
          <w:rPr>
            <w:rStyle w:val="Hyperlink"/>
            <w:rFonts w:ascii="Calibri" w:eastAsia="Calibri" w:hAnsi="Calibri" w:cs="Calibri"/>
          </w:rPr>
          <w:t>The Importance of Creative Play in Early Years Education  | The Early Years Company</w:t>
        </w:r>
      </w:hyperlink>
      <w:r w:rsidRPr="0871CD5E">
        <w:rPr>
          <w:rFonts w:ascii="Calibri" w:eastAsia="Calibri" w:hAnsi="Calibri" w:cs="Calibri"/>
        </w:rPr>
        <w:t xml:space="preserve">  (Accessed 13 October 2024). </w:t>
      </w:r>
    </w:p>
    <w:p w14:paraId="75338E4E" w14:textId="77777777" w:rsidR="00073DD7" w:rsidRDefault="00073DD7" w:rsidP="0871CD5E">
      <w:pPr>
        <w:jc w:val="both"/>
        <w:rPr>
          <w:rFonts w:ascii="Calibri" w:eastAsia="Calibri" w:hAnsi="Calibri" w:cs="Calibri"/>
        </w:rPr>
      </w:pPr>
      <w:r w:rsidRPr="0871CD5E">
        <w:rPr>
          <w:rFonts w:ascii="Calibri" w:eastAsia="Calibri" w:hAnsi="Calibri" w:cs="Calibri"/>
        </w:rPr>
        <w:t xml:space="preserve">The United Nation Convention on the Rights of the child. (1989) </w:t>
      </w:r>
      <w:r w:rsidRPr="0871CD5E">
        <w:rPr>
          <w:rFonts w:ascii="Calibri" w:eastAsia="Calibri" w:hAnsi="Calibri" w:cs="Calibri"/>
          <w:i/>
          <w:iCs/>
        </w:rPr>
        <w:t xml:space="preserve">Convention on the Rights of the Child. </w:t>
      </w:r>
      <w:r w:rsidRPr="0871CD5E">
        <w:rPr>
          <w:rFonts w:ascii="Calibri" w:eastAsia="Calibri" w:hAnsi="Calibri" w:cs="Calibri"/>
        </w:rPr>
        <w:t xml:space="preserve">Available at: </w:t>
      </w:r>
      <w:hyperlink r:id="rId24">
        <w:r w:rsidRPr="0871CD5E">
          <w:rPr>
            <w:rStyle w:val="Hyperlink"/>
            <w:rFonts w:ascii="Calibri" w:eastAsia="Calibri" w:hAnsi="Calibri" w:cs="Calibri"/>
          </w:rPr>
          <w:t>Layout 1 (unicef.org.uk)</w:t>
        </w:r>
      </w:hyperlink>
      <w:r w:rsidRPr="0871CD5E">
        <w:rPr>
          <w:rFonts w:ascii="Calibri" w:eastAsia="Calibri" w:hAnsi="Calibri" w:cs="Calibri"/>
        </w:rPr>
        <w:t xml:space="preserve"> (Accessed: 8 October 2024). </w:t>
      </w:r>
    </w:p>
    <w:p w14:paraId="55E74843" w14:textId="77777777" w:rsidR="00073DD7" w:rsidRDefault="00073DD7" w:rsidP="0871CD5E">
      <w:pPr>
        <w:spacing w:after="240"/>
        <w:rPr>
          <w:rFonts w:ascii="Calibri" w:eastAsia="Calibri" w:hAnsi="Calibri" w:cs="Calibri"/>
        </w:rPr>
      </w:pPr>
      <w:r w:rsidRPr="0871CD5E">
        <w:rPr>
          <w:rFonts w:ascii="Calibri" w:eastAsia="Calibri" w:hAnsi="Calibri" w:cs="Calibri"/>
          <w:color w:val="212121"/>
        </w:rPr>
        <w:t xml:space="preserve">UNICEF (No Date) </w:t>
      </w:r>
      <w:r w:rsidRPr="0871CD5E">
        <w:rPr>
          <w:rFonts w:ascii="Calibri" w:eastAsia="Calibri" w:hAnsi="Calibri" w:cs="Calibri"/>
          <w:i/>
          <w:iCs/>
          <w:color w:val="212121"/>
        </w:rPr>
        <w:t>How play strengthens your child’s mental health.</w:t>
      </w:r>
      <w:r w:rsidRPr="0871CD5E">
        <w:rPr>
          <w:rFonts w:ascii="Calibri" w:eastAsia="Calibri" w:hAnsi="Calibri" w:cs="Calibri"/>
          <w:color w:val="212121"/>
        </w:rPr>
        <w:t xml:space="preserve"> Available </w:t>
      </w:r>
      <w:proofErr w:type="spellStart"/>
      <w:r w:rsidRPr="0871CD5E">
        <w:rPr>
          <w:rFonts w:ascii="Calibri" w:eastAsia="Calibri" w:hAnsi="Calibri" w:cs="Calibri"/>
          <w:color w:val="212121"/>
        </w:rPr>
        <w:t>at:</w:t>
      </w:r>
      <w:hyperlink r:id="rId25" w:anchor=":~:text=When%20children%20are%20dealing%20with%20complex%20emotional%20issues%2C,don%E2%80%99t%20yet%20have%20the%20words%20to%20fully%20explain.">
        <w:r w:rsidRPr="0871CD5E">
          <w:rPr>
            <w:rStyle w:val="Hyperlink"/>
            <w:rFonts w:ascii="Calibri" w:eastAsia="Calibri" w:hAnsi="Calibri" w:cs="Calibri"/>
          </w:rPr>
          <w:t>How</w:t>
        </w:r>
        <w:proofErr w:type="spellEnd"/>
        <w:r w:rsidRPr="0871CD5E">
          <w:rPr>
            <w:rStyle w:val="Hyperlink"/>
            <w:rFonts w:ascii="Calibri" w:eastAsia="Calibri" w:hAnsi="Calibri" w:cs="Calibri"/>
          </w:rPr>
          <w:t xml:space="preserve"> play strengthens your child’s mental health | UNICEF Parenting</w:t>
        </w:r>
      </w:hyperlink>
      <w:r w:rsidRPr="0871CD5E">
        <w:rPr>
          <w:rFonts w:ascii="Calibri" w:eastAsia="Calibri" w:hAnsi="Calibri" w:cs="Calibri"/>
        </w:rPr>
        <w:t xml:space="preserve"> (Accessed: 10 October 20204). </w:t>
      </w:r>
    </w:p>
    <w:p w14:paraId="24CC0AFB" w14:textId="77777777" w:rsidR="00073DD7" w:rsidRDefault="00073DD7" w:rsidP="0871CD5E">
      <w:pPr>
        <w:jc w:val="both"/>
        <w:rPr>
          <w:rFonts w:ascii="Calibri" w:eastAsia="Calibri" w:hAnsi="Calibri" w:cs="Calibri"/>
        </w:rPr>
      </w:pPr>
      <w:r w:rsidRPr="0871CD5E">
        <w:rPr>
          <w:rFonts w:ascii="Calibri" w:eastAsia="Calibri" w:hAnsi="Calibri" w:cs="Calibri"/>
        </w:rPr>
        <w:t xml:space="preserve">Welsh Government (2022) </w:t>
      </w:r>
      <w:r w:rsidRPr="0871CD5E">
        <w:rPr>
          <w:rFonts w:ascii="Calibri" w:eastAsia="Calibri" w:hAnsi="Calibri" w:cs="Calibri"/>
          <w:i/>
          <w:iCs/>
        </w:rPr>
        <w:t>Curriculum for funded non-maintained nursery settings.</w:t>
      </w:r>
      <w:r w:rsidRPr="0871CD5E">
        <w:rPr>
          <w:rFonts w:ascii="Calibri" w:eastAsia="Calibri" w:hAnsi="Calibri" w:cs="Calibri"/>
        </w:rPr>
        <w:t xml:space="preserve"> Available at: </w:t>
      </w:r>
      <w:hyperlink r:id="rId26">
        <w:r w:rsidRPr="0871CD5E">
          <w:rPr>
            <w:rStyle w:val="Hyperlink"/>
            <w:rFonts w:ascii="Calibri" w:eastAsia="Calibri" w:hAnsi="Calibri" w:cs="Calibri"/>
          </w:rPr>
          <w:t>Curriculum for funded non-maintained nursery settings - Hwb (</w:t>
        </w:r>
        <w:proofErr w:type="spellStart"/>
        <w:r w:rsidRPr="0871CD5E">
          <w:rPr>
            <w:rStyle w:val="Hyperlink"/>
            <w:rFonts w:ascii="Calibri" w:eastAsia="Calibri" w:hAnsi="Calibri" w:cs="Calibri"/>
          </w:rPr>
          <w:t>gov.wales</w:t>
        </w:r>
        <w:proofErr w:type="spellEnd"/>
        <w:r w:rsidRPr="0871CD5E">
          <w:rPr>
            <w:rStyle w:val="Hyperlink"/>
            <w:rFonts w:ascii="Calibri" w:eastAsia="Calibri" w:hAnsi="Calibri" w:cs="Calibri"/>
          </w:rPr>
          <w:t>)</w:t>
        </w:r>
      </w:hyperlink>
      <w:r w:rsidRPr="0871CD5E">
        <w:rPr>
          <w:rFonts w:ascii="Calibri" w:eastAsia="Calibri" w:hAnsi="Calibri" w:cs="Calibri"/>
        </w:rPr>
        <w:t xml:space="preserve"> (Accessed 12 October 2024). </w:t>
      </w:r>
    </w:p>
    <w:p w14:paraId="42CE1474" w14:textId="77777777" w:rsidR="00073DD7" w:rsidRDefault="00073DD7" w:rsidP="0871CD5E">
      <w:pPr>
        <w:spacing w:after="240"/>
        <w:rPr>
          <w:rFonts w:ascii="Calibri" w:eastAsia="Calibri" w:hAnsi="Calibri" w:cs="Calibri"/>
          <w:color w:val="000000" w:themeColor="text1"/>
        </w:rPr>
      </w:pPr>
      <w:r w:rsidRPr="0871CD5E">
        <w:rPr>
          <w:rFonts w:ascii="Calibri" w:eastAsia="Calibri" w:hAnsi="Calibri" w:cs="Calibri"/>
          <w:color w:val="000000" w:themeColor="text1"/>
          <w:lang w:val="en-GB"/>
        </w:rPr>
        <w:t xml:space="preserve">Yogman, M., Garner, A., Hutchinson, J., Hirsh-Pasek, K. and </w:t>
      </w:r>
      <w:proofErr w:type="spellStart"/>
      <w:r w:rsidRPr="0871CD5E">
        <w:rPr>
          <w:rFonts w:ascii="Calibri" w:eastAsia="Calibri" w:hAnsi="Calibri" w:cs="Calibri"/>
          <w:color w:val="000000" w:themeColor="text1"/>
          <w:lang w:val="en-GB"/>
        </w:rPr>
        <w:t>Golinkoff</w:t>
      </w:r>
      <w:proofErr w:type="spellEnd"/>
      <w:r w:rsidRPr="0871CD5E">
        <w:rPr>
          <w:rFonts w:ascii="Calibri" w:eastAsia="Calibri" w:hAnsi="Calibri" w:cs="Calibri"/>
          <w:color w:val="000000" w:themeColor="text1"/>
          <w:lang w:val="en-GB"/>
        </w:rPr>
        <w:t xml:space="preserve">, R.M. (2018). </w:t>
      </w:r>
      <w:r w:rsidRPr="0871CD5E">
        <w:rPr>
          <w:rFonts w:ascii="Calibri" w:eastAsia="Calibri" w:hAnsi="Calibri" w:cs="Calibri"/>
          <w:i/>
          <w:iCs/>
          <w:color w:val="000000" w:themeColor="text1"/>
          <w:lang w:val="en-GB"/>
        </w:rPr>
        <w:t xml:space="preserve">The power of play: A </w:t>
      </w:r>
      <w:proofErr w:type="spellStart"/>
      <w:r w:rsidRPr="0871CD5E">
        <w:rPr>
          <w:rFonts w:ascii="Calibri" w:eastAsia="Calibri" w:hAnsi="Calibri" w:cs="Calibri"/>
          <w:i/>
          <w:iCs/>
          <w:color w:val="000000" w:themeColor="text1"/>
          <w:lang w:val="en-GB"/>
        </w:rPr>
        <w:t>pediatric</w:t>
      </w:r>
      <w:proofErr w:type="spellEnd"/>
      <w:r w:rsidRPr="0871CD5E">
        <w:rPr>
          <w:rFonts w:ascii="Calibri" w:eastAsia="Calibri" w:hAnsi="Calibri" w:cs="Calibri"/>
          <w:i/>
          <w:iCs/>
          <w:color w:val="000000" w:themeColor="text1"/>
          <w:lang w:val="en-GB"/>
        </w:rPr>
        <w:t xml:space="preserve"> role in enhancing development in young children. </w:t>
      </w:r>
      <w:proofErr w:type="spellStart"/>
      <w:r w:rsidRPr="0871CD5E">
        <w:rPr>
          <w:rFonts w:ascii="Calibri" w:eastAsia="Calibri" w:hAnsi="Calibri" w:cs="Calibri"/>
          <w:i/>
          <w:iCs/>
          <w:color w:val="000000" w:themeColor="text1"/>
          <w:lang w:val="en-GB"/>
        </w:rPr>
        <w:t>Pediatrics</w:t>
      </w:r>
      <w:proofErr w:type="spellEnd"/>
      <w:r w:rsidRPr="0871CD5E">
        <w:rPr>
          <w:rFonts w:ascii="Calibri" w:eastAsia="Calibri" w:hAnsi="Calibri" w:cs="Calibri"/>
          <w:i/>
          <w:iCs/>
          <w:color w:val="000000" w:themeColor="text1"/>
          <w:lang w:val="en-GB"/>
        </w:rPr>
        <w:t>,</w:t>
      </w:r>
      <w:r w:rsidRPr="0871CD5E">
        <w:rPr>
          <w:rFonts w:ascii="Calibri" w:eastAsia="Calibri" w:hAnsi="Calibri" w:cs="Calibri"/>
          <w:color w:val="000000" w:themeColor="text1"/>
          <w:lang w:val="en-GB"/>
        </w:rPr>
        <w:t xml:space="preserve"> 142(3). </w:t>
      </w:r>
      <w:proofErr w:type="spellStart"/>
      <w:r w:rsidRPr="0871CD5E">
        <w:rPr>
          <w:rFonts w:ascii="Calibri" w:eastAsia="Calibri" w:hAnsi="Calibri" w:cs="Calibri"/>
          <w:color w:val="000000" w:themeColor="text1"/>
          <w:lang w:val="en-GB"/>
        </w:rPr>
        <w:t>doi:https</w:t>
      </w:r>
      <w:proofErr w:type="spellEnd"/>
      <w:r w:rsidRPr="0871CD5E">
        <w:rPr>
          <w:rFonts w:ascii="Calibri" w:eastAsia="Calibri" w:hAnsi="Calibri" w:cs="Calibri"/>
          <w:color w:val="000000" w:themeColor="text1"/>
          <w:lang w:val="en-GB"/>
        </w:rPr>
        <w:t>://doi.org/10.1542/peds.2018-2058.</w:t>
      </w:r>
    </w:p>
    <w:sectPr w:rsidR="00073DD7">
      <w:headerReference w:type="default" r:id="rId27"/>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529504" w14:textId="77777777" w:rsidR="00DD2DAC" w:rsidRDefault="00DD2DAC">
      <w:pPr>
        <w:spacing w:after="0" w:line="240" w:lineRule="auto"/>
      </w:pPr>
      <w:r>
        <w:separator/>
      </w:r>
    </w:p>
  </w:endnote>
  <w:endnote w:type="continuationSeparator" w:id="0">
    <w:p w14:paraId="6BA5133B" w14:textId="77777777" w:rsidR="00DD2DAC" w:rsidRDefault="00DD2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160051"/>
      <w:docPartObj>
        <w:docPartGallery w:val="Page Numbers (Bottom of Page)"/>
        <w:docPartUnique/>
      </w:docPartObj>
    </w:sdtPr>
    <w:sdtEndPr>
      <w:rPr>
        <w:noProof/>
      </w:rPr>
    </w:sdtEndPr>
    <w:sdtContent>
      <w:p w14:paraId="4EF06FE4" w14:textId="6A77779D" w:rsidR="00B77084" w:rsidRDefault="00B770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244A2B" w14:textId="0421E6ED" w:rsidR="0871CD5E" w:rsidRDefault="0871CD5E" w:rsidP="0871C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663158" w14:textId="77777777" w:rsidR="00DD2DAC" w:rsidRDefault="00DD2DAC">
      <w:pPr>
        <w:spacing w:after="0" w:line="240" w:lineRule="auto"/>
      </w:pPr>
      <w:r>
        <w:separator/>
      </w:r>
    </w:p>
  </w:footnote>
  <w:footnote w:type="continuationSeparator" w:id="0">
    <w:p w14:paraId="741E20D3" w14:textId="77777777" w:rsidR="00DD2DAC" w:rsidRDefault="00DD2D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2850"/>
      <w:gridCol w:w="3390"/>
    </w:tblGrid>
    <w:tr w:rsidR="0871CD5E" w14:paraId="619C2AB8" w14:textId="77777777" w:rsidTr="0871CD5E">
      <w:trPr>
        <w:trHeight w:val="300"/>
      </w:trPr>
      <w:tc>
        <w:tcPr>
          <w:tcW w:w="3120" w:type="dxa"/>
        </w:tcPr>
        <w:p w14:paraId="73D3BF01" w14:textId="07CEFAB3" w:rsidR="0871CD5E" w:rsidRDefault="0871CD5E" w:rsidP="0871CD5E">
          <w:pPr>
            <w:pStyle w:val="Header"/>
            <w:ind w:left="-115"/>
          </w:pPr>
          <w:r>
            <w:t xml:space="preserve">Beca Hiscocks </w:t>
          </w:r>
        </w:p>
      </w:tc>
      <w:tc>
        <w:tcPr>
          <w:tcW w:w="2850" w:type="dxa"/>
        </w:tcPr>
        <w:p w14:paraId="4893811F" w14:textId="69DA9BDA" w:rsidR="0871CD5E" w:rsidRDefault="0871CD5E" w:rsidP="0871CD5E">
          <w:pPr>
            <w:pStyle w:val="Header"/>
            <w:jc w:val="center"/>
          </w:pPr>
          <w:r>
            <w:t>ECEY5010</w:t>
          </w:r>
        </w:p>
      </w:tc>
      <w:tc>
        <w:tcPr>
          <w:tcW w:w="3390" w:type="dxa"/>
        </w:tcPr>
        <w:p w14:paraId="6BD054E4" w14:textId="37CD35B5" w:rsidR="0871CD5E" w:rsidRDefault="0871CD5E" w:rsidP="0871CD5E">
          <w:pPr>
            <w:pStyle w:val="Header"/>
            <w:ind w:right="-115"/>
            <w:jc w:val="right"/>
          </w:pPr>
          <w:r>
            <w:t>4</w:t>
          </w:r>
          <w:r w:rsidR="00B77084">
            <w:t>103</w:t>
          </w:r>
          <w:r>
            <w:t xml:space="preserve"> words </w:t>
          </w:r>
        </w:p>
      </w:tc>
    </w:tr>
  </w:tbl>
  <w:p w14:paraId="6F98D103" w14:textId="0B6CFDA1" w:rsidR="0871CD5E" w:rsidRDefault="0871CD5E" w:rsidP="0871CD5E">
    <w:pPr>
      <w:pStyle w:val="Header"/>
    </w:pPr>
  </w:p>
</w:hdr>
</file>

<file path=word/intelligence2.xml><?xml version="1.0" encoding="utf-8"?>
<int2:intelligence xmlns:int2="http://schemas.microsoft.com/office/intelligence/2020/intelligence" xmlns:oel="http://schemas.microsoft.com/office/2019/extlst">
  <int2:observations>
    <int2:textHash int2:hashCode="DVdE14VoisMtnv" int2:id="Vr1IO4py">
      <int2:state int2:value="Rejected" int2:type="AugLoop_Text_Critique"/>
    </int2:textHash>
    <int2:textHash int2:hashCode="NT12h6See3qwhk" int2:id="6YQo6l5V">
      <int2:state int2:value="Rejected" int2:type="AugLoop_Text_Critique"/>
    </int2:textHash>
    <int2:textHash int2:hashCode="irkedAV4Qy4Bdo" int2:id="Vm880yKw">
      <int2:state int2:value="Rejected" int2:type="AugLoop_Text_Critique"/>
    </int2:textHash>
    <int2:textHash int2:hashCode="oH07k/Lo//8WAY" int2:id="NfgKIXrt">
      <int2:state int2:value="Rejected" int2:type="AugLoop_Text_Critique"/>
    </int2:textHash>
    <int2:textHash int2:hashCode="Z+TrlBhYLlzY1C" int2:id="szINBE8r">
      <int2:state int2:value="Rejected" int2:type="AugLoop_Text_Critique"/>
    </int2:textHash>
    <int2:textHash int2:hashCode="WQUKHK/oUnCCZJ" int2:id="l0pJuIQM">
      <int2:state int2:value="Rejected" int2:type="AugLoop_Text_Critique"/>
    </int2:textHash>
    <int2:textHash int2:hashCode="i8Xkc2nHBocPFJ" int2:id="BQlJXrUD">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1E20F5"/>
    <w:multiLevelType w:val="hybridMultilevel"/>
    <w:tmpl w:val="81FE69F6"/>
    <w:lvl w:ilvl="0" w:tplc="665A17B2">
      <w:start w:val="1"/>
      <w:numFmt w:val="bullet"/>
      <w:lvlText w:val=""/>
      <w:lvlJc w:val="left"/>
      <w:pPr>
        <w:ind w:left="720" w:hanging="360"/>
      </w:pPr>
      <w:rPr>
        <w:rFonts w:ascii="Symbol" w:hAnsi="Symbol" w:hint="default"/>
      </w:rPr>
    </w:lvl>
    <w:lvl w:ilvl="1" w:tplc="784202B6">
      <w:start w:val="1"/>
      <w:numFmt w:val="bullet"/>
      <w:lvlText w:val="o"/>
      <w:lvlJc w:val="left"/>
      <w:pPr>
        <w:ind w:left="1440" w:hanging="360"/>
      </w:pPr>
      <w:rPr>
        <w:rFonts w:ascii="Courier New" w:hAnsi="Courier New" w:hint="default"/>
      </w:rPr>
    </w:lvl>
    <w:lvl w:ilvl="2" w:tplc="7B0856B2">
      <w:start w:val="1"/>
      <w:numFmt w:val="bullet"/>
      <w:lvlText w:val=""/>
      <w:lvlJc w:val="left"/>
      <w:pPr>
        <w:ind w:left="2160" w:hanging="360"/>
      </w:pPr>
      <w:rPr>
        <w:rFonts w:ascii="Wingdings" w:hAnsi="Wingdings" w:hint="default"/>
      </w:rPr>
    </w:lvl>
    <w:lvl w:ilvl="3" w:tplc="6E5077EE">
      <w:start w:val="1"/>
      <w:numFmt w:val="bullet"/>
      <w:lvlText w:val=""/>
      <w:lvlJc w:val="left"/>
      <w:pPr>
        <w:ind w:left="2880" w:hanging="360"/>
      </w:pPr>
      <w:rPr>
        <w:rFonts w:ascii="Symbol" w:hAnsi="Symbol" w:hint="default"/>
      </w:rPr>
    </w:lvl>
    <w:lvl w:ilvl="4" w:tplc="4A78493A">
      <w:start w:val="1"/>
      <w:numFmt w:val="bullet"/>
      <w:lvlText w:val="o"/>
      <w:lvlJc w:val="left"/>
      <w:pPr>
        <w:ind w:left="3600" w:hanging="360"/>
      </w:pPr>
      <w:rPr>
        <w:rFonts w:ascii="Courier New" w:hAnsi="Courier New" w:hint="default"/>
      </w:rPr>
    </w:lvl>
    <w:lvl w:ilvl="5" w:tplc="CE924D5E">
      <w:start w:val="1"/>
      <w:numFmt w:val="bullet"/>
      <w:lvlText w:val=""/>
      <w:lvlJc w:val="left"/>
      <w:pPr>
        <w:ind w:left="4320" w:hanging="360"/>
      </w:pPr>
      <w:rPr>
        <w:rFonts w:ascii="Wingdings" w:hAnsi="Wingdings" w:hint="default"/>
      </w:rPr>
    </w:lvl>
    <w:lvl w:ilvl="6" w:tplc="94D067EC">
      <w:start w:val="1"/>
      <w:numFmt w:val="bullet"/>
      <w:lvlText w:val=""/>
      <w:lvlJc w:val="left"/>
      <w:pPr>
        <w:ind w:left="5040" w:hanging="360"/>
      </w:pPr>
      <w:rPr>
        <w:rFonts w:ascii="Symbol" w:hAnsi="Symbol" w:hint="default"/>
      </w:rPr>
    </w:lvl>
    <w:lvl w:ilvl="7" w:tplc="3EF8299E">
      <w:start w:val="1"/>
      <w:numFmt w:val="bullet"/>
      <w:lvlText w:val="o"/>
      <w:lvlJc w:val="left"/>
      <w:pPr>
        <w:ind w:left="5760" w:hanging="360"/>
      </w:pPr>
      <w:rPr>
        <w:rFonts w:ascii="Courier New" w:hAnsi="Courier New" w:hint="default"/>
      </w:rPr>
    </w:lvl>
    <w:lvl w:ilvl="8" w:tplc="E73A2EC4">
      <w:start w:val="1"/>
      <w:numFmt w:val="bullet"/>
      <w:lvlText w:val=""/>
      <w:lvlJc w:val="left"/>
      <w:pPr>
        <w:ind w:left="6480" w:hanging="360"/>
      </w:pPr>
      <w:rPr>
        <w:rFonts w:ascii="Wingdings" w:hAnsi="Wingdings" w:hint="default"/>
      </w:rPr>
    </w:lvl>
  </w:abstractNum>
  <w:num w:numId="1" w16cid:durableId="1881892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FE2F73"/>
    <w:rsid w:val="00030959"/>
    <w:rsid w:val="000354ED"/>
    <w:rsid w:val="000377FD"/>
    <w:rsid w:val="00041138"/>
    <w:rsid w:val="00072174"/>
    <w:rsid w:val="00073DD7"/>
    <w:rsid w:val="000B6A69"/>
    <w:rsid w:val="000D237C"/>
    <w:rsid w:val="000F179A"/>
    <w:rsid w:val="0016637F"/>
    <w:rsid w:val="001D057A"/>
    <w:rsid w:val="001F6B88"/>
    <w:rsid w:val="00237049"/>
    <w:rsid w:val="002656D4"/>
    <w:rsid w:val="00276D82"/>
    <w:rsid w:val="002F2A36"/>
    <w:rsid w:val="00323259"/>
    <w:rsid w:val="00329E81"/>
    <w:rsid w:val="00335BCE"/>
    <w:rsid w:val="00377D53"/>
    <w:rsid w:val="0037E5C8"/>
    <w:rsid w:val="00396918"/>
    <w:rsid w:val="003B535D"/>
    <w:rsid w:val="003D5379"/>
    <w:rsid w:val="003E111B"/>
    <w:rsid w:val="00416B2F"/>
    <w:rsid w:val="00474D13"/>
    <w:rsid w:val="00496869"/>
    <w:rsid w:val="004A61DA"/>
    <w:rsid w:val="00505BEF"/>
    <w:rsid w:val="00515FB3"/>
    <w:rsid w:val="00523D59"/>
    <w:rsid w:val="00533989"/>
    <w:rsid w:val="005929BA"/>
    <w:rsid w:val="005E09A2"/>
    <w:rsid w:val="005F696D"/>
    <w:rsid w:val="00600888"/>
    <w:rsid w:val="00695401"/>
    <w:rsid w:val="006A1B9B"/>
    <w:rsid w:val="006C7FD4"/>
    <w:rsid w:val="006F2D02"/>
    <w:rsid w:val="007136D7"/>
    <w:rsid w:val="00735DC5"/>
    <w:rsid w:val="00753667"/>
    <w:rsid w:val="00766C5B"/>
    <w:rsid w:val="00769842"/>
    <w:rsid w:val="0078454F"/>
    <w:rsid w:val="008A250F"/>
    <w:rsid w:val="008B6A81"/>
    <w:rsid w:val="008D5252"/>
    <w:rsid w:val="00901BF4"/>
    <w:rsid w:val="00967BDB"/>
    <w:rsid w:val="009B054B"/>
    <w:rsid w:val="00A3572A"/>
    <w:rsid w:val="00A630D1"/>
    <w:rsid w:val="00A637FD"/>
    <w:rsid w:val="00AA08DB"/>
    <w:rsid w:val="00AD6327"/>
    <w:rsid w:val="00AF719E"/>
    <w:rsid w:val="00AFF9B5"/>
    <w:rsid w:val="00B434AF"/>
    <w:rsid w:val="00B77084"/>
    <w:rsid w:val="00B775DD"/>
    <w:rsid w:val="00B7D2C0"/>
    <w:rsid w:val="00BF7155"/>
    <w:rsid w:val="00C10F1E"/>
    <w:rsid w:val="00C8448B"/>
    <w:rsid w:val="00CE74DD"/>
    <w:rsid w:val="00D07AAC"/>
    <w:rsid w:val="00D20C8F"/>
    <w:rsid w:val="00D93B66"/>
    <w:rsid w:val="00DD2A2A"/>
    <w:rsid w:val="00DD2DAC"/>
    <w:rsid w:val="00E8544B"/>
    <w:rsid w:val="00E95531"/>
    <w:rsid w:val="00EA5ADC"/>
    <w:rsid w:val="00EA93B7"/>
    <w:rsid w:val="00EE1617"/>
    <w:rsid w:val="00EF5499"/>
    <w:rsid w:val="00F916FF"/>
    <w:rsid w:val="013ABAA1"/>
    <w:rsid w:val="01445904"/>
    <w:rsid w:val="0180A557"/>
    <w:rsid w:val="01B6C3B7"/>
    <w:rsid w:val="01DF01C2"/>
    <w:rsid w:val="02247823"/>
    <w:rsid w:val="022DC025"/>
    <w:rsid w:val="025B3750"/>
    <w:rsid w:val="0267BD52"/>
    <w:rsid w:val="02AC38F9"/>
    <w:rsid w:val="02B511A5"/>
    <w:rsid w:val="02C03DFC"/>
    <w:rsid w:val="02D43D54"/>
    <w:rsid w:val="02E5D4D5"/>
    <w:rsid w:val="02F6AC9B"/>
    <w:rsid w:val="035F1E69"/>
    <w:rsid w:val="03AD7423"/>
    <w:rsid w:val="043B34A5"/>
    <w:rsid w:val="046E0A77"/>
    <w:rsid w:val="047CF5C5"/>
    <w:rsid w:val="04805DB2"/>
    <w:rsid w:val="04BBA465"/>
    <w:rsid w:val="05075F85"/>
    <w:rsid w:val="0559994A"/>
    <w:rsid w:val="05D3B794"/>
    <w:rsid w:val="05FA06F8"/>
    <w:rsid w:val="06141CB3"/>
    <w:rsid w:val="0616276F"/>
    <w:rsid w:val="06448749"/>
    <w:rsid w:val="067D096A"/>
    <w:rsid w:val="0750056E"/>
    <w:rsid w:val="07576DC9"/>
    <w:rsid w:val="07CC0C86"/>
    <w:rsid w:val="07CEE2B3"/>
    <w:rsid w:val="07E4789B"/>
    <w:rsid w:val="07E894A2"/>
    <w:rsid w:val="07FD48A0"/>
    <w:rsid w:val="08215ABB"/>
    <w:rsid w:val="083B4E3F"/>
    <w:rsid w:val="08652E8C"/>
    <w:rsid w:val="0871CD5E"/>
    <w:rsid w:val="08914936"/>
    <w:rsid w:val="08AFA9C8"/>
    <w:rsid w:val="08E177F5"/>
    <w:rsid w:val="08E92ECF"/>
    <w:rsid w:val="0948602E"/>
    <w:rsid w:val="09671818"/>
    <w:rsid w:val="0970B63E"/>
    <w:rsid w:val="09B1D97C"/>
    <w:rsid w:val="09CE9746"/>
    <w:rsid w:val="09DD7ADD"/>
    <w:rsid w:val="09E2544E"/>
    <w:rsid w:val="09FC0824"/>
    <w:rsid w:val="09FFD063"/>
    <w:rsid w:val="0A082F70"/>
    <w:rsid w:val="0A1ACEBB"/>
    <w:rsid w:val="0A361F2B"/>
    <w:rsid w:val="0AA039C5"/>
    <w:rsid w:val="0AA47189"/>
    <w:rsid w:val="0AE1A279"/>
    <w:rsid w:val="0B335FAB"/>
    <w:rsid w:val="0BB42CFA"/>
    <w:rsid w:val="0BB73275"/>
    <w:rsid w:val="0BBDD1F6"/>
    <w:rsid w:val="0BC2887C"/>
    <w:rsid w:val="0BC41C8D"/>
    <w:rsid w:val="0BCA00C2"/>
    <w:rsid w:val="0BD0F307"/>
    <w:rsid w:val="0BF9BA44"/>
    <w:rsid w:val="0BFA0652"/>
    <w:rsid w:val="0C215B00"/>
    <w:rsid w:val="0C251FEC"/>
    <w:rsid w:val="0C37848E"/>
    <w:rsid w:val="0C4F820A"/>
    <w:rsid w:val="0C69C912"/>
    <w:rsid w:val="0C70FD79"/>
    <w:rsid w:val="0C9C5631"/>
    <w:rsid w:val="0CF707A6"/>
    <w:rsid w:val="0D97DBCE"/>
    <w:rsid w:val="0DA80C40"/>
    <w:rsid w:val="0DB325DA"/>
    <w:rsid w:val="0DF7C556"/>
    <w:rsid w:val="0E2E506E"/>
    <w:rsid w:val="0E30FAF4"/>
    <w:rsid w:val="0E5A92C6"/>
    <w:rsid w:val="0E643C7E"/>
    <w:rsid w:val="0E6F4859"/>
    <w:rsid w:val="0E8B61BD"/>
    <w:rsid w:val="0EB3DCAB"/>
    <w:rsid w:val="0EF32096"/>
    <w:rsid w:val="0F151812"/>
    <w:rsid w:val="0F47CC76"/>
    <w:rsid w:val="0F6D2A96"/>
    <w:rsid w:val="0FE632AC"/>
    <w:rsid w:val="0FFE8692"/>
    <w:rsid w:val="100E2919"/>
    <w:rsid w:val="103CC605"/>
    <w:rsid w:val="10802603"/>
    <w:rsid w:val="108B073A"/>
    <w:rsid w:val="10B813A4"/>
    <w:rsid w:val="10BE9878"/>
    <w:rsid w:val="10D8013F"/>
    <w:rsid w:val="10FA5651"/>
    <w:rsid w:val="11176ABE"/>
    <w:rsid w:val="114DB58C"/>
    <w:rsid w:val="11709946"/>
    <w:rsid w:val="11B05DB5"/>
    <w:rsid w:val="11B6B182"/>
    <w:rsid w:val="11D9BE46"/>
    <w:rsid w:val="1205B701"/>
    <w:rsid w:val="122DE044"/>
    <w:rsid w:val="126C3D58"/>
    <w:rsid w:val="1270A63D"/>
    <w:rsid w:val="1277FFAF"/>
    <w:rsid w:val="128A8977"/>
    <w:rsid w:val="12C68F08"/>
    <w:rsid w:val="1313F59C"/>
    <w:rsid w:val="134A2A88"/>
    <w:rsid w:val="13AF697D"/>
    <w:rsid w:val="13D24C7E"/>
    <w:rsid w:val="13E242C5"/>
    <w:rsid w:val="140AAE87"/>
    <w:rsid w:val="140F4A08"/>
    <w:rsid w:val="143AB093"/>
    <w:rsid w:val="145B7A36"/>
    <w:rsid w:val="146B78DE"/>
    <w:rsid w:val="1480B7EC"/>
    <w:rsid w:val="14AB67CF"/>
    <w:rsid w:val="155A7C89"/>
    <w:rsid w:val="156113B9"/>
    <w:rsid w:val="15A44F26"/>
    <w:rsid w:val="15AB9314"/>
    <w:rsid w:val="15BFC8B4"/>
    <w:rsid w:val="15E2D2ED"/>
    <w:rsid w:val="162D71A3"/>
    <w:rsid w:val="162F4644"/>
    <w:rsid w:val="165DDD9B"/>
    <w:rsid w:val="1675EE47"/>
    <w:rsid w:val="16D037E9"/>
    <w:rsid w:val="16E11535"/>
    <w:rsid w:val="16EE77DD"/>
    <w:rsid w:val="1734A96B"/>
    <w:rsid w:val="17484F99"/>
    <w:rsid w:val="176092C2"/>
    <w:rsid w:val="1761B02A"/>
    <w:rsid w:val="17647B51"/>
    <w:rsid w:val="176D52F1"/>
    <w:rsid w:val="1784006F"/>
    <w:rsid w:val="179A84DE"/>
    <w:rsid w:val="17EFAE97"/>
    <w:rsid w:val="188F3098"/>
    <w:rsid w:val="18975752"/>
    <w:rsid w:val="1897919A"/>
    <w:rsid w:val="18D2B731"/>
    <w:rsid w:val="18D8760E"/>
    <w:rsid w:val="18E39F9E"/>
    <w:rsid w:val="1924D4AB"/>
    <w:rsid w:val="19428ADC"/>
    <w:rsid w:val="197DF32D"/>
    <w:rsid w:val="199A0BDF"/>
    <w:rsid w:val="19A625A1"/>
    <w:rsid w:val="19BBB838"/>
    <w:rsid w:val="19CD644F"/>
    <w:rsid w:val="19D4D937"/>
    <w:rsid w:val="1A0535EA"/>
    <w:rsid w:val="1A0CBF53"/>
    <w:rsid w:val="1A2D0803"/>
    <w:rsid w:val="1A6A7FA0"/>
    <w:rsid w:val="1A92840C"/>
    <w:rsid w:val="1A9FE08B"/>
    <w:rsid w:val="1AA3901A"/>
    <w:rsid w:val="1AAE81C1"/>
    <w:rsid w:val="1ADB58BA"/>
    <w:rsid w:val="1AE5FDF6"/>
    <w:rsid w:val="1B16D451"/>
    <w:rsid w:val="1B2AAAC4"/>
    <w:rsid w:val="1B2EC011"/>
    <w:rsid w:val="1B421667"/>
    <w:rsid w:val="1B49B994"/>
    <w:rsid w:val="1B5D81E5"/>
    <w:rsid w:val="1BCB8C2E"/>
    <w:rsid w:val="1BCC1960"/>
    <w:rsid w:val="1C3665F0"/>
    <w:rsid w:val="1C5F51C3"/>
    <w:rsid w:val="1C9855CE"/>
    <w:rsid w:val="1D353C17"/>
    <w:rsid w:val="1D89CD23"/>
    <w:rsid w:val="1D98EA0E"/>
    <w:rsid w:val="1DA15301"/>
    <w:rsid w:val="1DB6FE01"/>
    <w:rsid w:val="1E101EB4"/>
    <w:rsid w:val="1E3B6AD7"/>
    <w:rsid w:val="1E52C1AC"/>
    <w:rsid w:val="1E76DDE2"/>
    <w:rsid w:val="1E8472AE"/>
    <w:rsid w:val="1E9CB59F"/>
    <w:rsid w:val="1E9E988B"/>
    <w:rsid w:val="1EC488B4"/>
    <w:rsid w:val="1EF24E43"/>
    <w:rsid w:val="1EF7BE7D"/>
    <w:rsid w:val="1F0C7064"/>
    <w:rsid w:val="1F2807BC"/>
    <w:rsid w:val="1F4C69D7"/>
    <w:rsid w:val="1F4E5182"/>
    <w:rsid w:val="1F7D226E"/>
    <w:rsid w:val="1F84659C"/>
    <w:rsid w:val="1FC70C94"/>
    <w:rsid w:val="200BAFF7"/>
    <w:rsid w:val="2010303F"/>
    <w:rsid w:val="2059F2F2"/>
    <w:rsid w:val="20A13664"/>
    <w:rsid w:val="20CCD7CF"/>
    <w:rsid w:val="210AABE2"/>
    <w:rsid w:val="21115E63"/>
    <w:rsid w:val="21469794"/>
    <w:rsid w:val="214C7536"/>
    <w:rsid w:val="215615C5"/>
    <w:rsid w:val="218543DC"/>
    <w:rsid w:val="21C1890F"/>
    <w:rsid w:val="21C2BE38"/>
    <w:rsid w:val="21CBF053"/>
    <w:rsid w:val="21E04B04"/>
    <w:rsid w:val="221A1675"/>
    <w:rsid w:val="2239F786"/>
    <w:rsid w:val="225A3F8C"/>
    <w:rsid w:val="2297E292"/>
    <w:rsid w:val="22B9737C"/>
    <w:rsid w:val="22CC342A"/>
    <w:rsid w:val="22DFE1D3"/>
    <w:rsid w:val="22E09C6F"/>
    <w:rsid w:val="230B102A"/>
    <w:rsid w:val="23752AD6"/>
    <w:rsid w:val="23B97AE3"/>
    <w:rsid w:val="23EA99C2"/>
    <w:rsid w:val="243517EB"/>
    <w:rsid w:val="248D19B5"/>
    <w:rsid w:val="24A3F2F3"/>
    <w:rsid w:val="24A4D128"/>
    <w:rsid w:val="24BD71C2"/>
    <w:rsid w:val="24CA8788"/>
    <w:rsid w:val="24FE2F73"/>
    <w:rsid w:val="25145BD3"/>
    <w:rsid w:val="2542466E"/>
    <w:rsid w:val="2546E630"/>
    <w:rsid w:val="25617C80"/>
    <w:rsid w:val="258A47F4"/>
    <w:rsid w:val="25A39E97"/>
    <w:rsid w:val="25D55080"/>
    <w:rsid w:val="2644EB8F"/>
    <w:rsid w:val="267D9DF8"/>
    <w:rsid w:val="268292C8"/>
    <w:rsid w:val="26B0D098"/>
    <w:rsid w:val="26CEA69E"/>
    <w:rsid w:val="276A211D"/>
    <w:rsid w:val="27A11BEF"/>
    <w:rsid w:val="27AA1EF6"/>
    <w:rsid w:val="27CF1138"/>
    <w:rsid w:val="27DFE265"/>
    <w:rsid w:val="27F1F973"/>
    <w:rsid w:val="27F4E8B4"/>
    <w:rsid w:val="281848A1"/>
    <w:rsid w:val="2824BA05"/>
    <w:rsid w:val="28348CEA"/>
    <w:rsid w:val="2930A278"/>
    <w:rsid w:val="2974AE11"/>
    <w:rsid w:val="29A7A6EB"/>
    <w:rsid w:val="29DF0CED"/>
    <w:rsid w:val="2A01284A"/>
    <w:rsid w:val="2A047843"/>
    <w:rsid w:val="2A10F962"/>
    <w:rsid w:val="2A4CCB42"/>
    <w:rsid w:val="2A62B4E1"/>
    <w:rsid w:val="2AA758FF"/>
    <w:rsid w:val="2B86764B"/>
    <w:rsid w:val="2B8BFD53"/>
    <w:rsid w:val="2BBAEF78"/>
    <w:rsid w:val="2C03EBDF"/>
    <w:rsid w:val="2C164E84"/>
    <w:rsid w:val="2C4B3477"/>
    <w:rsid w:val="2C65C343"/>
    <w:rsid w:val="2C9AD6BA"/>
    <w:rsid w:val="2CCB9ED3"/>
    <w:rsid w:val="2CF28470"/>
    <w:rsid w:val="2CFD3A95"/>
    <w:rsid w:val="2D34B075"/>
    <w:rsid w:val="2D373B8F"/>
    <w:rsid w:val="2D49D952"/>
    <w:rsid w:val="2D5A1FD5"/>
    <w:rsid w:val="2D66332F"/>
    <w:rsid w:val="2D8D992B"/>
    <w:rsid w:val="2DA0D1B4"/>
    <w:rsid w:val="2E0579D1"/>
    <w:rsid w:val="2E182E36"/>
    <w:rsid w:val="2E7215CD"/>
    <w:rsid w:val="2EB1C8B6"/>
    <w:rsid w:val="2EBC8080"/>
    <w:rsid w:val="2EC252BC"/>
    <w:rsid w:val="2EC5C178"/>
    <w:rsid w:val="2EE05D5C"/>
    <w:rsid w:val="2EF573FA"/>
    <w:rsid w:val="2F027D63"/>
    <w:rsid w:val="2F15C925"/>
    <w:rsid w:val="2F4097B6"/>
    <w:rsid w:val="2F487F03"/>
    <w:rsid w:val="2F5CDA90"/>
    <w:rsid w:val="2F63D94D"/>
    <w:rsid w:val="2F7288F0"/>
    <w:rsid w:val="2F764BBC"/>
    <w:rsid w:val="2F7798E1"/>
    <w:rsid w:val="2F9D06B3"/>
    <w:rsid w:val="2FA3AF77"/>
    <w:rsid w:val="2FDD93B2"/>
    <w:rsid w:val="3005994B"/>
    <w:rsid w:val="301713DC"/>
    <w:rsid w:val="303799A1"/>
    <w:rsid w:val="3063C651"/>
    <w:rsid w:val="306C673D"/>
    <w:rsid w:val="307C99DC"/>
    <w:rsid w:val="308F8E52"/>
    <w:rsid w:val="30AD6C1F"/>
    <w:rsid w:val="30E5CD56"/>
    <w:rsid w:val="30F9EB9F"/>
    <w:rsid w:val="3190000E"/>
    <w:rsid w:val="319C6CBA"/>
    <w:rsid w:val="31B16177"/>
    <w:rsid w:val="31F3BA5E"/>
    <w:rsid w:val="322A9333"/>
    <w:rsid w:val="32383855"/>
    <w:rsid w:val="325B5B7F"/>
    <w:rsid w:val="32733523"/>
    <w:rsid w:val="3274B3DA"/>
    <w:rsid w:val="32795ED2"/>
    <w:rsid w:val="32B882FC"/>
    <w:rsid w:val="32B8B113"/>
    <w:rsid w:val="32D18032"/>
    <w:rsid w:val="32FB80D4"/>
    <w:rsid w:val="32FD7473"/>
    <w:rsid w:val="331C5096"/>
    <w:rsid w:val="334C7379"/>
    <w:rsid w:val="336CCAAA"/>
    <w:rsid w:val="3381896F"/>
    <w:rsid w:val="339745FA"/>
    <w:rsid w:val="33B525E5"/>
    <w:rsid w:val="34014E7B"/>
    <w:rsid w:val="34449559"/>
    <w:rsid w:val="345850E1"/>
    <w:rsid w:val="3491AAA3"/>
    <w:rsid w:val="34A22729"/>
    <w:rsid w:val="34AAEEB5"/>
    <w:rsid w:val="34B3E007"/>
    <w:rsid w:val="34BD54CC"/>
    <w:rsid w:val="34C14DEA"/>
    <w:rsid w:val="34E1CDFD"/>
    <w:rsid w:val="34E4F9C9"/>
    <w:rsid w:val="34E819F1"/>
    <w:rsid w:val="34FF6F72"/>
    <w:rsid w:val="35026C75"/>
    <w:rsid w:val="3588F090"/>
    <w:rsid w:val="358E2DF1"/>
    <w:rsid w:val="359FCBF9"/>
    <w:rsid w:val="35A03748"/>
    <w:rsid w:val="35A746B5"/>
    <w:rsid w:val="35B3F84C"/>
    <w:rsid w:val="35DEBFA2"/>
    <w:rsid w:val="35F34C88"/>
    <w:rsid w:val="361D7A14"/>
    <w:rsid w:val="362666E9"/>
    <w:rsid w:val="369432CC"/>
    <w:rsid w:val="36DC79F4"/>
    <w:rsid w:val="371B5DF3"/>
    <w:rsid w:val="373ED90B"/>
    <w:rsid w:val="375469CB"/>
    <w:rsid w:val="3771F409"/>
    <w:rsid w:val="3797A738"/>
    <w:rsid w:val="380713F8"/>
    <w:rsid w:val="3821BC6B"/>
    <w:rsid w:val="38298106"/>
    <w:rsid w:val="384E850B"/>
    <w:rsid w:val="38587E2C"/>
    <w:rsid w:val="3858A4B3"/>
    <w:rsid w:val="389AC2C4"/>
    <w:rsid w:val="38A8276C"/>
    <w:rsid w:val="38AD68D3"/>
    <w:rsid w:val="38C62FE1"/>
    <w:rsid w:val="38F1E83F"/>
    <w:rsid w:val="38FED08A"/>
    <w:rsid w:val="39081F9A"/>
    <w:rsid w:val="3911C4B1"/>
    <w:rsid w:val="39214716"/>
    <w:rsid w:val="39547F95"/>
    <w:rsid w:val="39562CA5"/>
    <w:rsid w:val="39A3FD65"/>
    <w:rsid w:val="39ACE75C"/>
    <w:rsid w:val="39B0EF1A"/>
    <w:rsid w:val="39DB9D9E"/>
    <w:rsid w:val="39E2A651"/>
    <w:rsid w:val="3A0F2614"/>
    <w:rsid w:val="3A1D5283"/>
    <w:rsid w:val="3A2FDE8F"/>
    <w:rsid w:val="3A321BCA"/>
    <w:rsid w:val="3A41D241"/>
    <w:rsid w:val="3A61E8D8"/>
    <w:rsid w:val="3A8A875D"/>
    <w:rsid w:val="3A9271B3"/>
    <w:rsid w:val="3AE688BA"/>
    <w:rsid w:val="3B38088A"/>
    <w:rsid w:val="3B3993DA"/>
    <w:rsid w:val="3B450C8D"/>
    <w:rsid w:val="3B7C4C8D"/>
    <w:rsid w:val="3B811A1C"/>
    <w:rsid w:val="3B875283"/>
    <w:rsid w:val="3B8B4827"/>
    <w:rsid w:val="3B9CAC1F"/>
    <w:rsid w:val="3BC55405"/>
    <w:rsid w:val="3C09AD35"/>
    <w:rsid w:val="3C1E54FF"/>
    <w:rsid w:val="3C2A37C0"/>
    <w:rsid w:val="3C59D903"/>
    <w:rsid w:val="3C928FE3"/>
    <w:rsid w:val="3CC452B2"/>
    <w:rsid w:val="3CDA7724"/>
    <w:rsid w:val="3CE4AEB8"/>
    <w:rsid w:val="3CF0EDE7"/>
    <w:rsid w:val="3D15543A"/>
    <w:rsid w:val="3D230B66"/>
    <w:rsid w:val="3D90CA69"/>
    <w:rsid w:val="3D97C83F"/>
    <w:rsid w:val="3DF641AB"/>
    <w:rsid w:val="3E0EF64D"/>
    <w:rsid w:val="3E0F539D"/>
    <w:rsid w:val="3E19EFB1"/>
    <w:rsid w:val="3E1E2C95"/>
    <w:rsid w:val="3E252FCC"/>
    <w:rsid w:val="3E64ACB3"/>
    <w:rsid w:val="3E73C177"/>
    <w:rsid w:val="3EA24159"/>
    <w:rsid w:val="3EB3E362"/>
    <w:rsid w:val="3ECFE94F"/>
    <w:rsid w:val="3F076FB8"/>
    <w:rsid w:val="3F246B75"/>
    <w:rsid w:val="3F2CC6BB"/>
    <w:rsid w:val="3F56D246"/>
    <w:rsid w:val="3F6F0217"/>
    <w:rsid w:val="3F9D2B84"/>
    <w:rsid w:val="3FBAEB47"/>
    <w:rsid w:val="3FBDB757"/>
    <w:rsid w:val="3FCA5F0D"/>
    <w:rsid w:val="3FCD084D"/>
    <w:rsid w:val="4059415C"/>
    <w:rsid w:val="40A58088"/>
    <w:rsid w:val="410A89A7"/>
    <w:rsid w:val="4132EC04"/>
    <w:rsid w:val="41358374"/>
    <w:rsid w:val="413AEB81"/>
    <w:rsid w:val="414C0248"/>
    <w:rsid w:val="4150E2DA"/>
    <w:rsid w:val="4158AB81"/>
    <w:rsid w:val="4197B56C"/>
    <w:rsid w:val="41A03F21"/>
    <w:rsid w:val="41C29873"/>
    <w:rsid w:val="41C3D033"/>
    <w:rsid w:val="41FC5BB6"/>
    <w:rsid w:val="422C6A4C"/>
    <w:rsid w:val="423122C5"/>
    <w:rsid w:val="425790EF"/>
    <w:rsid w:val="427CDE9A"/>
    <w:rsid w:val="429BA98C"/>
    <w:rsid w:val="42BB6ECB"/>
    <w:rsid w:val="42C166B0"/>
    <w:rsid w:val="433C45AE"/>
    <w:rsid w:val="434101CC"/>
    <w:rsid w:val="43784BAF"/>
    <w:rsid w:val="43CCF0AC"/>
    <w:rsid w:val="43CFCD61"/>
    <w:rsid w:val="43D7BE37"/>
    <w:rsid w:val="43DFB99D"/>
    <w:rsid w:val="43E0B31F"/>
    <w:rsid w:val="43F0EC86"/>
    <w:rsid w:val="4411190A"/>
    <w:rsid w:val="4430B65F"/>
    <w:rsid w:val="445E9105"/>
    <w:rsid w:val="447260D7"/>
    <w:rsid w:val="44BFD076"/>
    <w:rsid w:val="44C8D68E"/>
    <w:rsid w:val="44D6860D"/>
    <w:rsid w:val="4521A039"/>
    <w:rsid w:val="4528B5C5"/>
    <w:rsid w:val="456CB3EF"/>
    <w:rsid w:val="458ED9AB"/>
    <w:rsid w:val="45DB10D8"/>
    <w:rsid w:val="45DC1C34"/>
    <w:rsid w:val="45F15665"/>
    <w:rsid w:val="45FD46FF"/>
    <w:rsid w:val="462E58C7"/>
    <w:rsid w:val="4637E7F4"/>
    <w:rsid w:val="46897CC8"/>
    <w:rsid w:val="468D4EC3"/>
    <w:rsid w:val="46B214D6"/>
    <w:rsid w:val="47011C80"/>
    <w:rsid w:val="4701C765"/>
    <w:rsid w:val="47118AF0"/>
    <w:rsid w:val="47247B08"/>
    <w:rsid w:val="4725D343"/>
    <w:rsid w:val="473D0743"/>
    <w:rsid w:val="4758A293"/>
    <w:rsid w:val="478E6F0C"/>
    <w:rsid w:val="479FB814"/>
    <w:rsid w:val="47C0C91E"/>
    <w:rsid w:val="47C64AE5"/>
    <w:rsid w:val="47D1A810"/>
    <w:rsid w:val="47EBAE31"/>
    <w:rsid w:val="47F0C73B"/>
    <w:rsid w:val="47F8DFD4"/>
    <w:rsid w:val="480CE1A1"/>
    <w:rsid w:val="482907AB"/>
    <w:rsid w:val="4854613E"/>
    <w:rsid w:val="485C13F3"/>
    <w:rsid w:val="4874344C"/>
    <w:rsid w:val="4890C860"/>
    <w:rsid w:val="48A29AE4"/>
    <w:rsid w:val="48A71169"/>
    <w:rsid w:val="48AE240E"/>
    <w:rsid w:val="48B23BF6"/>
    <w:rsid w:val="48BD220A"/>
    <w:rsid w:val="48E529A1"/>
    <w:rsid w:val="490C2414"/>
    <w:rsid w:val="49251943"/>
    <w:rsid w:val="493BB631"/>
    <w:rsid w:val="494C4D90"/>
    <w:rsid w:val="49518844"/>
    <w:rsid w:val="497256C9"/>
    <w:rsid w:val="497C2068"/>
    <w:rsid w:val="497CED36"/>
    <w:rsid w:val="4A04A1F2"/>
    <w:rsid w:val="4A095331"/>
    <w:rsid w:val="4A3F9036"/>
    <w:rsid w:val="4A432F9C"/>
    <w:rsid w:val="4ADFF444"/>
    <w:rsid w:val="4AE8D710"/>
    <w:rsid w:val="4AF0AC41"/>
    <w:rsid w:val="4AFC1A69"/>
    <w:rsid w:val="4B01525F"/>
    <w:rsid w:val="4B2F477F"/>
    <w:rsid w:val="4B2F5505"/>
    <w:rsid w:val="4B3D53EC"/>
    <w:rsid w:val="4B58A4A9"/>
    <w:rsid w:val="4B5C6A0D"/>
    <w:rsid w:val="4B5D0CF0"/>
    <w:rsid w:val="4B97B1D6"/>
    <w:rsid w:val="4BB5B57F"/>
    <w:rsid w:val="4C32EF7D"/>
    <w:rsid w:val="4C47D558"/>
    <w:rsid w:val="4C4835EC"/>
    <w:rsid w:val="4C4CD3EE"/>
    <w:rsid w:val="4CCBFFF3"/>
    <w:rsid w:val="4D8B894A"/>
    <w:rsid w:val="4DB2A41B"/>
    <w:rsid w:val="4DE30185"/>
    <w:rsid w:val="4DE92A9A"/>
    <w:rsid w:val="4E190019"/>
    <w:rsid w:val="4E3A0F15"/>
    <w:rsid w:val="4E41F4A5"/>
    <w:rsid w:val="4E747F0D"/>
    <w:rsid w:val="4E8F5799"/>
    <w:rsid w:val="4EEC159F"/>
    <w:rsid w:val="4EFEC5B2"/>
    <w:rsid w:val="4F0FB427"/>
    <w:rsid w:val="4F1B6A02"/>
    <w:rsid w:val="4F2126A5"/>
    <w:rsid w:val="4F369688"/>
    <w:rsid w:val="4F804AE4"/>
    <w:rsid w:val="4FA7C062"/>
    <w:rsid w:val="4FB37C87"/>
    <w:rsid w:val="4FBC9F2B"/>
    <w:rsid w:val="50113795"/>
    <w:rsid w:val="5023E6FC"/>
    <w:rsid w:val="50834D2D"/>
    <w:rsid w:val="50A00983"/>
    <w:rsid w:val="5116CEAA"/>
    <w:rsid w:val="51192E6F"/>
    <w:rsid w:val="511BE800"/>
    <w:rsid w:val="51223492"/>
    <w:rsid w:val="5124028E"/>
    <w:rsid w:val="514594BB"/>
    <w:rsid w:val="518C9A0F"/>
    <w:rsid w:val="5191CF27"/>
    <w:rsid w:val="51A51655"/>
    <w:rsid w:val="51D272AF"/>
    <w:rsid w:val="51DDD9EC"/>
    <w:rsid w:val="51DFD101"/>
    <w:rsid w:val="51E2F8C8"/>
    <w:rsid w:val="51E37FE0"/>
    <w:rsid w:val="51F6B3E0"/>
    <w:rsid w:val="529985B1"/>
    <w:rsid w:val="52C3BFE6"/>
    <w:rsid w:val="52E7AA3C"/>
    <w:rsid w:val="52ED926E"/>
    <w:rsid w:val="52F9522C"/>
    <w:rsid w:val="5337F6F0"/>
    <w:rsid w:val="53736992"/>
    <w:rsid w:val="538AB611"/>
    <w:rsid w:val="538B7A31"/>
    <w:rsid w:val="5391B7C6"/>
    <w:rsid w:val="53A789D8"/>
    <w:rsid w:val="53B404D2"/>
    <w:rsid w:val="53B9583A"/>
    <w:rsid w:val="53C25D89"/>
    <w:rsid w:val="53DBACBE"/>
    <w:rsid w:val="5418AE9B"/>
    <w:rsid w:val="54482524"/>
    <w:rsid w:val="5454CDB2"/>
    <w:rsid w:val="54609678"/>
    <w:rsid w:val="546E7526"/>
    <w:rsid w:val="54D6A71F"/>
    <w:rsid w:val="54DB5A4B"/>
    <w:rsid w:val="54E13B1E"/>
    <w:rsid w:val="54E53DEB"/>
    <w:rsid w:val="5539C4FE"/>
    <w:rsid w:val="55619F61"/>
    <w:rsid w:val="55783469"/>
    <w:rsid w:val="55785F00"/>
    <w:rsid w:val="558A9471"/>
    <w:rsid w:val="55AD160F"/>
    <w:rsid w:val="55D3CEB0"/>
    <w:rsid w:val="561284FA"/>
    <w:rsid w:val="56177A7E"/>
    <w:rsid w:val="5626FF10"/>
    <w:rsid w:val="56621382"/>
    <w:rsid w:val="5668FF1C"/>
    <w:rsid w:val="5672D23C"/>
    <w:rsid w:val="57105817"/>
    <w:rsid w:val="5721B0CA"/>
    <w:rsid w:val="572BB06D"/>
    <w:rsid w:val="57667B24"/>
    <w:rsid w:val="5766E888"/>
    <w:rsid w:val="5767DAC8"/>
    <w:rsid w:val="576CBBDA"/>
    <w:rsid w:val="57BD88BB"/>
    <w:rsid w:val="57EDF2B9"/>
    <w:rsid w:val="57F82C20"/>
    <w:rsid w:val="581AE37A"/>
    <w:rsid w:val="5842B70B"/>
    <w:rsid w:val="58693F11"/>
    <w:rsid w:val="587E4B3F"/>
    <w:rsid w:val="58BA1613"/>
    <w:rsid w:val="58CBC6D2"/>
    <w:rsid w:val="59342C5A"/>
    <w:rsid w:val="5992C91C"/>
    <w:rsid w:val="5A3F1BE0"/>
    <w:rsid w:val="5A86E866"/>
    <w:rsid w:val="5A91DBA6"/>
    <w:rsid w:val="5AAC00B8"/>
    <w:rsid w:val="5AAC1D22"/>
    <w:rsid w:val="5ADFF336"/>
    <w:rsid w:val="5AF52726"/>
    <w:rsid w:val="5B0B1E87"/>
    <w:rsid w:val="5B51FE85"/>
    <w:rsid w:val="5BBC646D"/>
    <w:rsid w:val="5BCF009C"/>
    <w:rsid w:val="5BDD7D1A"/>
    <w:rsid w:val="5BE80EFC"/>
    <w:rsid w:val="5C093D33"/>
    <w:rsid w:val="5C136A0A"/>
    <w:rsid w:val="5C248086"/>
    <w:rsid w:val="5C5429FA"/>
    <w:rsid w:val="5C896FF8"/>
    <w:rsid w:val="5CAE79D6"/>
    <w:rsid w:val="5CBCEC00"/>
    <w:rsid w:val="5CEF02D7"/>
    <w:rsid w:val="5CFC533A"/>
    <w:rsid w:val="5D04B13C"/>
    <w:rsid w:val="5D04EBB8"/>
    <w:rsid w:val="5D3119A6"/>
    <w:rsid w:val="5D4BC749"/>
    <w:rsid w:val="5D64CEBD"/>
    <w:rsid w:val="5D77EEDD"/>
    <w:rsid w:val="5DE4C0A5"/>
    <w:rsid w:val="5E110AB0"/>
    <w:rsid w:val="5E33C79B"/>
    <w:rsid w:val="5E5C5E92"/>
    <w:rsid w:val="5E773837"/>
    <w:rsid w:val="5E7E2B1A"/>
    <w:rsid w:val="5ED320BC"/>
    <w:rsid w:val="5EF1A50F"/>
    <w:rsid w:val="5F3C95CA"/>
    <w:rsid w:val="5FA660B3"/>
    <w:rsid w:val="5FCBD942"/>
    <w:rsid w:val="5FCCBC8B"/>
    <w:rsid w:val="600077B4"/>
    <w:rsid w:val="6017D28F"/>
    <w:rsid w:val="60191069"/>
    <w:rsid w:val="601928D5"/>
    <w:rsid w:val="601A9AB9"/>
    <w:rsid w:val="6020AB5F"/>
    <w:rsid w:val="602CA3E0"/>
    <w:rsid w:val="6032F45F"/>
    <w:rsid w:val="6047C25A"/>
    <w:rsid w:val="60757D13"/>
    <w:rsid w:val="60D80067"/>
    <w:rsid w:val="60D98BFE"/>
    <w:rsid w:val="6103DFC1"/>
    <w:rsid w:val="619A6A2A"/>
    <w:rsid w:val="62185935"/>
    <w:rsid w:val="6258DBD2"/>
    <w:rsid w:val="626F53B1"/>
    <w:rsid w:val="627043C9"/>
    <w:rsid w:val="62A8FFA2"/>
    <w:rsid w:val="62CA4701"/>
    <w:rsid w:val="62E40B9B"/>
    <w:rsid w:val="63186191"/>
    <w:rsid w:val="63334822"/>
    <w:rsid w:val="63346431"/>
    <w:rsid w:val="63748F71"/>
    <w:rsid w:val="63767C15"/>
    <w:rsid w:val="63854F14"/>
    <w:rsid w:val="6389372F"/>
    <w:rsid w:val="6396D964"/>
    <w:rsid w:val="639C3346"/>
    <w:rsid w:val="639DEDDC"/>
    <w:rsid w:val="63D5B356"/>
    <w:rsid w:val="63DC0BFF"/>
    <w:rsid w:val="63FE23B4"/>
    <w:rsid w:val="63FFFC35"/>
    <w:rsid w:val="6400C8FA"/>
    <w:rsid w:val="640D2BFF"/>
    <w:rsid w:val="6457CA88"/>
    <w:rsid w:val="6464CD95"/>
    <w:rsid w:val="64A24900"/>
    <w:rsid w:val="64A55D34"/>
    <w:rsid w:val="64EBDFA1"/>
    <w:rsid w:val="65105368"/>
    <w:rsid w:val="654631AE"/>
    <w:rsid w:val="65804568"/>
    <w:rsid w:val="658ABDB5"/>
    <w:rsid w:val="659850D3"/>
    <w:rsid w:val="65AA5D95"/>
    <w:rsid w:val="65C8CE4E"/>
    <w:rsid w:val="66208036"/>
    <w:rsid w:val="662530DA"/>
    <w:rsid w:val="66306DEA"/>
    <w:rsid w:val="66717EA2"/>
    <w:rsid w:val="6694C69F"/>
    <w:rsid w:val="66B21020"/>
    <w:rsid w:val="66CE5F2C"/>
    <w:rsid w:val="67326976"/>
    <w:rsid w:val="674FC8A6"/>
    <w:rsid w:val="67573665"/>
    <w:rsid w:val="675AB309"/>
    <w:rsid w:val="676BCB7C"/>
    <w:rsid w:val="67938BE5"/>
    <w:rsid w:val="67956FBC"/>
    <w:rsid w:val="67C3B08F"/>
    <w:rsid w:val="67E14A08"/>
    <w:rsid w:val="68015197"/>
    <w:rsid w:val="6807ABDC"/>
    <w:rsid w:val="685B6CED"/>
    <w:rsid w:val="685FDAE6"/>
    <w:rsid w:val="6868B2DC"/>
    <w:rsid w:val="68D1C740"/>
    <w:rsid w:val="68D79F7E"/>
    <w:rsid w:val="68F07DEF"/>
    <w:rsid w:val="68F865EF"/>
    <w:rsid w:val="69417466"/>
    <w:rsid w:val="6942ADC8"/>
    <w:rsid w:val="69447308"/>
    <w:rsid w:val="69892ECB"/>
    <w:rsid w:val="69BB0F99"/>
    <w:rsid w:val="69F52299"/>
    <w:rsid w:val="6A27785C"/>
    <w:rsid w:val="6A64BE7D"/>
    <w:rsid w:val="6A866520"/>
    <w:rsid w:val="6A879917"/>
    <w:rsid w:val="6A9A4B64"/>
    <w:rsid w:val="6B4F9608"/>
    <w:rsid w:val="6B6713A9"/>
    <w:rsid w:val="6B9BAFB7"/>
    <w:rsid w:val="6C048857"/>
    <w:rsid w:val="6C3D2A47"/>
    <w:rsid w:val="6C989EA1"/>
    <w:rsid w:val="6CA0B341"/>
    <w:rsid w:val="6CAD9C4B"/>
    <w:rsid w:val="6CD20A80"/>
    <w:rsid w:val="6CF316E6"/>
    <w:rsid w:val="6D136D26"/>
    <w:rsid w:val="6D24F1E8"/>
    <w:rsid w:val="6D7914A1"/>
    <w:rsid w:val="6D7C980A"/>
    <w:rsid w:val="6D84B970"/>
    <w:rsid w:val="6DA5210D"/>
    <w:rsid w:val="6DC5725E"/>
    <w:rsid w:val="6DC85244"/>
    <w:rsid w:val="6DE7170D"/>
    <w:rsid w:val="6E1B7B23"/>
    <w:rsid w:val="6E2A2437"/>
    <w:rsid w:val="6E8E7A0C"/>
    <w:rsid w:val="6E9DBE2C"/>
    <w:rsid w:val="6E9EE985"/>
    <w:rsid w:val="6EB07E17"/>
    <w:rsid w:val="6EBBFDAA"/>
    <w:rsid w:val="6EC13765"/>
    <w:rsid w:val="6ECB23A4"/>
    <w:rsid w:val="6EDAE47D"/>
    <w:rsid w:val="6EDE4E12"/>
    <w:rsid w:val="6F058C20"/>
    <w:rsid w:val="6F2994B8"/>
    <w:rsid w:val="6F351D68"/>
    <w:rsid w:val="6F60847C"/>
    <w:rsid w:val="6F68340F"/>
    <w:rsid w:val="6FBE0262"/>
    <w:rsid w:val="7002AF2A"/>
    <w:rsid w:val="7033ADAF"/>
    <w:rsid w:val="70437287"/>
    <w:rsid w:val="7068FC21"/>
    <w:rsid w:val="70BC6A93"/>
    <w:rsid w:val="70F6B0A1"/>
    <w:rsid w:val="71011A22"/>
    <w:rsid w:val="71254B5A"/>
    <w:rsid w:val="713EBD28"/>
    <w:rsid w:val="71505805"/>
    <w:rsid w:val="716094F7"/>
    <w:rsid w:val="71B7A4B6"/>
    <w:rsid w:val="71CD22CB"/>
    <w:rsid w:val="71E14883"/>
    <w:rsid w:val="72071F5C"/>
    <w:rsid w:val="7207AE2C"/>
    <w:rsid w:val="7208AEBC"/>
    <w:rsid w:val="7213964E"/>
    <w:rsid w:val="724A9C5F"/>
    <w:rsid w:val="72671446"/>
    <w:rsid w:val="727F8EF2"/>
    <w:rsid w:val="72F25061"/>
    <w:rsid w:val="73FB512B"/>
    <w:rsid w:val="7433C9A6"/>
    <w:rsid w:val="74356227"/>
    <w:rsid w:val="744D41AB"/>
    <w:rsid w:val="74B2D228"/>
    <w:rsid w:val="75396BDB"/>
    <w:rsid w:val="7547D3B1"/>
    <w:rsid w:val="75811BBE"/>
    <w:rsid w:val="759772E4"/>
    <w:rsid w:val="759D0667"/>
    <w:rsid w:val="75A52699"/>
    <w:rsid w:val="75C02898"/>
    <w:rsid w:val="75C08DDD"/>
    <w:rsid w:val="75C98CA2"/>
    <w:rsid w:val="75E2EF09"/>
    <w:rsid w:val="75F59EC4"/>
    <w:rsid w:val="764CA380"/>
    <w:rsid w:val="76787F08"/>
    <w:rsid w:val="767F2F13"/>
    <w:rsid w:val="768078C3"/>
    <w:rsid w:val="7690E108"/>
    <w:rsid w:val="76AE9CB5"/>
    <w:rsid w:val="76D9B128"/>
    <w:rsid w:val="76E54CB4"/>
    <w:rsid w:val="76E83555"/>
    <w:rsid w:val="7756872D"/>
    <w:rsid w:val="77581D0A"/>
    <w:rsid w:val="77808E64"/>
    <w:rsid w:val="77A31026"/>
    <w:rsid w:val="77B686A4"/>
    <w:rsid w:val="77CBDCE9"/>
    <w:rsid w:val="78137466"/>
    <w:rsid w:val="7813B35F"/>
    <w:rsid w:val="781A8BEA"/>
    <w:rsid w:val="7829D8D7"/>
    <w:rsid w:val="785792E6"/>
    <w:rsid w:val="785EF20C"/>
    <w:rsid w:val="786B9E9A"/>
    <w:rsid w:val="7897B0B8"/>
    <w:rsid w:val="791E3011"/>
    <w:rsid w:val="791E9A7B"/>
    <w:rsid w:val="792436AF"/>
    <w:rsid w:val="793BFEF2"/>
    <w:rsid w:val="79419778"/>
    <w:rsid w:val="794C471A"/>
    <w:rsid w:val="795FC0E0"/>
    <w:rsid w:val="7974639E"/>
    <w:rsid w:val="79A5558C"/>
    <w:rsid w:val="79C6DC1A"/>
    <w:rsid w:val="7A0B79AF"/>
    <w:rsid w:val="7A18F15E"/>
    <w:rsid w:val="7A586339"/>
    <w:rsid w:val="7A6F3432"/>
    <w:rsid w:val="7A7740CB"/>
    <w:rsid w:val="7A83479A"/>
    <w:rsid w:val="7AACA42C"/>
    <w:rsid w:val="7AAD9D1D"/>
    <w:rsid w:val="7AE189A1"/>
    <w:rsid w:val="7AE9246F"/>
    <w:rsid w:val="7AFFB1BE"/>
    <w:rsid w:val="7B0E5E77"/>
    <w:rsid w:val="7B42AC33"/>
    <w:rsid w:val="7B936F7F"/>
    <w:rsid w:val="7B9C0F8C"/>
    <w:rsid w:val="7BBE6457"/>
    <w:rsid w:val="7C315957"/>
    <w:rsid w:val="7C3E37A3"/>
    <w:rsid w:val="7C52C79E"/>
    <w:rsid w:val="7C77B6E0"/>
    <w:rsid w:val="7CB53134"/>
    <w:rsid w:val="7CC58643"/>
    <w:rsid w:val="7CEEFC7C"/>
    <w:rsid w:val="7D02C02F"/>
    <w:rsid w:val="7D2C1087"/>
    <w:rsid w:val="7D3F806B"/>
    <w:rsid w:val="7D795557"/>
    <w:rsid w:val="7D7A1637"/>
    <w:rsid w:val="7D812F49"/>
    <w:rsid w:val="7D8E6200"/>
    <w:rsid w:val="7DC575BA"/>
    <w:rsid w:val="7DD37D09"/>
    <w:rsid w:val="7E197674"/>
    <w:rsid w:val="7E229A85"/>
    <w:rsid w:val="7E3DE3C1"/>
    <w:rsid w:val="7E5F025F"/>
    <w:rsid w:val="7E60341C"/>
    <w:rsid w:val="7E69654D"/>
    <w:rsid w:val="7E9BED47"/>
    <w:rsid w:val="7EA188BF"/>
    <w:rsid w:val="7EA930AF"/>
    <w:rsid w:val="7F0192C4"/>
    <w:rsid w:val="7F087E1A"/>
    <w:rsid w:val="7F106F54"/>
    <w:rsid w:val="7F3046D2"/>
    <w:rsid w:val="7F308603"/>
    <w:rsid w:val="7F984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E2F73"/>
  <w15:chartTrackingRefBased/>
  <w15:docId w15:val="{4EED5B4B-EBB9-46FA-8542-F43B51940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46/jkms.2022.37.e121" TargetMode="External"/><Relationship Id="rId13" Type="http://schemas.openxmlformats.org/officeDocument/2006/relationships/hyperlink" Target="https://www.inhersight.com/blog/interview/how-to-introduce-yourself-in-an-interview" TargetMode="External"/><Relationship Id="rId18" Type="http://schemas.openxmlformats.org/officeDocument/2006/relationships/hyperlink" Target="https://learning.nspcc.org.uk/media/3091/nspcc-research-ethics-principles.pdf" TargetMode="External"/><Relationship Id="rId26" Type="http://schemas.openxmlformats.org/officeDocument/2006/relationships/hyperlink" Target="https://hwb.gov.wales/curriculum-for-wales/curriculum-for-funded-non-maintained-nursery-settings/" TargetMode="External"/><Relationship Id="rId3" Type="http://schemas.openxmlformats.org/officeDocument/2006/relationships/settings" Target="settings.xml"/><Relationship Id="rId21" Type="http://schemas.openxmlformats.org/officeDocument/2006/relationships/hyperlink" Target="https://www.famly.co/blog/open-ended-questions-early-years" TargetMode="External"/><Relationship Id="rId7" Type="http://schemas.openxmlformats.org/officeDocument/2006/relationships/hyperlink" Target="https://doi.org/10.1007/s11133-019-9413-7" TargetMode="External"/><Relationship Id="rId12" Type="http://schemas.openxmlformats.org/officeDocument/2006/relationships/hyperlink" Target="https://ebn.bmj.com/content/18/3/66" TargetMode="External"/><Relationship Id="rId17" Type="http://schemas.openxmlformats.org/officeDocument/2006/relationships/hyperlink" Target="https://doi-org.ezproxy.uwtsd.ac.uk/10.23965/AJEC.43.3.01" TargetMode="External"/><Relationship Id="rId25" Type="http://schemas.openxmlformats.org/officeDocument/2006/relationships/hyperlink" Target="https://www.unicef.org/parenting/child-development/how-play-strengthens-your-childs-mental-health" TargetMode="External"/><Relationship Id="rId2" Type="http://schemas.openxmlformats.org/officeDocument/2006/relationships/styles" Target="styles.xml"/><Relationship Id="rId16" Type="http://schemas.openxmlformats.org/officeDocument/2006/relationships/hyperlink" Target="https://www-tandfonline-com.ezproxy.uwtsd.ac.uk/doi/epdf/10.1080/02568543.2018.1495671?needAccess=true" TargetMode="External"/><Relationship Id="rId20" Type="http://schemas.openxmlformats.org/officeDocument/2006/relationships/hyperlink" Target="https://doi.org/10.37134/saecj.vol10.2.2.202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early-years-toolkit/social-and-emotional-learning-strategies" TargetMode="External"/><Relationship Id="rId24" Type="http://schemas.openxmlformats.org/officeDocument/2006/relationships/hyperlink" Target="https://www.unicef.org.uk/wp-content/uploads/2016/08/unicef-convention-rights-child-uncrc.pdf" TargetMode="External"/><Relationship Id="rId5" Type="http://schemas.openxmlformats.org/officeDocument/2006/relationships/footnotes" Target="footnotes.xml"/><Relationship Id="rId15" Type="http://schemas.openxmlformats.org/officeDocument/2006/relationships/hyperlink" Target="https://doi.org/10.5688/ajpe7120" TargetMode="External"/><Relationship Id="rId23" Type="http://schemas.openxmlformats.org/officeDocument/2006/relationships/hyperlink" Target="https://theearlyyearscompany.co.uk/the-importance-of-creative-play-in-early-years-education/" TargetMode="External"/><Relationship Id="rId28" Type="http://schemas.openxmlformats.org/officeDocument/2006/relationships/footer" Target="footer1.xml"/><Relationship Id="rId10" Type="http://schemas.openxmlformats.org/officeDocument/2006/relationships/hyperlink" Target="https://clovers.ai/resources/recording-an-interview/" TargetMode="External"/><Relationship Id="rId19" Type="http://schemas.openxmlformats.org/officeDocument/2006/relationships/hyperlink" Target="https://www.frontiersin.org/journals/education/articles/10.3389/feduc.2022.751801/full" TargetMode="External"/><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pubmed.ncbi.nlm.nih.gov/25158659/" TargetMode="External"/><Relationship Id="rId14" Type="http://schemas.openxmlformats.org/officeDocument/2006/relationships/hyperlink" Target="https://www.britannica.com/science/emotional-development" TargetMode="External"/><Relationship Id="rId22" Type="http://schemas.openxmlformats.org/officeDocument/2006/relationships/hyperlink" Target="https://ebn.bmj.com/content/20/3/74"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15</Pages>
  <Words>5228</Words>
  <Characters>29800</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Hiscocks (2305222)</dc:creator>
  <cp:keywords/>
  <dc:description/>
  <cp:lastModifiedBy>Beca Hiscocks</cp:lastModifiedBy>
  <cp:revision>60</cp:revision>
  <dcterms:created xsi:type="dcterms:W3CDTF">2024-10-24T22:14:00Z</dcterms:created>
  <dcterms:modified xsi:type="dcterms:W3CDTF">2024-10-27T19:29:00Z</dcterms:modified>
</cp:coreProperties>
</file>