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64F12" w14:textId="77777777" w:rsidR="00FD46F0" w:rsidRDefault="00FD46F0" w:rsidP="00BF6D57">
      <w:pPr>
        <w:spacing w:line="360" w:lineRule="auto"/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</w:pPr>
    </w:p>
    <w:p w14:paraId="64712F5F" w14:textId="5B49C3B3" w:rsidR="00FD46F0" w:rsidRDefault="00787FD3" w:rsidP="008A57DE">
      <w:pPr>
        <w:spacing w:line="360" w:lineRule="auto"/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</w:pPr>
      <w:r>
        <w:rPr>
          <w:noProof/>
        </w:rPr>
        <w:drawing>
          <wp:inline distT="0" distB="0" distL="0" distR="0" wp14:anchorId="6CAD25BE" wp14:editId="7ADFCE63">
            <wp:extent cx="1551709" cy="913534"/>
            <wp:effectExtent l="0" t="0" r="0" b="127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845" cy="92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40697" w14:textId="035CC583" w:rsidR="006B2849" w:rsidRDefault="00F5257B" w:rsidP="006B2849">
      <w:pPr>
        <w:spacing w:line="360" w:lineRule="auto"/>
        <w:rPr>
          <w:rFonts w:ascii="Arial" w:hAnsi="Arial" w:cs="Arial"/>
          <w:b/>
          <w:bCs/>
          <w:color w:val="1D2125"/>
          <w:sz w:val="36"/>
          <w:szCs w:val="36"/>
        </w:rPr>
      </w:pPr>
      <w:r>
        <w:rPr>
          <w:rFonts w:ascii="Arial" w:hAnsi="Arial" w:cs="Arial"/>
          <w:b/>
          <w:bCs/>
          <w:color w:val="1D2125"/>
          <w:sz w:val="36"/>
          <w:szCs w:val="36"/>
        </w:rPr>
        <w:t xml:space="preserve">     </w:t>
      </w:r>
      <w:r w:rsidR="006B2849" w:rsidRPr="006B2849">
        <w:rPr>
          <w:rFonts w:ascii="Arial" w:hAnsi="Arial" w:cs="Arial"/>
          <w:b/>
          <w:bCs/>
          <w:color w:val="1D2125"/>
          <w:sz w:val="36"/>
          <w:szCs w:val="36"/>
        </w:rPr>
        <w:t xml:space="preserve">Programme: BSc (Hons) Health and Social Care </w:t>
      </w:r>
    </w:p>
    <w:p w14:paraId="614ECDD8" w14:textId="77777777" w:rsidR="00F5257B" w:rsidRDefault="00F5257B" w:rsidP="006B2849">
      <w:pPr>
        <w:spacing w:line="360" w:lineRule="auto"/>
        <w:rPr>
          <w:rFonts w:ascii="Arial" w:hAnsi="Arial" w:cs="Arial"/>
          <w:b/>
          <w:bCs/>
          <w:color w:val="1D2125"/>
          <w:sz w:val="36"/>
          <w:szCs w:val="36"/>
        </w:rPr>
      </w:pPr>
    </w:p>
    <w:p w14:paraId="66C82C78" w14:textId="77777777" w:rsidR="008A57DE" w:rsidRDefault="008A57DE" w:rsidP="006B2849">
      <w:pPr>
        <w:spacing w:line="360" w:lineRule="auto"/>
        <w:rPr>
          <w:rFonts w:ascii="Arial" w:hAnsi="Arial" w:cs="Arial"/>
          <w:b/>
          <w:bCs/>
          <w:color w:val="1D2125"/>
          <w:sz w:val="36"/>
          <w:szCs w:val="36"/>
        </w:rPr>
      </w:pPr>
    </w:p>
    <w:p w14:paraId="292EB0C2" w14:textId="77777777" w:rsidR="006B2849" w:rsidRDefault="006B2849" w:rsidP="006B2849">
      <w:pPr>
        <w:spacing w:line="360" w:lineRule="auto"/>
        <w:rPr>
          <w:rFonts w:ascii="Arial" w:hAnsi="Arial" w:cs="Arial"/>
          <w:b/>
          <w:bCs/>
          <w:color w:val="1D2125"/>
          <w:sz w:val="36"/>
          <w:szCs w:val="36"/>
        </w:rPr>
      </w:pPr>
      <w:r w:rsidRPr="006B2849">
        <w:rPr>
          <w:rFonts w:ascii="Arial" w:hAnsi="Arial" w:cs="Arial"/>
          <w:b/>
          <w:bCs/>
          <w:color w:val="1D2125"/>
          <w:sz w:val="36"/>
          <w:szCs w:val="36"/>
        </w:rPr>
        <w:t xml:space="preserve">Module name: Protecting and Supporting Families in Health and Care Module Code: (BMHP5021_LON) </w:t>
      </w:r>
    </w:p>
    <w:p w14:paraId="745F49BF" w14:textId="2FCD0502" w:rsidR="00FD46F0" w:rsidRDefault="006B2849" w:rsidP="006B2849">
      <w:pPr>
        <w:spacing w:line="360" w:lineRule="auto"/>
        <w:rPr>
          <w:rFonts w:ascii="Arial" w:hAnsi="Arial" w:cs="Arial"/>
          <w:b/>
          <w:bCs/>
          <w:color w:val="1D2125"/>
          <w:sz w:val="36"/>
          <w:szCs w:val="36"/>
        </w:rPr>
      </w:pPr>
      <w:r w:rsidRPr="006B2849">
        <w:rPr>
          <w:rFonts w:ascii="Arial" w:hAnsi="Arial" w:cs="Arial"/>
          <w:b/>
          <w:bCs/>
          <w:color w:val="1D2125"/>
          <w:sz w:val="36"/>
          <w:szCs w:val="36"/>
        </w:rPr>
        <w:t>Assignment Title:</w:t>
      </w:r>
      <w:r w:rsidR="009E3439">
        <w:rPr>
          <w:rFonts w:ascii="Arial" w:hAnsi="Arial" w:cs="Arial"/>
          <w:b/>
          <w:bCs/>
          <w:color w:val="1D2125"/>
          <w:sz w:val="36"/>
          <w:szCs w:val="36"/>
        </w:rPr>
        <w:t xml:space="preserve"> Multi </w:t>
      </w:r>
      <w:r w:rsidR="0062350E">
        <w:rPr>
          <w:rFonts w:ascii="Arial" w:hAnsi="Arial" w:cs="Arial"/>
          <w:b/>
          <w:bCs/>
          <w:color w:val="1D2125"/>
          <w:sz w:val="36"/>
          <w:szCs w:val="36"/>
        </w:rPr>
        <w:t>a</w:t>
      </w:r>
      <w:r w:rsidR="009E3439">
        <w:rPr>
          <w:rFonts w:ascii="Arial" w:hAnsi="Arial" w:cs="Arial"/>
          <w:b/>
          <w:bCs/>
          <w:color w:val="1D2125"/>
          <w:sz w:val="36"/>
          <w:szCs w:val="36"/>
        </w:rPr>
        <w:t>gency meet</w:t>
      </w:r>
      <w:r w:rsidR="0062350E">
        <w:rPr>
          <w:rFonts w:ascii="Arial" w:hAnsi="Arial" w:cs="Arial"/>
          <w:b/>
          <w:bCs/>
          <w:color w:val="1D2125"/>
          <w:sz w:val="36"/>
          <w:szCs w:val="36"/>
        </w:rPr>
        <w:t>ing</w:t>
      </w:r>
      <w:r w:rsidR="00F646C9">
        <w:rPr>
          <w:rFonts w:ascii="Arial" w:hAnsi="Arial" w:cs="Arial"/>
          <w:b/>
          <w:bCs/>
          <w:color w:val="1D2125"/>
          <w:sz w:val="36"/>
          <w:szCs w:val="36"/>
        </w:rPr>
        <w:t>, Child HN</w:t>
      </w:r>
    </w:p>
    <w:p w14:paraId="77397BA7" w14:textId="77777777" w:rsidR="00BF6D57" w:rsidRDefault="00BF6D57" w:rsidP="00F5257B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2E916AE3" w14:textId="20E11D9B" w:rsidR="00F5257B" w:rsidRDefault="00F5257B" w:rsidP="00F5257B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name: Dan-Matei Voiculescu</w:t>
      </w:r>
    </w:p>
    <w:p w14:paraId="1BBE5092" w14:textId="77777777" w:rsidR="00F5257B" w:rsidRDefault="00F5257B" w:rsidP="00F5257B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>Student number: 2411572</w:t>
      </w:r>
    </w:p>
    <w:p w14:paraId="14F5051D" w14:textId="77777777" w:rsidR="00BF6D57" w:rsidRDefault="00BF6D57" w:rsidP="00F5257B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6F25BD2A" w14:textId="411670DF" w:rsidR="00F5257B" w:rsidRDefault="00F5257B" w:rsidP="00F5257B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Lecturer’s name: </w:t>
      </w:r>
      <w:r w:rsidR="00BF6D57" w:rsidRPr="00BF6D57">
        <w:rPr>
          <w:rFonts w:ascii="Arial" w:hAnsi="Arial" w:cs="Arial"/>
          <w:b/>
          <w:bCs/>
          <w:color w:val="1D2125"/>
          <w:sz w:val="32"/>
          <w:szCs w:val="32"/>
        </w:rPr>
        <w:t>Shaila Hussain</w:t>
      </w:r>
    </w:p>
    <w:p w14:paraId="4B7BD492" w14:textId="77777777" w:rsidR="006B2849" w:rsidRDefault="006B2849" w:rsidP="006B2849">
      <w:pPr>
        <w:spacing w:line="360" w:lineRule="auto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45AE882E" w14:textId="77777777" w:rsidR="00FD46F0" w:rsidRDefault="00FD46F0" w:rsidP="00FD46F0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70D42D7A" w14:textId="72606B79" w:rsidR="00D63F99" w:rsidRDefault="00FD46F0" w:rsidP="00787FD3">
      <w:pPr>
        <w:spacing w:line="360" w:lineRule="auto"/>
        <w:rPr>
          <w:rStyle w:val="Strong"/>
          <w:rFonts w:ascii="Arial" w:hAnsi="Arial" w:cs="Arial"/>
          <w:color w:val="1D2125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ab/>
      </w:r>
      <w:r>
        <w:rPr>
          <w:rStyle w:val="Strong"/>
          <w:rFonts w:ascii="Arial" w:hAnsi="Arial" w:cs="Arial"/>
          <w:color w:val="1D2125"/>
          <w:sz w:val="32"/>
          <w:szCs w:val="32"/>
        </w:rPr>
        <w:tab/>
      </w:r>
      <w:r>
        <w:rPr>
          <w:rStyle w:val="Strong"/>
          <w:rFonts w:ascii="Arial" w:hAnsi="Arial" w:cs="Arial"/>
          <w:color w:val="1D2125"/>
          <w:sz w:val="32"/>
          <w:szCs w:val="32"/>
        </w:rPr>
        <w:tab/>
        <w:t xml:space="preserve">         </w:t>
      </w:r>
      <w:r w:rsidR="00814D56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28101B">
        <w:rPr>
          <w:rStyle w:val="Strong"/>
          <w:rFonts w:ascii="Arial" w:hAnsi="Arial" w:cs="Arial"/>
          <w:color w:val="1D2125"/>
          <w:sz w:val="32"/>
          <w:szCs w:val="32"/>
        </w:rPr>
        <w:t xml:space="preserve">   </w:t>
      </w: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787FD3">
        <w:rPr>
          <w:rStyle w:val="Strong"/>
          <w:rFonts w:ascii="Arial" w:hAnsi="Arial" w:cs="Arial"/>
          <w:color w:val="1D2125"/>
        </w:rPr>
        <w:t>2</w:t>
      </w:r>
      <w:r w:rsidR="002E2514">
        <w:rPr>
          <w:rStyle w:val="Strong"/>
          <w:rFonts w:ascii="Arial" w:hAnsi="Arial" w:cs="Arial"/>
          <w:color w:val="1D2125"/>
        </w:rPr>
        <w:t>4</w:t>
      </w:r>
      <w:r w:rsidRPr="00E3787A">
        <w:rPr>
          <w:rStyle w:val="Strong"/>
          <w:rFonts w:ascii="Arial" w:hAnsi="Arial" w:cs="Arial"/>
          <w:color w:val="1D2125"/>
        </w:rPr>
        <w:t>.07.2026</w:t>
      </w:r>
    </w:p>
    <w:p w14:paraId="1D7DAB4D" w14:textId="77777777" w:rsidR="005103B1" w:rsidRDefault="005103B1" w:rsidP="00787FD3">
      <w:pPr>
        <w:spacing w:line="360" w:lineRule="auto"/>
        <w:rPr>
          <w:rStyle w:val="Strong"/>
          <w:rFonts w:ascii="Arial" w:hAnsi="Arial" w:cs="Arial"/>
          <w:color w:val="1D2125"/>
        </w:rPr>
      </w:pPr>
    </w:p>
    <w:p w14:paraId="13DB2BCD" w14:textId="00EA5855" w:rsidR="005103B1" w:rsidRPr="00B806BE" w:rsidRDefault="00F81DC0" w:rsidP="00787FD3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>
        <w:rPr>
          <w:rStyle w:val="Strong"/>
          <w:rFonts w:ascii="Arial" w:hAnsi="Arial" w:cs="Arial"/>
          <w:color w:val="1D2125"/>
        </w:rPr>
        <w:t xml:space="preserve">                                                  </w:t>
      </w:r>
      <w:r w:rsidRPr="00B806BE">
        <w:rPr>
          <w:rStyle w:val="Strong"/>
          <w:rFonts w:ascii="Arial" w:hAnsi="Arial" w:cs="Arial"/>
          <w:color w:val="1D2125"/>
          <w:sz w:val="22"/>
          <w:szCs w:val="22"/>
        </w:rPr>
        <w:t xml:space="preserve">  </w:t>
      </w:r>
      <w:r w:rsidRPr="00B806BE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 xml:space="preserve"> </w:t>
      </w:r>
      <w:r w:rsidR="0028101B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 xml:space="preserve">       </w:t>
      </w:r>
      <w:r w:rsidRPr="00B806BE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1</w:t>
      </w:r>
    </w:p>
    <w:p w14:paraId="6714594B" w14:textId="096C72C2" w:rsidR="005103B1" w:rsidRDefault="005103B1" w:rsidP="005103B1">
      <w:pPr>
        <w:spacing w:line="360" w:lineRule="auto"/>
        <w:jc w:val="center"/>
        <w:rPr>
          <w:rStyle w:val="Strong"/>
          <w:rFonts w:ascii="Arial" w:hAnsi="Arial" w:cs="Arial"/>
          <w:color w:val="1D2125"/>
          <w:sz w:val="28"/>
          <w:szCs w:val="28"/>
        </w:rPr>
      </w:pPr>
      <w:r w:rsidRPr="005103B1">
        <w:rPr>
          <w:rStyle w:val="Strong"/>
          <w:rFonts w:ascii="Arial" w:hAnsi="Arial" w:cs="Arial"/>
          <w:color w:val="1D2125"/>
          <w:sz w:val="28"/>
          <w:szCs w:val="28"/>
        </w:rPr>
        <w:lastRenderedPageBreak/>
        <w:t>References</w:t>
      </w:r>
    </w:p>
    <w:p w14:paraId="04F18F23" w14:textId="7C912B6B" w:rsidR="00406C29" w:rsidRDefault="00B80BCB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Child Safeguarding Practice Review Panel (2022)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Multi agency safeguarding and domestic abuse paper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. London: Department for Education. Available at: </w:t>
      </w:r>
      <w:hyperlink r:id="rId5" w:tgtFrame="_blank" w:tooltip="www.gov.uk" w:history="1">
        <w:r w:rsidRPr="00B80BCB">
          <w:rPr>
            <w:rStyle w:val="Hyperlink"/>
            <w:rFonts w:ascii="Arial" w:hAnsi="Arial" w:cs="Arial"/>
            <w:sz w:val="22"/>
            <w:szCs w:val="22"/>
          </w:rPr>
          <w:t>https://www.gov.uk/government/publications/multi-agency-safeguarding-and-domestic-abuse-paper</w:t>
        </w:r>
      </w:hyperlink>
      <w:r w:rsidRPr="00B80BCB">
        <w:rPr>
          <w:rFonts w:ascii="Arial" w:hAnsi="Arial" w:cs="Arial"/>
          <w:color w:val="1D2125"/>
          <w:sz w:val="22"/>
          <w:szCs w:val="22"/>
        </w:rPr>
        <w:t xml:space="preserve"> (Accessed</w:t>
      </w:r>
      <w:r w:rsidR="00CD79BD">
        <w:rPr>
          <w:rFonts w:ascii="Arial" w:hAnsi="Arial" w:cs="Arial"/>
          <w:color w:val="1D2125"/>
          <w:sz w:val="22"/>
          <w:szCs w:val="22"/>
        </w:rPr>
        <w:t>: 17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 July 2026).</w:t>
      </w:r>
    </w:p>
    <w:p w14:paraId="0631D4F5" w14:textId="26D4DC6E" w:rsidR="002A3457" w:rsidRPr="00B80BCB" w:rsidRDefault="002A3457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Dixon, S. et al. (2022) ‘Supporting the “multi” in multi-agency working: learning with and from each other could enable multi-agency safeguarding’,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British Journal of General Practice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, 72(722), pp. 438–439. Available at: </w:t>
      </w:r>
      <w:hyperlink r:id="rId6" w:tgtFrame="_blank" w:tooltip="doi.org" w:history="1">
        <w:r w:rsidRPr="00B80BCB">
          <w:rPr>
            <w:rStyle w:val="Hyperlink"/>
            <w:rFonts w:ascii="Arial" w:hAnsi="Arial" w:cs="Arial"/>
            <w:sz w:val="22"/>
            <w:szCs w:val="22"/>
          </w:rPr>
          <w:t>https://doi.org/10.3399/bjgp22X720617</w:t>
        </w:r>
      </w:hyperlink>
      <w:r w:rsidRPr="00B80BCB">
        <w:rPr>
          <w:rFonts w:ascii="Arial" w:hAnsi="Arial" w:cs="Arial"/>
          <w:color w:val="1D2125"/>
          <w:sz w:val="22"/>
          <w:szCs w:val="22"/>
        </w:rPr>
        <w:t>.</w:t>
      </w:r>
    </w:p>
    <w:p w14:paraId="55EBB7FC" w14:textId="77777777" w:rsidR="00B80BCB" w:rsidRPr="00B80BCB" w:rsidRDefault="00B80BCB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Dobson, J. &amp; Melrose, A. (2020)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Working with children, families, and young people: professional dilemmas, perspectives, and solutions</w:t>
      </w:r>
      <w:r w:rsidRPr="00B80BCB">
        <w:rPr>
          <w:rFonts w:ascii="Arial" w:hAnsi="Arial" w:cs="Arial"/>
          <w:color w:val="1D2125"/>
          <w:sz w:val="22"/>
          <w:szCs w:val="22"/>
        </w:rPr>
        <w:t>. 1st ed. Abingdon: Routledge.</w:t>
      </w:r>
    </w:p>
    <w:p w14:paraId="4EFE147D" w14:textId="77777777" w:rsidR="00B80BCB" w:rsidRPr="00B80BCB" w:rsidRDefault="00B80BCB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Dor, F. et al. (2022) ‘1060 Tackling child inequality in a UK Emergency Department: a pilot early intervention service on the shop floor’,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Archives of Disease in Childhood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, 107(Suppl 2), pp. A22–A22. Available at: </w:t>
      </w:r>
      <w:hyperlink r:id="rId7" w:tgtFrame="_blank" w:tooltip="doi.org" w:history="1">
        <w:r w:rsidRPr="00B80BCB">
          <w:rPr>
            <w:rStyle w:val="Hyperlink"/>
            <w:rFonts w:ascii="Arial" w:hAnsi="Arial" w:cs="Arial"/>
            <w:sz w:val="22"/>
            <w:szCs w:val="22"/>
          </w:rPr>
          <w:t>https://doi.org/10.1136/archdischild-2022-rcpch.38</w:t>
        </w:r>
      </w:hyperlink>
      <w:r w:rsidRPr="00B80BCB">
        <w:rPr>
          <w:rFonts w:ascii="Arial" w:hAnsi="Arial" w:cs="Arial"/>
          <w:color w:val="1D2125"/>
          <w:sz w:val="22"/>
          <w:szCs w:val="22"/>
        </w:rPr>
        <w:t>.</w:t>
      </w:r>
    </w:p>
    <w:p w14:paraId="2DE6474B" w14:textId="01893BF4" w:rsidR="00B80BCB" w:rsidRDefault="00B80BCB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Freigofaite, D. et al. (2023) ‘HTA241 Health Equity and the Health Technology Assessment Process: Are Children and Young People Being Overlooked? A Review of </w:t>
      </w:r>
      <w:r w:rsidR="00527EDF" w:rsidRPr="00B80BCB">
        <w:rPr>
          <w:rFonts w:ascii="Arial" w:hAnsi="Arial" w:cs="Arial"/>
          <w:color w:val="1D2125"/>
          <w:sz w:val="22"/>
          <w:szCs w:val="22"/>
        </w:rPr>
        <w:t>Paediatric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 National Institute of Health and Care Excellence Technology Appraisals’,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Value in Health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, 26(12), pp. S366–S366. Available at: </w:t>
      </w:r>
      <w:hyperlink r:id="rId8" w:tgtFrame="_blank" w:tooltip="doi.org" w:history="1">
        <w:r w:rsidRPr="00B80BCB">
          <w:rPr>
            <w:rStyle w:val="Hyperlink"/>
            <w:rFonts w:ascii="Arial" w:hAnsi="Arial" w:cs="Arial"/>
            <w:sz w:val="22"/>
            <w:szCs w:val="22"/>
          </w:rPr>
          <w:t>https://doi.org/10.1016/j.jval.2023.09.1924</w:t>
        </w:r>
      </w:hyperlink>
      <w:r w:rsidRPr="00B80BCB">
        <w:rPr>
          <w:rFonts w:ascii="Arial" w:hAnsi="Arial" w:cs="Arial"/>
          <w:color w:val="1D2125"/>
          <w:sz w:val="22"/>
          <w:szCs w:val="22"/>
        </w:rPr>
        <w:t>.</w:t>
      </w:r>
    </w:p>
    <w:p w14:paraId="2925466D" w14:textId="0DB83FA0" w:rsidR="00CB798F" w:rsidRPr="00B80BCB" w:rsidRDefault="00CB798F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>
        <w:rPr>
          <w:rFonts w:ascii="Arial" w:hAnsi="Arial" w:cs="Arial"/>
          <w:color w:val="1D2125"/>
          <w:sz w:val="22"/>
          <w:szCs w:val="22"/>
        </w:rPr>
        <w:t xml:space="preserve">Gov.UK (2025) Department for Education (DfE) </w:t>
      </w:r>
      <w:r w:rsidRPr="007772A5">
        <w:rPr>
          <w:rFonts w:ascii="Arial" w:hAnsi="Arial" w:cs="Arial"/>
          <w:i/>
          <w:iCs/>
          <w:color w:val="1D2125"/>
          <w:sz w:val="22"/>
          <w:szCs w:val="22"/>
        </w:rPr>
        <w:t xml:space="preserve">Keeping children safe in </w:t>
      </w:r>
      <w:r w:rsidR="0028101B" w:rsidRPr="007772A5">
        <w:rPr>
          <w:rFonts w:ascii="Arial" w:hAnsi="Arial" w:cs="Arial"/>
          <w:i/>
          <w:iCs/>
          <w:color w:val="1D2125"/>
          <w:sz w:val="22"/>
          <w:szCs w:val="22"/>
        </w:rPr>
        <w:t>education</w:t>
      </w:r>
      <w:r w:rsidR="0028101B">
        <w:rPr>
          <w:rFonts w:ascii="Arial" w:hAnsi="Arial" w:cs="Arial"/>
          <w:i/>
          <w:iCs/>
          <w:color w:val="1D2125"/>
          <w:sz w:val="22"/>
          <w:szCs w:val="22"/>
        </w:rPr>
        <w:t>.</w:t>
      </w:r>
      <w:r w:rsidR="0028101B">
        <w:rPr>
          <w:rFonts w:ascii="Arial" w:hAnsi="Arial" w:cs="Arial"/>
          <w:color w:val="1D2125"/>
          <w:sz w:val="22"/>
          <w:szCs w:val="22"/>
        </w:rPr>
        <w:t xml:space="preserve"> Available</w:t>
      </w:r>
      <w:r w:rsidRPr="007772A5">
        <w:rPr>
          <w:rFonts w:ascii="Arial" w:hAnsi="Arial" w:cs="Arial"/>
          <w:i/>
          <w:iCs/>
          <w:color w:val="1D2125"/>
          <w:sz w:val="22"/>
          <w:szCs w:val="22"/>
        </w:rPr>
        <w:t xml:space="preserve"> </w:t>
      </w:r>
      <w:hyperlink r:id="rId9" w:history="1">
        <w:r w:rsidRPr="00607A7F">
          <w:rPr>
            <w:rStyle w:val="Hyperlink"/>
            <w:rFonts w:ascii="Arial" w:hAnsi="Arial" w:cs="Arial"/>
            <w:sz w:val="22"/>
            <w:szCs w:val="22"/>
          </w:rPr>
          <w:t>https://assets.publishing.service.gov.uk/media/68add931969253904d155860/Keeping_children_safe_in_education_from_1_September_2025.pdf</w:t>
        </w:r>
      </w:hyperlink>
      <w:r>
        <w:rPr>
          <w:rFonts w:ascii="Arial" w:hAnsi="Arial" w:cs="Arial"/>
          <w:color w:val="1D2125"/>
          <w:sz w:val="22"/>
          <w:szCs w:val="22"/>
        </w:rPr>
        <w:t xml:space="preserve"> </w:t>
      </w:r>
    </w:p>
    <w:p w14:paraId="7649C2FD" w14:textId="16141CD5" w:rsidR="00B80BCB" w:rsidRPr="00B80BCB" w:rsidRDefault="00B80BCB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Herefordshire Safeguarding Children Partnership (2024)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Local Child Safeguarding Practice Review: “Child HN”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. Report authored by Holtom, S., MSc BA(Hons) </w:t>
      </w:r>
      <w:r w:rsidR="00527EDF" w:rsidRPr="00B80BCB">
        <w:rPr>
          <w:rFonts w:ascii="Arial" w:hAnsi="Arial" w:cs="Arial"/>
          <w:color w:val="1D2125"/>
          <w:sz w:val="22"/>
          <w:szCs w:val="22"/>
        </w:rPr>
        <w:t>DipSW</w:t>
      </w:r>
      <w:r w:rsidRPr="00B80BCB">
        <w:rPr>
          <w:rFonts w:ascii="Arial" w:hAnsi="Arial" w:cs="Arial"/>
          <w:color w:val="1D2125"/>
          <w:sz w:val="22"/>
          <w:szCs w:val="22"/>
        </w:rPr>
        <w:t>. Herefordshire Safeguarding Children Partnership, January 2024.</w:t>
      </w:r>
    </w:p>
    <w:p w14:paraId="06CA4D57" w14:textId="77777777" w:rsidR="00B80BCB" w:rsidRPr="00B80BCB" w:rsidRDefault="00B80BCB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Katz, E. (2019) ‘Coercive Control, Domestic Violence, and a Five-Factor Framework: Five Factors That Influence Closeness, Distance, and Strain in Mother–Child Relationships’,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Violence Against Women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, 25(15), pp. 1829–1853. Available at: </w:t>
      </w:r>
      <w:hyperlink r:id="rId10" w:tgtFrame="_blank" w:tooltip="doi.org" w:history="1">
        <w:r w:rsidRPr="00B80BCB">
          <w:rPr>
            <w:rStyle w:val="Hyperlink"/>
            <w:rFonts w:ascii="Arial" w:hAnsi="Arial" w:cs="Arial"/>
            <w:sz w:val="22"/>
            <w:szCs w:val="22"/>
          </w:rPr>
          <w:t>https://doi.org/10.1177/1077801218824998</w:t>
        </w:r>
      </w:hyperlink>
      <w:r w:rsidRPr="00B80BCB">
        <w:rPr>
          <w:rFonts w:ascii="Arial" w:hAnsi="Arial" w:cs="Arial"/>
          <w:color w:val="1D2125"/>
          <w:sz w:val="22"/>
          <w:szCs w:val="22"/>
        </w:rPr>
        <w:t>.</w:t>
      </w:r>
    </w:p>
    <w:p w14:paraId="1A05A59A" w14:textId="77777777" w:rsidR="00B80BCB" w:rsidRPr="00B80BCB" w:rsidRDefault="00B80BCB" w:rsidP="00B80BCB">
      <w:pPr>
        <w:spacing w:line="360" w:lineRule="auto"/>
        <w:rPr>
          <w:rFonts w:ascii="Arial" w:hAnsi="Arial" w:cs="Arial"/>
          <w:color w:val="1D2125"/>
          <w:sz w:val="22"/>
          <w:szCs w:val="22"/>
        </w:rPr>
      </w:pPr>
      <w:r w:rsidRPr="00B80BCB">
        <w:rPr>
          <w:rFonts w:ascii="Arial" w:hAnsi="Arial" w:cs="Arial"/>
          <w:color w:val="1D2125"/>
          <w:sz w:val="22"/>
          <w:szCs w:val="22"/>
        </w:rPr>
        <w:t xml:space="preserve">Morrison, T. (2000) ‘Working together to safeguard children: challenges and changes for inter-agency co-ordination in child protection’, </w:t>
      </w:r>
      <w:r w:rsidRPr="00B80BCB">
        <w:rPr>
          <w:rFonts w:ascii="Arial" w:hAnsi="Arial" w:cs="Arial"/>
          <w:i/>
          <w:iCs/>
          <w:color w:val="1D2125"/>
          <w:sz w:val="22"/>
          <w:szCs w:val="22"/>
        </w:rPr>
        <w:t>Journal of Interprofessional Care</w:t>
      </w:r>
      <w:r w:rsidRPr="00B80BCB">
        <w:rPr>
          <w:rFonts w:ascii="Arial" w:hAnsi="Arial" w:cs="Arial"/>
          <w:color w:val="1D2125"/>
          <w:sz w:val="22"/>
          <w:szCs w:val="22"/>
        </w:rPr>
        <w:t xml:space="preserve">, 14(4), pp. 363–373. Available at: </w:t>
      </w:r>
      <w:hyperlink r:id="rId11" w:tgtFrame="_blank" w:tooltip="doi.org" w:history="1">
        <w:r w:rsidRPr="00B80BCB">
          <w:rPr>
            <w:rStyle w:val="Hyperlink"/>
            <w:rFonts w:ascii="Arial" w:hAnsi="Arial" w:cs="Arial"/>
            <w:sz w:val="22"/>
            <w:szCs w:val="22"/>
          </w:rPr>
          <w:t>https://doi.org/10.1080/13561820020003919</w:t>
        </w:r>
      </w:hyperlink>
      <w:r w:rsidRPr="00B80BCB">
        <w:rPr>
          <w:rFonts w:ascii="Arial" w:hAnsi="Arial" w:cs="Arial"/>
          <w:color w:val="1D2125"/>
          <w:sz w:val="22"/>
          <w:szCs w:val="22"/>
        </w:rPr>
        <w:t>.</w:t>
      </w:r>
    </w:p>
    <w:p w14:paraId="43AD4E11" w14:textId="199294FC" w:rsidR="00F81DC0" w:rsidRPr="00B806BE" w:rsidRDefault="00F81DC0" w:rsidP="00B80BCB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</w:pPr>
      <w:r>
        <w:rPr>
          <w:rStyle w:val="Strong"/>
          <w:rFonts w:ascii="Arial" w:hAnsi="Arial" w:cs="Arial"/>
          <w:color w:val="1D2125"/>
          <w:sz w:val="28"/>
          <w:szCs w:val="28"/>
        </w:rPr>
        <w:t xml:space="preserve">                                                </w:t>
      </w:r>
      <w:r w:rsidRPr="00F81DC0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</w:rPr>
        <w:t xml:space="preserve">  </w:t>
      </w:r>
      <w:r w:rsidRPr="00B806BE">
        <w:rPr>
          <w:rStyle w:val="Strong"/>
          <w:rFonts w:ascii="Arial" w:hAnsi="Arial" w:cs="Arial"/>
          <w:b w:val="0"/>
          <w:bCs w:val="0"/>
          <w:color w:val="1D2125"/>
          <w:sz w:val="22"/>
          <w:szCs w:val="22"/>
        </w:rPr>
        <w:t>2</w:t>
      </w:r>
    </w:p>
    <w:sectPr w:rsidR="00F81DC0" w:rsidRPr="00B806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5C1"/>
    <w:rsid w:val="000C0ACC"/>
    <w:rsid w:val="000E27E9"/>
    <w:rsid w:val="00116F52"/>
    <w:rsid w:val="00171780"/>
    <w:rsid w:val="00210407"/>
    <w:rsid w:val="00226EAC"/>
    <w:rsid w:val="0028101B"/>
    <w:rsid w:val="00282F05"/>
    <w:rsid w:val="00287636"/>
    <w:rsid w:val="002A3457"/>
    <w:rsid w:val="002A4E86"/>
    <w:rsid w:val="002B1800"/>
    <w:rsid w:val="002C72C0"/>
    <w:rsid w:val="002E2514"/>
    <w:rsid w:val="002F6D7E"/>
    <w:rsid w:val="00321D93"/>
    <w:rsid w:val="00377362"/>
    <w:rsid w:val="00406C29"/>
    <w:rsid w:val="00420669"/>
    <w:rsid w:val="0043356D"/>
    <w:rsid w:val="004A09E7"/>
    <w:rsid w:val="004F79CC"/>
    <w:rsid w:val="005103B1"/>
    <w:rsid w:val="00527EDF"/>
    <w:rsid w:val="005459E0"/>
    <w:rsid w:val="005A183C"/>
    <w:rsid w:val="0062350E"/>
    <w:rsid w:val="006A7F97"/>
    <w:rsid w:val="006B2849"/>
    <w:rsid w:val="006C014E"/>
    <w:rsid w:val="007772A5"/>
    <w:rsid w:val="00787FD3"/>
    <w:rsid w:val="00814D56"/>
    <w:rsid w:val="008A57DE"/>
    <w:rsid w:val="00997346"/>
    <w:rsid w:val="009E3439"/>
    <w:rsid w:val="00A1172D"/>
    <w:rsid w:val="00A64EA4"/>
    <w:rsid w:val="00AA7469"/>
    <w:rsid w:val="00AD2EF2"/>
    <w:rsid w:val="00B71252"/>
    <w:rsid w:val="00B806BE"/>
    <w:rsid w:val="00B80BCB"/>
    <w:rsid w:val="00B93817"/>
    <w:rsid w:val="00BA6F6F"/>
    <w:rsid w:val="00BF6D57"/>
    <w:rsid w:val="00C741C0"/>
    <w:rsid w:val="00CB798F"/>
    <w:rsid w:val="00CD79BD"/>
    <w:rsid w:val="00D63F99"/>
    <w:rsid w:val="00DA0F09"/>
    <w:rsid w:val="00E165C1"/>
    <w:rsid w:val="00E46DCA"/>
    <w:rsid w:val="00ED54CD"/>
    <w:rsid w:val="00F5257B"/>
    <w:rsid w:val="00F646C9"/>
    <w:rsid w:val="00F70416"/>
    <w:rsid w:val="00F755E9"/>
    <w:rsid w:val="00F81DC0"/>
    <w:rsid w:val="00FD3939"/>
    <w:rsid w:val="00FD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D27A9"/>
  <w15:chartTrackingRefBased/>
  <w15:docId w15:val="{C1582A5C-93AC-48AB-A75E-DEEB68B4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6F0"/>
    <w:rPr>
      <w:rFonts w:ascii="Aptos" w:eastAsia="Aptos" w:hAnsi="Aptos" w:cs="Times New Roma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65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5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5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5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5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5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5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5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5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5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5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5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5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5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5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5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5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5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5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16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5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16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65C1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165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5C1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165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5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5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5C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uiPriority w:val="22"/>
    <w:qFormat/>
    <w:rsid w:val="00FD46F0"/>
    <w:rPr>
      <w:b/>
      <w:bCs/>
    </w:rPr>
  </w:style>
  <w:style w:type="character" w:styleId="Hyperlink">
    <w:name w:val="Hyperlink"/>
    <w:basedOn w:val="DefaultParagraphFont"/>
    <w:uiPriority w:val="99"/>
    <w:unhideWhenUsed/>
    <w:rsid w:val="00A1172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7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jval.2023.09.1924?utm_source=copilot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136/archdischild-2022-rcpch.38?utm_source=copilot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3399/bjgp22X720617?utm_source=copilot.com" TargetMode="External"/><Relationship Id="rId11" Type="http://schemas.openxmlformats.org/officeDocument/2006/relationships/hyperlink" Target="https://doi.org/10.1080/13561820020003919?utm_source=copilot.com" TargetMode="External"/><Relationship Id="rId5" Type="http://schemas.openxmlformats.org/officeDocument/2006/relationships/hyperlink" Target="https://www.gov.uk/government/publications/multi-agency-safeguarding-and-domestic-abuse-paper?utm_source=copilot.com" TargetMode="External"/><Relationship Id="rId10" Type="http://schemas.openxmlformats.org/officeDocument/2006/relationships/hyperlink" Target="https://doi.org/10.1177/1077801218824998?utm_source=copilot.com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assets.publishing.service.gov.uk/media/68add931969253904d155860/Keeping_children_safe_in_education_from_1_September_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440</Words>
  <Characters>3122</Characters>
  <Application>Microsoft Office Word</Application>
  <DocSecurity>0</DocSecurity>
  <Lines>69</Lines>
  <Paragraphs>29</Paragraphs>
  <ScaleCrop>false</ScaleCrop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Voiculescu</dc:creator>
  <cp:keywords/>
  <dc:description/>
  <cp:lastModifiedBy>Dan Voiculescu</cp:lastModifiedBy>
  <cp:revision>53</cp:revision>
  <dcterms:created xsi:type="dcterms:W3CDTF">2026-07-22T11:05:00Z</dcterms:created>
  <dcterms:modified xsi:type="dcterms:W3CDTF">2026-07-24T08:36:00Z</dcterms:modified>
</cp:coreProperties>
</file>