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98500530"/>
        <w:docPartObj>
          <w:docPartGallery w:val="Cover Pages"/>
          <w:docPartUnique/>
        </w:docPartObj>
      </w:sdtPr>
      <w:sdtContent>
        <w:p w:rsidR="009324A6" w:rsidRDefault="009324A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402BDB2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59264" behindDoc="0" locked="0" layoutInCell="1" allowOverlap="1" wp14:anchorId="49BE05A1" wp14:editId="19EABC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0C5B98" w:rsidRDefault="000C5B9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Alton Towers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C5B98" w:rsidRDefault="000C5B98">
                                    <w:pPr>
                                      <w:jc w:val="right"/>
                                      <w:rPr>
                                        <w:smallCaps/>
                                        <w:color w:val="404040" w:themeColor="text1" w:themeTint="BF"/>
                                        <w:sz w:val="36"/>
                                        <w:szCs w:val="36"/>
                                      </w:rPr>
                                    </w:pPr>
                                    <w:r>
                                      <w:rPr>
                                        <w:color w:val="404040" w:themeColor="text1" w:themeTint="BF"/>
                                        <w:sz w:val="36"/>
                                        <w:szCs w:val="36"/>
                                      </w:rPr>
                                      <w:t>Case Study Analysis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9BE05A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rsidR="000C5B98" w:rsidRDefault="000C5B98">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Alton Towers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0C5B98" w:rsidRDefault="000C5B98">
                              <w:pPr>
                                <w:jc w:val="right"/>
                                <w:rPr>
                                  <w:smallCaps/>
                                  <w:color w:val="404040" w:themeColor="text1" w:themeTint="BF"/>
                                  <w:sz w:val="36"/>
                                  <w:szCs w:val="36"/>
                                </w:rPr>
                              </w:pPr>
                              <w:r>
                                <w:rPr>
                                  <w:color w:val="404040" w:themeColor="text1" w:themeTint="BF"/>
                                  <w:sz w:val="36"/>
                                  <w:szCs w:val="36"/>
                                </w:rPr>
                                <w:t>Case Study Analysis</w:t>
                              </w:r>
                            </w:p>
                          </w:sdtContent>
                        </w:sdt>
                      </w:txbxContent>
                    </v:textbox>
                    <w10:wrap type="square" anchorx="page" anchory="page"/>
                  </v:shape>
                </w:pict>
              </mc:Fallback>
            </mc:AlternateContent>
          </w:r>
        </w:p>
        <w:p w:rsidR="00FE133A" w:rsidRDefault="009324A6" w:rsidP="009324A6">
          <w:r>
            <w:rPr>
              <w:noProof/>
              <w:lang w:eastAsia="en-GB"/>
            </w:rPr>
            <mc:AlternateContent>
              <mc:Choice Requires="wps">
                <w:drawing>
                  <wp:anchor distT="0" distB="0" distL="114300" distR="114300" simplePos="0" relativeHeight="251660288" behindDoc="0" locked="0" layoutInCell="1" allowOverlap="1" wp14:anchorId="40F445A4" wp14:editId="76206922">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C5B98" w:rsidRDefault="000C5B98" w:rsidP="00FE133A">
                                    <w:pPr>
                                      <w:pStyle w:val="NoSpacing"/>
                                      <w:jc w:val="center"/>
                                      <w:rPr>
                                        <w:color w:val="595959" w:themeColor="text1" w:themeTint="A6"/>
                                        <w:sz w:val="28"/>
                                        <w:szCs w:val="28"/>
                                      </w:rPr>
                                    </w:pPr>
                                    <w:r>
                                      <w:rPr>
                                        <w:color w:val="595959" w:themeColor="text1" w:themeTint="A6"/>
                                        <w:sz w:val="28"/>
                                        <w:szCs w:val="28"/>
                                      </w:rPr>
                                      <w:t>Lidia Buta</w:t>
                                    </w:r>
                                  </w:p>
                                </w:sdtContent>
                              </w:sdt>
                              <w:p w:rsidR="000C5B98" w:rsidRDefault="000C5B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P152143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445A4"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0C5B98" w:rsidRDefault="000C5B98" w:rsidP="00FE133A">
                              <w:pPr>
                                <w:pStyle w:val="NoSpacing"/>
                                <w:jc w:val="center"/>
                                <w:rPr>
                                  <w:color w:val="595959" w:themeColor="text1" w:themeTint="A6"/>
                                  <w:sz w:val="28"/>
                                  <w:szCs w:val="28"/>
                                </w:rPr>
                              </w:pPr>
                              <w:r>
                                <w:rPr>
                                  <w:color w:val="595959" w:themeColor="text1" w:themeTint="A6"/>
                                  <w:sz w:val="28"/>
                                  <w:szCs w:val="28"/>
                                </w:rPr>
                                <w:t>Lidia Buta</w:t>
                              </w:r>
                            </w:p>
                          </w:sdtContent>
                        </w:sdt>
                        <w:p w:rsidR="000C5B98" w:rsidRDefault="000C5B9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P152143</w:t>
                              </w:r>
                            </w:sdtContent>
                          </w:sdt>
                        </w:p>
                      </w:txbxContent>
                    </v:textbox>
                    <w10:wrap type="square" anchorx="margin" anchory="page"/>
                  </v:shape>
                </w:pict>
              </mc:Fallback>
            </mc:AlternateContent>
          </w:r>
        </w:p>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FE133A" w:rsidRDefault="00FE133A" w:rsidP="009324A6"/>
        <w:p w:rsidR="009324A6" w:rsidRDefault="000C5B98" w:rsidP="009324A6"/>
      </w:sdtContent>
    </w:sdt>
    <w:p w:rsidR="009324A6" w:rsidRDefault="009324A6" w:rsidP="009324A6"/>
    <w:p w:rsidR="009324A6" w:rsidRDefault="009324A6" w:rsidP="009324A6"/>
    <w:sdt>
      <w:sdtPr>
        <w:rPr>
          <w:rFonts w:asciiTheme="minorHAnsi" w:eastAsiaTheme="minorHAnsi" w:hAnsiTheme="minorHAnsi" w:cstheme="minorBidi"/>
          <w:color w:val="auto"/>
          <w:sz w:val="22"/>
          <w:szCs w:val="22"/>
          <w:lang w:val="en-GB"/>
        </w:rPr>
        <w:id w:val="-401220796"/>
        <w:docPartObj>
          <w:docPartGallery w:val="Table of Contents"/>
          <w:docPartUnique/>
        </w:docPartObj>
      </w:sdtPr>
      <w:sdtEndPr>
        <w:rPr>
          <w:b/>
          <w:bCs/>
          <w:noProof/>
        </w:rPr>
      </w:sdtEndPr>
      <w:sdtContent>
        <w:p w:rsidR="00E150F5" w:rsidRDefault="00E150F5">
          <w:pPr>
            <w:pStyle w:val="TOCHeading"/>
          </w:pPr>
          <w:r>
            <w:t>Table of Contents</w:t>
          </w:r>
        </w:p>
        <w:p w:rsidR="005E5DE1" w:rsidRDefault="00E150F5">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7019495" w:history="1">
            <w:r w:rsidR="005E5DE1" w:rsidRPr="000A5ED4">
              <w:rPr>
                <w:rStyle w:val="Hyperlink"/>
                <w:noProof/>
              </w:rPr>
              <w:t>Executive Summary</w:t>
            </w:r>
            <w:r w:rsidR="005E5DE1">
              <w:rPr>
                <w:noProof/>
                <w:webHidden/>
              </w:rPr>
              <w:tab/>
            </w:r>
            <w:r w:rsidR="005E5DE1">
              <w:rPr>
                <w:noProof/>
                <w:webHidden/>
              </w:rPr>
              <w:fldChar w:fldCharType="begin"/>
            </w:r>
            <w:r w:rsidR="005E5DE1">
              <w:rPr>
                <w:noProof/>
                <w:webHidden/>
              </w:rPr>
              <w:instrText xml:space="preserve"> PAGEREF _Toc7019495 \h </w:instrText>
            </w:r>
            <w:r w:rsidR="005E5DE1">
              <w:rPr>
                <w:noProof/>
                <w:webHidden/>
              </w:rPr>
            </w:r>
            <w:r w:rsidR="005E5DE1">
              <w:rPr>
                <w:noProof/>
                <w:webHidden/>
              </w:rPr>
              <w:fldChar w:fldCharType="separate"/>
            </w:r>
            <w:r w:rsidR="005E5DE1">
              <w:rPr>
                <w:noProof/>
                <w:webHidden/>
              </w:rPr>
              <w:t>1</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496" w:history="1">
            <w:r w:rsidR="005E5DE1" w:rsidRPr="000A5ED4">
              <w:rPr>
                <w:rStyle w:val="Hyperlink"/>
                <w:noProof/>
              </w:rPr>
              <w:t>Introduction</w:t>
            </w:r>
            <w:r w:rsidR="005E5DE1">
              <w:rPr>
                <w:noProof/>
                <w:webHidden/>
              </w:rPr>
              <w:tab/>
            </w:r>
            <w:r w:rsidR="005E5DE1">
              <w:rPr>
                <w:noProof/>
                <w:webHidden/>
              </w:rPr>
              <w:fldChar w:fldCharType="begin"/>
            </w:r>
            <w:r w:rsidR="005E5DE1">
              <w:rPr>
                <w:noProof/>
                <w:webHidden/>
              </w:rPr>
              <w:instrText xml:space="preserve"> PAGEREF _Toc7019496 \h </w:instrText>
            </w:r>
            <w:r w:rsidR="005E5DE1">
              <w:rPr>
                <w:noProof/>
                <w:webHidden/>
              </w:rPr>
            </w:r>
            <w:r w:rsidR="005E5DE1">
              <w:rPr>
                <w:noProof/>
                <w:webHidden/>
              </w:rPr>
              <w:fldChar w:fldCharType="separate"/>
            </w:r>
            <w:r w:rsidR="005E5DE1">
              <w:rPr>
                <w:noProof/>
                <w:webHidden/>
              </w:rPr>
              <w:t>3</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497" w:history="1">
            <w:r w:rsidR="005E5DE1" w:rsidRPr="000A5ED4">
              <w:rPr>
                <w:rStyle w:val="Hyperlink"/>
                <w:noProof/>
              </w:rPr>
              <w:t>Environmental analysis</w:t>
            </w:r>
            <w:r w:rsidR="005E5DE1">
              <w:rPr>
                <w:noProof/>
                <w:webHidden/>
              </w:rPr>
              <w:tab/>
            </w:r>
            <w:r w:rsidR="005E5DE1">
              <w:rPr>
                <w:noProof/>
                <w:webHidden/>
              </w:rPr>
              <w:fldChar w:fldCharType="begin"/>
            </w:r>
            <w:r w:rsidR="005E5DE1">
              <w:rPr>
                <w:noProof/>
                <w:webHidden/>
              </w:rPr>
              <w:instrText xml:space="preserve"> PAGEREF _Toc7019497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0C5B98">
          <w:pPr>
            <w:pStyle w:val="TOC2"/>
            <w:tabs>
              <w:tab w:val="right" w:leader="dot" w:pos="9016"/>
            </w:tabs>
            <w:rPr>
              <w:rFonts w:eastAsiaTheme="minorEastAsia"/>
              <w:noProof/>
              <w:lang w:eastAsia="en-GB"/>
            </w:rPr>
          </w:pPr>
          <w:hyperlink w:anchor="_Toc7019498" w:history="1">
            <w:r w:rsidR="005E5DE1" w:rsidRPr="000A5ED4">
              <w:rPr>
                <w:rStyle w:val="Hyperlink"/>
                <w:noProof/>
              </w:rPr>
              <w:t>PESTLE ANALYSIS</w:t>
            </w:r>
            <w:r w:rsidR="005E5DE1">
              <w:rPr>
                <w:noProof/>
                <w:webHidden/>
              </w:rPr>
              <w:tab/>
            </w:r>
            <w:r w:rsidR="005E5DE1">
              <w:rPr>
                <w:noProof/>
                <w:webHidden/>
              </w:rPr>
              <w:fldChar w:fldCharType="begin"/>
            </w:r>
            <w:r w:rsidR="005E5DE1">
              <w:rPr>
                <w:noProof/>
                <w:webHidden/>
              </w:rPr>
              <w:instrText xml:space="preserve"> PAGEREF _Toc7019498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0C5B98">
          <w:pPr>
            <w:pStyle w:val="TOC2"/>
            <w:tabs>
              <w:tab w:val="right" w:leader="dot" w:pos="9016"/>
            </w:tabs>
            <w:rPr>
              <w:rFonts w:eastAsiaTheme="minorEastAsia"/>
              <w:noProof/>
              <w:lang w:eastAsia="en-GB"/>
            </w:rPr>
          </w:pPr>
          <w:hyperlink w:anchor="_Toc7019499" w:history="1">
            <w:r w:rsidR="005E5DE1" w:rsidRPr="000A5ED4">
              <w:rPr>
                <w:rStyle w:val="Hyperlink"/>
                <w:noProof/>
              </w:rPr>
              <w:t>SWOT ANALYSIS</w:t>
            </w:r>
            <w:r w:rsidR="005E5DE1">
              <w:rPr>
                <w:noProof/>
                <w:webHidden/>
              </w:rPr>
              <w:tab/>
            </w:r>
            <w:r w:rsidR="005E5DE1">
              <w:rPr>
                <w:noProof/>
                <w:webHidden/>
              </w:rPr>
              <w:fldChar w:fldCharType="begin"/>
            </w:r>
            <w:r w:rsidR="005E5DE1">
              <w:rPr>
                <w:noProof/>
                <w:webHidden/>
              </w:rPr>
              <w:instrText xml:space="preserve"> PAGEREF _Toc7019499 \h </w:instrText>
            </w:r>
            <w:r w:rsidR="005E5DE1">
              <w:rPr>
                <w:noProof/>
                <w:webHidden/>
              </w:rPr>
            </w:r>
            <w:r w:rsidR="005E5DE1">
              <w:rPr>
                <w:noProof/>
                <w:webHidden/>
              </w:rPr>
              <w:fldChar w:fldCharType="separate"/>
            </w:r>
            <w:r w:rsidR="005E5DE1">
              <w:rPr>
                <w:noProof/>
                <w:webHidden/>
              </w:rPr>
              <w:t>4</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500" w:history="1">
            <w:r w:rsidR="005E5DE1" w:rsidRPr="000A5ED4">
              <w:rPr>
                <w:rStyle w:val="Hyperlink"/>
                <w:noProof/>
              </w:rPr>
              <w:t>Ratios</w:t>
            </w:r>
            <w:r w:rsidR="005E5DE1">
              <w:rPr>
                <w:noProof/>
                <w:webHidden/>
              </w:rPr>
              <w:tab/>
            </w:r>
            <w:r w:rsidR="005E5DE1">
              <w:rPr>
                <w:noProof/>
                <w:webHidden/>
              </w:rPr>
              <w:fldChar w:fldCharType="begin"/>
            </w:r>
            <w:r w:rsidR="005E5DE1">
              <w:rPr>
                <w:noProof/>
                <w:webHidden/>
              </w:rPr>
              <w:instrText xml:space="preserve"> PAGEREF _Toc7019500 \h </w:instrText>
            </w:r>
            <w:r w:rsidR="005E5DE1">
              <w:rPr>
                <w:noProof/>
                <w:webHidden/>
              </w:rPr>
            </w:r>
            <w:r w:rsidR="005E5DE1">
              <w:rPr>
                <w:noProof/>
                <w:webHidden/>
              </w:rPr>
              <w:fldChar w:fldCharType="separate"/>
            </w:r>
            <w:r w:rsidR="005E5DE1">
              <w:rPr>
                <w:noProof/>
                <w:webHidden/>
              </w:rPr>
              <w:t>5</w:t>
            </w:r>
            <w:r w:rsidR="005E5DE1">
              <w:rPr>
                <w:noProof/>
                <w:webHidden/>
              </w:rPr>
              <w:fldChar w:fldCharType="end"/>
            </w:r>
          </w:hyperlink>
        </w:p>
        <w:p w:rsidR="005E5DE1" w:rsidRDefault="000C5B98">
          <w:pPr>
            <w:pStyle w:val="TOC2"/>
            <w:tabs>
              <w:tab w:val="right" w:leader="dot" w:pos="9016"/>
            </w:tabs>
            <w:rPr>
              <w:rFonts w:eastAsiaTheme="minorEastAsia"/>
              <w:noProof/>
              <w:lang w:eastAsia="en-GB"/>
            </w:rPr>
          </w:pPr>
          <w:hyperlink w:anchor="_Toc7019501" w:history="1">
            <w:r w:rsidR="005E5DE1" w:rsidRPr="000A5ED4">
              <w:rPr>
                <w:rStyle w:val="Hyperlink"/>
                <w:noProof/>
              </w:rPr>
              <w:t>Analysis and Key Performance Indicators</w:t>
            </w:r>
            <w:r w:rsidR="005E5DE1">
              <w:rPr>
                <w:noProof/>
                <w:webHidden/>
              </w:rPr>
              <w:tab/>
            </w:r>
            <w:r w:rsidR="005E5DE1">
              <w:rPr>
                <w:noProof/>
                <w:webHidden/>
              </w:rPr>
              <w:fldChar w:fldCharType="begin"/>
            </w:r>
            <w:r w:rsidR="005E5DE1">
              <w:rPr>
                <w:noProof/>
                <w:webHidden/>
              </w:rPr>
              <w:instrText xml:space="preserve"> PAGEREF _Toc7019501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0C5B98">
          <w:pPr>
            <w:pStyle w:val="TOC2"/>
            <w:tabs>
              <w:tab w:val="right" w:leader="dot" w:pos="9016"/>
            </w:tabs>
            <w:rPr>
              <w:rFonts w:eastAsiaTheme="minorEastAsia"/>
              <w:noProof/>
              <w:lang w:eastAsia="en-GB"/>
            </w:rPr>
          </w:pPr>
          <w:hyperlink w:anchor="_Toc7019502" w:history="1">
            <w:r w:rsidR="005E5DE1" w:rsidRPr="000A5ED4">
              <w:rPr>
                <w:rStyle w:val="Hyperlink"/>
                <w:noProof/>
              </w:rPr>
              <w:t>SMART objectives</w:t>
            </w:r>
            <w:r w:rsidR="005E5DE1">
              <w:rPr>
                <w:noProof/>
                <w:webHidden/>
              </w:rPr>
              <w:tab/>
            </w:r>
            <w:r w:rsidR="005E5DE1">
              <w:rPr>
                <w:noProof/>
                <w:webHidden/>
              </w:rPr>
              <w:fldChar w:fldCharType="begin"/>
            </w:r>
            <w:r w:rsidR="005E5DE1">
              <w:rPr>
                <w:noProof/>
                <w:webHidden/>
              </w:rPr>
              <w:instrText xml:space="preserve"> PAGEREF _Toc7019502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503" w:history="1">
            <w:r w:rsidR="005E5DE1" w:rsidRPr="000A5ED4">
              <w:rPr>
                <w:rStyle w:val="Hyperlink"/>
                <w:noProof/>
              </w:rPr>
              <w:t>Performance Management Audit</w:t>
            </w:r>
            <w:r w:rsidR="005E5DE1">
              <w:rPr>
                <w:noProof/>
                <w:webHidden/>
              </w:rPr>
              <w:tab/>
            </w:r>
            <w:r w:rsidR="005E5DE1">
              <w:rPr>
                <w:noProof/>
                <w:webHidden/>
              </w:rPr>
              <w:fldChar w:fldCharType="begin"/>
            </w:r>
            <w:r w:rsidR="005E5DE1">
              <w:rPr>
                <w:noProof/>
                <w:webHidden/>
              </w:rPr>
              <w:instrText xml:space="preserve"> PAGEREF _Toc7019503 \h </w:instrText>
            </w:r>
            <w:r w:rsidR="005E5DE1">
              <w:rPr>
                <w:noProof/>
                <w:webHidden/>
              </w:rPr>
            </w:r>
            <w:r w:rsidR="005E5DE1">
              <w:rPr>
                <w:noProof/>
                <w:webHidden/>
              </w:rPr>
              <w:fldChar w:fldCharType="separate"/>
            </w:r>
            <w:r w:rsidR="005E5DE1">
              <w:rPr>
                <w:noProof/>
                <w:webHidden/>
              </w:rPr>
              <w:t>10</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504" w:history="1">
            <w:r w:rsidR="005E5DE1" w:rsidRPr="000A5ED4">
              <w:rPr>
                <w:rStyle w:val="Hyperlink"/>
                <w:noProof/>
              </w:rPr>
              <w:t>Reference List</w:t>
            </w:r>
            <w:r w:rsidR="005E5DE1">
              <w:rPr>
                <w:noProof/>
                <w:webHidden/>
              </w:rPr>
              <w:tab/>
            </w:r>
            <w:r w:rsidR="005E5DE1">
              <w:rPr>
                <w:noProof/>
                <w:webHidden/>
              </w:rPr>
              <w:fldChar w:fldCharType="begin"/>
            </w:r>
            <w:r w:rsidR="005E5DE1">
              <w:rPr>
                <w:noProof/>
                <w:webHidden/>
              </w:rPr>
              <w:instrText xml:space="preserve"> PAGEREF _Toc7019504 \h </w:instrText>
            </w:r>
            <w:r w:rsidR="005E5DE1">
              <w:rPr>
                <w:noProof/>
                <w:webHidden/>
              </w:rPr>
            </w:r>
            <w:r w:rsidR="005E5DE1">
              <w:rPr>
                <w:noProof/>
                <w:webHidden/>
              </w:rPr>
              <w:fldChar w:fldCharType="separate"/>
            </w:r>
            <w:r w:rsidR="005E5DE1">
              <w:rPr>
                <w:noProof/>
                <w:webHidden/>
              </w:rPr>
              <w:t>11</w:t>
            </w:r>
            <w:r w:rsidR="005E5DE1">
              <w:rPr>
                <w:noProof/>
                <w:webHidden/>
              </w:rPr>
              <w:fldChar w:fldCharType="end"/>
            </w:r>
          </w:hyperlink>
        </w:p>
        <w:p w:rsidR="005E5DE1" w:rsidRDefault="000C5B98">
          <w:pPr>
            <w:pStyle w:val="TOC1"/>
            <w:tabs>
              <w:tab w:val="right" w:leader="dot" w:pos="9016"/>
            </w:tabs>
            <w:rPr>
              <w:rFonts w:eastAsiaTheme="minorEastAsia"/>
              <w:noProof/>
              <w:lang w:eastAsia="en-GB"/>
            </w:rPr>
          </w:pPr>
          <w:hyperlink w:anchor="_Toc7019505" w:history="1">
            <w:r w:rsidR="005E5DE1" w:rsidRPr="000A5ED4">
              <w:rPr>
                <w:rStyle w:val="Hyperlink"/>
                <w:noProof/>
              </w:rPr>
              <w:t>Appendix</w:t>
            </w:r>
            <w:r w:rsidR="005E5DE1">
              <w:rPr>
                <w:noProof/>
                <w:webHidden/>
              </w:rPr>
              <w:tab/>
            </w:r>
            <w:r w:rsidR="005E5DE1">
              <w:rPr>
                <w:noProof/>
                <w:webHidden/>
              </w:rPr>
              <w:fldChar w:fldCharType="begin"/>
            </w:r>
            <w:r w:rsidR="005E5DE1">
              <w:rPr>
                <w:noProof/>
                <w:webHidden/>
              </w:rPr>
              <w:instrText xml:space="preserve"> PAGEREF _Toc7019505 \h </w:instrText>
            </w:r>
            <w:r w:rsidR="005E5DE1">
              <w:rPr>
                <w:noProof/>
                <w:webHidden/>
              </w:rPr>
            </w:r>
            <w:r w:rsidR="005E5DE1">
              <w:rPr>
                <w:noProof/>
                <w:webHidden/>
              </w:rPr>
              <w:fldChar w:fldCharType="separate"/>
            </w:r>
            <w:r w:rsidR="005E5DE1">
              <w:rPr>
                <w:noProof/>
                <w:webHidden/>
              </w:rPr>
              <w:t>12</w:t>
            </w:r>
            <w:r w:rsidR="005E5DE1">
              <w:rPr>
                <w:noProof/>
                <w:webHidden/>
              </w:rPr>
              <w:fldChar w:fldCharType="end"/>
            </w:r>
          </w:hyperlink>
        </w:p>
        <w:p w:rsidR="009324A6" w:rsidRDefault="00E150F5" w:rsidP="00E150F5">
          <w:r>
            <w:rPr>
              <w:b/>
              <w:bCs/>
              <w:noProof/>
            </w:rPr>
            <w:fldChar w:fldCharType="end"/>
          </w:r>
        </w:p>
      </w:sdtContent>
    </w:sdt>
    <w:p w:rsidR="00FE133A" w:rsidRDefault="00FE133A" w:rsidP="00FE133A">
      <w:pPr>
        <w:pStyle w:val="Heading1"/>
      </w:pPr>
      <w:bookmarkStart w:id="0" w:name="_Toc506797128"/>
      <w:bookmarkStart w:id="1" w:name="_Toc7019495"/>
      <w:bookmarkStart w:id="2" w:name="_Toc5348062"/>
      <w:bookmarkStart w:id="3" w:name="_Toc7019496"/>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FE133A" w:rsidRDefault="00FE133A" w:rsidP="00FE133A">
      <w:pPr>
        <w:pStyle w:val="Heading1"/>
      </w:pPr>
    </w:p>
    <w:p w:rsidR="002F2AB4" w:rsidRDefault="002F2AB4" w:rsidP="002F2AB4"/>
    <w:p w:rsidR="002F2AB4" w:rsidRPr="002F2AB4" w:rsidRDefault="002F2AB4" w:rsidP="002F2AB4"/>
    <w:p w:rsidR="00FE133A" w:rsidRDefault="00FE133A" w:rsidP="00FE133A">
      <w:pPr>
        <w:pStyle w:val="Heading1"/>
      </w:pPr>
      <w:r>
        <w:lastRenderedPageBreak/>
        <w:t>Executive Summary</w:t>
      </w:r>
      <w:bookmarkEnd w:id="0"/>
      <w:bookmarkEnd w:id="1"/>
    </w:p>
    <w:p w:rsidR="00D01F90" w:rsidRDefault="00D01F90" w:rsidP="002F2AB4"/>
    <w:p w:rsidR="009E7A9D" w:rsidRDefault="002F2AB4" w:rsidP="008830AD">
      <w:pPr>
        <w:spacing w:line="360" w:lineRule="auto"/>
        <w:jc w:val="both"/>
        <w:rPr>
          <w:rFonts w:ascii="Arial" w:hAnsi="Arial" w:cs="Arial"/>
          <w:sz w:val="24"/>
          <w:szCs w:val="24"/>
        </w:rPr>
      </w:pPr>
      <w:r w:rsidRPr="008830AD">
        <w:rPr>
          <w:rFonts w:ascii="Arial" w:hAnsi="Arial" w:cs="Arial"/>
          <w:sz w:val="24"/>
          <w:szCs w:val="24"/>
        </w:rPr>
        <w:t>This report examines the functions of business and context of management in Alton Towers from a variety of perspectives (general management/HR/finance)</w:t>
      </w:r>
      <w:r w:rsidR="00D01F90" w:rsidRPr="008830AD">
        <w:rPr>
          <w:rFonts w:ascii="Arial" w:hAnsi="Arial" w:cs="Arial"/>
          <w:sz w:val="24"/>
          <w:szCs w:val="24"/>
        </w:rPr>
        <w:t>.</w:t>
      </w:r>
    </w:p>
    <w:p w:rsidR="009E7A9D" w:rsidRDefault="009E7A9D" w:rsidP="008830AD">
      <w:pPr>
        <w:spacing w:line="360" w:lineRule="auto"/>
        <w:jc w:val="both"/>
        <w:rPr>
          <w:rFonts w:ascii="Arial" w:hAnsi="Arial" w:cs="Arial"/>
          <w:sz w:val="24"/>
          <w:szCs w:val="24"/>
        </w:rPr>
      </w:pPr>
      <w:r w:rsidRPr="009E7A9D">
        <w:rPr>
          <w:rFonts w:ascii="Arial" w:hAnsi="Arial" w:cs="Arial"/>
          <w:sz w:val="24"/>
          <w:szCs w:val="24"/>
        </w:rPr>
        <w:t>The report was carried out on behalf of the clien</w:t>
      </w:r>
      <w:r>
        <w:rPr>
          <w:rFonts w:ascii="Arial" w:hAnsi="Arial" w:cs="Arial"/>
          <w:sz w:val="24"/>
          <w:szCs w:val="24"/>
        </w:rPr>
        <w:t>t, who has the help in creating</w:t>
      </w:r>
      <w:r w:rsidRPr="009E7A9D">
        <w:rPr>
          <w:rFonts w:ascii="Arial" w:hAnsi="Arial" w:cs="Arial"/>
          <w:sz w:val="24"/>
          <w:szCs w:val="24"/>
        </w:rPr>
        <w:t xml:space="preserve"> the next business plan.</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Alton Towers is one of Merlin Entertainments Organisation. Well known as the biggest UK's biggest Theme Park located in Staffordshire in England. The resort incorporates theme park, hotel complex, spa and mini golf. The Park features such attractions as famous roller</w:t>
      </w:r>
      <w:r w:rsidR="00D01F90" w:rsidRPr="008830AD">
        <w:rPr>
          <w:rFonts w:ascii="Arial" w:hAnsi="Arial" w:cs="Arial"/>
          <w:sz w:val="24"/>
          <w:szCs w:val="24"/>
        </w:rPr>
        <w:t xml:space="preserve"> </w:t>
      </w:r>
      <w:r w:rsidRPr="008830AD">
        <w:rPr>
          <w:rFonts w:ascii="Arial" w:hAnsi="Arial" w:cs="Arial"/>
          <w:sz w:val="24"/>
          <w:szCs w:val="24"/>
        </w:rPr>
        <w:t xml:space="preserve">costers Galactica, The Smiler, Wicker Man, Runaway Main Train, Nemesis. Park is open from March till November. </w:t>
      </w:r>
      <w:r w:rsidR="00D01F90" w:rsidRPr="008830AD">
        <w:rPr>
          <w:rFonts w:ascii="Arial" w:hAnsi="Arial" w:cs="Arial"/>
          <w:sz w:val="24"/>
          <w:szCs w:val="24"/>
        </w:rPr>
        <w:t>However,</w:t>
      </w:r>
      <w:r w:rsidRPr="008830AD">
        <w:rPr>
          <w:rFonts w:ascii="Arial" w:hAnsi="Arial" w:cs="Arial"/>
          <w:sz w:val="24"/>
          <w:szCs w:val="24"/>
        </w:rPr>
        <w:t xml:space="preserve"> hotel and </w:t>
      </w:r>
      <w:r w:rsidR="00D01F90" w:rsidRPr="008830AD">
        <w:rPr>
          <w:rFonts w:ascii="Arial" w:hAnsi="Arial" w:cs="Arial"/>
          <w:sz w:val="24"/>
          <w:szCs w:val="24"/>
        </w:rPr>
        <w:t>amenities</w:t>
      </w:r>
      <w:r w:rsidRPr="008830AD">
        <w:rPr>
          <w:rFonts w:ascii="Arial" w:hAnsi="Arial" w:cs="Arial"/>
          <w:sz w:val="24"/>
          <w:szCs w:val="24"/>
        </w:rPr>
        <w:t xml:space="preserve"> are open all year- round. </w:t>
      </w:r>
      <w:r w:rsidR="00D01F90" w:rsidRPr="008830AD">
        <w:rPr>
          <w:rFonts w:ascii="Arial" w:hAnsi="Arial" w:cs="Arial"/>
          <w:sz w:val="24"/>
          <w:szCs w:val="24"/>
        </w:rPr>
        <w:t>Events</w:t>
      </w:r>
      <w:r w:rsidRPr="008830AD">
        <w:rPr>
          <w:rFonts w:ascii="Arial" w:hAnsi="Arial" w:cs="Arial"/>
          <w:sz w:val="24"/>
          <w:szCs w:val="24"/>
        </w:rPr>
        <w:t xml:space="preserve"> are organised throughout the year for example Alton Towers Scarefest (Halloween event), and fireworks event on a season-ending.</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This report has three parts.</w:t>
      </w:r>
    </w:p>
    <w:p w:rsidR="00B32E4A" w:rsidRDefault="002F2AB4" w:rsidP="00B32E4A">
      <w:pPr>
        <w:spacing w:line="360" w:lineRule="auto"/>
        <w:jc w:val="both"/>
        <w:rPr>
          <w:rFonts w:ascii="Arial" w:hAnsi="Arial" w:cs="Arial"/>
          <w:sz w:val="24"/>
          <w:szCs w:val="24"/>
        </w:rPr>
      </w:pPr>
      <w:r w:rsidRPr="008830AD">
        <w:rPr>
          <w:rFonts w:ascii="Arial" w:hAnsi="Arial" w:cs="Arial"/>
          <w:sz w:val="24"/>
          <w:szCs w:val="24"/>
        </w:rPr>
        <w:t>The first part is Environmental analysis and including economic models and concepts; SWOT and PESTLE analyse. There is a focus on the principal external and internal risks facing the Theme Park and how it is social and business performance can be improved as a result.</w:t>
      </w:r>
    </w:p>
    <w:p w:rsidR="00B32E4A" w:rsidRPr="00B32E4A" w:rsidRDefault="00B32E4A" w:rsidP="00B32E4A">
      <w:pPr>
        <w:spacing w:line="360" w:lineRule="auto"/>
        <w:jc w:val="both"/>
        <w:rPr>
          <w:rFonts w:ascii="Arial" w:hAnsi="Arial" w:cs="Arial"/>
          <w:sz w:val="24"/>
          <w:szCs w:val="24"/>
        </w:rPr>
      </w:pPr>
      <w:r>
        <w:rPr>
          <w:rFonts w:ascii="Arial" w:hAnsi="Arial" w:cs="Arial"/>
          <w:sz w:val="24"/>
          <w:szCs w:val="24"/>
        </w:rPr>
        <w:t xml:space="preserve">PESTLE </w:t>
      </w:r>
      <w:r w:rsidRPr="00B32E4A">
        <w:rPr>
          <w:rFonts w:ascii="Arial" w:hAnsi="Arial" w:cs="Arial"/>
          <w:sz w:val="24"/>
          <w:szCs w:val="24"/>
        </w:rPr>
        <w:t>analysis contains macro factors such as political, environmental, social, technical, legal and economic and micro, where we include: company, suppliers, intermediate marketing, customers, and competitors.</w:t>
      </w:r>
    </w:p>
    <w:p w:rsidR="00B32E4A" w:rsidRPr="00B32E4A" w:rsidRDefault="00B32E4A" w:rsidP="00B32E4A">
      <w:pPr>
        <w:spacing w:line="360" w:lineRule="auto"/>
        <w:jc w:val="both"/>
        <w:rPr>
          <w:rFonts w:ascii="Arial" w:hAnsi="Arial" w:cs="Arial"/>
          <w:sz w:val="24"/>
          <w:szCs w:val="24"/>
        </w:rPr>
      </w:pPr>
      <w:r w:rsidRPr="00B32E4A">
        <w:rPr>
          <w:rFonts w:ascii="Arial" w:hAnsi="Arial" w:cs="Arial"/>
          <w:sz w:val="24"/>
          <w:szCs w:val="24"/>
        </w:rPr>
        <w:t>The S</w:t>
      </w:r>
      <w:r>
        <w:rPr>
          <w:rFonts w:ascii="Arial" w:hAnsi="Arial" w:cs="Arial"/>
          <w:sz w:val="24"/>
          <w:szCs w:val="24"/>
        </w:rPr>
        <w:t>WOT analysis includes strengths</w:t>
      </w:r>
      <w:r w:rsidRPr="00B32E4A">
        <w:rPr>
          <w:rFonts w:ascii="Arial" w:hAnsi="Arial" w:cs="Arial"/>
          <w:sz w:val="24"/>
          <w:szCs w:val="24"/>
        </w:rPr>
        <w:t>, weaknesses, possibilities and threats.</w:t>
      </w:r>
    </w:p>
    <w:p w:rsidR="00B32E4A" w:rsidRPr="008830AD" w:rsidRDefault="00B32E4A" w:rsidP="00B32E4A">
      <w:pPr>
        <w:spacing w:line="360" w:lineRule="auto"/>
        <w:jc w:val="both"/>
        <w:rPr>
          <w:rFonts w:ascii="Arial" w:hAnsi="Arial" w:cs="Arial"/>
          <w:sz w:val="24"/>
          <w:szCs w:val="24"/>
        </w:rPr>
      </w:pPr>
      <w:r w:rsidRPr="00B32E4A">
        <w:rPr>
          <w:rFonts w:ascii="Arial" w:hAnsi="Arial" w:cs="Arial"/>
          <w:sz w:val="24"/>
          <w:szCs w:val="24"/>
        </w:rPr>
        <w:t>Summarizing both analyses look good. As every company of Alton Towers encounters different problems (for example environmental: traffic, noises etc.), however, in the general ranking everything goes well.</w:t>
      </w:r>
    </w:p>
    <w:p w:rsidR="002F2AB4" w:rsidRPr="008830AD" w:rsidRDefault="002F2AB4" w:rsidP="008830AD">
      <w:pPr>
        <w:spacing w:line="360" w:lineRule="auto"/>
        <w:jc w:val="both"/>
        <w:rPr>
          <w:rFonts w:ascii="Arial" w:hAnsi="Arial" w:cs="Arial"/>
          <w:sz w:val="24"/>
          <w:szCs w:val="24"/>
        </w:rPr>
      </w:pPr>
      <w:r w:rsidRPr="008830AD">
        <w:rPr>
          <w:rFonts w:ascii="Arial" w:hAnsi="Arial" w:cs="Arial"/>
          <w:sz w:val="24"/>
          <w:szCs w:val="24"/>
        </w:rPr>
        <w:t>The second part is Performance Management Audit and involves two parts A and B.</w:t>
      </w:r>
    </w:p>
    <w:p w:rsidR="002F2AB4" w:rsidRDefault="002F2AB4" w:rsidP="008830AD">
      <w:pPr>
        <w:spacing w:line="360" w:lineRule="auto"/>
        <w:jc w:val="both"/>
        <w:rPr>
          <w:rFonts w:ascii="Arial" w:hAnsi="Arial" w:cs="Arial"/>
          <w:sz w:val="24"/>
          <w:szCs w:val="24"/>
        </w:rPr>
      </w:pPr>
      <w:r w:rsidRPr="008830AD">
        <w:rPr>
          <w:rFonts w:ascii="Arial" w:hAnsi="Arial" w:cs="Arial"/>
          <w:sz w:val="24"/>
          <w:szCs w:val="24"/>
        </w:rPr>
        <w:t>Part A including effectiveness and evaluation of current human resources and management systems, in specific employee selection and recruitment process.</w:t>
      </w:r>
    </w:p>
    <w:p w:rsidR="000C5B98" w:rsidRPr="000C5B98" w:rsidRDefault="000C5B98" w:rsidP="000C5B98">
      <w:pPr>
        <w:spacing w:line="360" w:lineRule="auto"/>
        <w:jc w:val="both"/>
        <w:rPr>
          <w:rFonts w:ascii="Arial" w:hAnsi="Arial" w:cs="Arial"/>
          <w:sz w:val="24"/>
          <w:szCs w:val="24"/>
        </w:rPr>
      </w:pPr>
      <w:r>
        <w:rPr>
          <w:rFonts w:ascii="Arial" w:hAnsi="Arial" w:cs="Arial"/>
          <w:sz w:val="24"/>
          <w:szCs w:val="24"/>
        </w:rPr>
        <w:t xml:space="preserve">There are also </w:t>
      </w:r>
      <w:r w:rsidRPr="000C5B98">
        <w:rPr>
          <w:rFonts w:ascii="Arial" w:hAnsi="Arial" w:cs="Arial"/>
          <w:sz w:val="24"/>
          <w:szCs w:val="24"/>
        </w:rPr>
        <w:t>recommendations for improvement.</w:t>
      </w:r>
    </w:p>
    <w:p w:rsidR="00FE133A" w:rsidRDefault="002F2AB4" w:rsidP="008830AD">
      <w:pPr>
        <w:spacing w:line="360" w:lineRule="auto"/>
        <w:jc w:val="both"/>
        <w:rPr>
          <w:rFonts w:ascii="Arial" w:hAnsi="Arial" w:cs="Arial"/>
          <w:sz w:val="24"/>
          <w:szCs w:val="24"/>
        </w:rPr>
      </w:pPr>
      <w:r w:rsidRPr="008830AD">
        <w:rPr>
          <w:rFonts w:ascii="Arial" w:hAnsi="Arial" w:cs="Arial"/>
          <w:sz w:val="24"/>
          <w:szCs w:val="24"/>
        </w:rPr>
        <w:lastRenderedPageBreak/>
        <w:t xml:space="preserve">Part B include key performance indicators and financial ratios with analyse how effective organisation is doing. </w:t>
      </w:r>
    </w:p>
    <w:p w:rsidR="000C5B98" w:rsidRPr="000C5B98" w:rsidRDefault="000C5B98" w:rsidP="000C5B98">
      <w:pPr>
        <w:spacing w:line="360" w:lineRule="auto"/>
        <w:jc w:val="both"/>
        <w:rPr>
          <w:rFonts w:ascii="Arial" w:hAnsi="Arial" w:cs="Arial"/>
          <w:sz w:val="24"/>
          <w:szCs w:val="24"/>
        </w:rPr>
      </w:pPr>
      <w:r>
        <w:rPr>
          <w:rFonts w:ascii="Arial" w:hAnsi="Arial" w:cs="Arial"/>
          <w:sz w:val="24"/>
          <w:szCs w:val="24"/>
        </w:rPr>
        <w:t xml:space="preserve">This part include </w:t>
      </w:r>
      <w:r w:rsidRPr="000C5B98">
        <w:rPr>
          <w:rFonts w:ascii="Arial" w:hAnsi="Arial" w:cs="Arial"/>
          <w:sz w:val="24"/>
          <w:szCs w:val="24"/>
        </w:rPr>
        <w:t>an audit and critically analysing the effectiveness of the organization over the last two years. There are also SMART OBJECTIVES targets set for a year ahead.</w:t>
      </w:r>
      <w:r w:rsidRPr="000C5B98">
        <w:t xml:space="preserve"> </w:t>
      </w:r>
    </w:p>
    <w:p w:rsidR="000C5B98" w:rsidRPr="000C5B98" w:rsidRDefault="000C5B98" w:rsidP="000C5B98">
      <w:pPr>
        <w:spacing w:line="360" w:lineRule="auto"/>
        <w:jc w:val="both"/>
        <w:rPr>
          <w:rFonts w:ascii="Arial" w:hAnsi="Arial" w:cs="Arial"/>
          <w:sz w:val="24"/>
          <w:szCs w:val="24"/>
        </w:rPr>
      </w:pPr>
      <w:r>
        <w:rPr>
          <w:rFonts w:ascii="Arial" w:hAnsi="Arial" w:cs="Arial"/>
          <w:sz w:val="24"/>
          <w:szCs w:val="24"/>
        </w:rPr>
        <w:t xml:space="preserve">In conclusion the report seems </w:t>
      </w:r>
      <w:r w:rsidRPr="000C5B98">
        <w:rPr>
          <w:rFonts w:ascii="Arial" w:hAnsi="Arial" w:cs="Arial"/>
          <w:sz w:val="24"/>
          <w:szCs w:val="24"/>
        </w:rPr>
        <w:t>good.</w:t>
      </w:r>
    </w:p>
    <w:p w:rsidR="000C5B98" w:rsidRDefault="000C5B98" w:rsidP="000C5B98">
      <w:pPr>
        <w:spacing w:line="360" w:lineRule="auto"/>
        <w:jc w:val="both"/>
        <w:rPr>
          <w:rFonts w:ascii="Arial" w:hAnsi="Arial" w:cs="Arial"/>
          <w:sz w:val="24"/>
          <w:szCs w:val="24"/>
        </w:rPr>
      </w:pPr>
      <w:r w:rsidRPr="000C5B98">
        <w:rPr>
          <w:rFonts w:ascii="Arial" w:hAnsi="Arial" w:cs="Arial"/>
          <w:sz w:val="24"/>
          <w:szCs w:val="24"/>
        </w:rPr>
        <w:t>The company is developing efficiently and every now and then introduces new innovations. Thanks to the diversification of services, it functions well in the off-season. Alton Towers has a beneficial effect on the place where it operates, it gives permanent</w:t>
      </w:r>
      <w:r>
        <w:rPr>
          <w:rFonts w:ascii="Arial" w:hAnsi="Arial" w:cs="Arial"/>
          <w:sz w:val="24"/>
          <w:szCs w:val="24"/>
        </w:rPr>
        <w:t xml:space="preserve"> employment to about 900 people</w:t>
      </w:r>
      <w:r w:rsidR="00BE66B2">
        <w:rPr>
          <w:rFonts w:ascii="Arial" w:hAnsi="Arial" w:cs="Arial"/>
          <w:sz w:val="24"/>
          <w:szCs w:val="24"/>
        </w:rPr>
        <w:t xml:space="preserve">. As a part of Merlin Entertainment Group the place is world known and brings customers not only from UK. Park is constantly growing and expanding. </w:t>
      </w:r>
      <w:bookmarkStart w:id="4" w:name="_GoBack"/>
      <w:bookmarkEnd w:id="4"/>
    </w:p>
    <w:p w:rsidR="000C5B98" w:rsidRPr="008830AD" w:rsidRDefault="000C5B98" w:rsidP="008830AD">
      <w:pPr>
        <w:spacing w:line="360" w:lineRule="auto"/>
        <w:jc w:val="both"/>
        <w:rPr>
          <w:rFonts w:ascii="Arial" w:hAnsi="Arial" w:cs="Arial"/>
          <w:sz w:val="24"/>
          <w:szCs w:val="24"/>
        </w:rPr>
      </w:pPr>
      <w:r>
        <w:rPr>
          <w:rFonts w:ascii="Arial" w:hAnsi="Arial" w:cs="Arial"/>
          <w:sz w:val="24"/>
          <w:szCs w:val="24"/>
        </w:rPr>
        <w:t>In end of the report there is some recommendation</w:t>
      </w:r>
      <w:r w:rsidR="00BE66B2">
        <w:rPr>
          <w:rFonts w:ascii="Arial" w:hAnsi="Arial" w:cs="Arial"/>
          <w:sz w:val="24"/>
          <w:szCs w:val="24"/>
        </w:rPr>
        <w:t xml:space="preserve"> for improvement as example introducing more </w:t>
      </w:r>
      <w:r w:rsidRPr="000C5B98">
        <w:rPr>
          <w:rFonts w:ascii="Arial" w:hAnsi="Arial" w:cs="Arial"/>
          <w:sz w:val="24"/>
          <w:szCs w:val="24"/>
        </w:rPr>
        <w:t>Intellectual property</w:t>
      </w:r>
      <w:r w:rsidR="00BE66B2">
        <w:rPr>
          <w:rFonts w:ascii="Arial" w:hAnsi="Arial" w:cs="Arial"/>
          <w:sz w:val="24"/>
          <w:szCs w:val="24"/>
        </w:rPr>
        <w:t xml:space="preserve"> than just new rides, creating unforgettable memories, create the place which cannot be missed.</w:t>
      </w:r>
    </w:p>
    <w:p w:rsidR="009324A6" w:rsidRDefault="009324A6" w:rsidP="009324A6">
      <w:pPr>
        <w:pStyle w:val="Heading1"/>
      </w:pPr>
      <w:r>
        <w:t>Introduction</w:t>
      </w:r>
      <w:bookmarkEnd w:id="2"/>
      <w:bookmarkEnd w:id="3"/>
    </w:p>
    <w:p w:rsidR="009324A6" w:rsidRDefault="009324A6" w:rsidP="009324A6">
      <w:pPr>
        <w:pStyle w:val="Heading1"/>
      </w:pPr>
    </w:p>
    <w:p w:rsidR="001B12DD" w:rsidRPr="008830AD" w:rsidRDefault="001B12DD" w:rsidP="008830AD">
      <w:pPr>
        <w:spacing w:line="360" w:lineRule="auto"/>
        <w:jc w:val="both"/>
        <w:rPr>
          <w:rFonts w:ascii="Arial" w:eastAsia="Times New Roman" w:hAnsi="Arial" w:cs="Arial"/>
          <w:color w:val="001133"/>
          <w:sz w:val="24"/>
          <w:szCs w:val="24"/>
          <w:shd w:val="clear" w:color="auto" w:fill="FFFFFF"/>
          <w:lang w:eastAsia="en-GB"/>
        </w:rPr>
      </w:pPr>
      <w:r w:rsidRPr="008830AD">
        <w:rPr>
          <w:rFonts w:ascii="Arial" w:eastAsia="Times New Roman" w:hAnsi="Arial" w:cs="Arial"/>
          <w:color w:val="001133"/>
          <w:sz w:val="24"/>
          <w:szCs w:val="24"/>
          <w:shd w:val="clear" w:color="auto" w:fill="FFFFFF"/>
          <w:lang w:eastAsia="en-GB"/>
        </w:rPr>
        <w:t xml:space="preserve">Alton Towers Resort is an entertainment centre located in the theme park in Staffordshire in England. It is located near the village of Alton. The resort belongs to the Merlin Entertainments Group and includes a theme park, water park, mini golf, </w:t>
      </w:r>
      <w:r w:rsidR="001B690A" w:rsidRPr="008830AD">
        <w:rPr>
          <w:rFonts w:ascii="Arial" w:eastAsia="Times New Roman" w:hAnsi="Arial" w:cs="Arial"/>
          <w:color w:val="001133"/>
          <w:sz w:val="24"/>
          <w:szCs w:val="24"/>
          <w:shd w:val="clear" w:color="auto" w:fill="FFFFFF"/>
          <w:lang w:eastAsia="en-GB"/>
        </w:rPr>
        <w:t>and spa</w:t>
      </w:r>
      <w:r w:rsidRPr="008830AD">
        <w:rPr>
          <w:rFonts w:ascii="Arial" w:eastAsia="Times New Roman" w:hAnsi="Arial" w:cs="Arial"/>
          <w:color w:val="001133"/>
          <w:sz w:val="24"/>
          <w:szCs w:val="24"/>
          <w:shd w:val="clear" w:color="auto" w:fill="FFFFFF"/>
          <w:lang w:eastAsia="en-GB"/>
        </w:rPr>
        <w:t xml:space="preserve"> and hotel complex. The park was originally a private property open to the public in 1980 to raise funds. At the end of the twentieth </w:t>
      </w:r>
      <w:r w:rsidR="001B690A" w:rsidRPr="008830AD">
        <w:rPr>
          <w:rFonts w:ascii="Arial" w:eastAsia="Times New Roman" w:hAnsi="Arial" w:cs="Arial"/>
          <w:color w:val="001133"/>
          <w:sz w:val="24"/>
          <w:szCs w:val="24"/>
          <w:shd w:val="clear" w:color="auto" w:fill="FFFFFF"/>
          <w:lang w:eastAsia="en-GB"/>
        </w:rPr>
        <w:t>century,</w:t>
      </w:r>
      <w:r w:rsidRPr="008830AD">
        <w:rPr>
          <w:rFonts w:ascii="Arial" w:eastAsia="Times New Roman" w:hAnsi="Arial" w:cs="Arial"/>
          <w:color w:val="001133"/>
          <w:sz w:val="24"/>
          <w:szCs w:val="24"/>
          <w:shd w:val="clear" w:color="auto" w:fill="FFFFFF"/>
          <w:lang w:eastAsia="en-GB"/>
        </w:rPr>
        <w:t xml:space="preserve"> it was transformed into </w:t>
      </w:r>
      <w:r w:rsidR="001B690A" w:rsidRPr="008830AD">
        <w:rPr>
          <w:rFonts w:ascii="Arial" w:eastAsia="Times New Roman" w:hAnsi="Arial" w:cs="Arial"/>
          <w:color w:val="001133"/>
          <w:sz w:val="24"/>
          <w:szCs w:val="24"/>
          <w:shd w:val="clear" w:color="auto" w:fill="FFFFFF"/>
          <w:lang w:eastAsia="en-GB"/>
        </w:rPr>
        <w:t>a</w:t>
      </w:r>
      <w:r w:rsidRPr="008830AD">
        <w:rPr>
          <w:rFonts w:ascii="Arial" w:eastAsia="Times New Roman" w:hAnsi="Arial" w:cs="Arial"/>
          <w:color w:val="001133"/>
          <w:sz w:val="24"/>
          <w:szCs w:val="24"/>
          <w:shd w:val="clear" w:color="auto" w:fill="FFFFFF"/>
          <w:lang w:eastAsia="en-GB"/>
        </w:rPr>
        <w:t xml:space="preserve"> theme park, which is why many new rides have been introduced. In 2017 it was the second most visited theme park in the UK after Legoland Windsor. </w:t>
      </w:r>
    </w:p>
    <w:p w:rsidR="009324A6" w:rsidRPr="008830AD" w:rsidRDefault="00D01F90" w:rsidP="008830AD">
      <w:pPr>
        <w:spacing w:line="360" w:lineRule="auto"/>
        <w:jc w:val="both"/>
        <w:rPr>
          <w:rFonts w:ascii="Arial" w:hAnsi="Arial" w:cs="Arial"/>
          <w:sz w:val="24"/>
          <w:szCs w:val="24"/>
        </w:rPr>
      </w:pPr>
      <w:r w:rsidRPr="008830AD">
        <w:rPr>
          <w:rFonts w:ascii="Arial" w:eastAsia="Times New Roman" w:hAnsi="Arial" w:cs="Arial"/>
          <w:color w:val="001133"/>
          <w:sz w:val="24"/>
          <w:szCs w:val="24"/>
          <w:shd w:val="clear" w:color="auto" w:fill="FFFFFF"/>
          <w:lang w:eastAsia="en-GB"/>
        </w:rPr>
        <w:t>The opening season in Alton Towers is from mid-March to early November. There is so much to do in Alton Towers. There is over 50 rides and other attractions like eighteen-hole golf cours</w:t>
      </w:r>
      <w:r w:rsidR="008830AD" w:rsidRPr="008830AD">
        <w:rPr>
          <w:rFonts w:ascii="Arial" w:eastAsia="Times New Roman" w:hAnsi="Arial" w:cs="Arial"/>
          <w:color w:val="001133"/>
          <w:sz w:val="24"/>
          <w:szCs w:val="24"/>
          <w:shd w:val="clear" w:color="auto" w:fill="FFFFFF"/>
          <w:lang w:eastAsia="en-GB"/>
        </w:rPr>
        <w:t xml:space="preserve">es and so on. The company mission to putting smiles on people’s face but safety and health is number one priority. Company make sure that guests and employers are in a safe environment. </w:t>
      </w:r>
    </w:p>
    <w:p w:rsidR="00A77FC5" w:rsidRDefault="00A77FC5" w:rsidP="00A77FC5"/>
    <w:p w:rsidR="00A77FC5" w:rsidRDefault="005E5DE1" w:rsidP="00A77FC5">
      <w:pPr>
        <w:pStyle w:val="Heading1"/>
      </w:pPr>
      <w:bookmarkStart w:id="5" w:name="_Toc7019497"/>
      <w:r>
        <w:lastRenderedPageBreak/>
        <w:t>Environmental analysis</w:t>
      </w:r>
      <w:bookmarkEnd w:id="5"/>
    </w:p>
    <w:p w:rsidR="00A77FC5" w:rsidRDefault="00A77FC5" w:rsidP="00A77FC5"/>
    <w:p w:rsidR="00A77FC5" w:rsidRDefault="00A77FC5" w:rsidP="00A77FC5"/>
    <w:p w:rsidR="00A77FC5" w:rsidRDefault="004B590D" w:rsidP="004B590D">
      <w:pPr>
        <w:pStyle w:val="Heading2"/>
      </w:pPr>
      <w:bookmarkStart w:id="6" w:name="_Toc5348064"/>
      <w:bookmarkStart w:id="7" w:name="_Toc7019498"/>
      <w:r>
        <w:t>PESTLE ANALYSIS</w:t>
      </w:r>
      <w:bookmarkEnd w:id="6"/>
      <w:bookmarkEnd w:id="7"/>
    </w:p>
    <w:p w:rsidR="0085558C" w:rsidRDefault="0085558C" w:rsidP="0085558C"/>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PESTLE is an analysis whose aim is to assess a company's macroeconomic environment. It is an extremely helpful tool when making key decisions about the company, such as entering the foreign marke</w:t>
      </w:r>
      <w:r w:rsidR="001B690A" w:rsidRPr="008830AD">
        <w:rPr>
          <w:rFonts w:ascii="Arial" w:hAnsi="Arial" w:cs="Arial"/>
          <w:sz w:val="24"/>
          <w:szCs w:val="24"/>
        </w:rPr>
        <w:t>t and creating long-term plans</w:t>
      </w:r>
      <w:sdt>
        <w:sdtPr>
          <w:rPr>
            <w:rFonts w:ascii="Arial" w:hAnsi="Arial" w:cs="Arial"/>
            <w:sz w:val="24"/>
            <w:szCs w:val="24"/>
          </w:rPr>
          <w:id w:val="-2138868374"/>
          <w:citation/>
        </w:sdtPr>
        <w:sdtContent>
          <w:r w:rsidR="001B690A" w:rsidRPr="008830AD">
            <w:rPr>
              <w:rFonts w:ascii="Arial" w:hAnsi="Arial" w:cs="Arial"/>
              <w:sz w:val="24"/>
              <w:szCs w:val="24"/>
            </w:rPr>
            <w:fldChar w:fldCharType="begin"/>
          </w:r>
          <w:r w:rsidR="001B690A" w:rsidRPr="008830AD">
            <w:rPr>
              <w:rFonts w:ascii="Arial" w:hAnsi="Arial" w:cs="Arial"/>
              <w:sz w:val="24"/>
              <w:szCs w:val="24"/>
            </w:rPr>
            <w:instrText xml:space="preserve"> CITATION Cra12 \l 2057 </w:instrText>
          </w:r>
          <w:r w:rsidR="001B690A" w:rsidRPr="008830AD">
            <w:rPr>
              <w:rFonts w:ascii="Arial" w:hAnsi="Arial" w:cs="Arial"/>
              <w:sz w:val="24"/>
              <w:szCs w:val="24"/>
            </w:rPr>
            <w:fldChar w:fldCharType="separate"/>
          </w:r>
          <w:r w:rsidR="001B690A" w:rsidRPr="008830AD">
            <w:rPr>
              <w:rFonts w:ascii="Arial" w:hAnsi="Arial" w:cs="Arial"/>
              <w:noProof/>
              <w:sz w:val="24"/>
              <w:szCs w:val="24"/>
            </w:rPr>
            <w:t xml:space="preserve"> (Crane &amp; Matten, 2012)</w:t>
          </w:r>
          <w:r w:rsidR="001B690A" w:rsidRPr="008830AD">
            <w:rPr>
              <w:rFonts w:ascii="Arial" w:hAnsi="Arial" w:cs="Arial"/>
              <w:sz w:val="24"/>
              <w:szCs w:val="24"/>
            </w:rPr>
            <w:fldChar w:fldCharType="end"/>
          </w:r>
        </w:sdtContent>
      </w:sdt>
      <w:r w:rsidR="001B690A" w:rsidRPr="008830AD">
        <w:rPr>
          <w:rFonts w:ascii="Arial" w:hAnsi="Arial" w:cs="Arial"/>
          <w:sz w:val="24"/>
          <w:szCs w:val="24"/>
        </w:rPr>
        <w:t xml:space="preserve"> </w:t>
      </w:r>
      <w:sdt>
        <w:sdtPr>
          <w:rPr>
            <w:rFonts w:ascii="Arial" w:hAnsi="Arial" w:cs="Arial"/>
            <w:sz w:val="24"/>
            <w:szCs w:val="24"/>
          </w:rPr>
          <w:id w:val="240370014"/>
          <w:citation/>
        </w:sdtPr>
        <w:sdtContent>
          <w:r w:rsidR="00720F7E" w:rsidRPr="008830AD">
            <w:rPr>
              <w:rFonts w:ascii="Arial" w:hAnsi="Arial" w:cs="Arial"/>
              <w:sz w:val="24"/>
              <w:szCs w:val="24"/>
            </w:rPr>
            <w:fldChar w:fldCharType="begin"/>
          </w:r>
          <w:r w:rsidR="00720F7E" w:rsidRPr="008830AD">
            <w:rPr>
              <w:rFonts w:ascii="Arial" w:hAnsi="Arial" w:cs="Arial"/>
              <w:sz w:val="24"/>
              <w:szCs w:val="24"/>
            </w:rPr>
            <w:instrText xml:space="preserve"> CITATION Fra13 \l 2057 </w:instrText>
          </w:r>
          <w:r w:rsidR="00720F7E" w:rsidRPr="008830AD">
            <w:rPr>
              <w:rFonts w:ascii="Arial" w:hAnsi="Arial" w:cs="Arial"/>
              <w:sz w:val="24"/>
              <w:szCs w:val="24"/>
            </w:rPr>
            <w:fldChar w:fldCharType="separate"/>
          </w:r>
          <w:r w:rsidR="00720F7E" w:rsidRPr="008830AD">
            <w:rPr>
              <w:rFonts w:ascii="Arial" w:hAnsi="Arial" w:cs="Arial"/>
              <w:noProof/>
              <w:sz w:val="24"/>
              <w:szCs w:val="24"/>
            </w:rPr>
            <w:t>(Francke, 2013)</w:t>
          </w:r>
          <w:r w:rsidR="00720F7E"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Macro factors for Alton Towers</w:t>
      </w: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Political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Currently the UK is at the stage of leaving the European Union. Brexit may make it difficult to attract visitors from foreign markets. Brexit is a great interference in the government's policy, which may entail new regulations of foreign trade or free travel from/to the European Union</w:t>
      </w:r>
      <w:sdt>
        <w:sdtPr>
          <w:rPr>
            <w:rFonts w:ascii="Arial" w:hAnsi="Arial" w:cs="Arial"/>
            <w:sz w:val="24"/>
            <w:szCs w:val="24"/>
          </w:rPr>
          <w:id w:val="-1649822976"/>
          <w:citation/>
        </w:sdtPr>
        <w:sdtContent>
          <w:r w:rsidR="00720F7E" w:rsidRPr="008830AD">
            <w:rPr>
              <w:rFonts w:ascii="Arial" w:hAnsi="Arial" w:cs="Arial"/>
              <w:sz w:val="24"/>
              <w:szCs w:val="24"/>
            </w:rPr>
            <w:fldChar w:fldCharType="begin"/>
          </w:r>
          <w:r w:rsidR="00720F7E" w:rsidRPr="008830AD">
            <w:rPr>
              <w:rFonts w:ascii="Arial" w:hAnsi="Arial" w:cs="Arial"/>
              <w:sz w:val="24"/>
              <w:szCs w:val="24"/>
            </w:rPr>
            <w:instrText xml:space="preserve"> CITATION Rho18 \l 2057 </w:instrText>
          </w:r>
          <w:r w:rsidR="00720F7E" w:rsidRPr="008830AD">
            <w:rPr>
              <w:rFonts w:ascii="Arial" w:hAnsi="Arial" w:cs="Arial"/>
              <w:sz w:val="24"/>
              <w:szCs w:val="24"/>
            </w:rPr>
            <w:fldChar w:fldCharType="separate"/>
          </w:r>
          <w:r w:rsidR="00720F7E" w:rsidRPr="008830AD">
            <w:rPr>
              <w:rFonts w:ascii="Arial" w:hAnsi="Arial" w:cs="Arial"/>
              <w:noProof/>
              <w:sz w:val="24"/>
              <w:szCs w:val="24"/>
            </w:rPr>
            <w:t xml:space="preserve"> (Rhodes, et al., 2018)</w:t>
          </w:r>
          <w:r w:rsidR="00720F7E"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Environmental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management of Alton Tower Resort is aware of how the Park influences the local environment (noise, traffic, rubbish). The park has an environment protection team or the team managing the improvement of traffic during peak hours. Introduction of rules and regulations regarding the construction of new roads and ensuring that construction/exploitation is not harmful to the environment would be an addit</w:t>
      </w:r>
      <w:r w:rsidR="00720F7E" w:rsidRPr="008830AD">
        <w:rPr>
          <w:rFonts w:ascii="Arial" w:hAnsi="Arial" w:cs="Arial"/>
          <w:sz w:val="24"/>
          <w:szCs w:val="24"/>
        </w:rPr>
        <w:t>ional advantage for the company</w:t>
      </w:r>
      <w:sdt>
        <w:sdtPr>
          <w:rPr>
            <w:rFonts w:ascii="Arial" w:hAnsi="Arial" w:cs="Arial"/>
            <w:sz w:val="24"/>
            <w:szCs w:val="24"/>
          </w:rPr>
          <w:id w:val="390312321"/>
          <w:citation/>
        </w:sdtPr>
        <w:sdtContent>
          <w:r w:rsidR="00A84B75" w:rsidRPr="008830AD">
            <w:rPr>
              <w:rFonts w:ascii="Arial" w:hAnsi="Arial" w:cs="Arial"/>
              <w:sz w:val="24"/>
              <w:szCs w:val="24"/>
            </w:rPr>
            <w:fldChar w:fldCharType="begin"/>
          </w:r>
          <w:r w:rsidR="00A84B75" w:rsidRPr="008830AD">
            <w:rPr>
              <w:rFonts w:ascii="Arial" w:hAnsi="Arial" w:cs="Arial"/>
              <w:sz w:val="24"/>
              <w:szCs w:val="24"/>
            </w:rPr>
            <w:instrText xml:space="preserve"> CITATION Fig02 \l 2057 </w:instrText>
          </w:r>
          <w:r w:rsidR="00A84B75" w:rsidRPr="008830AD">
            <w:rPr>
              <w:rFonts w:ascii="Arial" w:hAnsi="Arial" w:cs="Arial"/>
              <w:sz w:val="24"/>
              <w:szCs w:val="24"/>
            </w:rPr>
            <w:fldChar w:fldCharType="separate"/>
          </w:r>
          <w:r w:rsidR="00A84B75" w:rsidRPr="008830AD">
            <w:rPr>
              <w:rFonts w:ascii="Arial" w:hAnsi="Arial" w:cs="Arial"/>
              <w:noProof/>
              <w:sz w:val="24"/>
              <w:szCs w:val="24"/>
            </w:rPr>
            <w:t xml:space="preserve"> (Figge, et al., 2002)</w:t>
          </w:r>
          <w:r w:rsidR="00A84B75" w:rsidRPr="008830AD">
            <w:rPr>
              <w:rFonts w:ascii="Arial" w:hAnsi="Arial" w:cs="Arial"/>
              <w:sz w:val="24"/>
              <w:szCs w:val="24"/>
            </w:rPr>
            <w:fldChar w:fldCharType="end"/>
          </w:r>
        </w:sdtContent>
      </w:sdt>
      <w:r w:rsidR="00A84B75" w:rsidRPr="008830AD">
        <w:rPr>
          <w:rFonts w:ascii="Arial" w:hAnsi="Arial" w:cs="Arial"/>
          <w:sz w:val="24"/>
          <w:szCs w:val="24"/>
        </w:rPr>
        <w:t xml:space="preserve"> </w:t>
      </w:r>
      <w:sdt>
        <w:sdtPr>
          <w:rPr>
            <w:rFonts w:ascii="Arial" w:hAnsi="Arial" w:cs="Arial"/>
            <w:sz w:val="24"/>
            <w:szCs w:val="24"/>
          </w:rPr>
          <w:id w:val="113098947"/>
          <w:citation/>
        </w:sdtPr>
        <w:sdtContent>
          <w:r w:rsidR="00A84B75" w:rsidRPr="008830AD">
            <w:rPr>
              <w:rFonts w:ascii="Arial" w:hAnsi="Arial" w:cs="Arial"/>
              <w:sz w:val="24"/>
              <w:szCs w:val="24"/>
            </w:rPr>
            <w:fldChar w:fldCharType="begin"/>
          </w:r>
          <w:r w:rsidR="00A84B75" w:rsidRPr="008830AD">
            <w:rPr>
              <w:rFonts w:ascii="Arial" w:hAnsi="Arial" w:cs="Arial"/>
              <w:sz w:val="24"/>
              <w:szCs w:val="24"/>
            </w:rPr>
            <w:instrText xml:space="preserve"> CITATION Seu13 \l 2057 </w:instrText>
          </w:r>
          <w:r w:rsidR="00A84B75" w:rsidRPr="008830AD">
            <w:rPr>
              <w:rFonts w:ascii="Arial" w:hAnsi="Arial" w:cs="Arial"/>
              <w:sz w:val="24"/>
              <w:szCs w:val="24"/>
            </w:rPr>
            <w:fldChar w:fldCharType="separate"/>
          </w:r>
          <w:r w:rsidR="00A84B75" w:rsidRPr="008830AD">
            <w:rPr>
              <w:rFonts w:ascii="Arial" w:hAnsi="Arial" w:cs="Arial"/>
              <w:noProof/>
              <w:sz w:val="24"/>
              <w:szCs w:val="24"/>
            </w:rPr>
            <w:t>(Seuring &amp; Gold, 2013)</w:t>
          </w:r>
          <w:r w:rsidR="00A84B75" w:rsidRPr="008830AD">
            <w:rPr>
              <w:rFonts w:ascii="Arial" w:hAnsi="Arial" w:cs="Arial"/>
              <w:sz w:val="24"/>
              <w:szCs w:val="24"/>
            </w:rPr>
            <w:fldChar w:fldCharType="end"/>
          </w:r>
        </w:sdtContent>
      </w:sdt>
      <w:r w:rsidR="00480301" w:rsidRPr="008830AD">
        <w:rPr>
          <w:rFonts w:ascii="Arial" w:hAnsi="Arial" w:cs="Arial"/>
          <w:sz w:val="24"/>
          <w:szCs w:val="24"/>
        </w:rPr>
        <w:t xml:space="preserve"> </w:t>
      </w:r>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Social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Accidents during the stay in the park ending with injuries /death and coverage of this in social media / television can discourage people from u</w:t>
      </w:r>
      <w:r w:rsidR="00480301" w:rsidRPr="008830AD">
        <w:rPr>
          <w:rFonts w:ascii="Arial" w:hAnsi="Arial" w:cs="Arial"/>
          <w:sz w:val="24"/>
          <w:szCs w:val="24"/>
        </w:rPr>
        <w:t>sing this form of entertainment</w:t>
      </w:r>
      <w:sdt>
        <w:sdtPr>
          <w:rPr>
            <w:rFonts w:ascii="Arial" w:hAnsi="Arial" w:cs="Arial"/>
            <w:sz w:val="24"/>
            <w:szCs w:val="24"/>
          </w:rPr>
          <w:id w:val="-490952745"/>
          <w:citation/>
        </w:sdt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Bar03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(Baron &amp; Markman, 2003)</w:t>
          </w:r>
          <w:r w:rsidR="00480301" w:rsidRPr="008830AD">
            <w:rPr>
              <w:rFonts w:ascii="Arial" w:hAnsi="Arial" w:cs="Arial"/>
              <w:sz w:val="24"/>
              <w:szCs w:val="24"/>
            </w:rPr>
            <w:fldChar w:fldCharType="end"/>
          </w:r>
        </w:sdtContent>
      </w:sdt>
      <w:r w:rsidR="00480301" w:rsidRPr="008830AD">
        <w:rPr>
          <w:rFonts w:ascii="Arial" w:hAnsi="Arial" w:cs="Arial"/>
          <w:sz w:val="24"/>
          <w:szCs w:val="24"/>
        </w:rPr>
        <w:t xml:space="preserve"> </w:t>
      </w:r>
      <w:sdt>
        <w:sdtPr>
          <w:rPr>
            <w:rFonts w:ascii="Arial" w:hAnsi="Arial" w:cs="Arial"/>
            <w:sz w:val="24"/>
            <w:szCs w:val="24"/>
          </w:rPr>
          <w:id w:val="-1601947572"/>
          <w:citation/>
        </w:sdt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Col17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(Collins &amp; Clark, 2017)</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Technical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lastRenderedPageBreak/>
        <w:t>Alton Towers was the first to open a 14 loop rollercoaster in the world. Such large businesses are expected to be all the time in the big league. The company must allocate money to maintaining its</w:t>
      </w:r>
      <w:r w:rsidR="00480301" w:rsidRPr="008830AD">
        <w:rPr>
          <w:rFonts w:ascii="Arial" w:hAnsi="Arial" w:cs="Arial"/>
          <w:sz w:val="24"/>
          <w:szCs w:val="24"/>
        </w:rPr>
        <w:t xml:space="preserve"> attractions on a regular basis</w:t>
      </w:r>
      <w:sdt>
        <w:sdtPr>
          <w:rPr>
            <w:rFonts w:ascii="Arial" w:hAnsi="Arial" w:cs="Arial"/>
            <w:sz w:val="24"/>
            <w:szCs w:val="24"/>
          </w:rPr>
          <w:id w:val="2062282729"/>
          <w:citation/>
        </w:sdt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Dur12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(Durrant, et al., 2012)</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Legal</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company must comply with health and safety rules and regulations. Otherwise, it would risk high</w:t>
      </w:r>
      <w:r w:rsidR="00480301" w:rsidRPr="008830AD">
        <w:rPr>
          <w:rFonts w:ascii="Arial" w:hAnsi="Arial" w:cs="Arial"/>
          <w:sz w:val="24"/>
          <w:szCs w:val="24"/>
        </w:rPr>
        <w:t xml:space="preserve"> fines or even closing the park</w:t>
      </w:r>
      <w:sdt>
        <w:sdtPr>
          <w:rPr>
            <w:rFonts w:ascii="Arial" w:hAnsi="Arial" w:cs="Arial"/>
            <w:sz w:val="24"/>
            <w:szCs w:val="24"/>
          </w:rPr>
          <w:id w:val="1474865936"/>
          <w:citation/>
        </w:sdt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Bro90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 xml:space="preserve"> (Brotherton &amp; Coyle, 1990)</w:t>
          </w:r>
          <w:r w:rsidR="00480301" w:rsidRPr="008830AD">
            <w:rPr>
              <w:rFonts w:ascii="Arial" w:hAnsi="Arial" w:cs="Arial"/>
              <w:sz w:val="24"/>
              <w:szCs w:val="24"/>
            </w:rPr>
            <w:fldChar w:fldCharType="end"/>
          </w:r>
        </w:sdtContent>
      </w:sdt>
      <w:r w:rsidR="00480301" w:rsidRPr="008830AD">
        <w:rPr>
          <w:rFonts w:ascii="Arial" w:hAnsi="Arial" w:cs="Arial"/>
          <w:sz w:val="24"/>
          <w:szCs w:val="24"/>
        </w:rPr>
        <w:t xml:space="preserve"> </w:t>
      </w:r>
      <w:sdt>
        <w:sdtPr>
          <w:rPr>
            <w:rFonts w:ascii="Arial" w:hAnsi="Arial" w:cs="Arial"/>
            <w:sz w:val="24"/>
            <w:szCs w:val="24"/>
          </w:rPr>
          <w:id w:val="544111232"/>
          <w:citation/>
        </w:sdtPr>
        <w:sdtContent>
          <w:r w:rsidR="00480301" w:rsidRPr="008830AD">
            <w:rPr>
              <w:rFonts w:ascii="Arial" w:hAnsi="Arial" w:cs="Arial"/>
              <w:sz w:val="24"/>
              <w:szCs w:val="24"/>
            </w:rPr>
            <w:fldChar w:fldCharType="begin"/>
          </w:r>
          <w:r w:rsidR="00480301" w:rsidRPr="008830AD">
            <w:rPr>
              <w:rFonts w:ascii="Arial" w:hAnsi="Arial" w:cs="Arial"/>
              <w:sz w:val="24"/>
              <w:szCs w:val="24"/>
            </w:rPr>
            <w:instrText xml:space="preserve"> CITATION Leu03 \l 2057 </w:instrText>
          </w:r>
          <w:r w:rsidR="00480301" w:rsidRPr="008830AD">
            <w:rPr>
              <w:rFonts w:ascii="Arial" w:hAnsi="Arial" w:cs="Arial"/>
              <w:sz w:val="24"/>
              <w:szCs w:val="24"/>
            </w:rPr>
            <w:fldChar w:fldCharType="separate"/>
          </w:r>
          <w:r w:rsidR="00480301" w:rsidRPr="008830AD">
            <w:rPr>
              <w:rFonts w:ascii="Arial" w:hAnsi="Arial" w:cs="Arial"/>
              <w:noProof/>
              <w:sz w:val="24"/>
              <w:szCs w:val="24"/>
            </w:rPr>
            <w:t>(Leuz, et al., 2003)</w:t>
          </w:r>
          <w:r w:rsidR="0048030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Economic</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Each recession can affect the number of visitors in the park and consequently the dec</w:t>
      </w:r>
      <w:r w:rsidR="00480301" w:rsidRPr="008830AD">
        <w:rPr>
          <w:rFonts w:ascii="Arial" w:hAnsi="Arial" w:cs="Arial"/>
          <w:sz w:val="24"/>
          <w:szCs w:val="24"/>
        </w:rPr>
        <w:t>rease of the company's revenues</w:t>
      </w:r>
      <w:sdt>
        <w:sdtPr>
          <w:rPr>
            <w:rFonts w:ascii="Arial" w:hAnsi="Arial" w:cs="Arial"/>
            <w:sz w:val="24"/>
            <w:szCs w:val="24"/>
          </w:rPr>
          <w:id w:val="-1709100330"/>
          <w:citation/>
        </w:sdt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 CITATION Slo16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 xml:space="preserve"> (Sloman, et al., 2016)</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sz w:val="24"/>
          <w:szCs w:val="24"/>
        </w:rPr>
      </w:pP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Micro factors include:</w:t>
      </w:r>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The company</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Employees of Alton Towers, their commitment to their duties have a huge imp</w:t>
      </w:r>
      <w:r w:rsidR="00EA0541" w:rsidRPr="008830AD">
        <w:rPr>
          <w:rFonts w:ascii="Arial" w:hAnsi="Arial" w:cs="Arial"/>
          <w:sz w:val="24"/>
          <w:szCs w:val="24"/>
        </w:rPr>
        <w:t>act on the company's operations</w:t>
      </w:r>
      <w:sdt>
        <w:sdtPr>
          <w:rPr>
            <w:rFonts w:ascii="Arial" w:hAnsi="Arial" w:cs="Arial"/>
            <w:sz w:val="24"/>
            <w:szCs w:val="24"/>
          </w:rPr>
          <w:id w:val="-844863505"/>
          <w:citation/>
        </w:sdt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 CITATION Fin09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 xml:space="preserve"> (Fineman, et al., 2009)</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Suppliers</w:t>
      </w:r>
    </w:p>
    <w:p w:rsidR="00EA0541"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Suppliers of products, materials and goods have an impact on whether the company introduces new attractions and improves the ex</w:t>
      </w:r>
      <w:r w:rsidR="00EA0541" w:rsidRPr="008830AD">
        <w:rPr>
          <w:rFonts w:ascii="Arial" w:hAnsi="Arial" w:cs="Arial"/>
          <w:sz w:val="24"/>
          <w:szCs w:val="24"/>
        </w:rPr>
        <w:t xml:space="preserve">isting ones on an ongoing basis </w:t>
      </w:r>
      <w:sdt>
        <w:sdtPr>
          <w:rPr>
            <w:rFonts w:ascii="Arial" w:hAnsi="Arial" w:cs="Arial"/>
            <w:sz w:val="24"/>
            <w:szCs w:val="24"/>
          </w:rPr>
          <w:id w:val="953910264"/>
          <w:citation/>
        </w:sdtPr>
        <w:sdtContent>
          <w:r w:rsidR="00EA0541" w:rsidRPr="008830AD">
            <w:rPr>
              <w:rFonts w:ascii="Arial" w:hAnsi="Arial" w:cs="Arial"/>
              <w:sz w:val="24"/>
              <w:szCs w:val="24"/>
            </w:rPr>
            <w:fldChar w:fldCharType="begin"/>
          </w:r>
          <w:r w:rsidR="00EA0541" w:rsidRPr="008830AD">
            <w:rPr>
              <w:rFonts w:ascii="Arial" w:hAnsi="Arial" w:cs="Arial"/>
              <w:sz w:val="24"/>
              <w:szCs w:val="24"/>
            </w:rPr>
            <w:instrText xml:space="preserve">CITATION Man \l 2057 </w:instrText>
          </w:r>
          <w:r w:rsidR="00EA0541" w:rsidRPr="008830AD">
            <w:rPr>
              <w:rFonts w:ascii="Arial" w:hAnsi="Arial" w:cs="Arial"/>
              <w:sz w:val="24"/>
              <w:szCs w:val="24"/>
            </w:rPr>
            <w:fldChar w:fldCharType="separate"/>
          </w:r>
          <w:r w:rsidR="00EA0541" w:rsidRPr="008830AD">
            <w:rPr>
              <w:rFonts w:ascii="Arial" w:hAnsi="Arial" w:cs="Arial"/>
              <w:noProof/>
              <w:sz w:val="24"/>
              <w:szCs w:val="24"/>
            </w:rPr>
            <w:t>(Boddy, 2013)</w:t>
          </w:r>
          <w:r w:rsidR="00EA0541"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Intermediate marketing</w:t>
      </w:r>
    </w:p>
    <w:p w:rsidR="00B957BF"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The sale of Alton Towers products takes place through such distribution methods like online, on-site in the theme park or by phone. The unavailability of any of these services may result in a drop in tick</w:t>
      </w:r>
      <w:r w:rsidR="00EA0541" w:rsidRPr="008830AD">
        <w:rPr>
          <w:rFonts w:ascii="Arial" w:hAnsi="Arial" w:cs="Arial"/>
          <w:sz w:val="24"/>
          <w:szCs w:val="24"/>
        </w:rPr>
        <w:t>e</w:t>
      </w:r>
      <w:r w:rsidR="00B957BF" w:rsidRPr="008830AD">
        <w:rPr>
          <w:rFonts w:ascii="Arial" w:hAnsi="Arial" w:cs="Arial"/>
          <w:sz w:val="24"/>
          <w:szCs w:val="24"/>
        </w:rPr>
        <w:t>t sales</w:t>
      </w:r>
      <w:sdt>
        <w:sdtPr>
          <w:rPr>
            <w:rFonts w:ascii="Arial" w:hAnsi="Arial" w:cs="Arial"/>
            <w:sz w:val="24"/>
            <w:szCs w:val="24"/>
          </w:rPr>
          <w:id w:val="-522407660"/>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CITATION Man16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 2016)</w:t>
          </w:r>
          <w:r w:rsidR="00B957BF"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Customers</w:t>
      </w:r>
    </w:p>
    <w:p w:rsidR="0085558C"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lastRenderedPageBreak/>
        <w:t>The park is forced to constantly introduce new events and attractio</w:t>
      </w:r>
      <w:r w:rsidR="00B957BF" w:rsidRPr="008830AD">
        <w:rPr>
          <w:rFonts w:ascii="Arial" w:hAnsi="Arial" w:cs="Arial"/>
          <w:sz w:val="24"/>
          <w:szCs w:val="24"/>
        </w:rPr>
        <w:t>ns in order to attract visitors</w:t>
      </w:r>
      <w:sdt>
        <w:sdtPr>
          <w:rPr>
            <w:rFonts w:ascii="Arial" w:hAnsi="Arial" w:cs="Arial"/>
            <w:sz w:val="24"/>
            <w:szCs w:val="24"/>
          </w:rPr>
          <w:id w:val="-2112964787"/>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Man16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 2016)</w:t>
          </w:r>
          <w:r w:rsidR="00B957BF" w:rsidRPr="008830AD">
            <w:rPr>
              <w:rFonts w:ascii="Arial" w:hAnsi="Arial" w:cs="Arial"/>
              <w:sz w:val="24"/>
              <w:szCs w:val="24"/>
            </w:rPr>
            <w:fldChar w:fldCharType="end"/>
          </w:r>
        </w:sdtContent>
      </w:sdt>
    </w:p>
    <w:p w:rsidR="0085558C" w:rsidRPr="008830AD" w:rsidRDefault="0085558C" w:rsidP="008830AD">
      <w:pPr>
        <w:spacing w:line="360" w:lineRule="auto"/>
        <w:jc w:val="both"/>
        <w:rPr>
          <w:rFonts w:ascii="Arial" w:hAnsi="Arial" w:cs="Arial"/>
          <w:b/>
          <w:sz w:val="24"/>
          <w:szCs w:val="24"/>
        </w:rPr>
      </w:pPr>
      <w:r w:rsidRPr="008830AD">
        <w:rPr>
          <w:rFonts w:ascii="Arial" w:hAnsi="Arial" w:cs="Arial"/>
          <w:b/>
          <w:sz w:val="24"/>
          <w:szCs w:val="24"/>
        </w:rPr>
        <w:t>Competitors</w:t>
      </w:r>
    </w:p>
    <w:p w:rsidR="004B590D" w:rsidRPr="008830AD" w:rsidRDefault="0085558C" w:rsidP="008830AD">
      <w:pPr>
        <w:spacing w:line="360" w:lineRule="auto"/>
        <w:jc w:val="both"/>
        <w:rPr>
          <w:rFonts w:ascii="Arial" w:hAnsi="Arial" w:cs="Arial"/>
          <w:sz w:val="24"/>
          <w:szCs w:val="24"/>
        </w:rPr>
      </w:pPr>
      <w:r w:rsidRPr="008830AD">
        <w:rPr>
          <w:rFonts w:ascii="Arial" w:hAnsi="Arial" w:cs="Arial"/>
          <w:sz w:val="24"/>
          <w:szCs w:val="24"/>
        </w:rPr>
        <w:t>Alton Towers must constantly monitor the competitors' moves. Every move aiming at the development of their products forces the Park to provide new attractions for visitors. Otherwise, customers will not use the p</w:t>
      </w:r>
      <w:r w:rsidR="00B957BF" w:rsidRPr="008830AD">
        <w:rPr>
          <w:rFonts w:ascii="Arial" w:hAnsi="Arial" w:cs="Arial"/>
          <w:sz w:val="24"/>
          <w:szCs w:val="24"/>
        </w:rPr>
        <w:t>ark's services in the long term</w:t>
      </w:r>
      <w:sdt>
        <w:sdtPr>
          <w:rPr>
            <w:rFonts w:ascii="Arial" w:hAnsi="Arial" w:cs="Arial"/>
            <w:sz w:val="24"/>
            <w:szCs w:val="24"/>
          </w:rPr>
          <w:id w:val="-483167189"/>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Tri16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(Tribe, 2016)</w:t>
          </w:r>
          <w:r w:rsidR="00B957BF" w:rsidRPr="008830AD">
            <w:rPr>
              <w:rFonts w:ascii="Arial" w:hAnsi="Arial" w:cs="Arial"/>
              <w:sz w:val="24"/>
              <w:szCs w:val="24"/>
            </w:rPr>
            <w:fldChar w:fldCharType="end"/>
          </w:r>
        </w:sdtContent>
      </w:sdt>
      <w:r w:rsidR="00B957BF" w:rsidRPr="008830AD">
        <w:rPr>
          <w:rFonts w:ascii="Arial" w:hAnsi="Arial" w:cs="Arial"/>
          <w:sz w:val="24"/>
          <w:szCs w:val="24"/>
        </w:rPr>
        <w:t xml:space="preserve"> </w:t>
      </w:r>
      <w:sdt>
        <w:sdtPr>
          <w:rPr>
            <w:rFonts w:ascii="Arial" w:hAnsi="Arial" w:cs="Arial"/>
            <w:sz w:val="24"/>
            <w:szCs w:val="24"/>
          </w:rPr>
          <w:id w:val="-1948758613"/>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Stu13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(Stuart-Hill &amp; Parker, 2013)</w:t>
          </w:r>
          <w:r w:rsidR="00B957BF" w:rsidRPr="008830AD">
            <w:rPr>
              <w:rFonts w:ascii="Arial" w:hAnsi="Arial" w:cs="Arial"/>
              <w:sz w:val="24"/>
              <w:szCs w:val="24"/>
            </w:rPr>
            <w:fldChar w:fldCharType="end"/>
          </w:r>
        </w:sdtContent>
      </w:sdt>
    </w:p>
    <w:p w:rsidR="004B590D" w:rsidRDefault="004B590D" w:rsidP="004B590D"/>
    <w:p w:rsidR="004B590D" w:rsidRDefault="004B590D" w:rsidP="004B590D">
      <w:pPr>
        <w:pStyle w:val="Heading2"/>
      </w:pPr>
      <w:bookmarkStart w:id="8" w:name="_Toc5348065"/>
      <w:bookmarkStart w:id="9" w:name="_Toc7019499"/>
      <w:r>
        <w:t>SWOT ANALYSIS</w:t>
      </w:r>
      <w:bookmarkEnd w:id="8"/>
      <w:bookmarkEnd w:id="9"/>
    </w:p>
    <w:p w:rsidR="0085558C" w:rsidRDefault="0085558C" w:rsidP="0085558C"/>
    <w:p w:rsidR="0085558C" w:rsidRPr="008830AD" w:rsidRDefault="0085558C" w:rsidP="008830AD">
      <w:pPr>
        <w:spacing w:line="360" w:lineRule="auto"/>
        <w:rPr>
          <w:rFonts w:ascii="Arial" w:hAnsi="Arial" w:cs="Arial"/>
          <w:sz w:val="24"/>
          <w:szCs w:val="24"/>
        </w:rPr>
      </w:pPr>
      <w:r w:rsidRPr="008830AD">
        <w:rPr>
          <w:rFonts w:ascii="Arial" w:hAnsi="Arial" w:cs="Arial"/>
          <w:b/>
          <w:sz w:val="24"/>
          <w:szCs w:val="24"/>
        </w:rPr>
        <w:t>SWOT</w:t>
      </w:r>
      <w:r w:rsidRPr="008830AD">
        <w:rPr>
          <w:rFonts w:ascii="Arial" w:hAnsi="Arial" w:cs="Arial"/>
          <w:sz w:val="24"/>
          <w:szCs w:val="24"/>
        </w:rPr>
        <w:t xml:space="preserve"> analysis is a fundamental method of strategic analysis of a company. The name of this method is an acronym for words such as strengths, weaknesses, opportunities and threats. It can be used holistically for the entire enterprise or in individual areas of its operation, e.g. production, marketing or finance. It is often used in counselling activity (consulting) as a technique of preliminary strategic analysis of an organization (enterprise) com</w:t>
      </w:r>
      <w:r w:rsidR="00B957BF" w:rsidRPr="008830AD">
        <w:rPr>
          <w:rFonts w:ascii="Arial" w:hAnsi="Arial" w:cs="Arial"/>
          <w:sz w:val="24"/>
          <w:szCs w:val="24"/>
        </w:rPr>
        <w:t>missioning a consulting service</w:t>
      </w:r>
      <w:sdt>
        <w:sdtPr>
          <w:rPr>
            <w:rFonts w:ascii="Arial" w:hAnsi="Arial" w:cs="Arial"/>
            <w:sz w:val="24"/>
            <w:szCs w:val="24"/>
          </w:rPr>
          <w:id w:val="1285539478"/>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Mul13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(Mullins &amp; Dossor, 2013)</w:t>
          </w:r>
          <w:r w:rsidR="00B957BF" w:rsidRPr="008830AD">
            <w:rPr>
              <w:rFonts w:ascii="Arial" w:hAnsi="Arial" w:cs="Arial"/>
              <w:sz w:val="24"/>
              <w:szCs w:val="24"/>
            </w:rPr>
            <w:fldChar w:fldCharType="end"/>
          </w:r>
        </w:sdtContent>
      </w:sdt>
      <w:r w:rsidR="00B957BF" w:rsidRPr="008830AD">
        <w:rPr>
          <w:rFonts w:ascii="Arial" w:hAnsi="Arial" w:cs="Arial"/>
          <w:sz w:val="24"/>
          <w:szCs w:val="24"/>
        </w:rPr>
        <w:t xml:space="preserve"> </w:t>
      </w:r>
      <w:sdt>
        <w:sdtPr>
          <w:rPr>
            <w:rFonts w:ascii="Arial" w:hAnsi="Arial" w:cs="Arial"/>
            <w:sz w:val="24"/>
            <w:szCs w:val="24"/>
          </w:rPr>
          <w:id w:val="-1086995216"/>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Fra13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(Francke, 2013)</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Strengths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Greater age range of target customers. Alton Towers is a theme park attractive for customers in every age category. Both children and youth, adults or seniors will find something for themselves here.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Good marketing campaigns, preceded by a thorough getting to know of a visitor's profile, external and internal factors affecting this entertainment market and the current economic climate, as well as competition offers. Advertising campaigns include radio, press, national television, social media.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A unique attraction. Alton Towers is the largest theme park in the Great Britain with a well-established brand based on a rich history. The park is widely known for its great attractions, has high quality products and equipment. </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lastRenderedPageBreak/>
        <w:t>•</w:t>
      </w:r>
      <w:r w:rsidRPr="008830AD">
        <w:rPr>
          <w:rFonts w:ascii="Arial" w:hAnsi="Arial" w:cs="Arial"/>
          <w:sz w:val="24"/>
          <w:szCs w:val="24"/>
        </w:rPr>
        <w:tab/>
        <w:t>The company has a very well-developed website, characterized by direct booking of tickets and easy access to information</w:t>
      </w:r>
      <w:r w:rsidR="00B957BF" w:rsidRPr="008830AD">
        <w:rPr>
          <w:rFonts w:ascii="Arial" w:hAnsi="Arial" w:cs="Arial"/>
          <w:sz w:val="24"/>
          <w:szCs w:val="24"/>
        </w:rPr>
        <w:t xml:space="preserve"> about facilities and the offer</w:t>
      </w:r>
      <w:sdt>
        <w:sdtPr>
          <w:rPr>
            <w:rFonts w:ascii="Arial" w:hAnsi="Arial" w:cs="Arial"/>
            <w:sz w:val="24"/>
            <w:szCs w:val="24"/>
          </w:rPr>
          <w:id w:val="-304782131"/>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McC91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(McClung, 1991)</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Weaknesses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High level of seasonality. This involves the opening in certain times of the year. It also causes lowering the prices in seasons of reduced interest, which results in lower revenues.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The fact that accidents occur in the park may indicate the weakness of its technical activities. This may cause anxiety of customers and unwillingness to use Alton Towers.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Location of Alton Towers. The park is located in a relatively rural area and this can be a problem for some of the visitors.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 xml:space="preserve">Price. Tickets are relatively more expensive when we compare </w:t>
      </w:r>
      <w:r w:rsidR="00B957BF" w:rsidRPr="008830AD">
        <w:rPr>
          <w:rFonts w:ascii="Arial" w:hAnsi="Arial" w:cs="Arial"/>
          <w:sz w:val="24"/>
          <w:szCs w:val="24"/>
        </w:rPr>
        <w:t>prices with the competition</w:t>
      </w:r>
      <w:sdt>
        <w:sdtPr>
          <w:rPr>
            <w:rFonts w:ascii="Arial" w:hAnsi="Arial" w:cs="Arial"/>
            <w:sz w:val="24"/>
            <w:szCs w:val="24"/>
          </w:rPr>
          <w:id w:val="950363103"/>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Swa01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(Swarbrooke &amp; Page, 2001)</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Possibilities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Giving an educational element to the park would certainly encourage parents to take their children there</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By establishing cooperation with other brands (as in the case of Cadbury), Alton can attract more clients and improve the market</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A diversified product and service</w:t>
      </w:r>
    </w:p>
    <w:p w:rsidR="00A77FC5"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A large number of loyal customers</w:t>
      </w:r>
      <w:sdt>
        <w:sdtPr>
          <w:rPr>
            <w:rFonts w:ascii="Arial" w:hAnsi="Arial" w:cs="Arial"/>
            <w:sz w:val="24"/>
            <w:szCs w:val="24"/>
          </w:rPr>
          <w:id w:val="1687935344"/>
          <w:citation/>
        </w:sdtPr>
        <w:sdtContent>
          <w:r w:rsidR="00B957BF" w:rsidRPr="008830AD">
            <w:rPr>
              <w:rFonts w:ascii="Arial" w:hAnsi="Arial" w:cs="Arial"/>
              <w:sz w:val="24"/>
              <w:szCs w:val="24"/>
            </w:rPr>
            <w:fldChar w:fldCharType="begin"/>
          </w:r>
          <w:r w:rsidR="00B957BF" w:rsidRPr="008830AD">
            <w:rPr>
              <w:rFonts w:ascii="Arial" w:hAnsi="Arial" w:cs="Arial"/>
              <w:sz w:val="24"/>
              <w:szCs w:val="24"/>
            </w:rPr>
            <w:instrText xml:space="preserve"> CITATION Won99 \l 2057 </w:instrText>
          </w:r>
          <w:r w:rsidR="00B957BF" w:rsidRPr="008830AD">
            <w:rPr>
              <w:rFonts w:ascii="Arial" w:hAnsi="Arial" w:cs="Arial"/>
              <w:sz w:val="24"/>
              <w:szCs w:val="24"/>
            </w:rPr>
            <w:fldChar w:fldCharType="separate"/>
          </w:r>
          <w:r w:rsidR="00B957BF" w:rsidRPr="008830AD">
            <w:rPr>
              <w:rFonts w:ascii="Arial" w:hAnsi="Arial" w:cs="Arial"/>
              <w:noProof/>
              <w:sz w:val="24"/>
              <w:szCs w:val="24"/>
            </w:rPr>
            <w:t xml:space="preserve"> (Wong &amp; Cheung, 1999)</w:t>
          </w:r>
          <w:r w:rsidR="00B957BF" w:rsidRPr="008830AD">
            <w:rPr>
              <w:rFonts w:ascii="Arial" w:hAnsi="Arial" w:cs="Arial"/>
              <w:sz w:val="24"/>
              <w:szCs w:val="24"/>
            </w:rPr>
            <w:fldChar w:fldCharType="end"/>
          </w:r>
        </w:sdtContent>
      </w:sdt>
    </w:p>
    <w:p w:rsidR="0085558C" w:rsidRPr="008830AD" w:rsidRDefault="0085558C" w:rsidP="008830AD">
      <w:pPr>
        <w:spacing w:line="360" w:lineRule="auto"/>
        <w:rPr>
          <w:rFonts w:ascii="Arial" w:hAnsi="Arial" w:cs="Arial"/>
          <w:sz w:val="24"/>
          <w:szCs w:val="24"/>
        </w:rPr>
      </w:pPr>
    </w:p>
    <w:p w:rsidR="0085558C" w:rsidRPr="008830AD" w:rsidRDefault="0085558C" w:rsidP="008830AD">
      <w:pPr>
        <w:spacing w:line="360" w:lineRule="auto"/>
        <w:rPr>
          <w:rFonts w:ascii="Arial" w:hAnsi="Arial" w:cs="Arial"/>
          <w:b/>
          <w:sz w:val="24"/>
          <w:szCs w:val="24"/>
        </w:rPr>
      </w:pPr>
      <w:r w:rsidRPr="008830AD">
        <w:rPr>
          <w:rFonts w:ascii="Arial" w:hAnsi="Arial" w:cs="Arial"/>
          <w:b/>
          <w:sz w:val="24"/>
          <w:szCs w:val="24"/>
        </w:rPr>
        <w:t>Threats</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lastRenderedPageBreak/>
        <w:t>•</w:t>
      </w:r>
      <w:r w:rsidRPr="008830AD">
        <w:rPr>
          <w:rFonts w:ascii="Arial" w:hAnsi="Arial" w:cs="Arial"/>
          <w:sz w:val="24"/>
          <w:szCs w:val="24"/>
        </w:rPr>
        <w:tab/>
        <w:t>Occurrence of technical errors during the use of attractions may cause injuries to the customers and, consequently, unwillingness to use this park and disrepute.</w:t>
      </w:r>
    </w:p>
    <w:p w:rsidR="0085558C"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New innovations and achievements in indirectly competitive industries may undermine the popularity and efficiency of Alton Towers. Also direct competition of Alton Towers can be a source of threat, especially due to the introduction of newer products.</w:t>
      </w:r>
    </w:p>
    <w:p w:rsidR="00A77FC5" w:rsidRPr="008830AD" w:rsidRDefault="0085558C"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Possible introduction of strict laws by the government in order to tighten the safety rules and health regulations, may lead to modification of rides and other products. This may have a negative effect on th</w:t>
      </w:r>
      <w:r w:rsidR="00B957BF" w:rsidRPr="008830AD">
        <w:rPr>
          <w:rFonts w:ascii="Arial" w:hAnsi="Arial" w:cs="Arial"/>
          <w:sz w:val="24"/>
          <w:szCs w:val="24"/>
        </w:rPr>
        <w:t>e performance of Alton Towers</w:t>
      </w:r>
      <w:sdt>
        <w:sdtPr>
          <w:rPr>
            <w:rFonts w:ascii="Arial" w:hAnsi="Arial" w:cs="Arial"/>
            <w:sz w:val="24"/>
            <w:szCs w:val="24"/>
          </w:rPr>
          <w:id w:val="-1474054155"/>
          <w:citation/>
        </w:sdtPr>
        <w:sdtContent>
          <w:r w:rsidR="00953B65" w:rsidRPr="008830AD">
            <w:rPr>
              <w:rFonts w:ascii="Arial" w:hAnsi="Arial" w:cs="Arial"/>
              <w:sz w:val="24"/>
              <w:szCs w:val="24"/>
            </w:rPr>
            <w:fldChar w:fldCharType="begin"/>
          </w:r>
          <w:r w:rsidR="00953B65" w:rsidRPr="008830AD">
            <w:rPr>
              <w:rFonts w:ascii="Arial" w:hAnsi="Arial" w:cs="Arial"/>
              <w:sz w:val="24"/>
              <w:szCs w:val="24"/>
            </w:rPr>
            <w:instrText xml:space="preserve">CITATION Pre \l 2057 </w:instrText>
          </w:r>
          <w:r w:rsidR="00953B65" w:rsidRPr="008830AD">
            <w:rPr>
              <w:rFonts w:ascii="Arial" w:hAnsi="Arial" w:cs="Arial"/>
              <w:sz w:val="24"/>
              <w:szCs w:val="24"/>
            </w:rPr>
            <w:fldChar w:fldCharType="separate"/>
          </w:r>
          <w:r w:rsidR="00953B65" w:rsidRPr="008830AD">
            <w:rPr>
              <w:rFonts w:ascii="Arial" w:hAnsi="Arial" w:cs="Arial"/>
              <w:noProof/>
              <w:sz w:val="24"/>
              <w:szCs w:val="24"/>
            </w:rPr>
            <w:t xml:space="preserve"> (Prentice, et al., 1998)</w:t>
          </w:r>
          <w:r w:rsidR="00953B65" w:rsidRPr="008830AD">
            <w:rPr>
              <w:rFonts w:ascii="Arial" w:hAnsi="Arial" w:cs="Arial"/>
              <w:sz w:val="24"/>
              <w:szCs w:val="24"/>
            </w:rPr>
            <w:fldChar w:fldCharType="end"/>
          </w:r>
        </w:sdtContent>
      </w:sdt>
    </w:p>
    <w:p w:rsidR="009324A6" w:rsidRPr="008830AD" w:rsidRDefault="009324A6" w:rsidP="008830AD">
      <w:pPr>
        <w:pStyle w:val="Heading1"/>
        <w:spacing w:line="360" w:lineRule="auto"/>
        <w:rPr>
          <w:rFonts w:ascii="Arial" w:hAnsi="Arial" w:cs="Arial"/>
          <w:sz w:val="24"/>
          <w:szCs w:val="24"/>
        </w:rPr>
      </w:pPr>
      <w:bookmarkStart w:id="10" w:name="_Toc5348066"/>
      <w:bookmarkStart w:id="11" w:name="_Toc7019500"/>
      <w:r w:rsidRPr="008830AD">
        <w:rPr>
          <w:rFonts w:ascii="Arial" w:hAnsi="Arial" w:cs="Arial"/>
          <w:sz w:val="24"/>
          <w:szCs w:val="24"/>
        </w:rPr>
        <w:t>Ratios</w:t>
      </w:r>
      <w:bookmarkEnd w:id="10"/>
      <w:bookmarkEnd w:id="11"/>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Merlin Entertainments </w:t>
      </w:r>
    </w:p>
    <w:p w:rsidR="005E5DE1" w:rsidRPr="008830AD" w:rsidRDefault="005E5DE1"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GROSS PROFIT</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Gross profit/Sales x 100 =</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Gross profit – 1,085,000,000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1,085,000,000/1,278,000,000x100= </w:t>
      </w:r>
      <w:r w:rsidRPr="008830AD">
        <w:rPr>
          <w:rFonts w:ascii="Arial" w:hAnsi="Arial" w:cs="Arial"/>
          <w:b/>
          <w:sz w:val="24"/>
          <w:szCs w:val="24"/>
        </w:rPr>
        <w:t>84,9%</w:t>
      </w:r>
    </w:p>
    <w:p w:rsidR="005E5DE1" w:rsidRPr="008830AD" w:rsidRDefault="005E5DE1" w:rsidP="008830AD">
      <w:pPr>
        <w:spacing w:line="360" w:lineRule="auto"/>
        <w:rPr>
          <w:rFonts w:ascii="Arial" w:hAnsi="Arial" w:cs="Arial"/>
          <w:sz w:val="24"/>
          <w:szCs w:val="24"/>
        </w:rPr>
      </w:pPr>
    </w:p>
    <w:p w:rsidR="002130D8" w:rsidRDefault="005E5DE1" w:rsidP="002130D8">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2130D8" w:rsidRDefault="002130D8" w:rsidP="002130D8">
      <w:pPr>
        <w:spacing w:line="360" w:lineRule="auto"/>
        <w:rPr>
          <w:rFonts w:ascii="Arial" w:hAnsi="Arial" w:cs="Arial"/>
          <w:sz w:val="24"/>
          <w:szCs w:val="24"/>
        </w:rPr>
      </w:pPr>
    </w:p>
    <w:p w:rsidR="005E5DE1" w:rsidRPr="008830AD" w:rsidRDefault="005E5DE1" w:rsidP="002130D8">
      <w:pPr>
        <w:spacing w:line="360" w:lineRule="auto"/>
        <w:rPr>
          <w:rFonts w:ascii="Arial" w:hAnsi="Arial" w:cs="Arial"/>
          <w:b/>
          <w:sz w:val="24"/>
          <w:szCs w:val="24"/>
        </w:rPr>
      </w:pPr>
      <w:r w:rsidRPr="008830AD">
        <w:rPr>
          <w:rFonts w:ascii="Arial" w:hAnsi="Arial" w:cs="Arial"/>
          <w:sz w:val="24"/>
          <w:szCs w:val="24"/>
        </w:rPr>
        <w:t xml:space="preserve">170,000,000 / 1,278,000,000 x 100 = </w:t>
      </w:r>
      <w:r w:rsidRPr="008830AD">
        <w:rPr>
          <w:rFonts w:ascii="Arial" w:hAnsi="Arial" w:cs="Arial"/>
          <w:b/>
          <w:sz w:val="24"/>
          <w:szCs w:val="24"/>
        </w:rPr>
        <w:t>13.30%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profit – 211,000,000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lastRenderedPageBreak/>
        <w:t xml:space="preserve">211,000,000 / 1,457,000,000 x 100 = </w:t>
      </w:r>
      <w:r w:rsidRPr="008830AD">
        <w:rPr>
          <w:rFonts w:ascii="Arial" w:hAnsi="Arial" w:cs="Arial"/>
          <w:b/>
          <w:sz w:val="24"/>
          <w:szCs w:val="24"/>
        </w:rPr>
        <w:t>14.48%</w:t>
      </w:r>
    </w:p>
    <w:p w:rsidR="008830AD" w:rsidRDefault="008830AD"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ROCE</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Profit before interest / total assets less current liabilities x 100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Profit before interest – 168,600,000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less current liabilities – 2,478,000,000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168,600,000 / 2,478,000,000 x 100 = </w:t>
      </w:r>
      <w:r w:rsidRPr="008830AD">
        <w:rPr>
          <w:rFonts w:ascii="Arial" w:hAnsi="Arial" w:cs="Arial"/>
          <w:b/>
          <w:sz w:val="24"/>
          <w:szCs w:val="24"/>
        </w:rPr>
        <w:t>6.80%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Profit before interest – 212,600,000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less current liabilities – 2,959,000,000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212,600,000 / 2,959,000,000 x 100 = </w:t>
      </w:r>
      <w:r w:rsidRPr="008830AD">
        <w:rPr>
          <w:rFonts w:ascii="Arial" w:hAnsi="Arial" w:cs="Arial"/>
          <w:b/>
          <w:sz w:val="24"/>
          <w:szCs w:val="24"/>
        </w:rPr>
        <w:t>7.18%</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ASSET TURNOVER</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Sales / total assets less current liabilities </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Assets less current liabilities - 2,478,000,000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1,278,000,000 / 2,478,000,000 = </w:t>
      </w:r>
      <w:r w:rsidRPr="008830AD">
        <w:rPr>
          <w:rFonts w:ascii="Arial" w:hAnsi="Arial" w:cs="Arial"/>
          <w:b/>
          <w:sz w:val="24"/>
          <w:szCs w:val="24"/>
        </w:rPr>
        <w:t>0.52</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less current liabilities – 2,959,000,000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1,457,000,000 / 2,959,000,000 =</w:t>
      </w:r>
      <w:r w:rsidRPr="008830AD">
        <w:rPr>
          <w:rFonts w:ascii="Arial" w:hAnsi="Arial" w:cs="Arial"/>
          <w:b/>
          <w:sz w:val="24"/>
          <w:szCs w:val="24"/>
        </w:rPr>
        <w:t xml:space="preserve"> 0.49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FIXED ASSETS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turnover / fixed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Fixed assets – 2,475,000,000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1,278,000,000 / 2,475,000,000 = </w:t>
      </w:r>
      <w:r w:rsidRPr="008830AD">
        <w:rPr>
          <w:rFonts w:ascii="Arial" w:hAnsi="Arial" w:cs="Arial"/>
          <w:b/>
          <w:sz w:val="24"/>
          <w:szCs w:val="24"/>
        </w:rPr>
        <w:t>0.52</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Fixed assets – 2,958,000,000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1,457,000,000 / 2,958,000,000 = </w:t>
      </w:r>
      <w:r w:rsidRPr="008830AD">
        <w:rPr>
          <w:rFonts w:ascii="Arial" w:hAnsi="Arial" w:cs="Arial"/>
          <w:b/>
          <w:sz w:val="24"/>
          <w:szCs w:val="24"/>
        </w:rPr>
        <w:t>0.49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p>
    <w:p w:rsidR="008830AD" w:rsidRDefault="008830AD"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WORKING CAPITAL TURNOVER</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turnover / Net current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current assets – 3,000,000</w:t>
      </w:r>
    </w:p>
    <w:p w:rsidR="005E5DE1" w:rsidRPr="008830AD" w:rsidRDefault="005E5DE1" w:rsidP="008830AD">
      <w:pPr>
        <w:spacing w:line="360" w:lineRule="auto"/>
        <w:rPr>
          <w:rFonts w:ascii="Arial" w:hAnsi="Arial" w:cs="Arial"/>
          <w:b/>
          <w:sz w:val="24"/>
          <w:szCs w:val="24"/>
        </w:rPr>
      </w:pPr>
      <w:r w:rsidRPr="008830AD">
        <w:rPr>
          <w:rFonts w:ascii="Arial" w:hAnsi="Arial" w:cs="Arial"/>
          <w:sz w:val="24"/>
          <w:szCs w:val="24"/>
        </w:rPr>
        <w:t xml:space="preserve">1,278,000,000 / 3,000,000 = </w:t>
      </w:r>
      <w:r w:rsidRPr="008830AD">
        <w:rPr>
          <w:rFonts w:ascii="Arial" w:hAnsi="Arial" w:cs="Arial"/>
          <w:b/>
          <w:sz w:val="24"/>
          <w:szCs w:val="24"/>
        </w:rPr>
        <w:t>426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Net current assets – 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1,457,000,000 / 1,000,000 = </w:t>
      </w:r>
      <w:r w:rsidRPr="008830AD">
        <w:rPr>
          <w:rFonts w:ascii="Arial" w:hAnsi="Arial" w:cs="Arial"/>
          <w:b/>
          <w:sz w:val="24"/>
          <w:szCs w:val="24"/>
        </w:rPr>
        <w:t>1,457</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CURRENT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Current liabilities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260,000,000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257,000,000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260,000,000 / 257,000,000 = </w:t>
      </w:r>
      <w:r w:rsidRPr="008830AD">
        <w:rPr>
          <w:rFonts w:ascii="Arial" w:hAnsi="Arial" w:cs="Arial"/>
          <w:b/>
          <w:sz w:val="24"/>
          <w:szCs w:val="24"/>
        </w:rPr>
        <w:t>1.01</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340,000,000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339,000,000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340,000,000 / 339,000,000 = </w:t>
      </w:r>
      <w:r w:rsidRPr="008830AD">
        <w:rPr>
          <w:rFonts w:ascii="Arial" w:hAnsi="Arial" w:cs="Arial"/>
          <w:b/>
          <w:sz w:val="24"/>
          <w:szCs w:val="24"/>
        </w:rPr>
        <w:t>1.00</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QUICK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stock) / current liabilities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260,000,000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Stock – 30,000,000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257,000,000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260,000,000 – 30,000,000 / 257,000,000 = </w:t>
      </w:r>
      <w:r w:rsidRPr="008830AD">
        <w:rPr>
          <w:rFonts w:ascii="Arial" w:hAnsi="Arial" w:cs="Arial"/>
          <w:b/>
          <w:sz w:val="24"/>
          <w:szCs w:val="24"/>
        </w:rPr>
        <w:t>0.89</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assets – 340,000,000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lastRenderedPageBreak/>
        <w:t>Stock – 36,000,000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Current liabilities – 339,000,000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340,000,000 – 36,000,000 / 339,000,000 = </w:t>
      </w:r>
      <w:r w:rsidRPr="008830AD">
        <w:rPr>
          <w:rFonts w:ascii="Arial" w:hAnsi="Arial" w:cs="Arial"/>
          <w:b/>
          <w:sz w:val="24"/>
          <w:szCs w:val="24"/>
        </w:rPr>
        <w:t>0.90</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DEBTORS DAYS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x 365 / Sales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 76,000,000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1,202,000,000 + 76,000,000 = 1,278,000,000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76,000,000 x 365 / 1,278,000,000 = </w:t>
      </w:r>
      <w:r w:rsidRPr="008830AD">
        <w:rPr>
          <w:rFonts w:ascii="Arial" w:hAnsi="Arial" w:cs="Arial"/>
          <w:b/>
          <w:sz w:val="24"/>
          <w:szCs w:val="24"/>
        </w:rPr>
        <w:t>21.71</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Debtors – 86,000,000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Sales (Cash Sales + Credit Sales) - 1,371,000,000 + 86,000,000 =1,457,000,000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86,000,000 x 365 / 1,457,000,000 = </w:t>
      </w:r>
      <w:r w:rsidRPr="008830AD">
        <w:rPr>
          <w:rFonts w:ascii="Arial" w:hAnsi="Arial" w:cs="Arial"/>
          <w:b/>
          <w:sz w:val="24"/>
          <w:szCs w:val="24"/>
        </w:rPr>
        <w:t>21.54</w:t>
      </w: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CREDITORS DAYS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x 365 / credit purchases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 41,000,000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 purchases – 189,000,000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41,000,000 x 365 / 189,000,000 = </w:t>
      </w:r>
      <w:r w:rsidRPr="008830AD">
        <w:rPr>
          <w:rFonts w:ascii="Arial" w:hAnsi="Arial" w:cs="Arial"/>
          <w:b/>
          <w:sz w:val="24"/>
          <w:szCs w:val="24"/>
        </w:rPr>
        <w:t>79.18</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Creditor – 63,000,000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Credit purchases – 233,000,000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63,000,000 x 365 / 233,000,000 = </w:t>
      </w:r>
      <w:r w:rsidRPr="008830AD">
        <w:rPr>
          <w:rFonts w:ascii="Arial" w:hAnsi="Arial" w:cs="Arial"/>
          <w:b/>
          <w:sz w:val="24"/>
          <w:szCs w:val="24"/>
        </w:rPr>
        <w:t>98.69</w:t>
      </w: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sz w:val="24"/>
          <w:szCs w:val="24"/>
        </w:rPr>
      </w:pPr>
    </w:p>
    <w:p w:rsidR="005E5DE1" w:rsidRPr="008830AD" w:rsidRDefault="005E5DE1" w:rsidP="008830AD">
      <w:pPr>
        <w:spacing w:line="360" w:lineRule="auto"/>
        <w:rPr>
          <w:rFonts w:ascii="Arial" w:hAnsi="Arial" w:cs="Arial"/>
          <w:b/>
          <w:sz w:val="24"/>
          <w:szCs w:val="24"/>
        </w:rPr>
      </w:pPr>
      <w:r w:rsidRPr="008830AD">
        <w:rPr>
          <w:rFonts w:ascii="Arial" w:hAnsi="Arial" w:cs="Arial"/>
          <w:b/>
          <w:sz w:val="24"/>
          <w:szCs w:val="24"/>
        </w:rPr>
        <w:t>DEBT RATIO</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debt / total assets</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2015</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debt – Current liabilities + long term liabilities = 257,000,000 + 1,320,000,000 = 1,577,000,000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 2,478,000,000 + 257,000,000 = 2,735,000,000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1,577,000,000 / 2,735,000,000 = </w:t>
      </w:r>
      <w:r w:rsidRPr="008830AD">
        <w:rPr>
          <w:rFonts w:ascii="Arial" w:hAnsi="Arial" w:cs="Arial"/>
          <w:b/>
          <w:sz w:val="24"/>
          <w:szCs w:val="24"/>
        </w:rPr>
        <w:t>0.58</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2016</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w:t>
      </w:r>
      <w:r w:rsidRPr="008830AD">
        <w:rPr>
          <w:rFonts w:ascii="Arial" w:hAnsi="Arial" w:cs="Arial"/>
          <w:sz w:val="24"/>
          <w:szCs w:val="24"/>
        </w:rPr>
        <w:tab/>
        <w:t>Total debt – Current liabilities + long term liabilities = 339,000,000 + 1,518,000,000 = 1,857,000,000</w:t>
      </w:r>
    </w:p>
    <w:p w:rsidR="005E5DE1" w:rsidRPr="008830AD" w:rsidRDefault="005E5DE1" w:rsidP="008830AD">
      <w:pPr>
        <w:spacing w:line="360" w:lineRule="auto"/>
        <w:rPr>
          <w:rFonts w:ascii="Arial" w:hAnsi="Arial" w:cs="Arial"/>
          <w:sz w:val="24"/>
          <w:szCs w:val="24"/>
        </w:rPr>
      </w:pPr>
      <w:r w:rsidRPr="008830AD">
        <w:rPr>
          <w:rFonts w:ascii="Arial" w:hAnsi="Arial" w:cs="Arial"/>
          <w:sz w:val="24"/>
          <w:szCs w:val="24"/>
        </w:rPr>
        <w:t>Total assets – 2,959,000,000 + 339,000,000 = 3,298,000,000</w:t>
      </w:r>
    </w:p>
    <w:p w:rsidR="009324A6" w:rsidRPr="008830AD" w:rsidRDefault="005E5DE1" w:rsidP="008830AD">
      <w:pPr>
        <w:spacing w:line="360" w:lineRule="auto"/>
        <w:rPr>
          <w:rFonts w:ascii="Arial" w:hAnsi="Arial" w:cs="Arial"/>
          <w:sz w:val="24"/>
          <w:szCs w:val="24"/>
        </w:rPr>
      </w:pPr>
      <w:r w:rsidRPr="008830AD">
        <w:rPr>
          <w:rFonts w:ascii="Arial" w:hAnsi="Arial" w:cs="Arial"/>
          <w:sz w:val="24"/>
          <w:szCs w:val="24"/>
        </w:rPr>
        <w:t xml:space="preserve">1,857,000,000 / 3,298,000,000 = </w:t>
      </w:r>
      <w:r w:rsidRPr="008830AD">
        <w:rPr>
          <w:rFonts w:ascii="Arial" w:hAnsi="Arial" w:cs="Arial"/>
          <w:b/>
          <w:sz w:val="24"/>
          <w:szCs w:val="24"/>
        </w:rPr>
        <w:t>0.56</w:t>
      </w:r>
    </w:p>
    <w:p w:rsidR="009324A6" w:rsidRDefault="009324A6" w:rsidP="00AC6C00">
      <w:pPr>
        <w:pStyle w:val="Heading2"/>
      </w:pPr>
      <w:bookmarkStart w:id="12" w:name="_Toc5348067"/>
      <w:bookmarkStart w:id="13" w:name="_Toc7019501"/>
      <w:r>
        <w:t>Analysis and Key Performance Indicator</w:t>
      </w:r>
      <w:bookmarkEnd w:id="12"/>
      <w:bookmarkEnd w:id="13"/>
      <w:r w:rsidR="00AC6C00">
        <w:t>s</w:t>
      </w:r>
    </w:p>
    <w:p w:rsidR="009324A6" w:rsidRDefault="009324A6" w:rsidP="009324A6">
      <w:pPr>
        <w:pStyle w:val="Heading1"/>
      </w:pP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has been a slightly reduction in the </w:t>
      </w:r>
      <w:r w:rsidRPr="008830AD">
        <w:rPr>
          <w:rFonts w:ascii="Arial" w:eastAsia="Calibri" w:hAnsi="Arial" w:cs="Arial"/>
          <w:b/>
          <w:sz w:val="24"/>
          <w:szCs w:val="24"/>
        </w:rPr>
        <w:t>gross margin</w:t>
      </w:r>
      <w:r w:rsidRPr="008830AD">
        <w:rPr>
          <w:rFonts w:ascii="Arial" w:eastAsia="Calibri" w:hAnsi="Arial" w:cs="Arial"/>
          <w:sz w:val="24"/>
          <w:szCs w:val="24"/>
        </w:rPr>
        <w:t xml:space="preserve"> from 2015 to 2016. However, there has been an increase in the </w:t>
      </w:r>
      <w:r w:rsidRPr="008830AD">
        <w:rPr>
          <w:rFonts w:ascii="Arial" w:eastAsia="Calibri" w:hAnsi="Arial" w:cs="Arial"/>
          <w:b/>
          <w:sz w:val="24"/>
          <w:szCs w:val="24"/>
        </w:rPr>
        <w:t>net profit margin</w:t>
      </w:r>
      <w:r w:rsidRPr="008830AD">
        <w:rPr>
          <w:rFonts w:ascii="Arial" w:eastAsia="Calibri" w:hAnsi="Arial" w:cs="Arial"/>
          <w:sz w:val="24"/>
          <w:szCs w:val="24"/>
        </w:rPr>
        <w:t xml:space="preserve">.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Gross profit</w:t>
      </w:r>
      <w:r w:rsidRPr="008830AD">
        <w:rPr>
          <w:rFonts w:ascii="Arial" w:eastAsia="Calibri" w:hAnsi="Arial" w:cs="Arial"/>
          <w:sz w:val="24"/>
          <w:szCs w:val="24"/>
        </w:rPr>
        <w:t xml:space="preserve"> margins can decrease when costs of production exceed total sales. This could be an indication of a company's incapacity to control costs. At the same time, negative margins could be the natural consequence of macroeconomic or industry-wide difficulties beyond the control of Merlin’s Entertainment management.</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 xml:space="preserve">ROCE </w:t>
      </w:r>
      <w:r w:rsidRPr="008830AD">
        <w:rPr>
          <w:rFonts w:ascii="Arial" w:eastAsia="Calibri" w:hAnsi="Arial" w:cs="Arial"/>
          <w:sz w:val="24"/>
          <w:szCs w:val="24"/>
        </w:rPr>
        <w:t xml:space="preserve">increased in 2016 compare to 2015. This particular ratio is good, means that company is stable, especially if comparing to companies in the same sector.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has been a reduction in the </w:t>
      </w:r>
      <w:r w:rsidRPr="008830AD">
        <w:rPr>
          <w:rFonts w:ascii="Arial" w:eastAsia="Calibri" w:hAnsi="Arial" w:cs="Arial"/>
          <w:b/>
          <w:sz w:val="24"/>
          <w:szCs w:val="24"/>
        </w:rPr>
        <w:t>asset turnover</w:t>
      </w:r>
      <w:r w:rsidRPr="008830AD">
        <w:rPr>
          <w:rFonts w:ascii="Arial" w:eastAsia="Calibri" w:hAnsi="Arial" w:cs="Arial"/>
          <w:sz w:val="24"/>
          <w:szCs w:val="24"/>
        </w:rPr>
        <w:t xml:space="preserve"> figure which can means that assets are not being used efficiently.</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Crucial that Alton Towers look at competitors to determine if this is industry wide effect.</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lastRenderedPageBreak/>
        <w:t xml:space="preserve">There has been massive increase in </w:t>
      </w:r>
      <w:r w:rsidRPr="008830AD">
        <w:rPr>
          <w:rFonts w:ascii="Arial" w:eastAsia="Calibri" w:hAnsi="Arial" w:cs="Arial"/>
          <w:b/>
          <w:sz w:val="24"/>
          <w:szCs w:val="24"/>
        </w:rPr>
        <w:t>working capital turnover</w:t>
      </w:r>
      <w:r w:rsidRPr="008830AD">
        <w:rPr>
          <w:rFonts w:ascii="Arial" w:eastAsia="Calibri" w:hAnsi="Arial" w:cs="Arial"/>
          <w:sz w:val="24"/>
          <w:szCs w:val="24"/>
        </w:rPr>
        <w:t xml:space="preserve"> in 2016 compare to 2015.</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Positive </w:t>
      </w:r>
      <w:r w:rsidRPr="008830AD">
        <w:rPr>
          <w:rFonts w:ascii="Arial" w:eastAsia="Calibri" w:hAnsi="Arial" w:cs="Arial"/>
          <w:b/>
          <w:sz w:val="24"/>
          <w:szCs w:val="24"/>
        </w:rPr>
        <w:t>working capital turnover</w:t>
      </w:r>
      <w:r w:rsidRPr="008830AD">
        <w:rPr>
          <w:rFonts w:ascii="Arial" w:eastAsia="Calibri" w:hAnsi="Arial" w:cs="Arial"/>
          <w:sz w:val="24"/>
          <w:szCs w:val="24"/>
        </w:rPr>
        <w:t xml:space="preserve"> shows that company is able to pay off its short-term liabilities. Also, a high working capital turnover shows company possibilities to expand its operations.</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 xml:space="preserve">Working capital turnover </w:t>
      </w:r>
      <w:r w:rsidRPr="008830AD">
        <w:rPr>
          <w:rFonts w:ascii="Arial" w:eastAsia="Calibri" w:hAnsi="Arial" w:cs="Arial"/>
          <w:sz w:val="24"/>
          <w:szCs w:val="24"/>
        </w:rPr>
        <w:t>pass the matter decisions relating to working capital and short-term financing. Shows that Merlin Entertainments is able to continue its operations and that it has sufficient cash flow to operating expenses and satisfy the short-term debt. These involve managing the current assets and the current liabilities of the company.</w:t>
      </w:r>
      <w:sdt>
        <w:sdtPr>
          <w:rPr>
            <w:rFonts w:ascii="Arial" w:eastAsia="Calibri" w:hAnsi="Arial" w:cs="Arial"/>
            <w:sz w:val="24"/>
            <w:szCs w:val="24"/>
          </w:rPr>
          <w:id w:val="364261488"/>
          <w:citation/>
        </w:sdtPr>
        <w:sdtContent>
          <w:r w:rsidR="00953B65" w:rsidRPr="008830AD">
            <w:rPr>
              <w:rFonts w:ascii="Arial" w:eastAsia="Calibri" w:hAnsi="Arial" w:cs="Arial"/>
              <w:sz w:val="24"/>
              <w:szCs w:val="24"/>
            </w:rPr>
            <w:fldChar w:fldCharType="begin"/>
          </w:r>
          <w:r w:rsidR="00953B65" w:rsidRPr="008830AD">
            <w:rPr>
              <w:rFonts w:ascii="Arial" w:eastAsia="Calibri" w:hAnsi="Arial" w:cs="Arial"/>
              <w:sz w:val="24"/>
              <w:szCs w:val="24"/>
            </w:rPr>
            <w:instrText xml:space="preserve">CITATION McW \l 2057 </w:instrText>
          </w:r>
          <w:r w:rsidR="00953B65" w:rsidRPr="008830AD">
            <w:rPr>
              <w:rFonts w:ascii="Arial" w:eastAsia="Calibri" w:hAnsi="Arial" w:cs="Arial"/>
              <w:sz w:val="24"/>
              <w:szCs w:val="24"/>
            </w:rPr>
            <w:fldChar w:fldCharType="separate"/>
          </w:r>
          <w:r w:rsidR="00953B65" w:rsidRPr="008830AD">
            <w:rPr>
              <w:rFonts w:ascii="Arial" w:eastAsia="Calibri" w:hAnsi="Arial" w:cs="Arial"/>
              <w:noProof/>
              <w:sz w:val="24"/>
              <w:szCs w:val="24"/>
            </w:rPr>
            <w:t xml:space="preserve"> (McWatters, et al., 2008)</w:t>
          </w:r>
          <w:r w:rsidR="00953B65" w:rsidRPr="008830AD">
            <w:rPr>
              <w:rFonts w:ascii="Arial" w:eastAsia="Calibri" w:hAnsi="Arial" w:cs="Arial"/>
              <w:sz w:val="24"/>
              <w:szCs w:val="24"/>
            </w:rPr>
            <w:fldChar w:fldCharType="end"/>
          </w:r>
        </w:sdtContent>
      </w:sdt>
    </w:p>
    <w:p w:rsidR="00AC7CDD" w:rsidRPr="008830AD" w:rsidRDefault="00AC7CDD" w:rsidP="008830AD">
      <w:pPr>
        <w:spacing w:line="360" w:lineRule="auto"/>
        <w:jc w:val="both"/>
        <w:rPr>
          <w:rFonts w:ascii="Arial" w:eastAsia="Calibri" w:hAnsi="Arial" w:cs="Arial"/>
          <w:sz w:val="24"/>
          <w:szCs w:val="24"/>
        </w:rPr>
      </w:pP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 </w:t>
      </w:r>
      <w:r w:rsidRPr="008830AD">
        <w:rPr>
          <w:rFonts w:ascii="Arial" w:eastAsia="Calibri" w:hAnsi="Arial" w:cs="Arial"/>
          <w:b/>
          <w:sz w:val="24"/>
          <w:szCs w:val="24"/>
        </w:rPr>
        <w:t>current ratio</w:t>
      </w:r>
      <w:r w:rsidRPr="008830AD">
        <w:rPr>
          <w:rFonts w:ascii="Arial" w:eastAsia="Calibri" w:hAnsi="Arial" w:cs="Arial"/>
          <w:sz w:val="24"/>
          <w:szCs w:val="24"/>
        </w:rPr>
        <w:t xml:space="preserve"> has not changed from 2015 to 1016 and both years are within acceptable limits. This figures represent how quickly cash can be obtained to settle debts pay expenses.</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 xml:space="preserve">There is an increase in the number of </w:t>
      </w:r>
      <w:r w:rsidRPr="008830AD">
        <w:rPr>
          <w:rFonts w:ascii="Arial" w:eastAsia="Calibri" w:hAnsi="Arial" w:cs="Arial"/>
          <w:b/>
          <w:sz w:val="24"/>
          <w:szCs w:val="24"/>
        </w:rPr>
        <w:t xml:space="preserve">days </w:t>
      </w:r>
      <w:r w:rsidRPr="008830AD">
        <w:rPr>
          <w:rFonts w:ascii="Arial" w:eastAsia="Calibri" w:hAnsi="Arial" w:cs="Arial"/>
          <w:sz w:val="24"/>
          <w:szCs w:val="24"/>
        </w:rPr>
        <w:t xml:space="preserve">to pay </w:t>
      </w:r>
      <w:r w:rsidRPr="008830AD">
        <w:rPr>
          <w:rFonts w:ascii="Arial" w:eastAsia="Calibri" w:hAnsi="Arial" w:cs="Arial"/>
          <w:b/>
          <w:sz w:val="24"/>
          <w:szCs w:val="24"/>
        </w:rPr>
        <w:t>creditors,</w:t>
      </w:r>
      <w:r w:rsidRPr="008830AD">
        <w:rPr>
          <w:rFonts w:ascii="Arial" w:eastAsia="Calibri" w:hAnsi="Arial" w:cs="Arial"/>
          <w:sz w:val="24"/>
          <w:szCs w:val="24"/>
        </w:rPr>
        <w:t xml:space="preserve"> which can mean that company does not have the necessary cash to pay its creditors. It is very important to look at current ratio to observe how quickly cash can be obtained. This can also mean that the company has renegotiated repayment terms with their suppliers. </w:t>
      </w:r>
    </w:p>
    <w:p w:rsidR="00AC7CDD" w:rsidRPr="008830AD" w:rsidRDefault="00AC7CDD" w:rsidP="008830AD">
      <w:pPr>
        <w:spacing w:line="360" w:lineRule="auto"/>
        <w:jc w:val="both"/>
        <w:rPr>
          <w:rFonts w:ascii="Arial" w:eastAsia="Calibri" w:hAnsi="Arial" w:cs="Arial"/>
          <w:sz w:val="24"/>
          <w:szCs w:val="24"/>
        </w:rPr>
      </w:pPr>
      <w:r w:rsidRPr="008830AD">
        <w:rPr>
          <w:rFonts w:ascii="Arial" w:eastAsia="Calibri" w:hAnsi="Arial" w:cs="Arial"/>
          <w:sz w:val="24"/>
          <w:szCs w:val="24"/>
        </w:rPr>
        <w:t>Companies usually finance their operations by taking on debt or through investments from shareholders. It is crucial to understand the proportion that is financed by debt as opposed to shareholders equity is the debt to equity ratio, and the main indicator of the fi</w:t>
      </w:r>
      <w:r w:rsidR="00565521" w:rsidRPr="008830AD">
        <w:rPr>
          <w:rFonts w:ascii="Arial" w:eastAsia="Calibri" w:hAnsi="Arial" w:cs="Arial"/>
          <w:sz w:val="24"/>
          <w:szCs w:val="24"/>
        </w:rPr>
        <w:t>nancial position of the company</w:t>
      </w:r>
      <w:sdt>
        <w:sdtPr>
          <w:rPr>
            <w:rFonts w:ascii="Arial" w:eastAsia="Calibri" w:hAnsi="Arial" w:cs="Arial"/>
            <w:sz w:val="24"/>
            <w:szCs w:val="24"/>
          </w:rPr>
          <w:id w:val="692805932"/>
          <w:citation/>
        </w:sdtPr>
        <w:sdtContent>
          <w:r w:rsidR="00565521" w:rsidRPr="008830AD">
            <w:rPr>
              <w:rFonts w:ascii="Arial" w:eastAsia="Calibri" w:hAnsi="Arial" w:cs="Arial"/>
              <w:sz w:val="24"/>
              <w:szCs w:val="24"/>
            </w:rPr>
            <w:fldChar w:fldCharType="begin"/>
          </w:r>
          <w:r w:rsidR="00565521" w:rsidRPr="008830AD">
            <w:rPr>
              <w:rFonts w:ascii="Arial" w:eastAsia="Calibri" w:hAnsi="Arial" w:cs="Arial"/>
              <w:sz w:val="24"/>
              <w:szCs w:val="24"/>
            </w:rPr>
            <w:instrText xml:space="preserve"> CITATION Par10 \l 2057 </w:instrText>
          </w:r>
          <w:r w:rsidR="00565521" w:rsidRPr="008830AD">
            <w:rPr>
              <w:rFonts w:ascii="Arial" w:eastAsia="Calibri" w:hAnsi="Arial" w:cs="Arial"/>
              <w:sz w:val="24"/>
              <w:szCs w:val="24"/>
            </w:rPr>
            <w:fldChar w:fldCharType="separate"/>
          </w:r>
          <w:r w:rsidR="00565521" w:rsidRPr="008830AD">
            <w:rPr>
              <w:rFonts w:ascii="Arial" w:eastAsia="Calibri" w:hAnsi="Arial" w:cs="Arial"/>
              <w:noProof/>
              <w:sz w:val="24"/>
              <w:szCs w:val="24"/>
            </w:rPr>
            <w:t xml:space="preserve"> (Parmenter, 2010)</w:t>
          </w:r>
          <w:r w:rsidR="00565521" w:rsidRPr="008830AD">
            <w:rPr>
              <w:rFonts w:ascii="Arial" w:eastAsia="Calibri" w:hAnsi="Arial" w:cs="Arial"/>
              <w:sz w:val="24"/>
              <w:szCs w:val="24"/>
            </w:rPr>
            <w:fldChar w:fldCharType="end"/>
          </w:r>
        </w:sdtContent>
      </w:sdt>
    </w:p>
    <w:p w:rsidR="00AC6C00" w:rsidRPr="008830AD" w:rsidRDefault="00AC6C00" w:rsidP="008830AD">
      <w:pPr>
        <w:spacing w:line="360" w:lineRule="auto"/>
        <w:jc w:val="both"/>
        <w:rPr>
          <w:rFonts w:ascii="Arial" w:hAnsi="Arial" w:cs="Arial"/>
          <w:sz w:val="24"/>
          <w:szCs w:val="24"/>
        </w:rPr>
      </w:pPr>
    </w:p>
    <w:p w:rsidR="009324A6" w:rsidRPr="008830AD" w:rsidRDefault="009324A6" w:rsidP="008830AD">
      <w:pPr>
        <w:pStyle w:val="Heading2"/>
        <w:spacing w:line="360" w:lineRule="auto"/>
        <w:jc w:val="both"/>
        <w:rPr>
          <w:rFonts w:ascii="Arial" w:hAnsi="Arial" w:cs="Arial"/>
          <w:sz w:val="24"/>
          <w:szCs w:val="24"/>
        </w:rPr>
      </w:pPr>
      <w:bookmarkStart w:id="14" w:name="_Toc5348068"/>
      <w:bookmarkStart w:id="15" w:name="_Toc7019502"/>
      <w:r w:rsidRPr="008830AD">
        <w:rPr>
          <w:rFonts w:ascii="Arial" w:hAnsi="Arial" w:cs="Arial"/>
          <w:sz w:val="24"/>
          <w:szCs w:val="24"/>
        </w:rPr>
        <w:t>SMART objectives</w:t>
      </w:r>
      <w:bookmarkEnd w:id="14"/>
      <w:bookmarkEnd w:id="15"/>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sz w:val="24"/>
          <w:szCs w:val="24"/>
        </w:rPr>
        <w:br/>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b/>
          <w:sz w:val="24"/>
          <w:szCs w:val="24"/>
        </w:rPr>
        <w:t>Smart objectives</w:t>
      </w:r>
      <w:r w:rsidRPr="008830AD">
        <w:rPr>
          <w:rFonts w:ascii="Arial" w:eastAsia="Calibri" w:hAnsi="Arial" w:cs="Arial"/>
          <w:sz w:val="24"/>
          <w:szCs w:val="24"/>
        </w:rPr>
        <w:t xml:space="preserve"> is the concept of creating goals for the company. The planning involve set of five postulates. The goals to be well-defined need to be Specific, Measurable, Achie</w:t>
      </w:r>
      <w:r w:rsidR="00565521" w:rsidRPr="008830AD">
        <w:rPr>
          <w:rFonts w:ascii="Arial" w:eastAsia="Calibri" w:hAnsi="Arial" w:cs="Arial"/>
          <w:sz w:val="24"/>
          <w:szCs w:val="24"/>
        </w:rPr>
        <w:t>vable, Relevant and Time-bound</w:t>
      </w:r>
      <w:sdt>
        <w:sdtPr>
          <w:rPr>
            <w:rFonts w:ascii="Arial" w:eastAsia="Calibri" w:hAnsi="Arial" w:cs="Arial"/>
            <w:sz w:val="24"/>
            <w:szCs w:val="24"/>
          </w:rPr>
          <w:id w:val="-1294057082"/>
          <w:citation/>
        </w:sdtPr>
        <w:sdtContent>
          <w:r w:rsidR="00565521" w:rsidRPr="008830AD">
            <w:rPr>
              <w:rFonts w:ascii="Arial" w:eastAsia="Calibri" w:hAnsi="Arial" w:cs="Arial"/>
              <w:sz w:val="24"/>
              <w:szCs w:val="24"/>
            </w:rPr>
            <w:fldChar w:fldCharType="begin"/>
          </w:r>
          <w:r w:rsidR="00565521" w:rsidRPr="008830AD">
            <w:rPr>
              <w:rFonts w:ascii="Arial" w:eastAsia="Calibri" w:hAnsi="Arial" w:cs="Arial"/>
              <w:sz w:val="24"/>
              <w:szCs w:val="24"/>
            </w:rPr>
            <w:instrText xml:space="preserve"> CITATION Gel03 \l 2057 </w:instrText>
          </w:r>
          <w:r w:rsidR="00565521" w:rsidRPr="008830AD">
            <w:rPr>
              <w:rFonts w:ascii="Arial" w:eastAsia="Calibri" w:hAnsi="Arial" w:cs="Arial"/>
              <w:sz w:val="24"/>
              <w:szCs w:val="24"/>
            </w:rPr>
            <w:fldChar w:fldCharType="separate"/>
          </w:r>
          <w:r w:rsidR="00565521" w:rsidRPr="008830AD">
            <w:rPr>
              <w:rFonts w:ascii="Arial" w:eastAsia="Calibri" w:hAnsi="Arial" w:cs="Arial"/>
              <w:noProof/>
              <w:sz w:val="24"/>
              <w:szCs w:val="24"/>
            </w:rPr>
            <w:t xml:space="preserve"> (Gelder &amp; Woodcock, 2003)</w:t>
          </w:r>
          <w:r w:rsidR="00565521" w:rsidRPr="008830AD">
            <w:rPr>
              <w:rFonts w:ascii="Arial" w:eastAsia="Calibri" w:hAnsi="Arial" w:cs="Arial"/>
              <w:sz w:val="24"/>
              <w:szCs w:val="24"/>
            </w:rPr>
            <w:fldChar w:fldCharType="end"/>
          </w:r>
        </w:sdtContent>
      </w:sdt>
    </w:p>
    <w:p w:rsidR="00067D41" w:rsidRPr="008830AD" w:rsidRDefault="00067D41" w:rsidP="008830AD">
      <w:pPr>
        <w:spacing w:line="360" w:lineRule="auto"/>
        <w:jc w:val="both"/>
        <w:rPr>
          <w:rFonts w:ascii="Arial" w:eastAsia="Calibri" w:hAnsi="Arial" w:cs="Arial"/>
          <w:b/>
          <w:sz w:val="24"/>
          <w:szCs w:val="24"/>
        </w:rPr>
      </w:pP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lastRenderedPageBreak/>
        <w:t>Organic growth</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Continuing predictable and planned capital expenditure cycles suitable to each Operating Group provide the principal drivers to growth across our existing estate. This will be complemented by yield management strategies and good price based on regularly improving guest experience.</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Rolling out chainable brands worldwide.</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Merlin Entertainment has strong, global recognised brands including LEGOLAND Discovery Centres, Madame Tussauds, SEA LIFE, Dungeons and the "Eye" which is the brand they are using to build their portfolio of "observation" attractions. They have develop skills internally to secure, identify and build 6 or 7 new attractions every year.</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Destination positioning</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Merlin Entertainment intend to position all theme parks as short break destinations in order to optimise asset utilisation and market reach. Holiday villages and hotels are a clear market signal in achieving this and the group plan to add new developments to their existing estate.</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Acquisitions</w:t>
      </w:r>
    </w:p>
    <w:p w:rsidR="00067D41"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The visitor attraction market is highly fragmented and company consider themselves well placed to take advantage of consolidation opportunities that will enhance their strategic aims.</w:t>
      </w:r>
    </w:p>
    <w:p w:rsidR="00067D41" w:rsidRPr="008830AD" w:rsidRDefault="00067D41" w:rsidP="008830AD">
      <w:pPr>
        <w:spacing w:line="360" w:lineRule="auto"/>
        <w:jc w:val="both"/>
        <w:rPr>
          <w:rFonts w:ascii="Arial" w:eastAsia="Calibri" w:hAnsi="Arial" w:cs="Arial"/>
          <w:b/>
          <w:sz w:val="24"/>
          <w:szCs w:val="24"/>
        </w:rPr>
      </w:pPr>
      <w:r w:rsidRPr="008830AD">
        <w:rPr>
          <w:rFonts w:ascii="Arial" w:eastAsia="Calibri" w:hAnsi="Arial" w:cs="Arial"/>
          <w:b/>
          <w:sz w:val="24"/>
          <w:szCs w:val="24"/>
        </w:rPr>
        <w:t>Number one priority</w:t>
      </w:r>
    </w:p>
    <w:p w:rsidR="00A77FC5" w:rsidRPr="008830AD" w:rsidRDefault="00067D41" w:rsidP="008830AD">
      <w:pPr>
        <w:spacing w:line="360" w:lineRule="auto"/>
        <w:jc w:val="both"/>
        <w:rPr>
          <w:rFonts w:ascii="Arial" w:eastAsia="Calibri" w:hAnsi="Arial" w:cs="Arial"/>
          <w:sz w:val="24"/>
          <w:szCs w:val="24"/>
        </w:rPr>
      </w:pPr>
      <w:r w:rsidRPr="008830AD">
        <w:rPr>
          <w:rFonts w:ascii="Arial" w:eastAsia="Calibri" w:hAnsi="Arial" w:cs="Arial"/>
          <w:sz w:val="24"/>
          <w:szCs w:val="24"/>
        </w:rPr>
        <w:t>The delivery of unforgettable experiences to their millions of visitors supported by continuously monitored visitor satisfaction, very highest customer service and Health/Safety standards and a world clas</w:t>
      </w:r>
      <w:r w:rsidR="006539C8" w:rsidRPr="008830AD">
        <w:rPr>
          <w:rFonts w:ascii="Arial" w:eastAsia="Calibri" w:hAnsi="Arial" w:cs="Arial"/>
          <w:sz w:val="24"/>
          <w:szCs w:val="24"/>
        </w:rPr>
        <w:t>s people development strategies</w:t>
      </w:r>
      <w:sdt>
        <w:sdtPr>
          <w:rPr>
            <w:rFonts w:ascii="Arial" w:eastAsia="Calibri" w:hAnsi="Arial" w:cs="Arial"/>
            <w:sz w:val="24"/>
            <w:szCs w:val="24"/>
          </w:rPr>
          <w:id w:val="-1174808695"/>
          <w:citation/>
        </w:sdtPr>
        <w:sdtContent>
          <w:r w:rsidR="006539C8" w:rsidRPr="008830AD">
            <w:rPr>
              <w:rFonts w:ascii="Arial" w:eastAsia="Calibri" w:hAnsi="Arial" w:cs="Arial"/>
              <w:sz w:val="24"/>
              <w:szCs w:val="24"/>
            </w:rPr>
            <w:fldChar w:fldCharType="begin"/>
          </w:r>
          <w:r w:rsidR="006539C8" w:rsidRPr="008830AD">
            <w:rPr>
              <w:rFonts w:ascii="Arial" w:eastAsia="Calibri" w:hAnsi="Arial" w:cs="Arial"/>
              <w:sz w:val="24"/>
              <w:szCs w:val="24"/>
            </w:rPr>
            <w:instrText xml:space="preserve"> CITATION Gel03 \l 2057 </w:instrText>
          </w:r>
          <w:r w:rsidR="006539C8" w:rsidRPr="008830AD">
            <w:rPr>
              <w:rFonts w:ascii="Arial" w:eastAsia="Calibri" w:hAnsi="Arial" w:cs="Arial"/>
              <w:sz w:val="24"/>
              <w:szCs w:val="24"/>
            </w:rPr>
            <w:fldChar w:fldCharType="separate"/>
          </w:r>
          <w:r w:rsidR="006539C8" w:rsidRPr="008830AD">
            <w:rPr>
              <w:rFonts w:ascii="Arial" w:eastAsia="Calibri" w:hAnsi="Arial" w:cs="Arial"/>
              <w:noProof/>
              <w:sz w:val="24"/>
              <w:szCs w:val="24"/>
            </w:rPr>
            <w:t xml:space="preserve"> (Gelder &amp; Woodcock, 2003)</w:t>
          </w:r>
          <w:r w:rsidR="006539C8" w:rsidRPr="008830AD">
            <w:rPr>
              <w:rFonts w:ascii="Arial" w:eastAsia="Calibri" w:hAnsi="Arial" w:cs="Arial"/>
              <w:sz w:val="24"/>
              <w:szCs w:val="24"/>
            </w:rPr>
            <w:fldChar w:fldCharType="end"/>
          </w:r>
        </w:sdtContent>
      </w:sdt>
    </w:p>
    <w:p w:rsidR="005E5DE1" w:rsidRPr="005E5DE1" w:rsidRDefault="005E5DE1" w:rsidP="005E5DE1">
      <w:pPr>
        <w:pStyle w:val="Heading1"/>
      </w:pPr>
      <w:bookmarkStart w:id="16" w:name="_Toc7019503"/>
      <w:r>
        <w:t>Performance Management Audit</w:t>
      </w:r>
      <w:bookmarkEnd w:id="16"/>
    </w:p>
    <w:p w:rsidR="009324A6" w:rsidRDefault="009324A6" w:rsidP="009324A6">
      <w:pPr>
        <w:pStyle w:val="Heading1"/>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Human resource management (HRM) is the process of acquiring, developing and maintaining human resources (employees in the organisation) so that the company </w:t>
      </w:r>
      <w:r w:rsidRPr="008830AD">
        <w:rPr>
          <w:rFonts w:ascii="Arial" w:eastAsia="Times New Roman" w:hAnsi="Arial" w:cs="Arial"/>
          <w:sz w:val="24"/>
          <w:szCs w:val="24"/>
          <w:lang w:eastAsia="en-GB"/>
        </w:rPr>
        <w:lastRenderedPageBreak/>
        <w:t xml:space="preserve">can be managed in an efficient and effective manner and so that it can easily achieve its goals. </w:t>
      </w:r>
    </w:p>
    <w:p w:rsidR="00FE133A" w:rsidRPr="008830AD" w:rsidRDefault="00FE133A"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functions of a human resource management specialist fall into three categories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1. Operational functions, which include recruitment, training, professional development, remuneration, benefits, accomplishments and ensuring compliance with the law in the organization. These daily activities do not require long-term strategies.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2. Managerial functions such as planning, organizing, managing and controlling employees in order to ensure the achievements and completion of the intended goals. In this part, we focus on strategic short- and medium-term decisions and operational tasks.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3. Advisory functions, i.e. advising senior management and heads of departments in matters related to human resources management. These functions are purely strategic, tailored to the </w:t>
      </w:r>
      <w:r w:rsidR="006539C8" w:rsidRPr="008830AD">
        <w:rPr>
          <w:rFonts w:ascii="Arial" w:eastAsia="Times New Roman" w:hAnsi="Arial" w:cs="Arial"/>
          <w:sz w:val="24"/>
          <w:szCs w:val="24"/>
          <w:lang w:eastAsia="en-GB"/>
        </w:rPr>
        <w:t>company's mission</w:t>
      </w:r>
      <w:sdt>
        <w:sdtPr>
          <w:rPr>
            <w:rFonts w:ascii="Arial" w:eastAsia="Times New Roman" w:hAnsi="Arial" w:cs="Arial"/>
            <w:sz w:val="24"/>
            <w:szCs w:val="24"/>
            <w:lang w:eastAsia="en-GB"/>
          </w:rPr>
          <w:id w:val="1032540835"/>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Each function is subject to specific duties and depends on the role in the organization. A good division of functions is connected subsequently with the transparency of the goals that affect the effec</w:t>
      </w:r>
      <w:r w:rsidR="006539C8" w:rsidRPr="008830AD">
        <w:rPr>
          <w:rFonts w:ascii="Arial" w:eastAsia="Times New Roman" w:hAnsi="Arial" w:cs="Arial"/>
          <w:sz w:val="24"/>
          <w:szCs w:val="24"/>
          <w:lang w:eastAsia="en-GB"/>
        </w:rPr>
        <w:t>tiveness of their performance</w:t>
      </w:r>
    </w:p>
    <w:p w:rsidR="007E7D48" w:rsidRPr="008830AD" w:rsidRDefault="007E7D48"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There are four clearly defined goals that must be achieved in the organization:</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1. Social goals or legal obligations. The HR manager must have accurate knowledge about the relationships in the fi</w:t>
      </w:r>
      <w:r w:rsidR="00FE133A" w:rsidRPr="008830AD">
        <w:rPr>
          <w:rFonts w:ascii="Arial" w:eastAsia="Times New Roman" w:hAnsi="Arial" w:cs="Arial"/>
          <w:sz w:val="24"/>
          <w:szCs w:val="24"/>
          <w:lang w:eastAsia="en-GB"/>
        </w:rPr>
        <w:t>eld of managing human resources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2. Organizational goals to ensure organizational efficiency, helping the</w:t>
      </w:r>
      <w:r w:rsidR="00FE133A" w:rsidRPr="008830AD">
        <w:rPr>
          <w:rFonts w:ascii="Arial" w:eastAsia="Times New Roman" w:hAnsi="Arial" w:cs="Arial"/>
          <w:sz w:val="24"/>
          <w:szCs w:val="24"/>
          <w:lang w:eastAsia="en-GB"/>
        </w:rPr>
        <w:t xml:space="preserve"> company achieve its main goals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3. Functional goals: HR department should operate in parallel with the organizational goals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4. Personal goals consist in assessing the individual skills of employees and designing the path of their development, at the same time adapted to organizational goals. Initially, it is about helping an individual employee to define and achieve his/her personal goals and creating an image of the career in a way that adds value to the compan</w:t>
      </w:r>
      <w:r w:rsidR="006539C8" w:rsidRPr="008830AD">
        <w:rPr>
          <w:rFonts w:ascii="Arial" w:eastAsia="Times New Roman" w:hAnsi="Arial" w:cs="Arial"/>
          <w:sz w:val="24"/>
          <w:szCs w:val="24"/>
          <w:lang w:eastAsia="en-GB"/>
        </w:rPr>
        <w:t>y</w:t>
      </w:r>
      <w:sdt>
        <w:sdtPr>
          <w:rPr>
            <w:rFonts w:ascii="Arial" w:eastAsia="Times New Roman" w:hAnsi="Arial" w:cs="Arial"/>
            <w:sz w:val="24"/>
            <w:szCs w:val="24"/>
            <w:lang w:eastAsia="en-GB"/>
          </w:rPr>
          <w:id w:val="1148328610"/>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Alton Towers theme park has welcomed its guests for over 35 years. In addition to excellent attractions such as rides, there are also 4 hotels in its possession, which entails a huge demand for employees. It is one of the largest employers in the private sector in the region, indirectly and directly responsible for 2,900 jobs in the area and 3,520 jobs in West Midlands region. In fact, most of them have a seasonal character and are not full-time. However, 900 peo</w:t>
      </w:r>
      <w:r w:rsidR="006539C8" w:rsidRPr="008830AD">
        <w:rPr>
          <w:rFonts w:ascii="Arial" w:eastAsia="Times New Roman" w:hAnsi="Arial" w:cs="Arial"/>
          <w:sz w:val="24"/>
          <w:szCs w:val="24"/>
          <w:lang w:eastAsia="en-GB"/>
        </w:rPr>
        <w:t>ple have full-time jobs there</w:t>
      </w:r>
      <w:sdt>
        <w:sdtPr>
          <w:rPr>
            <w:rFonts w:ascii="Arial" w:eastAsia="Times New Roman" w:hAnsi="Arial" w:cs="Arial"/>
            <w:sz w:val="24"/>
            <w:szCs w:val="24"/>
            <w:lang w:eastAsia="en-GB"/>
          </w:rPr>
          <w:id w:val="-936056051"/>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How to get a job at Merlin Entertainments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Alton Towers employs employees mainly seasonally. It has entry-level jobs as well as professional offers. Before a candidate is invited to an interview, he/she must first complete</w:t>
      </w:r>
      <w:r w:rsidR="006539C8" w:rsidRPr="008830AD">
        <w:rPr>
          <w:rFonts w:ascii="Arial" w:eastAsia="Times New Roman" w:hAnsi="Arial" w:cs="Arial"/>
          <w:sz w:val="24"/>
          <w:szCs w:val="24"/>
          <w:lang w:eastAsia="en-GB"/>
        </w:rPr>
        <w:t xml:space="preserve"> the appropriate questionnaire</w:t>
      </w:r>
      <w:sdt>
        <w:sdtPr>
          <w:rPr>
            <w:rFonts w:ascii="Arial" w:eastAsia="Times New Roman" w:hAnsi="Arial" w:cs="Arial"/>
            <w:sz w:val="24"/>
            <w:szCs w:val="24"/>
            <w:lang w:eastAsia="en-GB"/>
          </w:rPr>
          <w:id w:val="-839466084"/>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7E7D48" w:rsidRPr="008830AD" w:rsidRDefault="007E7D48" w:rsidP="008830AD">
      <w:pPr>
        <w:spacing w:line="360" w:lineRule="auto"/>
        <w:jc w:val="both"/>
        <w:rPr>
          <w:rFonts w:ascii="Arial" w:eastAsia="Times New Roman" w:hAnsi="Arial" w:cs="Arial"/>
          <w:b/>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start of the process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recruitment department contacts potential employees in order to invite them for an interview within 14 days from the date of sending the application, usually it is an email. The job interview usually includes questions related to your previous employment, your skills and availability to work. </w:t>
      </w:r>
    </w:p>
    <w:p w:rsidR="0085558C" w:rsidRPr="008830AD" w:rsidRDefault="00FE133A"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selection processes differ</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company focuses on doing them in a pleasant and relaxed atmosphere, which helps to assess professional capabilities and personality of a recruited person in a correct way. Tasks at the basic level (seller, rides team member) are present in the </w:t>
      </w:r>
      <w:r w:rsidRPr="008830AD">
        <w:rPr>
          <w:rFonts w:ascii="Arial" w:eastAsia="Times New Roman" w:hAnsi="Arial" w:cs="Arial"/>
          <w:sz w:val="24"/>
          <w:szCs w:val="24"/>
          <w:lang w:eastAsia="en-GB"/>
        </w:rPr>
        <w:lastRenderedPageBreak/>
        <w:t xml:space="preserve">form of group interviews and then individually.  Basic questions to applicants at the basic level usually relate to interpersonal skills and work ethics. </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Superior Roles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Candidates for higher positions have to go through several panel interviews, usually including questions about behavio</w:t>
      </w:r>
      <w:r w:rsidR="00FE133A" w:rsidRPr="008830AD">
        <w:rPr>
          <w:rFonts w:ascii="Arial" w:eastAsia="Times New Roman" w:hAnsi="Arial" w:cs="Arial"/>
          <w:sz w:val="24"/>
          <w:szCs w:val="24"/>
          <w:lang w:eastAsia="en-GB"/>
        </w:rPr>
        <w:t>u</w:t>
      </w:r>
      <w:r w:rsidRPr="008830AD">
        <w:rPr>
          <w:rFonts w:ascii="Arial" w:eastAsia="Times New Roman" w:hAnsi="Arial" w:cs="Arial"/>
          <w:sz w:val="24"/>
          <w:szCs w:val="24"/>
          <w:lang w:eastAsia="en-GB"/>
        </w:rPr>
        <w:t xml:space="preserve">r in specific situations (acting out situation scenes), which allows to determine the maturity and </w:t>
      </w:r>
      <w:r w:rsidR="007E7D48" w:rsidRPr="008830AD">
        <w:rPr>
          <w:rFonts w:ascii="Arial" w:eastAsia="Times New Roman" w:hAnsi="Arial" w:cs="Arial"/>
          <w:sz w:val="24"/>
          <w:szCs w:val="24"/>
          <w:lang w:eastAsia="en-GB"/>
        </w:rPr>
        <w:t>responsibility of an applicant.</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Arrive On-time and Dressed Up</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recruitment session is at least 30 minutes. Candidates should be dressed in line with the role they are applying for.</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How to be the best</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The ideal candidate is expected to have passion for theme parks and express real commitment to work. The company is strongly focused on creating unique and unforgettable experiences and requires employees to share and demonstrate the attitude of faith in the power of play. </w:t>
      </w: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Wrapping Up Interviews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Alton Towers is looking for employees who are truly committed to the company's mission, ready to go the extra mile. It is very important to be prepared to demonstrate such behaviors by citing the stories from previous experiences, both from everyday life and from work. Enthusiasm and commitment are very much appreciated here. The company believes that happy team means happy guests. Therefore it is essential to provide unforgettable experiences to a customer. Loving what we do, always striving to be fast and innovative, keeping promises and above all being serious and following the rules of sa</w:t>
      </w:r>
      <w:r w:rsidR="006539C8" w:rsidRPr="008830AD">
        <w:rPr>
          <w:rFonts w:ascii="Arial" w:eastAsia="Times New Roman" w:hAnsi="Arial" w:cs="Arial"/>
          <w:sz w:val="24"/>
          <w:szCs w:val="24"/>
          <w:lang w:eastAsia="en-GB"/>
        </w:rPr>
        <w:t>fety in this atmosphere of fun</w:t>
      </w:r>
      <w:sdt>
        <w:sdtPr>
          <w:rPr>
            <w:rFonts w:ascii="Arial" w:eastAsia="Times New Roman" w:hAnsi="Arial" w:cs="Arial"/>
            <w:sz w:val="24"/>
            <w:szCs w:val="24"/>
            <w:lang w:eastAsia="en-GB"/>
          </w:rPr>
          <w:id w:val="-356197984"/>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result of the job interview is usually given by e-mail or by phone and regardless of whether it is successful or not, candidates are informed about the employment status a few days</w:t>
      </w:r>
      <w:r w:rsidR="006539C8" w:rsidRPr="008830AD">
        <w:rPr>
          <w:rFonts w:ascii="Arial" w:eastAsia="Times New Roman" w:hAnsi="Arial" w:cs="Arial"/>
          <w:sz w:val="24"/>
          <w:szCs w:val="24"/>
          <w:lang w:eastAsia="en-GB"/>
        </w:rPr>
        <w:t xml:space="preserve"> after the interview.</w:t>
      </w:r>
      <w:sdt>
        <w:sdtPr>
          <w:rPr>
            <w:rFonts w:ascii="Arial" w:eastAsia="Times New Roman" w:hAnsi="Arial" w:cs="Arial"/>
            <w:sz w:val="24"/>
            <w:szCs w:val="24"/>
            <w:lang w:eastAsia="en-GB"/>
          </w:rPr>
          <w:id w:val="1494836615"/>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 xml:space="preserve">Alton Towers believes that as long as employees are happy, it can ensure that the client's expectations are met to the fullest. Motivated staff is the key in serving </w:t>
      </w:r>
      <w:r w:rsidRPr="008830AD">
        <w:rPr>
          <w:rFonts w:ascii="Arial" w:eastAsia="Times New Roman" w:hAnsi="Arial" w:cs="Arial"/>
          <w:sz w:val="24"/>
          <w:szCs w:val="24"/>
          <w:lang w:eastAsia="en-GB"/>
        </w:rPr>
        <w:lastRenderedPageBreak/>
        <w:t xml:space="preserve">customers. An average employee can work up to ten hours a day, which is why the company tries to balance a hard day at work with some benefits for the staff. Employees receive certain numbers of tickets that can be used in all global attractions of Merlin. The company has an online system that provides access to employee benefits, such as holiday discounts or gives them the chance to win a trophy, coupons or even money. </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The company has bonuses for achieved targets. It also has a system of saving Merlin Entertainment shares. While reading the opinions about working at Alton Towers I have met with a very positive response to it, which means that actions undertaken to motivate and maintain satisfaction o</w:t>
      </w:r>
      <w:r w:rsidR="006539C8" w:rsidRPr="008830AD">
        <w:rPr>
          <w:rFonts w:ascii="Arial" w:eastAsia="Times New Roman" w:hAnsi="Arial" w:cs="Arial"/>
          <w:sz w:val="24"/>
          <w:szCs w:val="24"/>
          <w:lang w:eastAsia="en-GB"/>
        </w:rPr>
        <w:t>f an employee are very fruitful</w:t>
      </w:r>
      <w:sdt>
        <w:sdtPr>
          <w:rPr>
            <w:rFonts w:ascii="Arial" w:eastAsia="Times New Roman" w:hAnsi="Arial" w:cs="Arial"/>
            <w:sz w:val="24"/>
            <w:szCs w:val="24"/>
            <w:lang w:eastAsia="en-GB"/>
          </w:rPr>
          <w:id w:val="542717001"/>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sdt>
        <w:sdtPr>
          <w:rPr>
            <w:rFonts w:ascii="Arial" w:eastAsia="Times New Roman" w:hAnsi="Arial" w:cs="Arial"/>
            <w:sz w:val="24"/>
            <w:szCs w:val="24"/>
            <w:lang w:eastAsia="en-GB"/>
          </w:rPr>
          <w:id w:val="1755713122"/>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Arm07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(Armstrong, 2007)</w:t>
          </w:r>
          <w:r w:rsidR="006539C8" w:rsidRPr="008830AD">
            <w:rPr>
              <w:rFonts w:ascii="Arial" w:eastAsia="Times New Roman" w:hAnsi="Arial" w:cs="Arial"/>
              <w:sz w:val="24"/>
              <w:szCs w:val="24"/>
              <w:lang w:eastAsia="en-GB"/>
            </w:rPr>
            <w:fldChar w:fldCharType="end"/>
          </w:r>
        </w:sdtContent>
      </w:sdt>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b/>
          <w:sz w:val="24"/>
          <w:szCs w:val="24"/>
          <w:lang w:eastAsia="en-GB"/>
        </w:rPr>
      </w:pPr>
      <w:r w:rsidRPr="008830AD">
        <w:rPr>
          <w:rFonts w:ascii="Arial" w:eastAsia="Times New Roman" w:hAnsi="Arial" w:cs="Arial"/>
          <w:b/>
          <w:sz w:val="24"/>
          <w:szCs w:val="24"/>
          <w:lang w:eastAsia="en-GB"/>
        </w:rPr>
        <w:t>The company puts great emphasis on the following aspects:</w:t>
      </w:r>
    </w:p>
    <w:p w:rsidR="0085558C" w:rsidRPr="008830AD" w:rsidRDefault="0085558C" w:rsidP="008830AD">
      <w:pPr>
        <w:spacing w:line="360" w:lineRule="auto"/>
        <w:jc w:val="both"/>
        <w:rPr>
          <w:rFonts w:ascii="Arial" w:eastAsia="Times New Roman" w:hAnsi="Arial" w:cs="Arial"/>
          <w:sz w:val="24"/>
          <w:szCs w:val="24"/>
          <w:lang w:eastAsia="en-GB"/>
        </w:rPr>
      </w:pP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Professional development - awakening in an employee the willingness to look for and go through subsequent training courses</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 xml:space="preserve">Long-term vision - plan, map what you can </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An effective and strong awards system</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Accessible and easy communication, making employees feel appreciated;</w:t>
      </w:r>
    </w:p>
    <w:p w:rsidR="0085558C" w:rsidRPr="008830AD" w:rsidRDefault="0085558C" w:rsidP="008830AD">
      <w:pPr>
        <w:spacing w:line="360" w:lineRule="auto"/>
        <w:jc w:val="both"/>
        <w:rPr>
          <w:rFonts w:ascii="Arial" w:eastAsia="Times New Roman" w:hAnsi="Arial" w:cs="Arial"/>
          <w:sz w:val="24"/>
          <w:szCs w:val="24"/>
          <w:lang w:eastAsia="en-GB"/>
        </w:rPr>
      </w:pPr>
      <w:r w:rsidRPr="008830AD">
        <w:rPr>
          <w:rFonts w:ascii="Arial" w:eastAsia="Times New Roman" w:hAnsi="Arial" w:cs="Arial"/>
          <w:sz w:val="24"/>
          <w:szCs w:val="24"/>
          <w:lang w:eastAsia="en-GB"/>
        </w:rPr>
        <w:t>•</w:t>
      </w:r>
      <w:r w:rsidRPr="008830AD">
        <w:rPr>
          <w:rFonts w:ascii="Arial" w:eastAsia="Times New Roman" w:hAnsi="Arial" w:cs="Arial"/>
          <w:sz w:val="24"/>
          <w:szCs w:val="24"/>
          <w:lang w:eastAsia="en-GB"/>
        </w:rPr>
        <w:tab/>
        <w:t>Creating employees with the opportunity to participate in business regardless of the position</w:t>
      </w:r>
    </w:p>
    <w:p w:rsidR="006539C8" w:rsidRDefault="0085558C" w:rsidP="0085558C">
      <w:pPr>
        <w:rPr>
          <w:rFonts w:ascii="Calibri" w:eastAsia="Times New Roman" w:hAnsi="Calibri" w:cs="Times New Roman"/>
          <w:lang w:eastAsia="en-GB"/>
        </w:rPr>
      </w:pPr>
      <w:r w:rsidRPr="0085558C">
        <w:rPr>
          <w:rFonts w:ascii="Calibri" w:eastAsia="Times New Roman" w:hAnsi="Calibri" w:cs="Times New Roman"/>
          <w:lang w:eastAsia="en-GB"/>
        </w:rPr>
        <w:t>•</w:t>
      </w:r>
      <w:r w:rsidRPr="0085558C">
        <w:rPr>
          <w:rFonts w:ascii="Calibri" w:eastAsia="Times New Roman" w:hAnsi="Calibri" w:cs="Times New Roman"/>
          <w:lang w:eastAsia="en-GB"/>
        </w:rPr>
        <w:tab/>
      </w:r>
      <w:r w:rsidRPr="008830AD">
        <w:rPr>
          <w:rFonts w:ascii="Arial" w:eastAsia="Times New Roman" w:hAnsi="Arial" w:cs="Arial"/>
          <w:sz w:val="24"/>
          <w:szCs w:val="24"/>
          <w:lang w:eastAsia="en-GB"/>
        </w:rPr>
        <w:t>Making work pleasant</w:t>
      </w:r>
      <w:sdt>
        <w:sdtPr>
          <w:rPr>
            <w:rFonts w:ascii="Arial" w:eastAsia="Times New Roman" w:hAnsi="Arial" w:cs="Arial"/>
            <w:sz w:val="24"/>
            <w:szCs w:val="24"/>
            <w:lang w:eastAsia="en-GB"/>
          </w:rPr>
          <w:id w:val="-315947664"/>
          <w:citation/>
        </w:sdtPr>
        <w:sdtContent>
          <w:r w:rsidR="006539C8" w:rsidRPr="008830AD">
            <w:rPr>
              <w:rFonts w:ascii="Arial" w:eastAsia="Times New Roman" w:hAnsi="Arial" w:cs="Arial"/>
              <w:sz w:val="24"/>
              <w:szCs w:val="24"/>
              <w:lang w:eastAsia="en-GB"/>
            </w:rPr>
            <w:fldChar w:fldCharType="begin"/>
          </w:r>
          <w:r w:rsidR="006539C8" w:rsidRPr="008830AD">
            <w:rPr>
              <w:rFonts w:ascii="Arial" w:eastAsia="Times New Roman" w:hAnsi="Arial" w:cs="Arial"/>
              <w:sz w:val="24"/>
              <w:szCs w:val="24"/>
              <w:lang w:eastAsia="en-GB"/>
            </w:rPr>
            <w:instrText xml:space="preserve"> CITATION Alt19 \l 2057 </w:instrText>
          </w:r>
          <w:r w:rsidR="006539C8" w:rsidRPr="008830AD">
            <w:rPr>
              <w:rFonts w:ascii="Arial" w:eastAsia="Times New Roman" w:hAnsi="Arial" w:cs="Arial"/>
              <w:sz w:val="24"/>
              <w:szCs w:val="24"/>
              <w:lang w:eastAsia="en-GB"/>
            </w:rPr>
            <w:fldChar w:fldCharType="separate"/>
          </w:r>
          <w:r w:rsidR="006539C8" w:rsidRPr="008830AD">
            <w:rPr>
              <w:rFonts w:ascii="Arial" w:eastAsia="Times New Roman" w:hAnsi="Arial" w:cs="Arial"/>
              <w:noProof/>
              <w:sz w:val="24"/>
              <w:szCs w:val="24"/>
              <w:lang w:eastAsia="en-GB"/>
            </w:rPr>
            <w:t xml:space="preserve"> (Anon., 2019)</w:t>
          </w:r>
          <w:r w:rsidR="006539C8" w:rsidRPr="008830AD">
            <w:rPr>
              <w:rFonts w:ascii="Arial" w:eastAsia="Times New Roman" w:hAnsi="Arial" w:cs="Arial"/>
              <w:sz w:val="24"/>
              <w:szCs w:val="24"/>
              <w:lang w:eastAsia="en-GB"/>
            </w:rPr>
            <w:fldChar w:fldCharType="end"/>
          </w:r>
        </w:sdtContent>
      </w:sdt>
    </w:p>
    <w:p w:rsidR="0023304C" w:rsidRPr="0023304C" w:rsidRDefault="0023304C" w:rsidP="0085558C">
      <w:pPr>
        <w:rPr>
          <w:rFonts w:ascii="Arial" w:eastAsia="Times New Roman" w:hAnsi="Arial" w:cs="Arial"/>
          <w:sz w:val="24"/>
          <w:szCs w:val="24"/>
          <w:lang w:eastAsia="en-GB"/>
        </w:rPr>
      </w:pPr>
    </w:p>
    <w:p w:rsidR="008830AD"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Recommendation for improvement:</w:t>
      </w:r>
    </w:p>
    <w:p w:rsidR="0023304C" w:rsidRPr="00B33EC3" w:rsidRDefault="0023304C"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Intellectual property</w:t>
      </w:r>
    </w:p>
    <w:p w:rsidR="00B33EC3"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 xml:space="preserve">Nowadays the thrilling rides is not enough. Theme park guests want to spend their time with loved characters and franchises (Intellectual property) as for example the Minions, Disney princesses, Harry Potter, Star Wars. Attractions focused on </w:t>
      </w:r>
      <w:r w:rsidRPr="00B33EC3">
        <w:rPr>
          <w:rFonts w:ascii="Arial" w:eastAsia="Times New Roman" w:hAnsi="Arial" w:cs="Arial"/>
          <w:sz w:val="24"/>
          <w:szCs w:val="24"/>
          <w:lang w:eastAsia="en-GB"/>
        </w:rPr>
        <w:lastRenderedPageBreak/>
        <w:t>Intellectual Property are the part of over-flowing circle where TV shows, toys, movies all promote each other.</w:t>
      </w:r>
    </w:p>
    <w:p w:rsidR="0023304C" w:rsidRPr="00B33EC3" w:rsidRDefault="0023304C"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 xml:space="preserve">Theme parks are a </w:t>
      </w:r>
      <w:r w:rsidR="00B33EC3" w:rsidRPr="00B33EC3">
        <w:rPr>
          <w:rFonts w:ascii="Arial" w:eastAsia="Times New Roman" w:hAnsi="Arial" w:cs="Arial"/>
          <w:sz w:val="24"/>
          <w:szCs w:val="24"/>
          <w:lang w:eastAsia="en-GB"/>
        </w:rPr>
        <w:t>capital-intensive</w:t>
      </w:r>
      <w:r w:rsidRPr="00B33EC3">
        <w:rPr>
          <w:rFonts w:ascii="Arial" w:eastAsia="Times New Roman" w:hAnsi="Arial" w:cs="Arial"/>
          <w:sz w:val="24"/>
          <w:szCs w:val="24"/>
          <w:lang w:eastAsia="en-GB"/>
        </w:rPr>
        <w:t xml:space="preserve"> business to run</w:t>
      </w:r>
    </w:p>
    <w:p w:rsidR="0023304C" w:rsidRPr="00B33EC3" w:rsidRDefault="0023304C" w:rsidP="00B33EC3">
      <w:p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 xml:space="preserve">Alton Towers need to </w:t>
      </w:r>
      <w:r w:rsidR="00B33EC3" w:rsidRPr="00B33EC3">
        <w:rPr>
          <w:rFonts w:ascii="Arial" w:eastAsia="Times New Roman" w:hAnsi="Arial" w:cs="Arial"/>
          <w:sz w:val="24"/>
          <w:szCs w:val="24"/>
          <w:lang w:eastAsia="en-GB"/>
        </w:rPr>
        <w:t>maintenance</w:t>
      </w:r>
      <w:r w:rsidRPr="00B33EC3">
        <w:rPr>
          <w:rFonts w:ascii="Arial" w:eastAsia="Times New Roman" w:hAnsi="Arial" w:cs="Arial"/>
          <w:sz w:val="24"/>
          <w:szCs w:val="24"/>
          <w:lang w:eastAsia="en-GB"/>
        </w:rPr>
        <w:t xml:space="preserve"> and add new rides, </w:t>
      </w:r>
      <w:r w:rsidR="00B33EC3" w:rsidRPr="00B33EC3">
        <w:rPr>
          <w:rFonts w:ascii="Arial" w:eastAsia="Times New Roman" w:hAnsi="Arial" w:cs="Arial"/>
          <w:sz w:val="24"/>
          <w:szCs w:val="24"/>
          <w:lang w:eastAsia="en-GB"/>
        </w:rPr>
        <w:t>restaurants</w:t>
      </w:r>
      <w:r w:rsidRPr="00B33EC3">
        <w:rPr>
          <w:rFonts w:ascii="Arial" w:eastAsia="Times New Roman" w:hAnsi="Arial" w:cs="Arial"/>
          <w:sz w:val="24"/>
          <w:szCs w:val="24"/>
          <w:lang w:eastAsia="en-GB"/>
        </w:rPr>
        <w:t xml:space="preserve">, hotels and shops every year to follow with competitors. It is </w:t>
      </w:r>
      <w:r w:rsidR="00B33EC3" w:rsidRPr="00B33EC3">
        <w:rPr>
          <w:rFonts w:ascii="Arial" w:eastAsia="Times New Roman" w:hAnsi="Arial" w:cs="Arial"/>
          <w:sz w:val="24"/>
          <w:szCs w:val="24"/>
          <w:lang w:eastAsia="en-GB"/>
        </w:rPr>
        <w:t>important</w:t>
      </w:r>
      <w:r w:rsidRPr="00B33EC3">
        <w:rPr>
          <w:rFonts w:ascii="Arial" w:eastAsia="Times New Roman" w:hAnsi="Arial" w:cs="Arial"/>
          <w:sz w:val="24"/>
          <w:szCs w:val="24"/>
          <w:lang w:eastAsia="en-GB"/>
        </w:rPr>
        <w:t xml:space="preserve"> to keeping up by offering high-tech, new attractions that visitors crave</w:t>
      </w:r>
    </w:p>
    <w:p w:rsidR="00B33EC3" w:rsidRPr="00B33EC3" w:rsidRDefault="00B33EC3"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Having international partners</w:t>
      </w:r>
    </w:p>
    <w:p w:rsidR="00B33EC3" w:rsidRDefault="00B33EC3" w:rsidP="00B33EC3">
      <w:pPr>
        <w:pStyle w:val="ListParagraph"/>
        <w:numPr>
          <w:ilvl w:val="0"/>
          <w:numId w:val="2"/>
        </w:numPr>
        <w:spacing w:line="360" w:lineRule="auto"/>
        <w:rPr>
          <w:rFonts w:ascii="Arial" w:eastAsia="Times New Roman" w:hAnsi="Arial" w:cs="Arial"/>
          <w:sz w:val="24"/>
          <w:szCs w:val="24"/>
          <w:lang w:eastAsia="en-GB"/>
        </w:rPr>
      </w:pPr>
      <w:r w:rsidRPr="00B33EC3">
        <w:rPr>
          <w:rFonts w:ascii="Arial" w:eastAsia="Times New Roman" w:hAnsi="Arial" w:cs="Arial"/>
          <w:sz w:val="24"/>
          <w:szCs w:val="24"/>
          <w:lang w:eastAsia="en-GB"/>
        </w:rPr>
        <w:t>Having more events going on through the year (specially when is off season)</w:t>
      </w:r>
    </w:p>
    <w:p w:rsidR="00B33EC3" w:rsidRPr="00B33EC3" w:rsidRDefault="00B33EC3" w:rsidP="00B33EC3">
      <w:pPr>
        <w:pStyle w:val="ListParagraph"/>
        <w:numPr>
          <w:ilvl w:val="0"/>
          <w:numId w:val="2"/>
        </w:numPr>
        <w:spacing w:line="360" w:lineRule="auto"/>
        <w:rPr>
          <w:rFonts w:ascii="Arial" w:eastAsia="Times New Roman" w:hAnsi="Arial" w:cs="Arial"/>
          <w:sz w:val="24"/>
          <w:szCs w:val="24"/>
          <w:lang w:eastAsia="en-GB"/>
        </w:rPr>
      </w:pPr>
      <w:r>
        <w:rPr>
          <w:rFonts w:ascii="Arial" w:eastAsia="Times New Roman" w:hAnsi="Arial" w:cs="Arial"/>
          <w:sz w:val="24"/>
          <w:szCs w:val="24"/>
          <w:lang w:eastAsia="en-GB"/>
        </w:rPr>
        <w:t>Concentrate more on promoting in social media</w:t>
      </w:r>
    </w:p>
    <w:p w:rsidR="0023304C" w:rsidRDefault="0023304C"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Default="008830AD" w:rsidP="0085558C">
      <w:pPr>
        <w:rPr>
          <w:rFonts w:ascii="Calibri" w:eastAsia="Times New Roman" w:hAnsi="Calibri" w:cs="Times New Roman"/>
          <w:lang w:eastAsia="en-GB"/>
        </w:rPr>
      </w:pPr>
    </w:p>
    <w:p w:rsidR="008830AD" w:rsidRPr="0085558C" w:rsidRDefault="008830AD" w:rsidP="0085558C">
      <w:pPr>
        <w:rPr>
          <w:rFonts w:ascii="Calibri" w:eastAsia="Times New Roman" w:hAnsi="Calibri" w:cs="Times New Roman"/>
          <w:lang w:eastAsia="en-GB"/>
        </w:rPr>
      </w:pPr>
    </w:p>
    <w:sdt>
      <w:sdtPr>
        <w:rPr>
          <w:rFonts w:asciiTheme="minorHAnsi" w:eastAsiaTheme="minorHAnsi" w:hAnsiTheme="minorHAnsi" w:cstheme="minorBidi"/>
          <w:color w:val="auto"/>
          <w:sz w:val="22"/>
          <w:szCs w:val="22"/>
        </w:rPr>
        <w:id w:val="267436376"/>
        <w:docPartObj>
          <w:docPartGallery w:val="Bibliographies"/>
          <w:docPartUnique/>
        </w:docPartObj>
      </w:sdtPr>
      <w:sdtContent>
        <w:p w:rsidR="006539C8" w:rsidRDefault="006539C8">
          <w:pPr>
            <w:pStyle w:val="Heading1"/>
          </w:pPr>
          <w:r>
            <w:t>References</w:t>
          </w:r>
        </w:p>
        <w:sdt>
          <w:sdtPr>
            <w:id w:val="-573587230"/>
            <w:bibliography/>
          </w:sdtPr>
          <w:sdtContent>
            <w:p w:rsidR="006539C8" w:rsidRDefault="006539C8" w:rsidP="006539C8">
              <w:pPr>
                <w:pStyle w:val="Bibliography"/>
                <w:rPr>
                  <w:noProof/>
                  <w:sz w:val="24"/>
                  <w:szCs w:val="24"/>
                </w:rPr>
              </w:pPr>
              <w:r>
                <w:fldChar w:fldCharType="begin"/>
              </w:r>
              <w:r>
                <w:instrText xml:space="preserve"> BIBLIOGRAPHY </w:instrText>
              </w:r>
              <w:r>
                <w:fldChar w:fldCharType="separate"/>
              </w:r>
              <w:r>
                <w:rPr>
                  <w:noProof/>
                </w:rPr>
                <w:t xml:space="preserve">Anon., 2019. </w:t>
              </w:r>
              <w:r>
                <w:rPr>
                  <w:i/>
                  <w:iCs/>
                  <w:noProof/>
                </w:rPr>
                <w:t xml:space="preserve">Alton Towers. </w:t>
              </w:r>
              <w:r>
                <w:rPr>
                  <w:noProof/>
                </w:rPr>
                <w:t xml:space="preserve">[Online] </w:t>
              </w:r>
              <w:r>
                <w:rPr>
                  <w:noProof/>
                </w:rPr>
                <w:br/>
                <w:t xml:space="preserve">Available at: </w:t>
              </w:r>
              <w:r>
                <w:rPr>
                  <w:noProof/>
                  <w:u w:val="single"/>
                </w:rPr>
                <w:t>https://support.altontowers.com/hc/en-us</w:t>
              </w:r>
              <w:r>
                <w:rPr>
                  <w:noProof/>
                </w:rPr>
                <w:br/>
                <w:t>[Accessed 16 04 2019].</w:t>
              </w:r>
            </w:p>
            <w:p w:rsidR="006539C8" w:rsidRDefault="006539C8" w:rsidP="006539C8">
              <w:pPr>
                <w:pStyle w:val="Bibliography"/>
                <w:rPr>
                  <w:noProof/>
                </w:rPr>
              </w:pPr>
              <w:r>
                <w:rPr>
                  <w:noProof/>
                </w:rPr>
                <w:t xml:space="preserve">Armstrong, M., 2007. </w:t>
              </w:r>
              <w:r>
                <w:rPr>
                  <w:i/>
                  <w:iCs/>
                  <w:noProof/>
                </w:rPr>
                <w:t xml:space="preserve">A handbook of Human Resource Management Practise. </w:t>
              </w:r>
              <w:r>
                <w:rPr>
                  <w:noProof/>
                </w:rPr>
                <w:t>10th ed. Cambridge: University Press.</w:t>
              </w:r>
            </w:p>
            <w:p w:rsidR="006539C8" w:rsidRDefault="006539C8" w:rsidP="006539C8">
              <w:pPr>
                <w:pStyle w:val="Bibliography"/>
                <w:rPr>
                  <w:noProof/>
                </w:rPr>
              </w:pPr>
              <w:r>
                <w:rPr>
                  <w:noProof/>
                </w:rPr>
                <w:t xml:space="preserve">Baron, R. &amp; Markman, G., 2003. Beyond social capital: the role of entrepreneurs' social competence in their financial success. </w:t>
              </w:r>
              <w:r>
                <w:rPr>
                  <w:i/>
                  <w:iCs/>
                  <w:noProof/>
                </w:rPr>
                <w:t xml:space="preserve">Journal of Business Venturing, </w:t>
              </w:r>
              <w:r>
                <w:rPr>
                  <w:noProof/>
                </w:rPr>
                <w:t>18(1), pp. 41-60.</w:t>
              </w:r>
            </w:p>
            <w:p w:rsidR="006539C8" w:rsidRDefault="006539C8" w:rsidP="006539C8">
              <w:pPr>
                <w:pStyle w:val="Bibliography"/>
                <w:rPr>
                  <w:noProof/>
                </w:rPr>
              </w:pPr>
              <w:r>
                <w:rPr>
                  <w:noProof/>
                </w:rPr>
                <w:t xml:space="preserve">Boddy, D., 2013. </w:t>
              </w:r>
              <w:r>
                <w:rPr>
                  <w:i/>
                  <w:iCs/>
                  <w:noProof/>
                </w:rPr>
                <w:t xml:space="preserve">Management: An Introduction. </w:t>
              </w:r>
              <w:r>
                <w:rPr>
                  <w:noProof/>
                </w:rPr>
                <w:t>6th ed. Harlow: Pearson.</w:t>
              </w:r>
            </w:p>
            <w:p w:rsidR="006539C8" w:rsidRDefault="006539C8" w:rsidP="006539C8">
              <w:pPr>
                <w:pStyle w:val="Bibliography"/>
                <w:rPr>
                  <w:noProof/>
                </w:rPr>
              </w:pPr>
              <w:r>
                <w:rPr>
                  <w:noProof/>
                </w:rPr>
                <w:t xml:space="preserve">Brotherton, B. &amp; Coyle, M., 1990. Managing Instability in the Hospitality Operations Environment. Part One: Variability. </w:t>
              </w:r>
              <w:r>
                <w:rPr>
                  <w:i/>
                  <w:iCs/>
                  <w:noProof/>
                </w:rPr>
                <w:t xml:space="preserve">INTERNATIONAL JOURNAL OF CONTEMPORARY HOSPITALITY MANAGEMENT, </w:t>
              </w:r>
              <w:r>
                <w:rPr>
                  <w:noProof/>
                </w:rPr>
                <w:t>2(3).</w:t>
              </w:r>
            </w:p>
            <w:p w:rsidR="006539C8" w:rsidRDefault="006539C8" w:rsidP="006539C8">
              <w:pPr>
                <w:pStyle w:val="Bibliography"/>
                <w:rPr>
                  <w:noProof/>
                </w:rPr>
              </w:pPr>
              <w:r>
                <w:rPr>
                  <w:noProof/>
                </w:rPr>
                <w:t xml:space="preserve">Collins, C. &amp; Clark, K., 2017. Strategic Human Resource Practices, Top Management Team Social Networks, and Firm Performance: The Role of Human Resource Practices in Creating Organizational Competitive Advantage. </w:t>
              </w:r>
              <w:r>
                <w:rPr>
                  <w:i/>
                  <w:iCs/>
                  <w:noProof/>
                </w:rPr>
                <w:t xml:space="preserve">Academy of Management, </w:t>
              </w:r>
              <w:r>
                <w:rPr>
                  <w:noProof/>
                </w:rPr>
                <w:t>46(6).</w:t>
              </w:r>
            </w:p>
            <w:p w:rsidR="006539C8" w:rsidRDefault="006539C8" w:rsidP="006539C8">
              <w:pPr>
                <w:pStyle w:val="Bibliography"/>
                <w:rPr>
                  <w:noProof/>
                </w:rPr>
              </w:pPr>
              <w:r>
                <w:rPr>
                  <w:noProof/>
                </w:rPr>
                <w:t xml:space="preserve">Crane, A. &amp; Matten, D., 2012. </w:t>
              </w:r>
              <w:r>
                <w:rPr>
                  <w:i/>
                  <w:iCs/>
                  <w:noProof/>
                </w:rPr>
                <w:t xml:space="preserve">Business Ethics: Managing Corporate Citizenship and Sustainability in the Age of Globalization. </w:t>
              </w:r>
              <w:r>
                <w:rPr>
                  <w:noProof/>
                </w:rPr>
                <w:t>Oxford: Oxford University Press.</w:t>
              </w:r>
            </w:p>
            <w:p w:rsidR="006539C8" w:rsidRDefault="006539C8" w:rsidP="006539C8">
              <w:pPr>
                <w:pStyle w:val="Bibliography"/>
                <w:rPr>
                  <w:noProof/>
                </w:rPr>
              </w:pPr>
              <w:r>
                <w:rPr>
                  <w:noProof/>
                </w:rPr>
                <w:t xml:space="preserve">Durrant, A., Kirk, D., Benford, S. &amp; Rodden, T., 2012. Pursuing Leisure: Reflections on Theme Park Visiting. </w:t>
              </w:r>
              <w:r>
                <w:rPr>
                  <w:i/>
                  <w:iCs/>
                  <w:noProof/>
                </w:rPr>
                <w:t xml:space="preserve">Computer Supported Cooperative Work (CSCW), </w:t>
              </w:r>
              <w:r>
                <w:rPr>
                  <w:noProof/>
                </w:rPr>
                <w:t>21(1), pp. 43-79.</w:t>
              </w:r>
            </w:p>
            <w:p w:rsidR="006539C8" w:rsidRDefault="006539C8" w:rsidP="006539C8">
              <w:pPr>
                <w:pStyle w:val="Bibliography"/>
                <w:rPr>
                  <w:noProof/>
                </w:rPr>
              </w:pPr>
              <w:r>
                <w:rPr>
                  <w:noProof/>
                </w:rPr>
                <w:t xml:space="preserve">Figge, F., Hahn, T., Schaltegger, S. &amp; Wagner, M., 2002. The Sustainability Balanced Scorecard – linking sustainability management to business strategy. </w:t>
              </w:r>
              <w:r>
                <w:rPr>
                  <w:i/>
                  <w:iCs/>
                  <w:noProof/>
                </w:rPr>
                <w:t xml:space="preserve">Bussiness Strategy and the Environment, </w:t>
              </w:r>
              <w:r>
                <w:rPr>
                  <w:noProof/>
                </w:rPr>
                <w:t>11(5), pp. 269-341.</w:t>
              </w:r>
            </w:p>
            <w:p w:rsidR="006539C8" w:rsidRDefault="006539C8" w:rsidP="006539C8">
              <w:pPr>
                <w:pStyle w:val="Bibliography"/>
                <w:rPr>
                  <w:noProof/>
                </w:rPr>
              </w:pPr>
              <w:r>
                <w:rPr>
                  <w:noProof/>
                </w:rPr>
                <w:t xml:space="preserve">Fineman, S., Gabriel, Y. &amp; Sims, D., 2009. </w:t>
              </w:r>
              <w:r>
                <w:rPr>
                  <w:i/>
                  <w:iCs/>
                  <w:noProof/>
                </w:rPr>
                <w:t xml:space="preserve">Organizing &amp; Organizations. </w:t>
              </w:r>
              <w:r>
                <w:rPr>
                  <w:noProof/>
                </w:rPr>
                <w:t>4 ed. London: Sage.</w:t>
              </w:r>
            </w:p>
            <w:p w:rsidR="006539C8" w:rsidRDefault="006539C8" w:rsidP="006539C8">
              <w:pPr>
                <w:pStyle w:val="Bibliography"/>
                <w:rPr>
                  <w:noProof/>
                </w:rPr>
              </w:pPr>
              <w:r>
                <w:rPr>
                  <w:noProof/>
                </w:rPr>
                <w:t xml:space="preserve">Francke, A., 2013. </w:t>
              </w:r>
              <w:r>
                <w:rPr>
                  <w:i/>
                  <w:iCs/>
                  <w:noProof/>
                </w:rPr>
                <w:t xml:space="preserve">FT Guide to Management. </w:t>
              </w:r>
              <w:r>
                <w:rPr>
                  <w:noProof/>
                </w:rPr>
                <w:t>Harlow: Pearson.</w:t>
              </w:r>
            </w:p>
            <w:p w:rsidR="006539C8" w:rsidRDefault="006539C8" w:rsidP="006539C8">
              <w:pPr>
                <w:pStyle w:val="Bibliography"/>
                <w:rPr>
                  <w:noProof/>
                </w:rPr>
              </w:pPr>
              <w:r>
                <w:rPr>
                  <w:noProof/>
                </w:rPr>
                <w:t xml:space="preserve">Gelder, D. &amp; Woodcock, P., 2003. </w:t>
              </w:r>
              <w:r>
                <w:rPr>
                  <w:i/>
                  <w:iCs/>
                  <w:noProof/>
                </w:rPr>
                <w:t xml:space="preserve">Vocational Business, Marketing and Promotional Strategy. </w:t>
              </w:r>
              <w:r>
                <w:rPr>
                  <w:noProof/>
                </w:rPr>
                <w:t>Cheltenham: Nelson Thornes.</w:t>
              </w:r>
            </w:p>
            <w:p w:rsidR="006539C8" w:rsidRDefault="006539C8" w:rsidP="006539C8">
              <w:pPr>
                <w:pStyle w:val="Bibliography"/>
                <w:rPr>
                  <w:noProof/>
                </w:rPr>
              </w:pPr>
              <w:r>
                <w:rPr>
                  <w:noProof/>
                </w:rPr>
                <w:t xml:space="preserve">Leuz, C., Nanda, D. &amp; Wysocki, P., 2003. Earnings management and investor protection: an international comparison. </w:t>
              </w:r>
              <w:r>
                <w:rPr>
                  <w:i/>
                  <w:iCs/>
                  <w:noProof/>
                </w:rPr>
                <w:t xml:space="preserve">Journal of Financial Economics, </w:t>
              </w:r>
              <w:r>
                <w:rPr>
                  <w:noProof/>
                </w:rPr>
                <w:t>69(3), pp. 505-527.</w:t>
              </w:r>
            </w:p>
            <w:p w:rsidR="006539C8" w:rsidRDefault="006539C8" w:rsidP="006539C8">
              <w:pPr>
                <w:pStyle w:val="Bibliography"/>
                <w:rPr>
                  <w:noProof/>
                </w:rPr>
              </w:pPr>
              <w:r>
                <w:rPr>
                  <w:noProof/>
                </w:rPr>
                <w:t xml:space="preserve">McClung, G., 1991. Theme park selection: Factors influencing attendance. </w:t>
              </w:r>
              <w:r>
                <w:rPr>
                  <w:i/>
                  <w:iCs/>
                  <w:noProof/>
                </w:rPr>
                <w:t xml:space="preserve">Tourism Management, </w:t>
              </w:r>
              <w:r>
                <w:rPr>
                  <w:noProof/>
                </w:rPr>
                <w:t>12(2), pp. 132-140.</w:t>
              </w:r>
            </w:p>
            <w:p w:rsidR="006539C8" w:rsidRDefault="006539C8" w:rsidP="006539C8">
              <w:pPr>
                <w:pStyle w:val="Bibliography"/>
                <w:rPr>
                  <w:noProof/>
                </w:rPr>
              </w:pPr>
              <w:r>
                <w:rPr>
                  <w:noProof/>
                </w:rPr>
                <w:t xml:space="preserve">McWatters, C., Zimmerman, J. &amp; Morse, D., 2008. </w:t>
              </w:r>
              <w:r>
                <w:rPr>
                  <w:i/>
                  <w:iCs/>
                  <w:noProof/>
                </w:rPr>
                <w:t xml:space="preserve">Management Accounting: Analysis and Interpretation. </w:t>
              </w:r>
              <w:r>
                <w:rPr>
                  <w:noProof/>
                </w:rPr>
                <w:t>Harlow: Pearson.</w:t>
              </w:r>
            </w:p>
            <w:p w:rsidR="006539C8" w:rsidRDefault="006539C8" w:rsidP="006539C8">
              <w:pPr>
                <w:pStyle w:val="Bibliography"/>
                <w:rPr>
                  <w:noProof/>
                </w:rPr>
              </w:pPr>
              <w:r>
                <w:rPr>
                  <w:noProof/>
                </w:rPr>
                <w:t xml:space="preserve">Mullin, J., 2016. </w:t>
              </w:r>
              <w:r>
                <w:rPr>
                  <w:i/>
                  <w:iCs/>
                  <w:noProof/>
                </w:rPr>
                <w:t xml:space="preserve">Management and Organisational Behaviour. </w:t>
              </w:r>
              <w:r>
                <w:rPr>
                  <w:noProof/>
                </w:rPr>
                <w:t>11th ed. Harlow: Pearson.</w:t>
              </w:r>
            </w:p>
            <w:p w:rsidR="006539C8" w:rsidRDefault="006539C8" w:rsidP="006539C8">
              <w:pPr>
                <w:pStyle w:val="Bibliography"/>
                <w:rPr>
                  <w:noProof/>
                </w:rPr>
              </w:pPr>
              <w:r>
                <w:rPr>
                  <w:noProof/>
                </w:rPr>
                <w:lastRenderedPageBreak/>
                <w:t xml:space="preserve">Mullins, J. &amp; Dossor, P., 2013. </w:t>
              </w:r>
              <w:r>
                <w:rPr>
                  <w:i/>
                  <w:iCs/>
                  <w:noProof/>
                </w:rPr>
                <w:t xml:space="preserve">Hospitality Management &amp; Organisational Behaviour. </w:t>
              </w:r>
              <w:r>
                <w:rPr>
                  <w:noProof/>
                </w:rPr>
                <w:t>5th ed. Harlow: Pearson.</w:t>
              </w:r>
            </w:p>
            <w:p w:rsidR="006539C8" w:rsidRDefault="006539C8" w:rsidP="006539C8">
              <w:pPr>
                <w:pStyle w:val="Bibliography"/>
                <w:rPr>
                  <w:noProof/>
                </w:rPr>
              </w:pPr>
              <w:r>
                <w:rPr>
                  <w:noProof/>
                </w:rPr>
                <w:t xml:space="preserve">Parmenter, D., 2010. </w:t>
              </w:r>
              <w:r>
                <w:rPr>
                  <w:i/>
                  <w:iCs/>
                  <w:noProof/>
                </w:rPr>
                <w:t xml:space="preserve">Key Performance Indicators: Developing, Implementing, and Using Winning KPIs. </w:t>
              </w:r>
              <w:r>
                <w:rPr>
                  <w:noProof/>
                </w:rPr>
                <w:t>2nd ed. New Jersey: Wiley.</w:t>
              </w:r>
            </w:p>
            <w:p w:rsidR="006539C8" w:rsidRDefault="006539C8" w:rsidP="006539C8">
              <w:pPr>
                <w:pStyle w:val="Bibliography"/>
                <w:rPr>
                  <w:noProof/>
                </w:rPr>
              </w:pPr>
              <w:r>
                <w:rPr>
                  <w:noProof/>
                </w:rPr>
                <w:t xml:space="preserve">Prentice, R., Witt, S. &amp; Hamer, C., 1998. Tourism as experience: The case of heritage parks. </w:t>
              </w:r>
              <w:r>
                <w:rPr>
                  <w:i/>
                  <w:iCs/>
                  <w:noProof/>
                </w:rPr>
                <w:t xml:space="preserve">Annals of Tourism Researxh, </w:t>
              </w:r>
              <w:r>
                <w:rPr>
                  <w:noProof/>
                </w:rPr>
                <w:t>25(1), pp. 1-24.</w:t>
              </w:r>
            </w:p>
            <w:p w:rsidR="006539C8" w:rsidRDefault="006539C8" w:rsidP="006539C8">
              <w:pPr>
                <w:pStyle w:val="Bibliography"/>
                <w:rPr>
                  <w:noProof/>
                </w:rPr>
              </w:pPr>
              <w:r>
                <w:rPr>
                  <w:noProof/>
                </w:rPr>
                <w:t xml:space="preserve">Rhodes, C., Woodhouse, J., Tyler, G. &amp; Pepin, S., 2018. </w:t>
              </w:r>
              <w:r>
                <w:rPr>
                  <w:i/>
                  <w:iCs/>
                  <w:noProof/>
                </w:rPr>
                <w:t xml:space="preserve">Effect of the UK leaving the UK on tourism and the creative industries, </w:t>
              </w:r>
              <w:r>
                <w:rPr>
                  <w:noProof/>
                </w:rPr>
                <w:t>s.l.: House of Commons.</w:t>
              </w:r>
            </w:p>
            <w:p w:rsidR="006539C8" w:rsidRDefault="006539C8" w:rsidP="006539C8">
              <w:pPr>
                <w:pStyle w:val="Bibliography"/>
                <w:rPr>
                  <w:noProof/>
                </w:rPr>
              </w:pPr>
              <w:r>
                <w:rPr>
                  <w:noProof/>
                </w:rPr>
                <w:t xml:space="preserve">Seuring, S. &amp; Gold, S., 2013. Sustainability management beyond corporate boundaries: from stakeholders to performance. </w:t>
              </w:r>
              <w:r>
                <w:rPr>
                  <w:i/>
                  <w:iCs/>
                  <w:noProof/>
                </w:rPr>
                <w:t xml:space="preserve">Journal of Cleaner Production, </w:t>
              </w:r>
              <w:r>
                <w:rPr>
                  <w:noProof/>
                </w:rPr>
                <w:t>Volume 56, pp. 1-6.</w:t>
              </w:r>
            </w:p>
            <w:p w:rsidR="006539C8" w:rsidRDefault="006539C8" w:rsidP="006539C8">
              <w:pPr>
                <w:pStyle w:val="Bibliography"/>
                <w:rPr>
                  <w:noProof/>
                </w:rPr>
              </w:pPr>
              <w:r>
                <w:rPr>
                  <w:noProof/>
                </w:rPr>
                <w:t xml:space="preserve">Sloman, J., Garrat, J., Guest, J. &amp; Jones, E., 2016. </w:t>
              </w:r>
              <w:r>
                <w:rPr>
                  <w:i/>
                  <w:iCs/>
                  <w:noProof/>
                </w:rPr>
                <w:t xml:space="preserve">Economic for Business. </w:t>
              </w:r>
              <w:r>
                <w:rPr>
                  <w:noProof/>
                </w:rPr>
                <w:t>7th ed. Harlow: Pearson.</w:t>
              </w:r>
            </w:p>
            <w:p w:rsidR="006539C8" w:rsidRDefault="006539C8" w:rsidP="006539C8">
              <w:pPr>
                <w:pStyle w:val="Bibliography"/>
                <w:rPr>
                  <w:noProof/>
                </w:rPr>
              </w:pPr>
              <w:r>
                <w:rPr>
                  <w:noProof/>
                </w:rPr>
                <w:t xml:space="preserve">Stuart-Hill, T. &amp; Parker, J., 2013. </w:t>
              </w:r>
              <w:r>
                <w:rPr>
                  <w:i/>
                  <w:iCs/>
                  <w:noProof/>
                </w:rPr>
                <w:t xml:space="preserve">Introduction to Revenue Management for the Hospitality Industry. </w:t>
              </w:r>
              <w:r>
                <w:rPr>
                  <w:noProof/>
                </w:rPr>
                <w:t>London: Pearson.</w:t>
              </w:r>
            </w:p>
            <w:p w:rsidR="006539C8" w:rsidRDefault="006539C8" w:rsidP="006539C8">
              <w:pPr>
                <w:pStyle w:val="Bibliography"/>
                <w:rPr>
                  <w:noProof/>
                </w:rPr>
              </w:pPr>
              <w:r>
                <w:rPr>
                  <w:noProof/>
                </w:rPr>
                <w:t xml:space="preserve">Swarbrooke, J. &amp; Page, S., 2001. </w:t>
              </w:r>
              <w:r>
                <w:rPr>
                  <w:i/>
                  <w:iCs/>
                  <w:noProof/>
                </w:rPr>
                <w:t xml:space="preserve">Development and Management of Visitor Attractions. </w:t>
              </w:r>
              <w:r>
                <w:rPr>
                  <w:noProof/>
                </w:rPr>
                <w:t>2nd ed. London: Routledge.</w:t>
              </w:r>
            </w:p>
            <w:p w:rsidR="006539C8" w:rsidRDefault="006539C8" w:rsidP="006539C8">
              <w:pPr>
                <w:pStyle w:val="Bibliography"/>
                <w:rPr>
                  <w:noProof/>
                </w:rPr>
              </w:pPr>
              <w:r>
                <w:rPr>
                  <w:noProof/>
                </w:rPr>
                <w:t xml:space="preserve">Tribe, J., 2016. </w:t>
              </w:r>
              <w:r>
                <w:rPr>
                  <w:i/>
                  <w:iCs/>
                  <w:noProof/>
                </w:rPr>
                <w:t xml:space="preserve">The Economics of Recreation, Leisure and Tourism (. </w:t>
              </w:r>
              <w:r>
                <w:rPr>
                  <w:noProof/>
                </w:rPr>
                <w:t>5th ed. Abington: Routledge.</w:t>
              </w:r>
            </w:p>
            <w:p w:rsidR="006539C8" w:rsidRDefault="006539C8" w:rsidP="006539C8">
              <w:pPr>
                <w:pStyle w:val="Bibliography"/>
                <w:rPr>
                  <w:noProof/>
                </w:rPr>
              </w:pPr>
              <w:r>
                <w:rPr>
                  <w:noProof/>
                </w:rPr>
                <w:t xml:space="preserve">Wong, K. &amp; Cheung, P., 1999. Strategic theming in theme park marketing. </w:t>
              </w:r>
              <w:r>
                <w:rPr>
                  <w:i/>
                  <w:iCs/>
                  <w:noProof/>
                </w:rPr>
                <w:t xml:space="preserve">Journal of Vacation Marketing, </w:t>
              </w:r>
              <w:r>
                <w:rPr>
                  <w:noProof/>
                </w:rPr>
                <w:t>5(4), pp. 319-332.</w:t>
              </w:r>
            </w:p>
            <w:p w:rsidR="006539C8" w:rsidRDefault="006539C8" w:rsidP="006539C8">
              <w:r>
                <w:rPr>
                  <w:b/>
                  <w:bCs/>
                  <w:noProof/>
                </w:rPr>
                <w:fldChar w:fldCharType="end"/>
              </w:r>
            </w:p>
          </w:sdtContent>
        </w:sdt>
      </w:sdtContent>
    </w:sdt>
    <w:p w:rsidR="0085558C" w:rsidRPr="0085558C" w:rsidRDefault="0085558C" w:rsidP="0085558C">
      <w:pPr>
        <w:rPr>
          <w:rFonts w:ascii="Calibri" w:eastAsia="Times New Roman" w:hAnsi="Calibri" w:cs="Times New Roman"/>
          <w:lang w:eastAsia="en-GB"/>
        </w:rPr>
      </w:pPr>
    </w:p>
    <w:p w:rsidR="009324A6" w:rsidRDefault="009324A6" w:rsidP="009324A6">
      <w:pPr>
        <w:pStyle w:val="Heading1"/>
      </w:pPr>
    </w:p>
    <w:p w:rsidR="009324A6" w:rsidRDefault="009324A6" w:rsidP="009324A6">
      <w:pPr>
        <w:pStyle w:val="Heading1"/>
      </w:pPr>
    </w:p>
    <w:p w:rsidR="00A77FC5" w:rsidRDefault="00A77FC5" w:rsidP="00A77FC5"/>
    <w:p w:rsidR="00A77FC5" w:rsidRDefault="00A77FC5" w:rsidP="00A77FC5"/>
    <w:p w:rsidR="00A77FC5" w:rsidRDefault="00A77FC5" w:rsidP="00A77FC5"/>
    <w:p w:rsidR="00A77FC5" w:rsidRDefault="00A77FC5" w:rsidP="006539C8">
      <w:pPr>
        <w:pStyle w:val="Heading1"/>
      </w:pPr>
    </w:p>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Pr="00A77FC5" w:rsidRDefault="00A77FC5" w:rsidP="00A77FC5">
      <w:pPr>
        <w:pStyle w:val="Heading1"/>
      </w:pPr>
      <w:bookmarkStart w:id="17" w:name="_Toc5348071"/>
      <w:bookmarkStart w:id="18" w:name="_Toc7019505"/>
      <w:r>
        <w:t>Appendix</w:t>
      </w:r>
      <w:bookmarkEnd w:id="17"/>
      <w:bookmarkEnd w:id="18"/>
    </w:p>
    <w:sectPr w:rsidR="00A77FC5" w:rsidRPr="00A77FC5" w:rsidSect="009324A6">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36BE" w:rsidRDefault="007236BE" w:rsidP="00A77FC5">
      <w:pPr>
        <w:spacing w:after="0" w:line="240" w:lineRule="auto"/>
      </w:pPr>
      <w:r>
        <w:separator/>
      </w:r>
    </w:p>
  </w:endnote>
  <w:endnote w:type="continuationSeparator" w:id="0">
    <w:p w:rsidR="007236BE" w:rsidRDefault="007236BE"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47452352"/>
      <w:docPartObj>
        <w:docPartGallery w:val="Page Numbers (Bottom of Page)"/>
        <w:docPartUnique/>
      </w:docPartObj>
    </w:sdtPr>
    <w:sdtEndPr>
      <w:rPr>
        <w:noProof/>
      </w:rPr>
    </w:sdtEndPr>
    <w:sdtContent>
      <w:p w:rsidR="000C5B98" w:rsidRDefault="000C5B98">
        <w:pPr>
          <w:pStyle w:val="Footer"/>
          <w:jc w:val="center"/>
        </w:pPr>
        <w:r>
          <w:fldChar w:fldCharType="begin"/>
        </w:r>
        <w:r>
          <w:instrText xml:space="preserve"> PAGE   \* MERGEFORMAT </w:instrText>
        </w:r>
        <w:r>
          <w:fldChar w:fldCharType="separate"/>
        </w:r>
        <w:r w:rsidR="00BE66B2">
          <w:rPr>
            <w:noProof/>
          </w:rPr>
          <w:t>3</w:t>
        </w:r>
        <w:r>
          <w:rPr>
            <w:noProof/>
          </w:rPr>
          <w:fldChar w:fldCharType="end"/>
        </w:r>
      </w:p>
    </w:sdtContent>
  </w:sdt>
  <w:p w:rsidR="000C5B98" w:rsidRDefault="000C5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36BE" w:rsidRDefault="007236BE" w:rsidP="00A77FC5">
      <w:pPr>
        <w:spacing w:after="0" w:line="240" w:lineRule="auto"/>
      </w:pPr>
      <w:r>
        <w:separator/>
      </w:r>
    </w:p>
  </w:footnote>
  <w:footnote w:type="continuationSeparator" w:id="0">
    <w:p w:rsidR="007236BE" w:rsidRDefault="007236BE" w:rsidP="00A77F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5061DFA"/>
    <w:multiLevelType w:val="hybridMultilevel"/>
    <w:tmpl w:val="518CD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5B1A92"/>
    <w:multiLevelType w:val="hybridMultilevel"/>
    <w:tmpl w:val="81E0CC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4A6"/>
    <w:rsid w:val="000117E7"/>
    <w:rsid w:val="00023E20"/>
    <w:rsid w:val="00024957"/>
    <w:rsid w:val="0004430B"/>
    <w:rsid w:val="00050F72"/>
    <w:rsid w:val="0005181D"/>
    <w:rsid w:val="00067D41"/>
    <w:rsid w:val="00070F7F"/>
    <w:rsid w:val="000740C8"/>
    <w:rsid w:val="00086840"/>
    <w:rsid w:val="0009272A"/>
    <w:rsid w:val="00094B8D"/>
    <w:rsid w:val="000A406C"/>
    <w:rsid w:val="000A660B"/>
    <w:rsid w:val="000B378A"/>
    <w:rsid w:val="000C51AC"/>
    <w:rsid w:val="000C5B98"/>
    <w:rsid w:val="000D01B0"/>
    <w:rsid w:val="000E2C64"/>
    <w:rsid w:val="000F755C"/>
    <w:rsid w:val="00107EC2"/>
    <w:rsid w:val="00113719"/>
    <w:rsid w:val="001259EF"/>
    <w:rsid w:val="00134681"/>
    <w:rsid w:val="00134787"/>
    <w:rsid w:val="00161ACE"/>
    <w:rsid w:val="00171421"/>
    <w:rsid w:val="001801D8"/>
    <w:rsid w:val="00181098"/>
    <w:rsid w:val="0019172E"/>
    <w:rsid w:val="00192516"/>
    <w:rsid w:val="001B12DD"/>
    <w:rsid w:val="001B16BD"/>
    <w:rsid w:val="001B582F"/>
    <w:rsid w:val="001B690A"/>
    <w:rsid w:val="001B6C28"/>
    <w:rsid w:val="001C3831"/>
    <w:rsid w:val="001C61A1"/>
    <w:rsid w:val="001D7C8B"/>
    <w:rsid w:val="001E040B"/>
    <w:rsid w:val="001F07A6"/>
    <w:rsid w:val="00202659"/>
    <w:rsid w:val="00202BA4"/>
    <w:rsid w:val="0020617B"/>
    <w:rsid w:val="002130D8"/>
    <w:rsid w:val="00217E0D"/>
    <w:rsid w:val="0023304C"/>
    <w:rsid w:val="00233B36"/>
    <w:rsid w:val="0023402A"/>
    <w:rsid w:val="00234F04"/>
    <w:rsid w:val="00235BFC"/>
    <w:rsid w:val="00236CD1"/>
    <w:rsid w:val="00247229"/>
    <w:rsid w:val="00247573"/>
    <w:rsid w:val="002567BA"/>
    <w:rsid w:val="00275320"/>
    <w:rsid w:val="00280132"/>
    <w:rsid w:val="0029517B"/>
    <w:rsid w:val="002D100F"/>
    <w:rsid w:val="002F2AB4"/>
    <w:rsid w:val="002F518C"/>
    <w:rsid w:val="002F602E"/>
    <w:rsid w:val="0031043F"/>
    <w:rsid w:val="00337970"/>
    <w:rsid w:val="00343CE7"/>
    <w:rsid w:val="00356D9E"/>
    <w:rsid w:val="00394244"/>
    <w:rsid w:val="003A001E"/>
    <w:rsid w:val="003C0C1E"/>
    <w:rsid w:val="003C3C87"/>
    <w:rsid w:val="003D379E"/>
    <w:rsid w:val="003E5746"/>
    <w:rsid w:val="003F3148"/>
    <w:rsid w:val="003F4F5C"/>
    <w:rsid w:val="00403D4C"/>
    <w:rsid w:val="00476663"/>
    <w:rsid w:val="00480301"/>
    <w:rsid w:val="00480FDD"/>
    <w:rsid w:val="004872EE"/>
    <w:rsid w:val="004A0756"/>
    <w:rsid w:val="004A18A5"/>
    <w:rsid w:val="004A7822"/>
    <w:rsid w:val="004B2454"/>
    <w:rsid w:val="004B590D"/>
    <w:rsid w:val="004C23DF"/>
    <w:rsid w:val="004E41FD"/>
    <w:rsid w:val="004E4B07"/>
    <w:rsid w:val="004E4B23"/>
    <w:rsid w:val="004E7F63"/>
    <w:rsid w:val="004F77FE"/>
    <w:rsid w:val="00504966"/>
    <w:rsid w:val="0051565D"/>
    <w:rsid w:val="00515945"/>
    <w:rsid w:val="0051597C"/>
    <w:rsid w:val="00515B3F"/>
    <w:rsid w:val="00546051"/>
    <w:rsid w:val="00551756"/>
    <w:rsid w:val="00560EE1"/>
    <w:rsid w:val="005639A0"/>
    <w:rsid w:val="0056496E"/>
    <w:rsid w:val="00565521"/>
    <w:rsid w:val="00571F84"/>
    <w:rsid w:val="00576663"/>
    <w:rsid w:val="00585FE9"/>
    <w:rsid w:val="00586AEE"/>
    <w:rsid w:val="00587451"/>
    <w:rsid w:val="005B1CBB"/>
    <w:rsid w:val="005C11AA"/>
    <w:rsid w:val="005C482E"/>
    <w:rsid w:val="005D71C6"/>
    <w:rsid w:val="005E0BCC"/>
    <w:rsid w:val="005E2F29"/>
    <w:rsid w:val="005E5DE1"/>
    <w:rsid w:val="005E6224"/>
    <w:rsid w:val="00610659"/>
    <w:rsid w:val="006159A7"/>
    <w:rsid w:val="00616AEF"/>
    <w:rsid w:val="006277A9"/>
    <w:rsid w:val="0064563A"/>
    <w:rsid w:val="00650125"/>
    <w:rsid w:val="00651B4B"/>
    <w:rsid w:val="006539C8"/>
    <w:rsid w:val="006542B8"/>
    <w:rsid w:val="0066329E"/>
    <w:rsid w:val="00695343"/>
    <w:rsid w:val="00697058"/>
    <w:rsid w:val="006A268B"/>
    <w:rsid w:val="006A312E"/>
    <w:rsid w:val="006A6F73"/>
    <w:rsid w:val="006C309D"/>
    <w:rsid w:val="006F0CE4"/>
    <w:rsid w:val="006F2CCD"/>
    <w:rsid w:val="006F5473"/>
    <w:rsid w:val="00704598"/>
    <w:rsid w:val="00713AF4"/>
    <w:rsid w:val="007167DD"/>
    <w:rsid w:val="00720F7E"/>
    <w:rsid w:val="007236BE"/>
    <w:rsid w:val="00727485"/>
    <w:rsid w:val="00734F53"/>
    <w:rsid w:val="00751709"/>
    <w:rsid w:val="00751B99"/>
    <w:rsid w:val="00752A66"/>
    <w:rsid w:val="007565A1"/>
    <w:rsid w:val="00793908"/>
    <w:rsid w:val="00795391"/>
    <w:rsid w:val="007A6C90"/>
    <w:rsid w:val="007A72AD"/>
    <w:rsid w:val="007C57CA"/>
    <w:rsid w:val="007D5781"/>
    <w:rsid w:val="007E7D48"/>
    <w:rsid w:val="00822D61"/>
    <w:rsid w:val="00822E3E"/>
    <w:rsid w:val="00831332"/>
    <w:rsid w:val="008368F8"/>
    <w:rsid w:val="008407E6"/>
    <w:rsid w:val="00851D7E"/>
    <w:rsid w:val="0085558C"/>
    <w:rsid w:val="00866A93"/>
    <w:rsid w:val="008822B6"/>
    <w:rsid w:val="008830AD"/>
    <w:rsid w:val="0089038C"/>
    <w:rsid w:val="00897D37"/>
    <w:rsid w:val="008A1240"/>
    <w:rsid w:val="008B327B"/>
    <w:rsid w:val="008D09E9"/>
    <w:rsid w:val="008D1DA0"/>
    <w:rsid w:val="008D630E"/>
    <w:rsid w:val="008E04F4"/>
    <w:rsid w:val="008E1539"/>
    <w:rsid w:val="008E5D6D"/>
    <w:rsid w:val="008F2567"/>
    <w:rsid w:val="00914569"/>
    <w:rsid w:val="0092120C"/>
    <w:rsid w:val="009244B3"/>
    <w:rsid w:val="009301B7"/>
    <w:rsid w:val="009324A6"/>
    <w:rsid w:val="00932515"/>
    <w:rsid w:val="00944153"/>
    <w:rsid w:val="009443F5"/>
    <w:rsid w:val="00950F6C"/>
    <w:rsid w:val="00952B79"/>
    <w:rsid w:val="0095332B"/>
    <w:rsid w:val="00953B65"/>
    <w:rsid w:val="00966CA8"/>
    <w:rsid w:val="00975177"/>
    <w:rsid w:val="009A2F43"/>
    <w:rsid w:val="009A6A9B"/>
    <w:rsid w:val="009C22E3"/>
    <w:rsid w:val="009C3D87"/>
    <w:rsid w:val="009C6A92"/>
    <w:rsid w:val="009E7A9D"/>
    <w:rsid w:val="00A04E5E"/>
    <w:rsid w:val="00A05B23"/>
    <w:rsid w:val="00A227A8"/>
    <w:rsid w:val="00A23942"/>
    <w:rsid w:val="00A47673"/>
    <w:rsid w:val="00A60CA1"/>
    <w:rsid w:val="00A635FF"/>
    <w:rsid w:val="00A77FC5"/>
    <w:rsid w:val="00A84B75"/>
    <w:rsid w:val="00A91402"/>
    <w:rsid w:val="00A93AE9"/>
    <w:rsid w:val="00A95B2F"/>
    <w:rsid w:val="00A9654B"/>
    <w:rsid w:val="00AB71E4"/>
    <w:rsid w:val="00AC6C00"/>
    <w:rsid w:val="00AC7CDD"/>
    <w:rsid w:val="00AE114A"/>
    <w:rsid w:val="00AE164F"/>
    <w:rsid w:val="00AE6713"/>
    <w:rsid w:val="00AF172D"/>
    <w:rsid w:val="00AF6033"/>
    <w:rsid w:val="00B10726"/>
    <w:rsid w:val="00B17258"/>
    <w:rsid w:val="00B20BA1"/>
    <w:rsid w:val="00B32E4A"/>
    <w:rsid w:val="00B33EC3"/>
    <w:rsid w:val="00B44602"/>
    <w:rsid w:val="00B66605"/>
    <w:rsid w:val="00B70FA3"/>
    <w:rsid w:val="00B72470"/>
    <w:rsid w:val="00B86F82"/>
    <w:rsid w:val="00B957BF"/>
    <w:rsid w:val="00BC6FFC"/>
    <w:rsid w:val="00BD2EDB"/>
    <w:rsid w:val="00BD715B"/>
    <w:rsid w:val="00BE541C"/>
    <w:rsid w:val="00BE66B2"/>
    <w:rsid w:val="00C04C5C"/>
    <w:rsid w:val="00C136BA"/>
    <w:rsid w:val="00C22A42"/>
    <w:rsid w:val="00C30841"/>
    <w:rsid w:val="00C31440"/>
    <w:rsid w:val="00C346A1"/>
    <w:rsid w:val="00C4410F"/>
    <w:rsid w:val="00C44E45"/>
    <w:rsid w:val="00C51CBF"/>
    <w:rsid w:val="00C57FAA"/>
    <w:rsid w:val="00C620CB"/>
    <w:rsid w:val="00C6433E"/>
    <w:rsid w:val="00C765EF"/>
    <w:rsid w:val="00C8279C"/>
    <w:rsid w:val="00C83DAD"/>
    <w:rsid w:val="00C8583F"/>
    <w:rsid w:val="00C87E12"/>
    <w:rsid w:val="00C94EAC"/>
    <w:rsid w:val="00CA3CEA"/>
    <w:rsid w:val="00CC4CC8"/>
    <w:rsid w:val="00CD2ED8"/>
    <w:rsid w:val="00CD3F3C"/>
    <w:rsid w:val="00CE2C2D"/>
    <w:rsid w:val="00CF410E"/>
    <w:rsid w:val="00D01F90"/>
    <w:rsid w:val="00D20A93"/>
    <w:rsid w:val="00D27B44"/>
    <w:rsid w:val="00D35ED3"/>
    <w:rsid w:val="00D4320C"/>
    <w:rsid w:val="00D55A82"/>
    <w:rsid w:val="00D60C38"/>
    <w:rsid w:val="00D8184D"/>
    <w:rsid w:val="00D85267"/>
    <w:rsid w:val="00DA5A8B"/>
    <w:rsid w:val="00DE51AA"/>
    <w:rsid w:val="00E150F5"/>
    <w:rsid w:val="00E172EB"/>
    <w:rsid w:val="00E34461"/>
    <w:rsid w:val="00E40F5D"/>
    <w:rsid w:val="00E52726"/>
    <w:rsid w:val="00E52DCD"/>
    <w:rsid w:val="00E61C9B"/>
    <w:rsid w:val="00E7307D"/>
    <w:rsid w:val="00E97E07"/>
    <w:rsid w:val="00EA0541"/>
    <w:rsid w:val="00ED46CD"/>
    <w:rsid w:val="00EE3A2F"/>
    <w:rsid w:val="00F01C3E"/>
    <w:rsid w:val="00F124EC"/>
    <w:rsid w:val="00F2777F"/>
    <w:rsid w:val="00F4092F"/>
    <w:rsid w:val="00F45C83"/>
    <w:rsid w:val="00F54445"/>
    <w:rsid w:val="00F77FFB"/>
    <w:rsid w:val="00F87A27"/>
    <w:rsid w:val="00FA1B22"/>
    <w:rsid w:val="00FA5906"/>
    <w:rsid w:val="00FA78A1"/>
    <w:rsid w:val="00FC31DF"/>
    <w:rsid w:val="00FC49FE"/>
    <w:rsid w:val="00FD39FB"/>
    <w:rsid w:val="00FD3C03"/>
    <w:rsid w:val="00FE133A"/>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DF6DDD"/>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paragraph" w:styleId="Bibliography">
    <w:name w:val="Bibliography"/>
    <w:basedOn w:val="Normal"/>
    <w:next w:val="Normal"/>
    <w:uiPriority w:val="37"/>
    <w:unhideWhenUsed/>
    <w:rsid w:val="006539C8"/>
  </w:style>
  <w:style w:type="paragraph" w:styleId="ListParagraph">
    <w:name w:val="List Paragraph"/>
    <w:basedOn w:val="Normal"/>
    <w:uiPriority w:val="34"/>
    <w:qFormat/>
    <w:rsid w:val="002330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332913">
      <w:bodyDiv w:val="1"/>
      <w:marLeft w:val="0"/>
      <w:marRight w:val="0"/>
      <w:marTop w:val="0"/>
      <w:marBottom w:val="0"/>
      <w:divBdr>
        <w:top w:val="none" w:sz="0" w:space="0" w:color="auto"/>
        <w:left w:val="none" w:sz="0" w:space="0" w:color="auto"/>
        <w:bottom w:val="none" w:sz="0" w:space="0" w:color="auto"/>
        <w:right w:val="none" w:sz="0" w:space="0" w:color="auto"/>
      </w:divBdr>
    </w:div>
    <w:div w:id="80759856">
      <w:bodyDiv w:val="1"/>
      <w:marLeft w:val="0"/>
      <w:marRight w:val="0"/>
      <w:marTop w:val="0"/>
      <w:marBottom w:val="0"/>
      <w:divBdr>
        <w:top w:val="none" w:sz="0" w:space="0" w:color="auto"/>
        <w:left w:val="none" w:sz="0" w:space="0" w:color="auto"/>
        <w:bottom w:val="none" w:sz="0" w:space="0" w:color="auto"/>
        <w:right w:val="none" w:sz="0" w:space="0" w:color="auto"/>
      </w:divBdr>
    </w:div>
    <w:div w:id="126357373">
      <w:bodyDiv w:val="1"/>
      <w:marLeft w:val="0"/>
      <w:marRight w:val="0"/>
      <w:marTop w:val="0"/>
      <w:marBottom w:val="0"/>
      <w:divBdr>
        <w:top w:val="none" w:sz="0" w:space="0" w:color="auto"/>
        <w:left w:val="none" w:sz="0" w:space="0" w:color="auto"/>
        <w:bottom w:val="none" w:sz="0" w:space="0" w:color="auto"/>
        <w:right w:val="none" w:sz="0" w:space="0" w:color="auto"/>
      </w:divBdr>
    </w:div>
    <w:div w:id="126975475">
      <w:bodyDiv w:val="1"/>
      <w:marLeft w:val="0"/>
      <w:marRight w:val="0"/>
      <w:marTop w:val="0"/>
      <w:marBottom w:val="0"/>
      <w:divBdr>
        <w:top w:val="none" w:sz="0" w:space="0" w:color="auto"/>
        <w:left w:val="none" w:sz="0" w:space="0" w:color="auto"/>
        <w:bottom w:val="none" w:sz="0" w:space="0" w:color="auto"/>
        <w:right w:val="none" w:sz="0" w:space="0" w:color="auto"/>
      </w:divBdr>
    </w:div>
    <w:div w:id="171144804">
      <w:bodyDiv w:val="1"/>
      <w:marLeft w:val="0"/>
      <w:marRight w:val="0"/>
      <w:marTop w:val="0"/>
      <w:marBottom w:val="0"/>
      <w:divBdr>
        <w:top w:val="none" w:sz="0" w:space="0" w:color="auto"/>
        <w:left w:val="none" w:sz="0" w:space="0" w:color="auto"/>
        <w:bottom w:val="none" w:sz="0" w:space="0" w:color="auto"/>
        <w:right w:val="none" w:sz="0" w:space="0" w:color="auto"/>
      </w:divBdr>
    </w:div>
    <w:div w:id="196630142">
      <w:bodyDiv w:val="1"/>
      <w:marLeft w:val="0"/>
      <w:marRight w:val="0"/>
      <w:marTop w:val="0"/>
      <w:marBottom w:val="0"/>
      <w:divBdr>
        <w:top w:val="none" w:sz="0" w:space="0" w:color="auto"/>
        <w:left w:val="none" w:sz="0" w:space="0" w:color="auto"/>
        <w:bottom w:val="none" w:sz="0" w:space="0" w:color="auto"/>
        <w:right w:val="none" w:sz="0" w:space="0" w:color="auto"/>
      </w:divBdr>
    </w:div>
    <w:div w:id="230651797">
      <w:bodyDiv w:val="1"/>
      <w:marLeft w:val="0"/>
      <w:marRight w:val="0"/>
      <w:marTop w:val="0"/>
      <w:marBottom w:val="0"/>
      <w:divBdr>
        <w:top w:val="none" w:sz="0" w:space="0" w:color="auto"/>
        <w:left w:val="none" w:sz="0" w:space="0" w:color="auto"/>
        <w:bottom w:val="none" w:sz="0" w:space="0" w:color="auto"/>
        <w:right w:val="none" w:sz="0" w:space="0" w:color="auto"/>
      </w:divBdr>
    </w:div>
    <w:div w:id="284896085">
      <w:bodyDiv w:val="1"/>
      <w:marLeft w:val="0"/>
      <w:marRight w:val="0"/>
      <w:marTop w:val="0"/>
      <w:marBottom w:val="0"/>
      <w:divBdr>
        <w:top w:val="none" w:sz="0" w:space="0" w:color="auto"/>
        <w:left w:val="none" w:sz="0" w:space="0" w:color="auto"/>
        <w:bottom w:val="none" w:sz="0" w:space="0" w:color="auto"/>
        <w:right w:val="none" w:sz="0" w:space="0" w:color="auto"/>
      </w:divBdr>
    </w:div>
    <w:div w:id="346520247">
      <w:bodyDiv w:val="1"/>
      <w:marLeft w:val="0"/>
      <w:marRight w:val="0"/>
      <w:marTop w:val="0"/>
      <w:marBottom w:val="0"/>
      <w:divBdr>
        <w:top w:val="none" w:sz="0" w:space="0" w:color="auto"/>
        <w:left w:val="none" w:sz="0" w:space="0" w:color="auto"/>
        <w:bottom w:val="none" w:sz="0" w:space="0" w:color="auto"/>
        <w:right w:val="none" w:sz="0" w:space="0" w:color="auto"/>
      </w:divBdr>
    </w:div>
    <w:div w:id="347758622">
      <w:bodyDiv w:val="1"/>
      <w:marLeft w:val="0"/>
      <w:marRight w:val="0"/>
      <w:marTop w:val="0"/>
      <w:marBottom w:val="0"/>
      <w:divBdr>
        <w:top w:val="none" w:sz="0" w:space="0" w:color="auto"/>
        <w:left w:val="none" w:sz="0" w:space="0" w:color="auto"/>
        <w:bottom w:val="none" w:sz="0" w:space="0" w:color="auto"/>
        <w:right w:val="none" w:sz="0" w:space="0" w:color="auto"/>
      </w:divBdr>
    </w:div>
    <w:div w:id="359208608">
      <w:bodyDiv w:val="1"/>
      <w:marLeft w:val="0"/>
      <w:marRight w:val="0"/>
      <w:marTop w:val="0"/>
      <w:marBottom w:val="0"/>
      <w:divBdr>
        <w:top w:val="none" w:sz="0" w:space="0" w:color="auto"/>
        <w:left w:val="none" w:sz="0" w:space="0" w:color="auto"/>
        <w:bottom w:val="none" w:sz="0" w:space="0" w:color="auto"/>
        <w:right w:val="none" w:sz="0" w:space="0" w:color="auto"/>
      </w:divBdr>
    </w:div>
    <w:div w:id="370768156">
      <w:bodyDiv w:val="1"/>
      <w:marLeft w:val="0"/>
      <w:marRight w:val="0"/>
      <w:marTop w:val="0"/>
      <w:marBottom w:val="0"/>
      <w:divBdr>
        <w:top w:val="none" w:sz="0" w:space="0" w:color="auto"/>
        <w:left w:val="none" w:sz="0" w:space="0" w:color="auto"/>
        <w:bottom w:val="none" w:sz="0" w:space="0" w:color="auto"/>
        <w:right w:val="none" w:sz="0" w:space="0" w:color="auto"/>
      </w:divBdr>
    </w:div>
    <w:div w:id="390924936">
      <w:bodyDiv w:val="1"/>
      <w:marLeft w:val="0"/>
      <w:marRight w:val="0"/>
      <w:marTop w:val="0"/>
      <w:marBottom w:val="0"/>
      <w:divBdr>
        <w:top w:val="none" w:sz="0" w:space="0" w:color="auto"/>
        <w:left w:val="none" w:sz="0" w:space="0" w:color="auto"/>
        <w:bottom w:val="none" w:sz="0" w:space="0" w:color="auto"/>
        <w:right w:val="none" w:sz="0" w:space="0" w:color="auto"/>
      </w:divBdr>
    </w:div>
    <w:div w:id="440296163">
      <w:bodyDiv w:val="1"/>
      <w:marLeft w:val="0"/>
      <w:marRight w:val="0"/>
      <w:marTop w:val="0"/>
      <w:marBottom w:val="0"/>
      <w:divBdr>
        <w:top w:val="none" w:sz="0" w:space="0" w:color="auto"/>
        <w:left w:val="none" w:sz="0" w:space="0" w:color="auto"/>
        <w:bottom w:val="none" w:sz="0" w:space="0" w:color="auto"/>
        <w:right w:val="none" w:sz="0" w:space="0" w:color="auto"/>
      </w:divBdr>
    </w:div>
    <w:div w:id="472408906">
      <w:bodyDiv w:val="1"/>
      <w:marLeft w:val="0"/>
      <w:marRight w:val="0"/>
      <w:marTop w:val="0"/>
      <w:marBottom w:val="0"/>
      <w:divBdr>
        <w:top w:val="none" w:sz="0" w:space="0" w:color="auto"/>
        <w:left w:val="none" w:sz="0" w:space="0" w:color="auto"/>
        <w:bottom w:val="none" w:sz="0" w:space="0" w:color="auto"/>
        <w:right w:val="none" w:sz="0" w:space="0" w:color="auto"/>
      </w:divBdr>
    </w:div>
    <w:div w:id="599216723">
      <w:bodyDiv w:val="1"/>
      <w:marLeft w:val="0"/>
      <w:marRight w:val="0"/>
      <w:marTop w:val="0"/>
      <w:marBottom w:val="0"/>
      <w:divBdr>
        <w:top w:val="none" w:sz="0" w:space="0" w:color="auto"/>
        <w:left w:val="none" w:sz="0" w:space="0" w:color="auto"/>
        <w:bottom w:val="none" w:sz="0" w:space="0" w:color="auto"/>
        <w:right w:val="none" w:sz="0" w:space="0" w:color="auto"/>
      </w:divBdr>
    </w:div>
    <w:div w:id="673608989">
      <w:bodyDiv w:val="1"/>
      <w:marLeft w:val="0"/>
      <w:marRight w:val="0"/>
      <w:marTop w:val="0"/>
      <w:marBottom w:val="0"/>
      <w:divBdr>
        <w:top w:val="none" w:sz="0" w:space="0" w:color="auto"/>
        <w:left w:val="none" w:sz="0" w:space="0" w:color="auto"/>
        <w:bottom w:val="none" w:sz="0" w:space="0" w:color="auto"/>
        <w:right w:val="none" w:sz="0" w:space="0" w:color="auto"/>
      </w:divBdr>
    </w:div>
    <w:div w:id="786705709">
      <w:bodyDiv w:val="1"/>
      <w:marLeft w:val="0"/>
      <w:marRight w:val="0"/>
      <w:marTop w:val="0"/>
      <w:marBottom w:val="0"/>
      <w:divBdr>
        <w:top w:val="none" w:sz="0" w:space="0" w:color="auto"/>
        <w:left w:val="none" w:sz="0" w:space="0" w:color="auto"/>
        <w:bottom w:val="none" w:sz="0" w:space="0" w:color="auto"/>
        <w:right w:val="none" w:sz="0" w:space="0" w:color="auto"/>
      </w:divBdr>
    </w:div>
    <w:div w:id="814882629">
      <w:bodyDiv w:val="1"/>
      <w:marLeft w:val="0"/>
      <w:marRight w:val="0"/>
      <w:marTop w:val="0"/>
      <w:marBottom w:val="0"/>
      <w:divBdr>
        <w:top w:val="none" w:sz="0" w:space="0" w:color="auto"/>
        <w:left w:val="none" w:sz="0" w:space="0" w:color="auto"/>
        <w:bottom w:val="none" w:sz="0" w:space="0" w:color="auto"/>
        <w:right w:val="none" w:sz="0" w:space="0" w:color="auto"/>
      </w:divBdr>
    </w:div>
    <w:div w:id="873426710">
      <w:bodyDiv w:val="1"/>
      <w:marLeft w:val="0"/>
      <w:marRight w:val="0"/>
      <w:marTop w:val="0"/>
      <w:marBottom w:val="0"/>
      <w:divBdr>
        <w:top w:val="none" w:sz="0" w:space="0" w:color="auto"/>
        <w:left w:val="none" w:sz="0" w:space="0" w:color="auto"/>
        <w:bottom w:val="none" w:sz="0" w:space="0" w:color="auto"/>
        <w:right w:val="none" w:sz="0" w:space="0" w:color="auto"/>
      </w:divBdr>
    </w:div>
    <w:div w:id="980039160">
      <w:bodyDiv w:val="1"/>
      <w:marLeft w:val="0"/>
      <w:marRight w:val="0"/>
      <w:marTop w:val="0"/>
      <w:marBottom w:val="0"/>
      <w:divBdr>
        <w:top w:val="none" w:sz="0" w:space="0" w:color="auto"/>
        <w:left w:val="none" w:sz="0" w:space="0" w:color="auto"/>
        <w:bottom w:val="none" w:sz="0" w:space="0" w:color="auto"/>
        <w:right w:val="none" w:sz="0" w:space="0" w:color="auto"/>
      </w:divBdr>
    </w:div>
    <w:div w:id="1098870935">
      <w:bodyDiv w:val="1"/>
      <w:marLeft w:val="0"/>
      <w:marRight w:val="0"/>
      <w:marTop w:val="0"/>
      <w:marBottom w:val="0"/>
      <w:divBdr>
        <w:top w:val="none" w:sz="0" w:space="0" w:color="auto"/>
        <w:left w:val="none" w:sz="0" w:space="0" w:color="auto"/>
        <w:bottom w:val="none" w:sz="0" w:space="0" w:color="auto"/>
        <w:right w:val="none" w:sz="0" w:space="0" w:color="auto"/>
      </w:divBdr>
    </w:div>
    <w:div w:id="1162620529">
      <w:bodyDiv w:val="1"/>
      <w:marLeft w:val="0"/>
      <w:marRight w:val="0"/>
      <w:marTop w:val="0"/>
      <w:marBottom w:val="0"/>
      <w:divBdr>
        <w:top w:val="none" w:sz="0" w:space="0" w:color="auto"/>
        <w:left w:val="none" w:sz="0" w:space="0" w:color="auto"/>
        <w:bottom w:val="none" w:sz="0" w:space="0" w:color="auto"/>
        <w:right w:val="none" w:sz="0" w:space="0" w:color="auto"/>
      </w:divBdr>
    </w:div>
    <w:div w:id="1176264090">
      <w:bodyDiv w:val="1"/>
      <w:marLeft w:val="0"/>
      <w:marRight w:val="0"/>
      <w:marTop w:val="0"/>
      <w:marBottom w:val="0"/>
      <w:divBdr>
        <w:top w:val="none" w:sz="0" w:space="0" w:color="auto"/>
        <w:left w:val="none" w:sz="0" w:space="0" w:color="auto"/>
        <w:bottom w:val="none" w:sz="0" w:space="0" w:color="auto"/>
        <w:right w:val="none" w:sz="0" w:space="0" w:color="auto"/>
      </w:divBdr>
    </w:div>
    <w:div w:id="1201942657">
      <w:bodyDiv w:val="1"/>
      <w:marLeft w:val="0"/>
      <w:marRight w:val="0"/>
      <w:marTop w:val="0"/>
      <w:marBottom w:val="0"/>
      <w:divBdr>
        <w:top w:val="none" w:sz="0" w:space="0" w:color="auto"/>
        <w:left w:val="none" w:sz="0" w:space="0" w:color="auto"/>
        <w:bottom w:val="none" w:sz="0" w:space="0" w:color="auto"/>
        <w:right w:val="none" w:sz="0" w:space="0" w:color="auto"/>
      </w:divBdr>
    </w:div>
    <w:div w:id="1229611731">
      <w:bodyDiv w:val="1"/>
      <w:marLeft w:val="0"/>
      <w:marRight w:val="0"/>
      <w:marTop w:val="0"/>
      <w:marBottom w:val="0"/>
      <w:divBdr>
        <w:top w:val="none" w:sz="0" w:space="0" w:color="auto"/>
        <w:left w:val="none" w:sz="0" w:space="0" w:color="auto"/>
        <w:bottom w:val="none" w:sz="0" w:space="0" w:color="auto"/>
        <w:right w:val="none" w:sz="0" w:space="0" w:color="auto"/>
      </w:divBdr>
    </w:div>
    <w:div w:id="1262297099">
      <w:bodyDiv w:val="1"/>
      <w:marLeft w:val="0"/>
      <w:marRight w:val="0"/>
      <w:marTop w:val="0"/>
      <w:marBottom w:val="0"/>
      <w:divBdr>
        <w:top w:val="none" w:sz="0" w:space="0" w:color="auto"/>
        <w:left w:val="none" w:sz="0" w:space="0" w:color="auto"/>
        <w:bottom w:val="none" w:sz="0" w:space="0" w:color="auto"/>
        <w:right w:val="none" w:sz="0" w:space="0" w:color="auto"/>
      </w:divBdr>
    </w:div>
    <w:div w:id="1270315608">
      <w:bodyDiv w:val="1"/>
      <w:marLeft w:val="0"/>
      <w:marRight w:val="0"/>
      <w:marTop w:val="0"/>
      <w:marBottom w:val="0"/>
      <w:divBdr>
        <w:top w:val="none" w:sz="0" w:space="0" w:color="auto"/>
        <w:left w:val="none" w:sz="0" w:space="0" w:color="auto"/>
        <w:bottom w:val="none" w:sz="0" w:space="0" w:color="auto"/>
        <w:right w:val="none" w:sz="0" w:space="0" w:color="auto"/>
      </w:divBdr>
    </w:div>
    <w:div w:id="1270623406">
      <w:bodyDiv w:val="1"/>
      <w:marLeft w:val="0"/>
      <w:marRight w:val="0"/>
      <w:marTop w:val="0"/>
      <w:marBottom w:val="0"/>
      <w:divBdr>
        <w:top w:val="none" w:sz="0" w:space="0" w:color="auto"/>
        <w:left w:val="none" w:sz="0" w:space="0" w:color="auto"/>
        <w:bottom w:val="none" w:sz="0" w:space="0" w:color="auto"/>
        <w:right w:val="none" w:sz="0" w:space="0" w:color="auto"/>
      </w:divBdr>
    </w:div>
    <w:div w:id="1318269756">
      <w:bodyDiv w:val="1"/>
      <w:marLeft w:val="0"/>
      <w:marRight w:val="0"/>
      <w:marTop w:val="0"/>
      <w:marBottom w:val="0"/>
      <w:divBdr>
        <w:top w:val="none" w:sz="0" w:space="0" w:color="auto"/>
        <w:left w:val="none" w:sz="0" w:space="0" w:color="auto"/>
        <w:bottom w:val="none" w:sz="0" w:space="0" w:color="auto"/>
        <w:right w:val="none" w:sz="0" w:space="0" w:color="auto"/>
      </w:divBdr>
    </w:div>
    <w:div w:id="1350450614">
      <w:bodyDiv w:val="1"/>
      <w:marLeft w:val="0"/>
      <w:marRight w:val="0"/>
      <w:marTop w:val="0"/>
      <w:marBottom w:val="0"/>
      <w:divBdr>
        <w:top w:val="none" w:sz="0" w:space="0" w:color="auto"/>
        <w:left w:val="none" w:sz="0" w:space="0" w:color="auto"/>
        <w:bottom w:val="none" w:sz="0" w:space="0" w:color="auto"/>
        <w:right w:val="none" w:sz="0" w:space="0" w:color="auto"/>
      </w:divBdr>
    </w:div>
    <w:div w:id="1479884949">
      <w:bodyDiv w:val="1"/>
      <w:marLeft w:val="0"/>
      <w:marRight w:val="0"/>
      <w:marTop w:val="0"/>
      <w:marBottom w:val="0"/>
      <w:divBdr>
        <w:top w:val="none" w:sz="0" w:space="0" w:color="auto"/>
        <w:left w:val="none" w:sz="0" w:space="0" w:color="auto"/>
        <w:bottom w:val="none" w:sz="0" w:space="0" w:color="auto"/>
        <w:right w:val="none" w:sz="0" w:space="0" w:color="auto"/>
      </w:divBdr>
    </w:div>
    <w:div w:id="1548026932">
      <w:bodyDiv w:val="1"/>
      <w:marLeft w:val="0"/>
      <w:marRight w:val="0"/>
      <w:marTop w:val="0"/>
      <w:marBottom w:val="0"/>
      <w:divBdr>
        <w:top w:val="none" w:sz="0" w:space="0" w:color="auto"/>
        <w:left w:val="none" w:sz="0" w:space="0" w:color="auto"/>
        <w:bottom w:val="none" w:sz="0" w:space="0" w:color="auto"/>
        <w:right w:val="none" w:sz="0" w:space="0" w:color="auto"/>
      </w:divBdr>
    </w:div>
    <w:div w:id="1571188601">
      <w:bodyDiv w:val="1"/>
      <w:marLeft w:val="0"/>
      <w:marRight w:val="0"/>
      <w:marTop w:val="0"/>
      <w:marBottom w:val="0"/>
      <w:divBdr>
        <w:top w:val="none" w:sz="0" w:space="0" w:color="auto"/>
        <w:left w:val="none" w:sz="0" w:space="0" w:color="auto"/>
        <w:bottom w:val="none" w:sz="0" w:space="0" w:color="auto"/>
        <w:right w:val="none" w:sz="0" w:space="0" w:color="auto"/>
      </w:divBdr>
    </w:div>
    <w:div w:id="1592661855">
      <w:bodyDiv w:val="1"/>
      <w:marLeft w:val="0"/>
      <w:marRight w:val="0"/>
      <w:marTop w:val="0"/>
      <w:marBottom w:val="0"/>
      <w:divBdr>
        <w:top w:val="none" w:sz="0" w:space="0" w:color="auto"/>
        <w:left w:val="none" w:sz="0" w:space="0" w:color="auto"/>
        <w:bottom w:val="none" w:sz="0" w:space="0" w:color="auto"/>
        <w:right w:val="none" w:sz="0" w:space="0" w:color="auto"/>
      </w:divBdr>
    </w:div>
    <w:div w:id="1622302102">
      <w:bodyDiv w:val="1"/>
      <w:marLeft w:val="0"/>
      <w:marRight w:val="0"/>
      <w:marTop w:val="0"/>
      <w:marBottom w:val="0"/>
      <w:divBdr>
        <w:top w:val="none" w:sz="0" w:space="0" w:color="auto"/>
        <w:left w:val="none" w:sz="0" w:space="0" w:color="auto"/>
        <w:bottom w:val="none" w:sz="0" w:space="0" w:color="auto"/>
        <w:right w:val="none" w:sz="0" w:space="0" w:color="auto"/>
      </w:divBdr>
    </w:div>
    <w:div w:id="1666859115">
      <w:bodyDiv w:val="1"/>
      <w:marLeft w:val="0"/>
      <w:marRight w:val="0"/>
      <w:marTop w:val="0"/>
      <w:marBottom w:val="0"/>
      <w:divBdr>
        <w:top w:val="none" w:sz="0" w:space="0" w:color="auto"/>
        <w:left w:val="none" w:sz="0" w:space="0" w:color="auto"/>
        <w:bottom w:val="none" w:sz="0" w:space="0" w:color="auto"/>
        <w:right w:val="none" w:sz="0" w:space="0" w:color="auto"/>
      </w:divBdr>
    </w:div>
    <w:div w:id="1709985910">
      <w:bodyDiv w:val="1"/>
      <w:marLeft w:val="0"/>
      <w:marRight w:val="0"/>
      <w:marTop w:val="0"/>
      <w:marBottom w:val="0"/>
      <w:divBdr>
        <w:top w:val="none" w:sz="0" w:space="0" w:color="auto"/>
        <w:left w:val="none" w:sz="0" w:space="0" w:color="auto"/>
        <w:bottom w:val="none" w:sz="0" w:space="0" w:color="auto"/>
        <w:right w:val="none" w:sz="0" w:space="0" w:color="auto"/>
      </w:divBdr>
    </w:div>
    <w:div w:id="1749307681">
      <w:bodyDiv w:val="1"/>
      <w:marLeft w:val="0"/>
      <w:marRight w:val="0"/>
      <w:marTop w:val="0"/>
      <w:marBottom w:val="0"/>
      <w:divBdr>
        <w:top w:val="none" w:sz="0" w:space="0" w:color="auto"/>
        <w:left w:val="none" w:sz="0" w:space="0" w:color="auto"/>
        <w:bottom w:val="none" w:sz="0" w:space="0" w:color="auto"/>
        <w:right w:val="none" w:sz="0" w:space="0" w:color="auto"/>
      </w:divBdr>
    </w:div>
    <w:div w:id="1793090857">
      <w:bodyDiv w:val="1"/>
      <w:marLeft w:val="0"/>
      <w:marRight w:val="0"/>
      <w:marTop w:val="0"/>
      <w:marBottom w:val="0"/>
      <w:divBdr>
        <w:top w:val="none" w:sz="0" w:space="0" w:color="auto"/>
        <w:left w:val="none" w:sz="0" w:space="0" w:color="auto"/>
        <w:bottom w:val="none" w:sz="0" w:space="0" w:color="auto"/>
        <w:right w:val="none" w:sz="0" w:space="0" w:color="auto"/>
      </w:divBdr>
    </w:div>
    <w:div w:id="1816876156">
      <w:bodyDiv w:val="1"/>
      <w:marLeft w:val="0"/>
      <w:marRight w:val="0"/>
      <w:marTop w:val="0"/>
      <w:marBottom w:val="0"/>
      <w:divBdr>
        <w:top w:val="none" w:sz="0" w:space="0" w:color="auto"/>
        <w:left w:val="none" w:sz="0" w:space="0" w:color="auto"/>
        <w:bottom w:val="none" w:sz="0" w:space="0" w:color="auto"/>
        <w:right w:val="none" w:sz="0" w:space="0" w:color="auto"/>
      </w:divBdr>
    </w:div>
    <w:div w:id="1877228784">
      <w:bodyDiv w:val="1"/>
      <w:marLeft w:val="0"/>
      <w:marRight w:val="0"/>
      <w:marTop w:val="0"/>
      <w:marBottom w:val="0"/>
      <w:divBdr>
        <w:top w:val="none" w:sz="0" w:space="0" w:color="auto"/>
        <w:left w:val="none" w:sz="0" w:space="0" w:color="auto"/>
        <w:bottom w:val="none" w:sz="0" w:space="0" w:color="auto"/>
        <w:right w:val="none" w:sz="0" w:space="0" w:color="auto"/>
      </w:divBdr>
    </w:div>
    <w:div w:id="1925533285">
      <w:bodyDiv w:val="1"/>
      <w:marLeft w:val="0"/>
      <w:marRight w:val="0"/>
      <w:marTop w:val="0"/>
      <w:marBottom w:val="0"/>
      <w:divBdr>
        <w:top w:val="none" w:sz="0" w:space="0" w:color="auto"/>
        <w:left w:val="none" w:sz="0" w:space="0" w:color="auto"/>
        <w:bottom w:val="none" w:sz="0" w:space="0" w:color="auto"/>
        <w:right w:val="none" w:sz="0" w:space="0" w:color="auto"/>
      </w:divBdr>
    </w:div>
    <w:div w:id="2003776684">
      <w:bodyDiv w:val="1"/>
      <w:marLeft w:val="0"/>
      <w:marRight w:val="0"/>
      <w:marTop w:val="0"/>
      <w:marBottom w:val="0"/>
      <w:divBdr>
        <w:top w:val="none" w:sz="0" w:space="0" w:color="auto"/>
        <w:left w:val="none" w:sz="0" w:space="0" w:color="auto"/>
        <w:bottom w:val="none" w:sz="0" w:space="0" w:color="auto"/>
        <w:right w:val="none" w:sz="0" w:space="0" w:color="auto"/>
      </w:divBdr>
    </w:div>
    <w:div w:id="2004165678">
      <w:bodyDiv w:val="1"/>
      <w:marLeft w:val="0"/>
      <w:marRight w:val="0"/>
      <w:marTop w:val="0"/>
      <w:marBottom w:val="0"/>
      <w:divBdr>
        <w:top w:val="none" w:sz="0" w:space="0" w:color="auto"/>
        <w:left w:val="none" w:sz="0" w:space="0" w:color="auto"/>
        <w:bottom w:val="none" w:sz="0" w:space="0" w:color="auto"/>
        <w:right w:val="none" w:sz="0" w:space="0" w:color="auto"/>
      </w:divBdr>
    </w:div>
    <w:div w:id="2016495945">
      <w:bodyDiv w:val="1"/>
      <w:marLeft w:val="0"/>
      <w:marRight w:val="0"/>
      <w:marTop w:val="0"/>
      <w:marBottom w:val="0"/>
      <w:divBdr>
        <w:top w:val="none" w:sz="0" w:space="0" w:color="auto"/>
        <w:left w:val="none" w:sz="0" w:space="0" w:color="auto"/>
        <w:bottom w:val="none" w:sz="0" w:space="0" w:color="auto"/>
        <w:right w:val="none" w:sz="0" w:space="0" w:color="auto"/>
      </w:divBdr>
    </w:div>
    <w:div w:id="2043288952">
      <w:bodyDiv w:val="1"/>
      <w:marLeft w:val="0"/>
      <w:marRight w:val="0"/>
      <w:marTop w:val="0"/>
      <w:marBottom w:val="0"/>
      <w:divBdr>
        <w:top w:val="none" w:sz="0" w:space="0" w:color="auto"/>
        <w:left w:val="none" w:sz="0" w:space="0" w:color="auto"/>
        <w:bottom w:val="none" w:sz="0" w:space="0" w:color="auto"/>
        <w:right w:val="none" w:sz="0" w:space="0" w:color="auto"/>
      </w:divBdr>
    </w:div>
    <w:div w:id="21273112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P152143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Cra12</b:Tag>
    <b:SourceType>Book</b:SourceType>
    <b:Guid>{55A0B8BC-4B1C-412E-A281-487B0BA9C2BA}</b:Guid>
    <b:Title>Business Ethics: Managing Corporate Citizenship and Sustainability in the Age of Globalization</b:Title>
    <b:Year>2012</b:Year>
    <b:City>Oxford</b:City>
    <b:Publisher>Oxford University Press</b:Publisher>
    <b:Author>
      <b:Author>
        <b:NameList>
          <b:Person>
            <b:Last>Crane</b:Last>
            <b:First>A.</b:First>
          </b:Person>
          <b:Person>
            <b:Last>Matten</b:Last>
            <b:First>D.</b:First>
          </b:Person>
        </b:NameList>
      </b:Author>
    </b:Author>
    <b:RefOrder>1</b:RefOrder>
  </b:Source>
  <b:Source>
    <b:Tag>Fra13</b:Tag>
    <b:SourceType>Book</b:SourceType>
    <b:Guid>{FF425CCF-659F-4723-9A10-C96CEB45B777}</b:Guid>
    <b:Title>FT Guide to Management</b:Title>
    <b:Year>2013</b:Year>
    <b:City>Harlow</b:City>
    <b:Publisher>Pearson</b:Publisher>
    <b:Author>
      <b:Author>
        <b:NameList>
          <b:Person>
            <b:Last>Francke</b:Last>
            <b:First>A.</b:First>
          </b:Person>
        </b:NameList>
      </b:Author>
    </b:Author>
    <b:RefOrder>2</b:RefOrder>
  </b:Source>
  <b:Source>
    <b:Tag>Rho18</b:Tag>
    <b:SourceType>Report</b:SourceType>
    <b:Guid>{9E8BC5BE-40F0-4C30-8C9D-0ACD1E528381}</b:Guid>
    <b:Title>Effect of the UK leaving the UK on tourism and the creative industries</b:Title>
    <b:Year>2018</b:Year>
    <b:Publisher>House of Commons</b:Publisher>
    <b:Author>
      <b:Author>
        <b:NameList>
          <b:Person>
            <b:Last>Rhodes</b:Last>
            <b:First>Chris</b:First>
          </b:Person>
          <b:Person>
            <b:Last>Woodhouse</b:Last>
            <b:First>J.</b:First>
          </b:Person>
          <b:Person>
            <b:Last>Tyler</b:Last>
            <b:First>G.</b:First>
          </b:Person>
          <b:Person>
            <b:Last>Pepin</b:Last>
            <b:First>S.</b:First>
          </b:Person>
        </b:NameList>
      </b:Author>
    </b:Author>
    <b:RefOrder>3</b:RefOrder>
  </b:Source>
  <b:Source>
    <b:Tag>Fig02</b:Tag>
    <b:SourceType>JournalArticle</b:SourceType>
    <b:Guid>{125137B7-2198-4681-896B-4090781E7884}</b:Guid>
    <b:Title>The Sustainability Balanced Scorecard – linking sustainability management to business strategy</b:Title>
    <b:Year>2002</b:Year>
    <b:Pages>269-341</b:Pages>
    <b:JournalName>Bussiness Strategy and the Environment</b:JournalName>
    <b:Volume>11</b:Volume>
    <b:Issue>5</b:Issue>
    <b:Author>
      <b:Author>
        <b:NameList>
          <b:Person>
            <b:Last>Figge</b:Last>
            <b:First>F.</b:First>
          </b:Person>
          <b:Person>
            <b:Last>Hahn</b:Last>
            <b:First>T.</b:First>
          </b:Person>
          <b:Person>
            <b:Last>Schaltegger</b:Last>
            <b:First>S.</b:First>
          </b:Person>
          <b:Person>
            <b:Last>Wagner</b:Last>
            <b:First>M.</b:First>
          </b:Person>
        </b:NameList>
      </b:Author>
    </b:Author>
    <b:RefOrder>4</b:RefOrder>
  </b:Source>
  <b:Source>
    <b:Tag>Seu13</b:Tag>
    <b:SourceType>JournalArticle</b:SourceType>
    <b:Guid>{168C22BD-FB14-46CA-98EB-522037937F5B}</b:Guid>
    <b:Title>Sustainability management beyond corporate boundaries: from stakeholders to performance</b:Title>
    <b:JournalName>Journal of Cleaner Production</b:JournalName>
    <b:Year>2013</b:Year>
    <b:Pages>1-6</b:Pages>
    <b:Volume>56</b:Volume>
    <b:Author>
      <b:Author>
        <b:NameList>
          <b:Person>
            <b:Last>Seuring</b:Last>
            <b:First>S.</b:First>
          </b:Person>
          <b:Person>
            <b:Last>Gold</b:Last>
            <b:First>S.</b:First>
          </b:Person>
        </b:NameList>
      </b:Author>
    </b:Author>
    <b:RefOrder>5</b:RefOrder>
  </b:Source>
  <b:Source>
    <b:Tag>Bar03</b:Tag>
    <b:SourceType>JournalArticle</b:SourceType>
    <b:Guid>{7CAC92B8-4D82-4B6F-B34F-7F2EEEB5C977}</b:Guid>
    <b:Title>Beyond social capital: the role of entrepreneurs' social competence in their financial success</b:Title>
    <b:JournalName>Journal of Business Venturing</b:JournalName>
    <b:Year>2003</b:Year>
    <b:Pages>41-60</b:Pages>
    <b:Volume>18</b:Volume>
    <b:Issue>1</b:Issue>
    <b:Author>
      <b:Author>
        <b:NameList>
          <b:Person>
            <b:Last>Baron</b:Last>
            <b:First>R.</b:First>
          </b:Person>
          <b:Person>
            <b:Last>Markman</b:Last>
            <b:First>G.</b:First>
          </b:Person>
        </b:NameList>
      </b:Author>
    </b:Author>
    <b:RefOrder>6</b:RefOrder>
  </b:Source>
  <b:Source>
    <b:Tag>Col17</b:Tag>
    <b:SourceType>JournalArticle</b:SourceType>
    <b:Guid>{2F03C179-4FDE-424E-B176-6ABB3D0565DC}</b:Guid>
    <b:Title>Strategic Human Resource Practices, Top Management Team Social Networks, and Firm Performance: The Role of Human Resource Practices in Creating Organizational Competitive Advantage</b:Title>
    <b:JournalName>Academy of Management</b:JournalName>
    <b:Year>2017</b:Year>
    <b:Volume>46</b:Volume>
    <b:Issue>6</b:Issue>
    <b:Author>
      <b:Author>
        <b:NameList>
          <b:Person>
            <b:Last>Collins</b:Last>
            <b:First>Ch.</b:First>
          </b:Person>
          <b:Person>
            <b:Last>Clark</b:Last>
            <b:First>K.</b:First>
          </b:Person>
        </b:NameList>
      </b:Author>
    </b:Author>
    <b:RefOrder>7</b:RefOrder>
  </b:Source>
  <b:Source>
    <b:Tag>Dur12</b:Tag>
    <b:SourceType>JournalArticle</b:SourceType>
    <b:Guid>{17556AF9-F097-417E-9DD1-0AACA8930DF5}</b:Guid>
    <b:Title>Pursuing Leisure: Reflections on Theme Park Visiting</b:Title>
    <b:JournalName>Computer Supported Cooperative Work (CSCW)</b:JournalName>
    <b:Year>2012</b:Year>
    <b:Pages>43-79</b:Pages>
    <b:Volume>21</b:Volume>
    <b:Issue>1</b:Issue>
    <b:Author>
      <b:Author>
        <b:NameList>
          <b:Person>
            <b:Last>Durrant</b:Last>
            <b:First>A.</b:First>
          </b:Person>
          <b:Person>
            <b:Last>Kirk</b:Last>
            <b:First>D.</b:First>
          </b:Person>
          <b:Person>
            <b:Last>Benford</b:Last>
            <b:First>S.</b:First>
          </b:Person>
          <b:Person>
            <b:Last>Rodden</b:Last>
            <b:First>T.</b:First>
          </b:Person>
        </b:NameList>
      </b:Author>
    </b:Author>
    <b:RefOrder>8</b:RefOrder>
  </b:Source>
  <b:Source>
    <b:Tag>Bro90</b:Tag>
    <b:SourceType>JournalArticle</b:SourceType>
    <b:Guid>{F54DAED7-E23A-4054-9C8C-4C1C7792292E}</b:Guid>
    <b:Title>Managing Instability in the Hospitality Operations Environment. Part One: Variability</b:Title>
    <b:JournalName>INTERNATIONAL JOURNAL OF CONTEMPORARY HOSPITALITY MANAGEMENT</b:JournalName>
    <b:Year>1990</b:Year>
    <b:Volume>2</b:Volume>
    <b:Issue>3</b:Issue>
    <b:Author>
      <b:Author>
        <b:NameList>
          <b:Person>
            <b:Last>Brotherton</b:Last>
            <b:First>B.</b:First>
          </b:Person>
          <b:Person>
            <b:Last>Coyle</b:Last>
            <b:First>M.</b:First>
          </b:Person>
        </b:NameList>
      </b:Author>
    </b:Author>
    <b:RefOrder>9</b:RefOrder>
  </b:Source>
  <b:Source>
    <b:Tag>Leu03</b:Tag>
    <b:SourceType>JournalArticle</b:SourceType>
    <b:Guid>{3B40BEE5-3D0A-46C5-AF43-AEB0B7F94130}</b:Guid>
    <b:Title>Earnings management and investor protection: an international comparison</b:Title>
    <b:JournalName>Journal of Financial Economics</b:JournalName>
    <b:Year>2003</b:Year>
    <b:Pages>505-527</b:Pages>
    <b:Volume>69</b:Volume>
    <b:Issue>3</b:Issue>
    <b:Author>
      <b:Author>
        <b:NameList>
          <b:Person>
            <b:Last>Leuz</b:Last>
            <b:First>Christian</b:First>
          </b:Person>
          <b:Person>
            <b:Last>Nanda</b:Last>
            <b:First>D.</b:First>
          </b:Person>
          <b:Person>
            <b:Last>Wysocki</b:Last>
            <b:First>P.</b:First>
          </b:Person>
        </b:NameList>
      </b:Author>
    </b:Author>
    <b:RefOrder>10</b:RefOrder>
  </b:Source>
  <b:Source>
    <b:Tag>Slo16</b:Tag>
    <b:SourceType>Book</b:SourceType>
    <b:Guid>{8633656A-C838-40A3-AA4A-2BC139F64A22}</b:Guid>
    <b:Title>Economic for Business</b:Title>
    <b:Year>2016</b:Year>
    <b:City>Harlow</b:City>
    <b:Publisher>Pearson</b:Publisher>
    <b:Edition>7th</b:Edition>
    <b:Author>
      <b:Author>
        <b:NameList>
          <b:Person>
            <b:Last>Sloman</b:Last>
            <b:First>J.</b:First>
          </b:Person>
          <b:Person>
            <b:Last>Garrat</b:Last>
            <b:First>J.</b:First>
          </b:Person>
          <b:Person>
            <b:Last>Guest</b:Last>
            <b:First>J</b:First>
          </b:Person>
          <b:Person>
            <b:Last>Jones</b:Last>
            <b:First>E</b:First>
          </b:Person>
        </b:NameList>
      </b:Author>
    </b:Author>
    <b:RefOrder>11</b:RefOrder>
  </b:Source>
  <b:Source>
    <b:Tag>Fin09</b:Tag>
    <b:SourceType>Book</b:SourceType>
    <b:Guid>{49BEC81D-377B-44DD-8F92-014D0C6C7CEE}</b:Guid>
    <b:Title>Organizing &amp; Organizations</b:Title>
    <b:Year>2009</b:Year>
    <b:City>London</b:City>
    <b:Publisher>Sage</b:Publisher>
    <b:Edition>4</b:Edition>
    <b:Author>
      <b:Author>
        <b:NameList>
          <b:Person>
            <b:Last>Fineman</b:Last>
            <b:First>S.</b:First>
          </b:Person>
          <b:Person>
            <b:Last>Gabriel</b:Last>
            <b:First>Y.</b:First>
          </b:Person>
          <b:Person>
            <b:Last>Sims</b:Last>
            <b:First>D.</b:First>
          </b:Person>
        </b:NameList>
      </b:Author>
    </b:Author>
    <b:RefOrder>12</b:RefOrder>
  </b:Source>
  <b:Source>
    <b:Tag>Man</b:Tag>
    <b:SourceType>Book</b:SourceType>
    <b:Guid>{C8DD5007-6E87-424F-B1BC-9247BB3892E6}</b:Guid>
    <b:Title>Management: An Introduction</b:Title>
    <b:Year>2013</b:Year>
    <b:City>Harlow</b:City>
    <b:Publisher>Pearson</b:Publisher>
    <b:Edition>6th</b:Edition>
    <b:Author>
      <b:Author>
        <b:NameList>
          <b:Person>
            <b:Last>Boddy</b:Last>
            <b:First>D.</b:First>
          </b:Person>
        </b:NameList>
      </b:Author>
    </b:Author>
    <b:RefOrder>13</b:RefOrder>
  </b:Source>
  <b:Source>
    <b:Tag>Man16</b:Tag>
    <b:SourceType>Book</b:SourceType>
    <b:Guid>{413C8083-74F8-453D-8AEE-76E27021DB29}</b:Guid>
    <b:Title>Management and Organisational Behaviour</b:Title>
    <b:Year>2016</b:Year>
    <b:City>Harlow</b:City>
    <b:Publisher>Pearson</b:Publisher>
    <b:Edition>11th</b:Edition>
    <b:Author>
      <b:Author>
        <b:NameList>
          <b:Person>
            <b:Last>Mullin</b:Last>
            <b:First>J.</b:First>
          </b:Person>
        </b:NameList>
      </b:Author>
    </b:Author>
    <b:RefOrder>14</b:RefOrder>
  </b:Source>
  <b:Source>
    <b:Tag>Tri16</b:Tag>
    <b:SourceType>Book</b:SourceType>
    <b:Guid>{E1F1CDA9-E4D0-4A49-9585-4D4C7B0E13A6}</b:Guid>
    <b:Title>The Economics of Recreation, Leisure and Tourism (</b:Title>
    <b:Year>2016</b:Year>
    <b:City>Abington</b:City>
    <b:Publisher>Routledge</b:Publisher>
    <b:Edition>5th</b:Edition>
    <b:Author>
      <b:Author>
        <b:NameList>
          <b:Person>
            <b:Last>Tribe</b:Last>
            <b:First>J.</b:First>
          </b:Person>
        </b:NameList>
      </b:Author>
    </b:Author>
    <b:RefOrder>15</b:RefOrder>
  </b:Source>
  <b:Source>
    <b:Tag>Stu13</b:Tag>
    <b:SourceType>Book</b:SourceType>
    <b:Guid>{E7948AF2-9E34-49D4-A827-55DCEBBEC1A2}</b:Guid>
    <b:Title>Introduction to Revenue Management for the Hospitality Industry</b:Title>
    <b:Year>2013</b:Year>
    <b:City>London</b:City>
    <b:Publisher>Pearson</b:Publisher>
    <b:Author>
      <b:Author>
        <b:NameList>
          <b:Person>
            <b:Last>Stuart-Hill</b:Last>
            <b:First>T.</b:First>
          </b:Person>
          <b:Person>
            <b:Last>Parker</b:Last>
            <b:First>J.</b:First>
          </b:Person>
        </b:NameList>
      </b:Author>
    </b:Author>
    <b:RefOrder>16</b:RefOrder>
  </b:Source>
  <b:Source>
    <b:Tag>Mul13</b:Tag>
    <b:SourceType>Book</b:SourceType>
    <b:Guid>{7928C935-834A-4D66-8147-0E73DDBA11CF}</b:Guid>
    <b:Title>Hospitality Management &amp; Organisational Behaviour</b:Title>
    <b:Year>2013</b:Year>
    <b:City>Harlow</b:City>
    <b:Publisher>Pearson</b:Publisher>
    <b:Edition>5th</b:Edition>
    <b:Author>
      <b:Author>
        <b:NameList>
          <b:Person>
            <b:Last>Mullins</b:Last>
            <b:First>J.</b:First>
          </b:Person>
          <b:Person>
            <b:Last>Dossor</b:Last>
            <b:First>P.</b:First>
          </b:Person>
        </b:NameList>
      </b:Author>
    </b:Author>
    <b:RefOrder>17</b:RefOrder>
  </b:Source>
  <b:Source>
    <b:Tag>McC91</b:Tag>
    <b:SourceType>JournalArticle</b:SourceType>
    <b:Guid>{D0B96F59-3106-404F-AE74-7982D3E80844}</b:Guid>
    <b:Title>Theme park selection: Factors influencing attendance</b:Title>
    <b:Year>1991</b:Year>
    <b:JournalName>Tourism Management</b:JournalName>
    <b:Pages>132-140</b:Pages>
    <b:Volume>12</b:Volume>
    <b:Issue>2</b:Issue>
    <b:Author>
      <b:Author>
        <b:NameList>
          <b:Person>
            <b:Last>McClung</b:Last>
            <b:First>G.</b:First>
          </b:Person>
        </b:NameList>
      </b:Author>
    </b:Author>
    <b:RefOrder>18</b:RefOrder>
  </b:Source>
  <b:Source>
    <b:Tag>Swa01</b:Tag>
    <b:SourceType>Book</b:SourceType>
    <b:Guid>{CC20DADB-C3B6-4C41-AD1C-B58F22F12817}</b:Guid>
    <b:Title>Development and Management of Visitor Attractions</b:Title>
    <b:Year>2001</b:Year>
    <b:Author>
      <b:Author>
        <b:NameList>
          <b:Person>
            <b:Last>Swarbrooke</b:Last>
            <b:First>J.</b:First>
          </b:Person>
          <b:Person>
            <b:Last>Page</b:Last>
            <b:First>S.</b:First>
          </b:Person>
        </b:NameList>
      </b:Author>
    </b:Author>
    <b:City>London</b:City>
    <b:Publisher>Routledge</b:Publisher>
    <b:Edition>2nd</b:Edition>
    <b:RefOrder>19</b:RefOrder>
  </b:Source>
  <b:Source>
    <b:Tag>Won99</b:Tag>
    <b:SourceType>JournalArticle</b:SourceType>
    <b:Guid>{E78FF2BA-C10C-4628-BD16-92D0255E9C07}</b:Guid>
    <b:Title>Strategic theming in theme park marketing</b:Title>
    <b:Year>1999</b:Year>
    <b:JournalName>Journal of Vacation Marketing</b:JournalName>
    <b:Pages>319-332</b:Pages>
    <b:Volume>5</b:Volume>
    <b:Issue>4</b:Issue>
    <b:Author>
      <b:Author>
        <b:NameList>
          <b:Person>
            <b:Last>Wong</b:Last>
            <b:First>K.</b:First>
          </b:Person>
          <b:Person>
            <b:Last>Cheung</b:Last>
            <b:First>P.</b:First>
          </b:Person>
        </b:NameList>
      </b:Author>
    </b:Author>
    <b:RefOrder>20</b:RefOrder>
  </b:Source>
  <b:Source>
    <b:Tag>Pre</b:Tag>
    <b:SourceType>JournalArticle</b:SourceType>
    <b:Guid>{8E0C50A3-38D4-489B-A7FC-1DE234477462}</b:Guid>
    <b:Title>Tourism as experience: The case of heritage parks</b:Title>
    <b:JournalName>Annals of Tourism Researxh</b:JournalName>
    <b:Author>
      <b:Author>
        <b:NameList>
          <b:Person>
            <b:Last>Prentice</b:Last>
            <b:First>R.</b:First>
          </b:Person>
          <b:Person>
            <b:Last>Witt</b:Last>
            <b:First>S.</b:First>
          </b:Person>
          <b:Person>
            <b:Last>Hamer</b:Last>
            <b:First>C.</b:First>
          </b:Person>
        </b:NameList>
      </b:Author>
    </b:Author>
    <b:Year>1998</b:Year>
    <b:Pages>1-24</b:Pages>
    <b:Volume>25</b:Volume>
    <b:Issue>1</b:Issue>
    <b:RefOrder>21</b:RefOrder>
  </b:Source>
  <b:Source>
    <b:Tag>McW</b:Tag>
    <b:SourceType>Book</b:SourceType>
    <b:Guid>{97278D8C-0757-40E1-A243-58A8CA6F68E3}</b:Guid>
    <b:Title>Management Accounting: Analysis and Interpretation</b:Title>
    <b:Author>
      <b:Author>
        <b:NameList>
          <b:Person>
            <b:Last>McWatters</b:Last>
            <b:First>Ch.</b:First>
          </b:Person>
          <b:Person>
            <b:Last>Zimmerman</b:Last>
            <b:First>J.</b:First>
          </b:Person>
          <b:Person>
            <b:Last>Morse</b:Last>
            <b:First>D.</b:First>
          </b:Person>
        </b:NameList>
      </b:Author>
    </b:Author>
    <b:Year>2008</b:Year>
    <b:City>Harlow</b:City>
    <b:Publisher>Pearson</b:Publisher>
    <b:RefOrder>22</b:RefOrder>
  </b:Source>
  <b:Source>
    <b:Tag>Par10</b:Tag>
    <b:SourceType>Book</b:SourceType>
    <b:Guid>{3A409FEE-6832-47DB-955B-D2524C8EF077}</b:Guid>
    <b:Title>Key Performance Indicators: Developing, Implementing, and Using Winning KPIs</b:Title>
    <b:Year>2010</b:Year>
    <b:City>New Jersey</b:City>
    <b:Publisher>Wiley</b:Publisher>
    <b:Edition>2nd</b:Edition>
    <b:Author>
      <b:Author>
        <b:NameList>
          <b:Person>
            <b:Last>Parmenter</b:Last>
            <b:First>D.</b:First>
          </b:Person>
        </b:NameList>
      </b:Author>
    </b:Author>
    <b:RefOrder>23</b:RefOrder>
  </b:Source>
  <b:Source>
    <b:Tag>Gel03</b:Tag>
    <b:SourceType>Book</b:SourceType>
    <b:Guid>{E0C48430-6206-4A86-BC3A-6FC49FA73DFB}</b:Guid>
    <b:Title>Vocational Business, Marketing and Promotional Strategy</b:Title>
    <b:Year>2003</b:Year>
    <b:City>Cheltenham</b:City>
    <b:Publisher>Nelson Thornes</b:Publisher>
    <b:Author>
      <b:Author>
        <b:NameList>
          <b:Person>
            <b:Last>Gelder</b:Last>
            <b:First>D.</b:First>
          </b:Person>
          <b:Person>
            <b:Last>Woodcock</b:Last>
            <b:First>P.</b:First>
          </b:Person>
        </b:NameList>
      </b:Author>
    </b:Author>
    <b:RefOrder>24</b:RefOrder>
  </b:Source>
  <b:Source>
    <b:Tag>Arm07</b:Tag>
    <b:SourceType>Book</b:SourceType>
    <b:Guid>{C773E0B6-E469-4132-BA7B-980D81450F12}</b:Guid>
    <b:Title>A handbook of Human Resource Management Practise</b:Title>
    <b:Year>2007</b:Year>
    <b:City>Cambridge</b:City>
    <b:Publisher>University Press</b:Publisher>
    <b:Edition>10th</b:Edition>
    <b:Author>
      <b:Author>
        <b:NameList>
          <b:Person>
            <b:Last>Armstrong</b:Last>
            <b:First>M.</b:First>
          </b:Person>
        </b:NameList>
      </b:Author>
    </b:Author>
    <b:RefOrder>25</b:RefOrder>
  </b:Source>
  <b:Source>
    <b:Tag>Alt19</b:Tag>
    <b:SourceType>InternetSite</b:SourceType>
    <b:Guid>{B267B600-6CE8-45E3-89A1-C7041A086650}</b:Guid>
    <b:Title>Alton Towers</b:Title>
    <b:Year>2019</b:Year>
    <b:YearAccessed>2019</b:YearAccessed>
    <b:MonthAccessed>04</b:MonthAccessed>
    <b:DayAccessed>16</b:DayAccessed>
    <b:URL>https://support.altontowers.com/hc/en-us</b:URL>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E0100B1-313F-46DB-9215-9DAC91DA5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4566</Words>
  <Characters>26029</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Alton Towers</vt:lpstr>
    </vt:vector>
  </TitlesOfParts>
  <Company>University of Wales Trinity Saint David</Company>
  <LinksUpToDate>false</LinksUpToDate>
  <CharactersWithSpaces>30534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Alton Towers</dc:title>
  <dc:subject>Case Study Analysis</dc:subject>
  <dc:creator>Lidia Buta</dc:creator>
  <cp:keywords/>
  <dc:description/>
  <cp:lastModifiedBy>Lidia Buta (P152143)</cp:lastModifiedBy>
  <cp:revision>2</cp:revision>
  <dcterms:created xsi:type="dcterms:W3CDTF">2019-07-21T17:29:00Z</dcterms:created>
  <dcterms:modified xsi:type="dcterms:W3CDTF">2019-07-21T17:29:00Z</dcterms:modified>
</cp:coreProperties>
</file>