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D1AF0" w14:textId="77777777" w:rsidR="00C3356E" w:rsidRPr="00A63684" w:rsidRDefault="00C3356E" w:rsidP="00A63684">
      <w:pPr>
        <w:spacing w:line="360" w:lineRule="auto"/>
        <w:jc w:val="center"/>
        <w:rPr>
          <w:rFonts w:ascii="Times New Roman" w:hAnsi="Times New Roman" w:cs="Times New Roman"/>
          <w:sz w:val="24"/>
          <w:szCs w:val="24"/>
        </w:rPr>
      </w:pPr>
    </w:p>
    <w:p w14:paraId="5BAF16BE" w14:textId="77777777" w:rsidR="00C3356E" w:rsidRPr="00A63684" w:rsidRDefault="00C3356E" w:rsidP="00A63684">
      <w:pPr>
        <w:spacing w:line="360" w:lineRule="auto"/>
        <w:jc w:val="center"/>
        <w:rPr>
          <w:rFonts w:ascii="Times New Roman" w:hAnsi="Times New Roman" w:cs="Times New Roman"/>
          <w:sz w:val="24"/>
          <w:szCs w:val="24"/>
        </w:rPr>
      </w:pPr>
    </w:p>
    <w:p w14:paraId="670861A5" w14:textId="77777777" w:rsidR="00C3356E" w:rsidRPr="00A63684" w:rsidRDefault="00C3356E" w:rsidP="00A63684">
      <w:pPr>
        <w:spacing w:line="360" w:lineRule="auto"/>
        <w:jc w:val="center"/>
        <w:rPr>
          <w:rFonts w:ascii="Times New Roman" w:hAnsi="Times New Roman" w:cs="Times New Roman"/>
          <w:sz w:val="24"/>
          <w:szCs w:val="24"/>
        </w:rPr>
      </w:pPr>
    </w:p>
    <w:p w14:paraId="4796E2FD" w14:textId="77777777" w:rsidR="00C3356E" w:rsidRPr="00A63684" w:rsidRDefault="00C3356E" w:rsidP="00A63684">
      <w:pPr>
        <w:spacing w:line="360" w:lineRule="auto"/>
        <w:jc w:val="center"/>
        <w:rPr>
          <w:rFonts w:ascii="Times New Roman" w:hAnsi="Times New Roman" w:cs="Times New Roman"/>
          <w:sz w:val="24"/>
          <w:szCs w:val="24"/>
        </w:rPr>
      </w:pPr>
    </w:p>
    <w:p w14:paraId="028EDAE8" w14:textId="77777777" w:rsidR="00C3356E" w:rsidRPr="003D4315" w:rsidRDefault="00000000" w:rsidP="00A63684">
      <w:pPr>
        <w:spacing w:line="360" w:lineRule="auto"/>
        <w:jc w:val="center"/>
        <w:rPr>
          <w:rFonts w:ascii="Times New Roman" w:hAnsi="Times New Roman" w:cs="Times New Roman"/>
          <w:b/>
          <w:bCs/>
          <w:sz w:val="40"/>
          <w:szCs w:val="40"/>
        </w:rPr>
      </w:pPr>
      <w:r w:rsidRPr="003D4315">
        <w:rPr>
          <w:rFonts w:ascii="Times New Roman" w:hAnsi="Times New Roman" w:cs="Times New Roman"/>
          <w:b/>
          <w:bCs/>
          <w:sz w:val="40"/>
          <w:szCs w:val="40"/>
        </w:rPr>
        <w:t>International Financial Management</w:t>
      </w:r>
    </w:p>
    <w:p w14:paraId="5EC40035" w14:textId="77777777" w:rsidR="003D4315" w:rsidRPr="003D4315" w:rsidRDefault="00000000" w:rsidP="00A63684">
      <w:pPr>
        <w:spacing w:line="360" w:lineRule="auto"/>
        <w:jc w:val="center"/>
        <w:rPr>
          <w:rFonts w:ascii="Times New Roman" w:hAnsi="Times New Roman" w:cs="Times New Roman"/>
          <w:b/>
          <w:bCs/>
          <w:sz w:val="40"/>
          <w:szCs w:val="40"/>
        </w:rPr>
      </w:pPr>
      <w:r w:rsidRPr="003D4315">
        <w:rPr>
          <w:rFonts w:ascii="Times New Roman" w:hAnsi="Times New Roman" w:cs="Times New Roman"/>
          <w:b/>
          <w:bCs/>
          <w:sz w:val="40"/>
          <w:szCs w:val="40"/>
        </w:rPr>
        <w:t>Component 1 Coursework: Written Report</w:t>
      </w:r>
    </w:p>
    <w:p w14:paraId="22D37D6E" w14:textId="77777777" w:rsidR="003D4315" w:rsidRPr="003D4315" w:rsidRDefault="003D4315" w:rsidP="00A63684">
      <w:pPr>
        <w:spacing w:line="360" w:lineRule="auto"/>
        <w:jc w:val="center"/>
        <w:rPr>
          <w:rFonts w:ascii="Times New Roman" w:hAnsi="Times New Roman" w:cs="Times New Roman"/>
          <w:b/>
          <w:bCs/>
          <w:sz w:val="40"/>
          <w:szCs w:val="40"/>
        </w:rPr>
      </w:pPr>
      <w:proofErr w:type="spellStart"/>
      <w:r w:rsidRPr="003D4315">
        <w:rPr>
          <w:rFonts w:ascii="Times New Roman" w:hAnsi="Times New Roman" w:cs="Times New Roman"/>
          <w:b/>
          <w:bCs/>
          <w:sz w:val="40"/>
          <w:szCs w:val="40"/>
        </w:rPr>
        <w:t>Zlatina</w:t>
      </w:r>
      <w:proofErr w:type="spellEnd"/>
      <w:r w:rsidRPr="003D4315">
        <w:rPr>
          <w:rFonts w:ascii="Times New Roman" w:hAnsi="Times New Roman" w:cs="Times New Roman"/>
          <w:b/>
          <w:bCs/>
          <w:sz w:val="40"/>
          <w:szCs w:val="40"/>
        </w:rPr>
        <w:t xml:space="preserve"> </w:t>
      </w:r>
      <w:proofErr w:type="spellStart"/>
      <w:r w:rsidRPr="003D4315">
        <w:rPr>
          <w:rFonts w:ascii="Times New Roman" w:hAnsi="Times New Roman" w:cs="Times New Roman"/>
          <w:b/>
          <w:bCs/>
          <w:sz w:val="40"/>
          <w:szCs w:val="40"/>
        </w:rPr>
        <w:t>Zlatkova</w:t>
      </w:r>
      <w:proofErr w:type="spellEnd"/>
    </w:p>
    <w:p w14:paraId="3D70A556" w14:textId="17ABA319" w:rsidR="00C3356E" w:rsidRPr="00A63684" w:rsidRDefault="003D4315" w:rsidP="00A63684">
      <w:pPr>
        <w:spacing w:line="360" w:lineRule="auto"/>
        <w:jc w:val="center"/>
        <w:rPr>
          <w:rFonts w:ascii="Times New Roman" w:hAnsi="Times New Roman" w:cs="Times New Roman"/>
          <w:b/>
          <w:sz w:val="24"/>
          <w:szCs w:val="24"/>
        </w:rPr>
      </w:pPr>
      <w:r w:rsidRPr="003D4315">
        <w:rPr>
          <w:rFonts w:ascii="Times New Roman" w:hAnsi="Times New Roman" w:cs="Times New Roman"/>
          <w:b/>
          <w:bCs/>
          <w:sz w:val="40"/>
          <w:szCs w:val="40"/>
        </w:rPr>
        <w:t>2123043</w:t>
      </w:r>
      <w:r w:rsidR="00000000" w:rsidRPr="00A63684">
        <w:rPr>
          <w:rFonts w:ascii="Times New Roman" w:hAnsi="Times New Roman" w:cs="Times New Roman"/>
          <w:b/>
          <w:sz w:val="24"/>
          <w:szCs w:val="24"/>
        </w:rPr>
        <w:br w:type="page"/>
      </w:r>
    </w:p>
    <w:p w14:paraId="2583B0C8" w14:textId="77777777" w:rsidR="00CE0E2D" w:rsidRPr="00A63684" w:rsidRDefault="00000000" w:rsidP="00A63684">
      <w:pPr>
        <w:spacing w:line="360" w:lineRule="auto"/>
        <w:rPr>
          <w:rFonts w:ascii="Times New Roman" w:hAnsi="Times New Roman" w:cs="Times New Roman"/>
          <w:b/>
          <w:sz w:val="24"/>
          <w:szCs w:val="24"/>
        </w:rPr>
      </w:pPr>
      <w:r w:rsidRPr="00A63684">
        <w:rPr>
          <w:rFonts w:ascii="Times New Roman" w:hAnsi="Times New Roman" w:cs="Times New Roman"/>
          <w:b/>
          <w:sz w:val="24"/>
          <w:szCs w:val="24"/>
        </w:rPr>
        <w:lastRenderedPageBreak/>
        <w:t>Introduction</w:t>
      </w:r>
    </w:p>
    <w:p w14:paraId="4821BFA6"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International companies face challenges with </w:t>
      </w:r>
      <w:r w:rsidRPr="00A63684">
        <w:rPr>
          <w:rFonts w:ascii="Times New Roman" w:hAnsi="Times New Roman" w:cs="Times New Roman"/>
          <w:sz w:val="24"/>
          <w:szCs w:val="24"/>
        </w:rPr>
        <w:t>exposure to foreign exchange risks</w:t>
      </w:r>
      <w:r w:rsidRPr="00A63684">
        <w:rPr>
          <w:rFonts w:ascii="Times New Roman" w:eastAsia="Times New Roman" w:hAnsi="Times New Roman" w:cs="Times New Roman"/>
          <w:sz w:val="24"/>
          <w:szCs w:val="24"/>
          <w:lang w:val="en-GB" w:eastAsia="en-GB"/>
        </w:rPr>
        <w:t xml:space="preserve"> that could negatively affect multinational firms' profitability</w:t>
      </w:r>
      <w:r w:rsidR="002B48E1" w:rsidRPr="00A63684">
        <w:rPr>
          <w:rFonts w:ascii="Times New Roman" w:eastAsia="Times New Roman" w:hAnsi="Times New Roman" w:cs="Times New Roman"/>
          <w:sz w:val="24"/>
          <w:szCs w:val="24"/>
          <w:lang w:val="en-GB" w:eastAsia="en-GB"/>
        </w:rPr>
        <w:t xml:space="preserve"> (</w:t>
      </w:r>
      <w:r w:rsidR="002B48E1" w:rsidRPr="00A63684">
        <w:rPr>
          <w:rFonts w:ascii="Times New Roman" w:hAnsi="Times New Roman" w:cs="Times New Roman"/>
          <w:color w:val="222222"/>
          <w:sz w:val="24"/>
          <w:szCs w:val="24"/>
          <w:shd w:val="clear" w:color="auto" w:fill="FFFFFF"/>
        </w:rPr>
        <w:t>Sikarwar, 2021</w:t>
      </w:r>
      <w:r w:rsidR="002B48E1" w:rsidRPr="00A63684">
        <w:rPr>
          <w:rFonts w:ascii="Times New Roman" w:eastAsia="Times New Roman" w:hAnsi="Times New Roman" w:cs="Times New Roman"/>
          <w:sz w:val="24"/>
          <w:szCs w:val="24"/>
          <w:lang w:val="en-GB" w:eastAsia="en-GB"/>
        </w:rPr>
        <w:t>)</w:t>
      </w:r>
      <w:r w:rsidRPr="00A63684">
        <w:rPr>
          <w:rFonts w:ascii="Times New Roman" w:eastAsia="Times New Roman" w:hAnsi="Times New Roman" w:cs="Times New Roman"/>
          <w:sz w:val="24"/>
          <w:szCs w:val="24"/>
          <w:lang w:val="en-GB" w:eastAsia="en-GB"/>
        </w:rPr>
        <w:t xml:space="preserve">. Managing </w:t>
      </w:r>
      <w:r w:rsidRPr="00A63684">
        <w:rPr>
          <w:rFonts w:ascii="Times New Roman" w:hAnsi="Times New Roman" w:cs="Times New Roman"/>
          <w:sz w:val="24"/>
          <w:szCs w:val="24"/>
        </w:rPr>
        <w:t xml:space="preserve">exposure to foreign exchange risks </w:t>
      </w:r>
      <w:r w:rsidRPr="00A63684">
        <w:rPr>
          <w:rFonts w:ascii="Times New Roman" w:eastAsia="Times New Roman" w:hAnsi="Times New Roman" w:cs="Times New Roman"/>
          <w:sz w:val="24"/>
          <w:szCs w:val="24"/>
          <w:lang w:val="en-GB" w:eastAsia="en-GB"/>
        </w:rPr>
        <w:t>can be accomplished using a variety of tactics, such as hedging in the money market, swapping currencies, entering forward contracts, and establishing future contracts. Thus, the term "</w:t>
      </w:r>
      <w:r w:rsidRPr="00A63684">
        <w:rPr>
          <w:rFonts w:ascii="Times New Roman" w:eastAsia="Times New Roman" w:hAnsi="Times New Roman" w:cs="Times New Roman"/>
          <w:b/>
          <w:i/>
          <w:sz w:val="24"/>
          <w:szCs w:val="24"/>
          <w:lang w:val="en-GB" w:eastAsia="en-GB"/>
        </w:rPr>
        <w:t>hedging transaction exposure</w:t>
      </w:r>
      <w:r w:rsidRPr="00A63684">
        <w:rPr>
          <w:rFonts w:ascii="Times New Roman" w:eastAsia="Times New Roman" w:hAnsi="Times New Roman" w:cs="Times New Roman"/>
          <w:sz w:val="24"/>
          <w:szCs w:val="24"/>
          <w:lang w:val="en-GB" w:eastAsia="en-GB"/>
        </w:rPr>
        <w:t>" describes how changes in exchange rates would impact the home currency value of a company's contractual cash flows denominated in foreign c</w:t>
      </w:r>
      <w:r w:rsidR="002B48E1" w:rsidRPr="00A63684">
        <w:rPr>
          <w:rFonts w:ascii="Times New Roman" w:eastAsia="Times New Roman" w:hAnsi="Times New Roman" w:cs="Times New Roman"/>
          <w:sz w:val="24"/>
          <w:szCs w:val="24"/>
          <w:lang w:val="en-GB" w:eastAsia="en-GB"/>
        </w:rPr>
        <w:t>urrencies (</w:t>
      </w:r>
      <w:r w:rsidR="002B48E1" w:rsidRPr="00A63684">
        <w:rPr>
          <w:rFonts w:ascii="Times New Roman" w:hAnsi="Times New Roman" w:cs="Times New Roman"/>
          <w:color w:val="222222"/>
          <w:sz w:val="24"/>
          <w:szCs w:val="24"/>
          <w:shd w:val="clear" w:color="auto" w:fill="FFFFFF"/>
        </w:rPr>
        <w:t>Alfaro and Varela, 2021</w:t>
      </w:r>
      <w:r w:rsidRPr="00A63684">
        <w:rPr>
          <w:rFonts w:ascii="Times New Roman" w:eastAsia="Times New Roman" w:hAnsi="Times New Roman" w:cs="Times New Roman"/>
          <w:sz w:val="24"/>
          <w:szCs w:val="24"/>
          <w:lang w:val="en-GB" w:eastAsia="en-GB"/>
        </w:rPr>
        <w:t>). In light of this, hedging is a well-liked and practical tactic for reducing risk exposure to foreign exchange risk.</w:t>
      </w:r>
      <w:r w:rsidR="002B48E1" w:rsidRPr="00A63684">
        <w:rPr>
          <w:rFonts w:ascii="Times New Roman" w:eastAsia="Times New Roman" w:hAnsi="Times New Roman" w:cs="Times New Roman"/>
          <w:sz w:val="24"/>
          <w:szCs w:val="24"/>
          <w:lang w:val="en-GB" w:eastAsia="en-GB"/>
        </w:rPr>
        <w:t xml:space="preserve"> </w:t>
      </w:r>
      <w:r w:rsidRPr="00A63684">
        <w:rPr>
          <w:rFonts w:ascii="Times New Roman" w:eastAsia="Times New Roman" w:hAnsi="Times New Roman" w:cs="Times New Roman"/>
          <w:sz w:val="24"/>
          <w:szCs w:val="24"/>
          <w:lang w:val="en-GB" w:eastAsia="en-GB"/>
        </w:rPr>
        <w:t>To put it another way, there is some connection between a nation's interest rates and currency exchange rates. Because of this, currency pairings that have high-yielding interest rates will also have high demand, which implies that fluctuations in currency values can have a significant impact on Forex prices. However, a company needs to review the interest rate, rollover time, and other policies of an operational region to have a better understanding of the amount of interest risk they are exposed to. Foreign exchange rates are dependent on the stability and political system of the nation issuing the currency. As a result, the exchange rate is seen as a highly important price in an economy that is affected by governmental policy. Furthermore, as currency policy entails trade-offs that need to be carefully considered, it is the government's most important economic policy (</w:t>
      </w:r>
      <w:r w:rsidR="002B48E1" w:rsidRPr="00A63684">
        <w:rPr>
          <w:rFonts w:ascii="Times New Roman" w:hAnsi="Times New Roman" w:cs="Times New Roman"/>
          <w:color w:val="222222"/>
          <w:sz w:val="24"/>
          <w:szCs w:val="24"/>
          <w:shd w:val="clear" w:color="auto" w:fill="FFFFFF"/>
        </w:rPr>
        <w:t>Adolph and Koski, 2020</w:t>
      </w:r>
      <w:r w:rsidRPr="00A63684">
        <w:rPr>
          <w:rFonts w:ascii="Times New Roman" w:eastAsia="Times New Roman" w:hAnsi="Times New Roman" w:cs="Times New Roman"/>
          <w:sz w:val="24"/>
          <w:szCs w:val="24"/>
          <w:lang w:val="en-GB" w:eastAsia="en-GB"/>
        </w:rPr>
        <w:t>). One such is a shortfall in the nation's balance of payments, which may cause the currency to lose value. Therefore, when it comes to the operations of multinational corporations, currency appreciation and depreciation can be seen as a very delicate matter. Through this report, an analysis of the strategies that multinational companies apply to manage the exposure to foreign exchange risks will be carried out. Furthermore, for better comprehension, this will follow an application to a real company to further foresee how the strategies have helped them.</w:t>
      </w:r>
    </w:p>
    <w:p w14:paraId="51C218B9" w14:textId="77777777" w:rsidR="0084454C" w:rsidRPr="00A63684" w:rsidRDefault="0084454C" w:rsidP="00A63684">
      <w:pPr>
        <w:spacing w:after="0" w:line="360" w:lineRule="auto"/>
        <w:rPr>
          <w:rFonts w:ascii="Times New Roman" w:eastAsia="Times New Roman" w:hAnsi="Times New Roman" w:cs="Times New Roman"/>
          <w:sz w:val="24"/>
          <w:szCs w:val="24"/>
          <w:lang w:val="en-GB" w:eastAsia="en-GB"/>
        </w:rPr>
      </w:pPr>
    </w:p>
    <w:p w14:paraId="1E3B4DBF" w14:textId="77777777" w:rsidR="00E753F3" w:rsidRPr="00A63684" w:rsidRDefault="00000000" w:rsidP="00A63684">
      <w:pPr>
        <w:spacing w:after="0" w:line="360" w:lineRule="auto"/>
        <w:rPr>
          <w:rFonts w:ascii="Times New Roman" w:hAnsi="Times New Roman" w:cs="Times New Roman"/>
          <w:b/>
          <w:sz w:val="24"/>
          <w:szCs w:val="24"/>
        </w:rPr>
      </w:pPr>
      <w:r w:rsidRPr="00A63684">
        <w:rPr>
          <w:rFonts w:ascii="Times New Roman" w:hAnsi="Times New Roman" w:cs="Times New Roman"/>
          <w:b/>
          <w:sz w:val="24"/>
          <w:szCs w:val="24"/>
        </w:rPr>
        <w:t>Hedging Practices</w:t>
      </w:r>
    </w:p>
    <w:p w14:paraId="64225860" w14:textId="77777777" w:rsidR="0084454C" w:rsidRPr="00A63684" w:rsidRDefault="0084454C" w:rsidP="00A63684">
      <w:pPr>
        <w:spacing w:after="0" w:line="360" w:lineRule="auto"/>
        <w:rPr>
          <w:rFonts w:ascii="Times New Roman" w:eastAsia="Times New Roman" w:hAnsi="Times New Roman" w:cs="Times New Roman"/>
          <w:b/>
          <w:sz w:val="24"/>
          <w:szCs w:val="24"/>
          <w:lang w:val="en-GB" w:eastAsia="en-GB"/>
        </w:rPr>
      </w:pPr>
    </w:p>
    <w:p w14:paraId="14A5395D"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By choosing to </w:t>
      </w:r>
      <w:r w:rsidRPr="00A63684">
        <w:rPr>
          <w:rFonts w:ascii="Times New Roman" w:eastAsia="Times New Roman" w:hAnsi="Times New Roman" w:cs="Times New Roman"/>
          <w:b/>
          <w:i/>
          <w:sz w:val="24"/>
          <w:szCs w:val="24"/>
          <w:lang w:val="en-GB" w:eastAsia="en-GB"/>
        </w:rPr>
        <w:t>take a contrary asset position</w:t>
      </w:r>
      <w:r w:rsidRPr="00A63684">
        <w:rPr>
          <w:rFonts w:ascii="Times New Roman" w:eastAsia="Times New Roman" w:hAnsi="Times New Roman" w:cs="Times New Roman"/>
          <w:sz w:val="24"/>
          <w:szCs w:val="24"/>
          <w:lang w:val="en-GB" w:eastAsia="en-GB"/>
        </w:rPr>
        <w:t>, hedging serves as a risk management approach that mitigates investment losses by minimising relevant risk</w:t>
      </w:r>
      <w:r w:rsidR="0084454C" w:rsidRPr="00A63684">
        <w:rPr>
          <w:rFonts w:ascii="Times New Roman" w:eastAsia="Times New Roman" w:hAnsi="Times New Roman" w:cs="Times New Roman"/>
          <w:sz w:val="24"/>
          <w:szCs w:val="24"/>
          <w:lang w:val="en-GB" w:eastAsia="en-GB"/>
        </w:rPr>
        <w:t xml:space="preserve"> exposure. Many theories agree</w:t>
      </w:r>
      <w:r w:rsidRPr="00A63684">
        <w:rPr>
          <w:rFonts w:ascii="Times New Roman" w:eastAsia="Times New Roman" w:hAnsi="Times New Roman" w:cs="Times New Roman"/>
          <w:sz w:val="24"/>
          <w:szCs w:val="24"/>
          <w:lang w:val="en-GB" w:eastAsia="en-GB"/>
        </w:rPr>
        <w:t xml:space="preserve"> that hedging creates value by raising debt capacity and lowering the expenses associated with </w:t>
      </w:r>
      <w:r w:rsidRPr="00A63684">
        <w:rPr>
          <w:rFonts w:ascii="Times New Roman" w:eastAsia="Times New Roman" w:hAnsi="Times New Roman" w:cs="Times New Roman"/>
          <w:sz w:val="24"/>
          <w:szCs w:val="24"/>
          <w:lang w:val="en-GB" w:eastAsia="en-GB"/>
        </w:rPr>
        <w:lastRenderedPageBreak/>
        <w:t>financial distress (</w:t>
      </w:r>
      <w:r w:rsidR="002B48E1" w:rsidRPr="00A63684">
        <w:rPr>
          <w:rFonts w:ascii="Times New Roman" w:hAnsi="Times New Roman" w:cs="Times New Roman"/>
          <w:color w:val="222222"/>
          <w:sz w:val="24"/>
          <w:szCs w:val="24"/>
          <w:shd w:val="clear" w:color="auto" w:fill="FFFFFF"/>
        </w:rPr>
        <w:t>Mo and Griffiths, 2021</w:t>
      </w:r>
      <w:r w:rsidRPr="00A63684">
        <w:rPr>
          <w:rFonts w:ascii="Times New Roman" w:eastAsia="Times New Roman" w:hAnsi="Times New Roman" w:cs="Times New Roman"/>
          <w:sz w:val="24"/>
          <w:szCs w:val="24"/>
          <w:lang w:val="en-GB" w:eastAsia="en-GB"/>
        </w:rPr>
        <w:t xml:space="preserve">). The </w:t>
      </w:r>
      <w:r w:rsidR="0084454C" w:rsidRPr="00A63684">
        <w:rPr>
          <w:rFonts w:ascii="Times New Roman" w:eastAsia="Times New Roman" w:hAnsi="Times New Roman" w:cs="Times New Roman"/>
          <w:sz w:val="24"/>
          <w:szCs w:val="24"/>
          <w:lang w:val="en-GB" w:eastAsia="en-GB"/>
        </w:rPr>
        <w:t>major</w:t>
      </w:r>
      <w:r w:rsidRPr="00A63684">
        <w:rPr>
          <w:rFonts w:ascii="Times New Roman" w:eastAsia="Times New Roman" w:hAnsi="Times New Roman" w:cs="Times New Roman"/>
          <w:sz w:val="24"/>
          <w:szCs w:val="24"/>
          <w:lang w:val="en-GB" w:eastAsia="en-GB"/>
        </w:rPr>
        <w:t xml:space="preserve"> </w:t>
      </w:r>
      <w:r w:rsidR="0084454C" w:rsidRPr="00A63684">
        <w:rPr>
          <w:rFonts w:ascii="Times New Roman" w:eastAsia="Times New Roman" w:hAnsi="Times New Roman" w:cs="Times New Roman"/>
          <w:sz w:val="24"/>
          <w:szCs w:val="24"/>
          <w:lang w:val="en-GB" w:eastAsia="en-GB"/>
        </w:rPr>
        <w:t>statement</w:t>
      </w:r>
      <w:r w:rsidRPr="00A63684">
        <w:rPr>
          <w:rFonts w:ascii="Times New Roman" w:eastAsia="Times New Roman" w:hAnsi="Times New Roman" w:cs="Times New Roman"/>
          <w:sz w:val="24"/>
          <w:szCs w:val="24"/>
          <w:lang w:val="en-GB" w:eastAsia="en-GB"/>
        </w:rPr>
        <w:t xml:space="preserve"> is that a company with the characteristics of a multinational corporation essentially generates revenue in various currencies when it conducts business in multiple nations. Ultimately, the profits are converted into the domestic currency (</w:t>
      </w:r>
      <w:r w:rsidR="002B48E1" w:rsidRPr="00A63684">
        <w:rPr>
          <w:rFonts w:ascii="Times New Roman" w:hAnsi="Times New Roman" w:cs="Times New Roman"/>
          <w:color w:val="222222"/>
          <w:sz w:val="24"/>
          <w:szCs w:val="24"/>
          <w:shd w:val="clear" w:color="auto" w:fill="FFFFFF"/>
        </w:rPr>
        <w:t>Liao and Zhang, 2020</w:t>
      </w:r>
      <w:r w:rsidRPr="00A63684">
        <w:rPr>
          <w:rFonts w:ascii="Times New Roman" w:eastAsia="Times New Roman" w:hAnsi="Times New Roman" w:cs="Times New Roman"/>
          <w:sz w:val="24"/>
          <w:szCs w:val="24"/>
          <w:lang w:val="en-GB" w:eastAsia="en-GB"/>
        </w:rPr>
        <w:t xml:space="preserve">) </w:t>
      </w:r>
      <w:r w:rsidR="0084454C" w:rsidRPr="00A63684">
        <w:rPr>
          <w:rFonts w:ascii="Times New Roman" w:eastAsia="Times New Roman" w:hAnsi="Times New Roman" w:cs="Times New Roman"/>
          <w:sz w:val="24"/>
          <w:szCs w:val="24"/>
          <w:lang w:val="en-GB" w:eastAsia="en-GB"/>
        </w:rPr>
        <w:t xml:space="preserve">to meet the </w:t>
      </w:r>
      <w:r w:rsidRPr="00A63684">
        <w:rPr>
          <w:rFonts w:ascii="Times New Roman" w:eastAsia="Times New Roman" w:hAnsi="Times New Roman" w:cs="Times New Roman"/>
          <w:sz w:val="24"/>
          <w:szCs w:val="24"/>
          <w:lang w:val="en-GB" w:eastAsia="en-GB"/>
        </w:rPr>
        <w:t xml:space="preserve">accounting and </w:t>
      </w:r>
      <w:r w:rsidR="0084454C" w:rsidRPr="00A63684">
        <w:rPr>
          <w:rFonts w:ascii="Times New Roman" w:eastAsia="Times New Roman" w:hAnsi="Times New Roman" w:cs="Times New Roman"/>
          <w:sz w:val="24"/>
          <w:szCs w:val="24"/>
          <w:lang w:val="en-GB" w:eastAsia="en-GB"/>
        </w:rPr>
        <w:t xml:space="preserve">share distribution </w:t>
      </w:r>
      <w:r w:rsidRPr="00A63684">
        <w:rPr>
          <w:rFonts w:ascii="Times New Roman" w:eastAsia="Times New Roman" w:hAnsi="Times New Roman" w:cs="Times New Roman"/>
          <w:sz w:val="24"/>
          <w:szCs w:val="24"/>
          <w:lang w:val="en-GB" w:eastAsia="en-GB"/>
        </w:rPr>
        <w:t>purposes.</w:t>
      </w:r>
      <w:r w:rsidR="005006A3" w:rsidRPr="00A63684">
        <w:rPr>
          <w:rFonts w:ascii="Times New Roman" w:eastAsia="Times New Roman" w:hAnsi="Times New Roman" w:cs="Times New Roman"/>
          <w:sz w:val="24"/>
          <w:szCs w:val="24"/>
          <w:lang w:val="en-GB" w:eastAsia="en-GB"/>
        </w:rPr>
        <w:t xml:space="preserve"> </w:t>
      </w:r>
      <w:r w:rsidRPr="00A63684">
        <w:rPr>
          <w:rFonts w:ascii="Times New Roman" w:eastAsia="Times New Roman" w:hAnsi="Times New Roman" w:cs="Times New Roman"/>
          <w:sz w:val="24"/>
          <w:szCs w:val="24"/>
          <w:lang w:val="en-GB" w:eastAsia="en-GB"/>
        </w:rPr>
        <w:t>Therefore, the exchange rate risk can have a direct influence on the firm's cash flows both favourably and unfavourably depending on how much the host or home country's currency appreciates or depreciates.</w:t>
      </w:r>
    </w:p>
    <w:p w14:paraId="21965A23"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The idea of hedging is to </w:t>
      </w:r>
      <w:r w:rsidRPr="00A63684">
        <w:rPr>
          <w:rFonts w:ascii="Times New Roman" w:eastAsia="Times New Roman" w:hAnsi="Times New Roman" w:cs="Times New Roman"/>
          <w:b/>
          <w:i/>
          <w:sz w:val="24"/>
          <w:szCs w:val="24"/>
          <w:lang w:val="en-GB" w:eastAsia="en-GB"/>
        </w:rPr>
        <w:t>purchase a financial hedge</w:t>
      </w:r>
      <w:r w:rsidRPr="00A63684">
        <w:rPr>
          <w:rFonts w:ascii="Times New Roman" w:eastAsia="Times New Roman" w:hAnsi="Times New Roman" w:cs="Times New Roman"/>
          <w:sz w:val="24"/>
          <w:szCs w:val="24"/>
          <w:lang w:val="en-GB" w:eastAsia="en-GB"/>
        </w:rPr>
        <w:t xml:space="preserve">. When hedging between currencies with small interest rate </w:t>
      </w:r>
      <w:r w:rsidR="005006A3" w:rsidRPr="00A63684">
        <w:rPr>
          <w:rFonts w:ascii="Times New Roman" w:eastAsia="Times New Roman" w:hAnsi="Times New Roman" w:cs="Times New Roman"/>
          <w:sz w:val="24"/>
          <w:szCs w:val="24"/>
          <w:lang w:val="en-GB" w:eastAsia="en-GB"/>
        </w:rPr>
        <w:t>differences</w:t>
      </w:r>
      <w:r w:rsidRPr="00A63684">
        <w:rPr>
          <w:rFonts w:ascii="Times New Roman" w:eastAsia="Times New Roman" w:hAnsi="Times New Roman" w:cs="Times New Roman"/>
          <w:sz w:val="24"/>
          <w:szCs w:val="24"/>
          <w:lang w:val="en-GB" w:eastAsia="en-GB"/>
        </w:rPr>
        <w:t xml:space="preserve">, like the euro and the dollar, it is less expensive. </w:t>
      </w:r>
      <w:r w:rsidRPr="00A63684">
        <w:rPr>
          <w:rFonts w:ascii="Times New Roman" w:eastAsia="Times New Roman" w:hAnsi="Times New Roman" w:cs="Times New Roman"/>
          <w:b/>
          <w:i/>
          <w:sz w:val="24"/>
          <w:szCs w:val="24"/>
          <w:lang w:val="en-GB" w:eastAsia="en-GB"/>
        </w:rPr>
        <w:t xml:space="preserve">Obtaining a natural balance </w:t>
      </w:r>
      <w:r w:rsidR="005006A3" w:rsidRPr="00A63684">
        <w:rPr>
          <w:rFonts w:ascii="Times New Roman" w:eastAsia="Times New Roman" w:hAnsi="Times New Roman" w:cs="Times New Roman"/>
          <w:sz w:val="24"/>
          <w:szCs w:val="24"/>
          <w:lang w:val="en-GB" w:eastAsia="en-GB"/>
        </w:rPr>
        <w:t>is another tactic. The main</w:t>
      </w:r>
      <w:r w:rsidRPr="00A63684">
        <w:rPr>
          <w:rFonts w:ascii="Times New Roman" w:eastAsia="Times New Roman" w:hAnsi="Times New Roman" w:cs="Times New Roman"/>
          <w:sz w:val="24"/>
          <w:szCs w:val="24"/>
          <w:lang w:val="en-GB" w:eastAsia="en-GB"/>
        </w:rPr>
        <w:t xml:space="preserve"> tactic seeks to achieve currency </w:t>
      </w:r>
      <w:r w:rsidR="005006A3" w:rsidRPr="00A63684">
        <w:rPr>
          <w:rFonts w:ascii="Times New Roman" w:eastAsia="Times New Roman" w:hAnsi="Times New Roman" w:cs="Times New Roman"/>
          <w:sz w:val="24"/>
          <w:szCs w:val="24"/>
          <w:lang w:val="en-GB" w:eastAsia="en-GB"/>
        </w:rPr>
        <w:t>equality</w:t>
      </w:r>
      <w:r w:rsidRPr="00A63684">
        <w:rPr>
          <w:rFonts w:ascii="Times New Roman" w:eastAsia="Times New Roman" w:hAnsi="Times New Roman" w:cs="Times New Roman"/>
          <w:sz w:val="24"/>
          <w:szCs w:val="24"/>
          <w:lang w:val="en-GB" w:eastAsia="en-GB"/>
        </w:rPr>
        <w:t xml:space="preserve"> in income and e</w:t>
      </w:r>
      <w:r w:rsidR="005006A3" w:rsidRPr="00A63684">
        <w:rPr>
          <w:rFonts w:ascii="Times New Roman" w:eastAsia="Times New Roman" w:hAnsi="Times New Roman" w:cs="Times New Roman"/>
          <w:sz w:val="24"/>
          <w:szCs w:val="24"/>
          <w:lang w:val="en-GB" w:eastAsia="en-GB"/>
        </w:rPr>
        <w:t>xpenses</w:t>
      </w:r>
      <w:r w:rsidR="002B48E1" w:rsidRPr="00A63684">
        <w:rPr>
          <w:rFonts w:ascii="Times New Roman" w:eastAsia="Times New Roman" w:hAnsi="Times New Roman" w:cs="Times New Roman"/>
          <w:sz w:val="24"/>
          <w:szCs w:val="24"/>
          <w:lang w:val="en-GB" w:eastAsia="en-GB"/>
        </w:rPr>
        <w:t xml:space="preserve"> (</w:t>
      </w:r>
      <w:r w:rsidR="002B48E1" w:rsidRPr="00A63684">
        <w:rPr>
          <w:rFonts w:ascii="Times New Roman" w:hAnsi="Times New Roman" w:cs="Times New Roman"/>
          <w:color w:val="222222"/>
          <w:sz w:val="24"/>
          <w:szCs w:val="24"/>
          <w:shd w:val="clear" w:color="auto" w:fill="FFFFFF"/>
        </w:rPr>
        <w:t>Strategy, 2024</w:t>
      </w:r>
      <w:r w:rsidR="002B48E1" w:rsidRPr="00A63684">
        <w:rPr>
          <w:rFonts w:ascii="Times New Roman" w:eastAsia="Times New Roman" w:hAnsi="Times New Roman" w:cs="Times New Roman"/>
          <w:sz w:val="24"/>
          <w:szCs w:val="24"/>
          <w:lang w:val="en-GB" w:eastAsia="en-GB"/>
        </w:rPr>
        <w:t>)</w:t>
      </w:r>
      <w:r w:rsidR="005006A3" w:rsidRPr="00A63684">
        <w:rPr>
          <w:rFonts w:ascii="Times New Roman" w:eastAsia="Times New Roman" w:hAnsi="Times New Roman" w:cs="Times New Roman"/>
          <w:sz w:val="24"/>
          <w:szCs w:val="24"/>
          <w:lang w:val="en-GB" w:eastAsia="en-GB"/>
        </w:rPr>
        <w:t>. Stated differently, the</w:t>
      </w:r>
      <w:r w:rsidRPr="00A63684">
        <w:rPr>
          <w:rFonts w:ascii="Times New Roman" w:eastAsia="Times New Roman" w:hAnsi="Times New Roman" w:cs="Times New Roman"/>
          <w:sz w:val="24"/>
          <w:szCs w:val="24"/>
          <w:lang w:val="en-GB" w:eastAsia="en-GB"/>
        </w:rPr>
        <w:t xml:space="preserve"> goal is to purchase equal to the amount of money we sell. In the </w:t>
      </w:r>
      <w:r w:rsidR="005006A3" w:rsidRPr="00A63684">
        <w:rPr>
          <w:rFonts w:ascii="Times New Roman" w:eastAsia="Times New Roman" w:hAnsi="Times New Roman" w:cs="Times New Roman"/>
          <w:sz w:val="24"/>
          <w:szCs w:val="24"/>
          <w:lang w:val="en-GB" w:eastAsia="en-GB"/>
        </w:rPr>
        <w:t>basic</w:t>
      </w:r>
      <w:r w:rsidRPr="00A63684">
        <w:rPr>
          <w:rFonts w:ascii="Times New Roman" w:eastAsia="Times New Roman" w:hAnsi="Times New Roman" w:cs="Times New Roman"/>
          <w:sz w:val="24"/>
          <w:szCs w:val="24"/>
          <w:lang w:val="en-GB" w:eastAsia="en-GB"/>
        </w:rPr>
        <w:t xml:space="preserve"> case, we transfer the risk to our clients, who may find</w:t>
      </w:r>
      <w:r w:rsidR="005006A3" w:rsidRPr="00A63684">
        <w:rPr>
          <w:rFonts w:ascii="Times New Roman" w:eastAsia="Times New Roman" w:hAnsi="Times New Roman" w:cs="Times New Roman"/>
          <w:sz w:val="24"/>
          <w:szCs w:val="24"/>
          <w:lang w:val="en-GB" w:eastAsia="en-GB"/>
        </w:rPr>
        <w:t xml:space="preserve"> it more affordable as a result; c</w:t>
      </w:r>
      <w:r w:rsidRPr="00A63684">
        <w:rPr>
          <w:rFonts w:ascii="Times New Roman" w:eastAsia="Times New Roman" w:hAnsi="Times New Roman" w:cs="Times New Roman"/>
          <w:sz w:val="24"/>
          <w:szCs w:val="24"/>
          <w:lang w:val="en-GB" w:eastAsia="en-GB"/>
        </w:rPr>
        <w:t>onsider the scenario if there is a significant interest rate disparity, or high cost to hedge (</w:t>
      </w:r>
      <w:r w:rsidR="00C3356E" w:rsidRPr="00A63684">
        <w:rPr>
          <w:rFonts w:ascii="Times New Roman" w:hAnsi="Times New Roman" w:cs="Times New Roman"/>
          <w:color w:val="222222"/>
          <w:sz w:val="24"/>
          <w:szCs w:val="24"/>
          <w:shd w:val="clear" w:color="auto" w:fill="FFFFFF"/>
        </w:rPr>
        <w:t>Paranita and Aditya, 2020</w:t>
      </w:r>
      <w:r w:rsidR="00C3356E" w:rsidRPr="00A63684">
        <w:rPr>
          <w:rFonts w:ascii="Times New Roman" w:eastAsia="Times New Roman" w:hAnsi="Times New Roman" w:cs="Times New Roman"/>
          <w:sz w:val="24"/>
          <w:szCs w:val="24"/>
          <w:lang w:val="en-GB" w:eastAsia="en-GB"/>
        </w:rPr>
        <w:t>)</w:t>
      </w:r>
      <w:r w:rsidRPr="00A63684">
        <w:rPr>
          <w:rFonts w:ascii="Times New Roman" w:eastAsia="Times New Roman" w:hAnsi="Times New Roman" w:cs="Times New Roman"/>
          <w:sz w:val="24"/>
          <w:szCs w:val="24"/>
          <w:lang w:val="en-GB" w:eastAsia="en-GB"/>
        </w:rPr>
        <w:t xml:space="preserve">. A business could hedge, but in any case, it would be charging those clients for that expense. One more option is to just </w:t>
      </w:r>
      <w:r w:rsidRPr="00A63684">
        <w:rPr>
          <w:rFonts w:ascii="Times New Roman" w:eastAsia="Times New Roman" w:hAnsi="Times New Roman" w:cs="Times New Roman"/>
          <w:b/>
          <w:i/>
          <w:sz w:val="24"/>
          <w:szCs w:val="24"/>
          <w:lang w:val="en-GB" w:eastAsia="en-GB"/>
        </w:rPr>
        <w:t>sell in dollars or euros</w:t>
      </w:r>
      <w:r w:rsidRPr="00A63684">
        <w:rPr>
          <w:rFonts w:ascii="Times New Roman" w:eastAsia="Times New Roman" w:hAnsi="Times New Roman" w:cs="Times New Roman"/>
          <w:sz w:val="24"/>
          <w:szCs w:val="24"/>
          <w:lang w:val="en-GB" w:eastAsia="en-GB"/>
        </w:rPr>
        <w:t xml:space="preserve">, regardless of whether the invoice is produced at the daily, monthly, or yearly conversion rate and is printed in local currency. Clients would be better off using the suggested alternative over an </w:t>
      </w:r>
      <w:r w:rsidR="005006A3" w:rsidRPr="00A63684">
        <w:rPr>
          <w:rFonts w:ascii="Times New Roman" w:eastAsia="Times New Roman" w:hAnsi="Times New Roman" w:cs="Times New Roman"/>
          <w:sz w:val="24"/>
          <w:szCs w:val="24"/>
          <w:lang w:val="en-GB" w:eastAsia="en-GB"/>
        </w:rPr>
        <w:t>extended period. Further tactics that companies adhere</w:t>
      </w:r>
      <w:r w:rsidRPr="00A63684">
        <w:rPr>
          <w:rFonts w:ascii="Times New Roman" w:eastAsia="Times New Roman" w:hAnsi="Times New Roman" w:cs="Times New Roman"/>
          <w:sz w:val="24"/>
          <w:szCs w:val="24"/>
          <w:lang w:val="en-GB" w:eastAsia="en-GB"/>
        </w:rPr>
        <w:t xml:space="preserve"> to are:</w:t>
      </w:r>
    </w:p>
    <w:p w14:paraId="200CB0C8" w14:textId="77777777" w:rsidR="005006A3" w:rsidRPr="00A63684" w:rsidRDefault="00000000" w:rsidP="00A63684">
      <w:pPr>
        <w:pStyle w:val="a3"/>
        <w:numPr>
          <w:ilvl w:val="0"/>
          <w:numId w:val="1"/>
        </w:num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Assess the exposure and the</w:t>
      </w:r>
      <w:r w:rsidR="00E753F3" w:rsidRPr="00A63684">
        <w:rPr>
          <w:rFonts w:ascii="Times New Roman" w:eastAsia="Times New Roman" w:hAnsi="Times New Roman" w:cs="Times New Roman"/>
          <w:sz w:val="24"/>
          <w:szCs w:val="24"/>
          <w:lang w:val="en-GB" w:eastAsia="en-GB"/>
        </w:rPr>
        <w:t xml:space="preserve"> risk tolerance. W</w:t>
      </w:r>
      <w:r w:rsidRPr="00A63684">
        <w:rPr>
          <w:rFonts w:ascii="Times New Roman" w:eastAsia="Times New Roman" w:hAnsi="Times New Roman" w:cs="Times New Roman"/>
          <w:sz w:val="24"/>
          <w:szCs w:val="24"/>
          <w:lang w:val="en-GB" w:eastAsia="en-GB"/>
        </w:rPr>
        <w:t xml:space="preserve">hich currencies? When is that? </w:t>
      </w:r>
    </w:p>
    <w:p w14:paraId="21E6A7BF" w14:textId="77777777" w:rsidR="005006A3" w:rsidRPr="00A63684" w:rsidRDefault="00000000" w:rsidP="00A63684">
      <w:pPr>
        <w:pStyle w:val="a3"/>
        <w:numPr>
          <w:ilvl w:val="0"/>
          <w:numId w:val="1"/>
        </w:num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Determine and measure the expense of taking on the currency risk. How much might it cost considering the potential effects of exchange rates? </w:t>
      </w:r>
    </w:p>
    <w:p w14:paraId="28BE21FB" w14:textId="77777777" w:rsidR="005006A3" w:rsidRPr="00A63684" w:rsidRDefault="00000000" w:rsidP="00A63684">
      <w:pPr>
        <w:pStyle w:val="a3"/>
        <w:numPr>
          <w:ilvl w:val="0"/>
          <w:numId w:val="1"/>
        </w:num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One of the most effective ways to manage currency risk is to use </w:t>
      </w:r>
      <w:r w:rsidRPr="00A63684">
        <w:rPr>
          <w:rFonts w:ascii="Times New Roman" w:eastAsia="Times New Roman" w:hAnsi="Times New Roman" w:cs="Times New Roman"/>
          <w:b/>
          <w:i/>
          <w:sz w:val="24"/>
          <w:szCs w:val="24"/>
          <w:lang w:val="en-GB" w:eastAsia="en-GB"/>
        </w:rPr>
        <w:t>forward exchange rate</w:t>
      </w:r>
      <w:r w:rsidRPr="00A63684">
        <w:rPr>
          <w:rFonts w:ascii="Times New Roman" w:eastAsia="Times New Roman" w:hAnsi="Times New Roman" w:cs="Times New Roman"/>
          <w:sz w:val="24"/>
          <w:szCs w:val="24"/>
          <w:lang w:val="en-GB" w:eastAsia="en-GB"/>
        </w:rPr>
        <w:t xml:space="preserve"> agreements and/or options to hedge anticipated cash flows. </w:t>
      </w:r>
    </w:p>
    <w:p w14:paraId="212A5AA0" w14:textId="77777777" w:rsidR="00E753F3" w:rsidRPr="00A63684" w:rsidRDefault="00000000" w:rsidP="00A63684">
      <w:pPr>
        <w:pStyle w:val="a3"/>
        <w:numPr>
          <w:ilvl w:val="0"/>
          <w:numId w:val="1"/>
        </w:num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Lastly, reporting and monitoring are essential.</w:t>
      </w:r>
    </w:p>
    <w:p w14:paraId="70E367B1" w14:textId="77777777" w:rsidR="00E753F3" w:rsidRPr="00A63684" w:rsidRDefault="00E753F3" w:rsidP="00A63684">
      <w:pPr>
        <w:spacing w:line="360" w:lineRule="auto"/>
        <w:rPr>
          <w:rFonts w:ascii="Times New Roman" w:hAnsi="Times New Roman" w:cs="Times New Roman"/>
          <w:b/>
          <w:sz w:val="24"/>
          <w:szCs w:val="24"/>
        </w:rPr>
      </w:pPr>
    </w:p>
    <w:p w14:paraId="5F0DDAA6" w14:textId="77777777" w:rsidR="00E753F3" w:rsidRPr="00A63684" w:rsidRDefault="00000000" w:rsidP="00A63684">
      <w:pPr>
        <w:spacing w:line="360" w:lineRule="auto"/>
        <w:rPr>
          <w:rFonts w:ascii="Times New Roman" w:hAnsi="Times New Roman" w:cs="Times New Roman"/>
          <w:b/>
          <w:sz w:val="24"/>
          <w:szCs w:val="24"/>
        </w:rPr>
      </w:pPr>
      <w:r w:rsidRPr="00A63684">
        <w:rPr>
          <w:rFonts w:ascii="Times New Roman" w:hAnsi="Times New Roman" w:cs="Times New Roman"/>
          <w:b/>
          <w:sz w:val="24"/>
          <w:szCs w:val="24"/>
        </w:rPr>
        <w:t>Application in a Company</w:t>
      </w:r>
    </w:p>
    <w:p w14:paraId="3189FB21"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Since P&amp;G's headquarters are in the United States, the company's profitability suffers when the dollar appreciates since foreign sales are eventually translated into dollars, which causes the exchange rate to become unfavourable. According to an examination of the company's financial accounts, they produce and market their goods in numerous countries across the world. They are </w:t>
      </w:r>
      <w:r w:rsidRPr="00A63684">
        <w:rPr>
          <w:rFonts w:ascii="Times New Roman" w:eastAsia="Times New Roman" w:hAnsi="Times New Roman" w:cs="Times New Roman"/>
          <w:sz w:val="24"/>
          <w:szCs w:val="24"/>
          <w:lang w:val="en-GB" w:eastAsia="en-GB"/>
        </w:rPr>
        <w:lastRenderedPageBreak/>
        <w:t xml:space="preserve">therefore regarded as being exposed to how changes in exchange rates may affect their </w:t>
      </w:r>
      <w:r w:rsidR="005006A3" w:rsidRPr="00A63684">
        <w:rPr>
          <w:rFonts w:ascii="Times New Roman" w:eastAsia="Times New Roman" w:hAnsi="Times New Roman" w:cs="Times New Roman"/>
          <w:sz w:val="24"/>
          <w:szCs w:val="24"/>
          <w:lang w:val="en-GB" w:eastAsia="en-GB"/>
        </w:rPr>
        <w:t>valid</w:t>
      </w:r>
      <w:r w:rsidRPr="00A63684">
        <w:rPr>
          <w:rFonts w:ascii="Times New Roman" w:eastAsia="Times New Roman" w:hAnsi="Times New Roman" w:cs="Times New Roman"/>
          <w:sz w:val="24"/>
          <w:szCs w:val="24"/>
          <w:lang w:val="en-GB" w:eastAsia="en-GB"/>
        </w:rPr>
        <w:t xml:space="preserve"> costs and income. A range of acceptable hedging techniques are outlined in P&amp;G's company policy (Madura, Jeff, 301). </w:t>
      </w:r>
    </w:p>
    <w:p w14:paraId="1573FF40"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The management of P&amp;G employs </w:t>
      </w:r>
      <w:r w:rsidRPr="00A63684">
        <w:rPr>
          <w:rFonts w:ascii="Times New Roman" w:eastAsia="Times New Roman" w:hAnsi="Times New Roman" w:cs="Times New Roman"/>
          <w:b/>
          <w:i/>
          <w:sz w:val="24"/>
          <w:szCs w:val="24"/>
          <w:lang w:val="en-GB" w:eastAsia="en-GB"/>
        </w:rPr>
        <w:t>forward contracts with an 18-month maturity period</w:t>
      </w:r>
      <w:r w:rsidRPr="00A63684">
        <w:rPr>
          <w:rFonts w:ascii="Times New Roman" w:eastAsia="Times New Roman" w:hAnsi="Times New Roman" w:cs="Times New Roman"/>
          <w:sz w:val="24"/>
          <w:szCs w:val="24"/>
          <w:lang w:val="en-GB" w:eastAsia="en-GB"/>
        </w:rPr>
        <w:t xml:space="preserve"> in a </w:t>
      </w:r>
      <w:r w:rsidR="005006A3" w:rsidRPr="00A63684">
        <w:rPr>
          <w:rFonts w:ascii="Times New Roman" w:eastAsia="Times New Roman" w:hAnsi="Times New Roman" w:cs="Times New Roman"/>
          <w:sz w:val="24"/>
          <w:szCs w:val="24"/>
          <w:lang w:val="en-GB" w:eastAsia="en-GB"/>
        </w:rPr>
        <w:t>practical</w:t>
      </w:r>
      <w:r w:rsidRPr="00A63684">
        <w:rPr>
          <w:rFonts w:ascii="Times New Roman" w:eastAsia="Times New Roman" w:hAnsi="Times New Roman" w:cs="Times New Roman"/>
          <w:sz w:val="24"/>
          <w:szCs w:val="24"/>
          <w:lang w:val="en-GB" w:eastAsia="en-GB"/>
        </w:rPr>
        <w:t xml:space="preserve"> manner to control the underlying currency rate risk related to its activities. Furthermore, the P&amp;G management </w:t>
      </w:r>
      <w:r w:rsidRPr="00A63684">
        <w:rPr>
          <w:rFonts w:ascii="Times New Roman" w:eastAsia="Times New Roman" w:hAnsi="Times New Roman" w:cs="Times New Roman"/>
          <w:b/>
          <w:i/>
          <w:sz w:val="24"/>
          <w:szCs w:val="24"/>
          <w:lang w:val="en-GB" w:eastAsia="en-GB"/>
        </w:rPr>
        <w:t>engages in many currency swaps</w:t>
      </w:r>
      <w:r w:rsidRPr="00A63684">
        <w:rPr>
          <w:rFonts w:ascii="Times New Roman" w:eastAsia="Times New Roman" w:hAnsi="Times New Roman" w:cs="Times New Roman"/>
          <w:sz w:val="24"/>
          <w:szCs w:val="24"/>
          <w:lang w:val="en-GB" w:eastAsia="en-GB"/>
        </w:rPr>
        <w:t xml:space="preserve"> as a means of mitigating the risk associated with f</w:t>
      </w:r>
      <w:r w:rsidR="005006A3" w:rsidRPr="00A63684">
        <w:rPr>
          <w:rFonts w:ascii="Times New Roman" w:eastAsia="Times New Roman" w:hAnsi="Times New Roman" w:cs="Times New Roman"/>
          <w:sz w:val="24"/>
          <w:szCs w:val="24"/>
          <w:lang w:val="en-GB" w:eastAsia="en-GB"/>
        </w:rPr>
        <w:t xml:space="preserve">luctuations in exchange rates. </w:t>
      </w:r>
      <w:r w:rsidRPr="00A63684">
        <w:rPr>
          <w:rFonts w:ascii="Times New Roman" w:eastAsia="Times New Roman" w:hAnsi="Times New Roman" w:cs="Times New Roman"/>
          <w:sz w:val="24"/>
          <w:szCs w:val="24"/>
          <w:lang w:val="en-GB" w:eastAsia="en-GB"/>
        </w:rPr>
        <w:t>The spot exchange rate, the agreed-upon future exchange rate, the interest rate of each nation's currency, and the duration of the agreement are often the pillars of a foreign exchange swap</w:t>
      </w:r>
      <w:r w:rsidR="00C3356E" w:rsidRPr="00A63684">
        <w:rPr>
          <w:rFonts w:ascii="Times New Roman" w:eastAsia="Times New Roman" w:hAnsi="Times New Roman" w:cs="Times New Roman"/>
          <w:sz w:val="24"/>
          <w:szCs w:val="24"/>
          <w:lang w:val="en-GB" w:eastAsia="en-GB"/>
        </w:rPr>
        <w:t xml:space="preserve"> (</w:t>
      </w:r>
      <w:r w:rsidR="00C3356E" w:rsidRPr="00A63684">
        <w:rPr>
          <w:rFonts w:ascii="Times New Roman" w:hAnsi="Times New Roman" w:cs="Times New Roman"/>
          <w:color w:val="222222"/>
          <w:sz w:val="24"/>
          <w:szCs w:val="24"/>
          <w:shd w:val="clear" w:color="auto" w:fill="FFFFFF"/>
        </w:rPr>
        <w:t>Orlov and Sharma, 2024</w:t>
      </w:r>
      <w:r w:rsidR="00C3356E" w:rsidRPr="00A63684">
        <w:rPr>
          <w:rFonts w:ascii="Times New Roman" w:eastAsia="Times New Roman" w:hAnsi="Times New Roman" w:cs="Times New Roman"/>
          <w:sz w:val="24"/>
          <w:szCs w:val="24"/>
          <w:lang w:val="en-GB" w:eastAsia="en-GB"/>
        </w:rPr>
        <w:t>)</w:t>
      </w:r>
      <w:r w:rsidRPr="00A63684">
        <w:rPr>
          <w:rFonts w:ascii="Times New Roman" w:eastAsia="Times New Roman" w:hAnsi="Times New Roman" w:cs="Times New Roman"/>
          <w:sz w:val="24"/>
          <w:szCs w:val="24"/>
          <w:lang w:val="en-GB" w:eastAsia="en-GB"/>
        </w:rPr>
        <w:t>.</w:t>
      </w:r>
      <w:r w:rsidR="005006A3" w:rsidRPr="00A63684">
        <w:rPr>
          <w:rFonts w:ascii="Times New Roman" w:eastAsia="Times New Roman" w:hAnsi="Times New Roman" w:cs="Times New Roman"/>
          <w:sz w:val="24"/>
          <w:szCs w:val="24"/>
          <w:lang w:val="en-GB" w:eastAsia="en-GB"/>
        </w:rPr>
        <w:t xml:space="preserve"> </w:t>
      </w:r>
      <w:r w:rsidRPr="00A63684">
        <w:rPr>
          <w:rFonts w:ascii="Times New Roman" w:eastAsia="Times New Roman" w:hAnsi="Times New Roman" w:cs="Times New Roman"/>
          <w:sz w:val="24"/>
          <w:szCs w:val="24"/>
          <w:lang w:val="en-GB" w:eastAsia="en-GB"/>
        </w:rPr>
        <w:t xml:space="preserve">However because a foreign exchange swap agreement's provisions can be </w:t>
      </w:r>
      <w:r w:rsidR="005006A3" w:rsidRPr="00A63684">
        <w:rPr>
          <w:rFonts w:ascii="Times New Roman" w:eastAsia="Times New Roman" w:hAnsi="Times New Roman" w:cs="Times New Roman"/>
          <w:sz w:val="24"/>
          <w:szCs w:val="24"/>
          <w:lang w:val="en-GB" w:eastAsia="en-GB"/>
        </w:rPr>
        <w:t>complex</w:t>
      </w:r>
      <w:r w:rsidRPr="00A63684">
        <w:rPr>
          <w:rFonts w:ascii="Times New Roman" w:eastAsia="Times New Roman" w:hAnsi="Times New Roman" w:cs="Times New Roman"/>
          <w:sz w:val="24"/>
          <w:szCs w:val="24"/>
          <w:lang w:val="en-GB" w:eastAsia="en-GB"/>
        </w:rPr>
        <w:t xml:space="preserve"> and </w:t>
      </w:r>
      <w:r w:rsidR="005006A3" w:rsidRPr="00A63684">
        <w:rPr>
          <w:rFonts w:ascii="Times New Roman" w:eastAsia="Times New Roman" w:hAnsi="Times New Roman" w:cs="Times New Roman"/>
          <w:sz w:val="24"/>
          <w:szCs w:val="24"/>
          <w:lang w:val="en-GB" w:eastAsia="en-GB"/>
        </w:rPr>
        <w:t>delicate</w:t>
      </w:r>
      <w:r w:rsidRPr="00A63684">
        <w:rPr>
          <w:rFonts w:ascii="Times New Roman" w:eastAsia="Times New Roman" w:hAnsi="Times New Roman" w:cs="Times New Roman"/>
          <w:sz w:val="24"/>
          <w:szCs w:val="24"/>
          <w:lang w:val="en-GB" w:eastAsia="en-GB"/>
        </w:rPr>
        <w:t>, each arrangement will likely have its own set of considerations. When it comes to hedging, they are essentially the same; in fact, futures contracts were meant to provide nearly the same economic exposure as forwarding contracts. Futures provide trade anonymity, liquidity, and transparency while removing the risk associated with dealing with other parties (Islam et al., 73). Forward contracts carry a higher risk of non-performance by either party, making them riskier than future contracts.</w:t>
      </w:r>
    </w:p>
    <w:p w14:paraId="1E14010F"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Due to the standardisation of futures contracts, the company must deposit funds to a margin account maintained by a third party, such as a clearinghouse. Ensuring that all parties can meet their commitments when they reach </w:t>
      </w:r>
      <w:r w:rsidR="005006A3" w:rsidRPr="00A63684">
        <w:rPr>
          <w:rFonts w:ascii="Times New Roman" w:eastAsia="Times New Roman" w:hAnsi="Times New Roman" w:cs="Times New Roman"/>
          <w:sz w:val="24"/>
          <w:szCs w:val="24"/>
          <w:lang w:val="en-GB" w:eastAsia="en-GB"/>
        </w:rPr>
        <w:t xml:space="preserve">maturity </w:t>
      </w:r>
      <w:r w:rsidRPr="00A63684">
        <w:rPr>
          <w:rFonts w:ascii="Times New Roman" w:eastAsia="Times New Roman" w:hAnsi="Times New Roman" w:cs="Times New Roman"/>
          <w:sz w:val="24"/>
          <w:szCs w:val="24"/>
          <w:lang w:val="en-GB" w:eastAsia="en-GB"/>
        </w:rPr>
        <w:t>is crucial. Depending on the current value of the underlying asset, the firm margin account may see an increase or reduction in va</w:t>
      </w:r>
      <w:r w:rsidR="005006A3" w:rsidRPr="00A63684">
        <w:rPr>
          <w:rFonts w:ascii="Times New Roman" w:eastAsia="Times New Roman" w:hAnsi="Times New Roman" w:cs="Times New Roman"/>
          <w:sz w:val="24"/>
          <w:szCs w:val="24"/>
          <w:lang w:val="en-GB" w:eastAsia="en-GB"/>
        </w:rPr>
        <w:t xml:space="preserve">lue as it approaches maturity. </w:t>
      </w:r>
      <w:r w:rsidRPr="00A63684">
        <w:rPr>
          <w:rFonts w:ascii="Times New Roman" w:eastAsia="Times New Roman" w:hAnsi="Times New Roman" w:cs="Times New Roman"/>
          <w:sz w:val="24"/>
          <w:szCs w:val="24"/>
          <w:lang w:val="en-GB" w:eastAsia="en-GB"/>
        </w:rPr>
        <w:t>For instance, the party who took a long position in the future would experience a loss in their balance margin account if the price of the underlying asset dropped.</w:t>
      </w:r>
    </w:p>
    <w:p w14:paraId="007968E1"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They would have to deposit to bring the balance back up to the original requirement if that balance dropped below the minimum amount. As a result, pricing risk now affects the company. A forward contract binds the company to a purchase or sale of the underlying asset by</w:t>
      </w:r>
      <w:r w:rsidR="005006A3" w:rsidRPr="00A63684">
        <w:rPr>
          <w:rFonts w:ascii="Times New Roman" w:eastAsia="Times New Roman" w:hAnsi="Times New Roman" w:cs="Times New Roman"/>
          <w:sz w:val="24"/>
          <w:szCs w:val="24"/>
          <w:lang w:val="en-GB" w:eastAsia="en-GB"/>
        </w:rPr>
        <w:t xml:space="preserve"> the contract's maturity date. </w:t>
      </w:r>
      <w:r w:rsidRPr="00A63684">
        <w:rPr>
          <w:rFonts w:ascii="Times New Roman" w:eastAsia="Times New Roman" w:hAnsi="Times New Roman" w:cs="Times New Roman"/>
          <w:sz w:val="24"/>
          <w:szCs w:val="24"/>
          <w:lang w:val="en-GB" w:eastAsia="en-GB"/>
        </w:rPr>
        <w:t>The company does</w:t>
      </w:r>
      <w:r w:rsidR="005006A3" w:rsidRPr="00A63684">
        <w:rPr>
          <w:rFonts w:ascii="Times New Roman" w:eastAsia="Times New Roman" w:hAnsi="Times New Roman" w:cs="Times New Roman"/>
          <w:sz w:val="24"/>
          <w:szCs w:val="24"/>
          <w:lang w:val="en-GB" w:eastAsia="en-GB"/>
        </w:rPr>
        <w:t xml:space="preserve"> </w:t>
      </w:r>
      <w:r w:rsidRPr="00A63684">
        <w:rPr>
          <w:rFonts w:ascii="Times New Roman" w:eastAsia="Times New Roman" w:hAnsi="Times New Roman" w:cs="Times New Roman"/>
          <w:sz w:val="24"/>
          <w:szCs w:val="24"/>
          <w:lang w:val="en-GB" w:eastAsia="en-GB"/>
        </w:rPr>
        <w:t>n</w:t>
      </w:r>
      <w:r w:rsidR="005006A3" w:rsidRPr="00A63684">
        <w:rPr>
          <w:rFonts w:ascii="Times New Roman" w:eastAsia="Times New Roman" w:hAnsi="Times New Roman" w:cs="Times New Roman"/>
          <w:sz w:val="24"/>
          <w:szCs w:val="24"/>
          <w:lang w:val="en-GB" w:eastAsia="en-GB"/>
        </w:rPr>
        <w:t>ot deal with</w:t>
      </w:r>
      <w:r w:rsidRPr="00A63684">
        <w:rPr>
          <w:rFonts w:ascii="Times New Roman" w:eastAsia="Times New Roman" w:hAnsi="Times New Roman" w:cs="Times New Roman"/>
          <w:sz w:val="24"/>
          <w:szCs w:val="24"/>
          <w:lang w:val="en-GB" w:eastAsia="en-GB"/>
        </w:rPr>
        <w:t xml:space="preserve"> cash from the moment the contract is signed until it matures; any loss or gain will be recognised then. As a result, the company removed both the interest rate and pricing risks.</w:t>
      </w:r>
    </w:p>
    <w:p w14:paraId="4CB93DB4" w14:textId="77777777" w:rsidR="00E753F3" w:rsidRPr="00A63684" w:rsidRDefault="00000000" w:rsidP="00A63684">
      <w:pPr>
        <w:spacing w:after="0" w:line="360" w:lineRule="auto"/>
        <w:rPr>
          <w:rFonts w:ascii="Times New Roman" w:eastAsia="Times New Roman" w:hAnsi="Times New Roman" w:cs="Times New Roman"/>
          <w:sz w:val="24"/>
          <w:szCs w:val="24"/>
          <w:lang w:val="en-GB" w:eastAsia="en-GB"/>
        </w:rPr>
      </w:pPr>
      <w:r w:rsidRPr="00A63684">
        <w:rPr>
          <w:rFonts w:ascii="Times New Roman" w:eastAsia="Times New Roman" w:hAnsi="Times New Roman" w:cs="Times New Roman"/>
          <w:sz w:val="24"/>
          <w:szCs w:val="24"/>
          <w:lang w:val="en-GB" w:eastAsia="en-GB"/>
        </w:rPr>
        <w:t xml:space="preserve">The </w:t>
      </w:r>
      <w:r w:rsidRPr="00A63684">
        <w:rPr>
          <w:rFonts w:ascii="Times New Roman" w:eastAsia="Times New Roman" w:hAnsi="Times New Roman" w:cs="Times New Roman"/>
          <w:b/>
          <w:i/>
          <w:sz w:val="24"/>
          <w:szCs w:val="24"/>
          <w:lang w:val="en-GB" w:eastAsia="en-GB"/>
        </w:rPr>
        <w:t>financial statements of P&amp;G can be analysed</w:t>
      </w:r>
      <w:r w:rsidRPr="00A63684">
        <w:rPr>
          <w:rFonts w:ascii="Times New Roman" w:eastAsia="Times New Roman" w:hAnsi="Times New Roman" w:cs="Times New Roman"/>
          <w:sz w:val="24"/>
          <w:szCs w:val="24"/>
          <w:lang w:val="en-GB" w:eastAsia="en-GB"/>
        </w:rPr>
        <w:t xml:space="preserve"> to determine the exposure to currency rates on derivatives and other instruments. Translation and transaction exposure are the two main forms of exchange rate risk exposures that P&amp;G faces. The Procter &amp; Gamble Company's translation risks are related to how exchange rates affect the assessment of the income statements </w:t>
      </w:r>
      <w:r w:rsidRPr="00A63684">
        <w:rPr>
          <w:rFonts w:ascii="Times New Roman" w:eastAsia="Times New Roman" w:hAnsi="Times New Roman" w:cs="Times New Roman"/>
          <w:sz w:val="24"/>
          <w:szCs w:val="24"/>
          <w:lang w:val="en-GB" w:eastAsia="en-GB"/>
        </w:rPr>
        <w:lastRenderedPageBreak/>
        <w:t xml:space="preserve">of its overseas subsidiaries that are not denominated in US dollars. Conversely, at P&amp;G, transaction exposures </w:t>
      </w:r>
      <w:r w:rsidR="002B48E1" w:rsidRPr="00A63684">
        <w:rPr>
          <w:rFonts w:ascii="Times New Roman" w:eastAsia="Times New Roman" w:hAnsi="Times New Roman" w:cs="Times New Roman"/>
          <w:sz w:val="24"/>
          <w:szCs w:val="24"/>
          <w:lang w:val="en-GB" w:eastAsia="en-GB"/>
        </w:rPr>
        <w:t>relate</w:t>
      </w:r>
      <w:r w:rsidRPr="00A63684">
        <w:rPr>
          <w:rFonts w:ascii="Times New Roman" w:eastAsia="Times New Roman" w:hAnsi="Times New Roman" w:cs="Times New Roman"/>
          <w:sz w:val="24"/>
          <w:szCs w:val="24"/>
          <w:lang w:val="en-GB" w:eastAsia="en-GB"/>
        </w:rPr>
        <w:t xml:space="preserve"> to the re</w:t>
      </w:r>
      <w:r w:rsidR="002B48E1" w:rsidRPr="00A63684">
        <w:rPr>
          <w:rFonts w:ascii="Times New Roman" w:eastAsia="Times New Roman" w:hAnsi="Times New Roman" w:cs="Times New Roman"/>
          <w:sz w:val="24"/>
          <w:szCs w:val="24"/>
          <w:lang w:val="en-GB" w:eastAsia="en-GB"/>
        </w:rPr>
        <w:t>-</w:t>
      </w:r>
      <w:r w:rsidRPr="00A63684">
        <w:rPr>
          <w:rFonts w:ascii="Times New Roman" w:eastAsia="Times New Roman" w:hAnsi="Times New Roman" w:cs="Times New Roman"/>
          <w:sz w:val="24"/>
          <w:szCs w:val="24"/>
          <w:lang w:val="en-GB" w:eastAsia="en-GB"/>
        </w:rPr>
        <w:t>evaluation of transaction-related working capital balances and the effect of input costs denominated in local currencies as opposed to US dollars (The Procter &amp; Gamble Company</w:t>
      </w:r>
      <w:r w:rsidR="00C3356E" w:rsidRPr="00A63684">
        <w:rPr>
          <w:rFonts w:ascii="Times New Roman" w:eastAsia="Times New Roman" w:hAnsi="Times New Roman" w:cs="Times New Roman"/>
          <w:sz w:val="24"/>
          <w:szCs w:val="24"/>
          <w:lang w:val="en-GB" w:eastAsia="en-GB"/>
        </w:rPr>
        <w:t>, 2017</w:t>
      </w:r>
      <w:r w:rsidRPr="00A63684">
        <w:rPr>
          <w:rFonts w:ascii="Times New Roman" w:eastAsia="Times New Roman" w:hAnsi="Times New Roman" w:cs="Times New Roman"/>
          <w:sz w:val="24"/>
          <w:szCs w:val="24"/>
          <w:lang w:val="en-GB" w:eastAsia="en-GB"/>
        </w:rPr>
        <w:t>). It makes sense that P&amp;G's management is acting proactively to reduce its risk exposures.</w:t>
      </w:r>
    </w:p>
    <w:p w14:paraId="7981048B" w14:textId="77777777" w:rsidR="002B48E1" w:rsidRPr="00A63684" w:rsidRDefault="002B48E1" w:rsidP="00A63684">
      <w:pPr>
        <w:spacing w:line="360" w:lineRule="auto"/>
        <w:rPr>
          <w:rFonts w:ascii="Times New Roman" w:hAnsi="Times New Roman" w:cs="Times New Roman"/>
          <w:b/>
          <w:sz w:val="24"/>
          <w:szCs w:val="24"/>
        </w:rPr>
      </w:pPr>
    </w:p>
    <w:p w14:paraId="65985236" w14:textId="77777777" w:rsidR="002B48E1" w:rsidRPr="00A63684" w:rsidRDefault="00000000" w:rsidP="00A63684">
      <w:pPr>
        <w:spacing w:line="360" w:lineRule="auto"/>
        <w:rPr>
          <w:rFonts w:ascii="Times New Roman" w:hAnsi="Times New Roman" w:cs="Times New Roman"/>
          <w:b/>
          <w:sz w:val="24"/>
          <w:szCs w:val="24"/>
        </w:rPr>
      </w:pPr>
      <w:r w:rsidRPr="00A63684">
        <w:rPr>
          <w:rFonts w:ascii="Times New Roman" w:hAnsi="Times New Roman" w:cs="Times New Roman"/>
          <w:b/>
          <w:sz w:val="24"/>
          <w:szCs w:val="24"/>
        </w:rPr>
        <w:t>Conclusion</w:t>
      </w:r>
    </w:p>
    <w:p w14:paraId="1F96DC6D" w14:textId="77777777" w:rsidR="00E753F3" w:rsidRPr="00A63684" w:rsidRDefault="00000000" w:rsidP="00A63684">
      <w:pPr>
        <w:spacing w:line="360" w:lineRule="auto"/>
        <w:rPr>
          <w:rFonts w:ascii="Times New Roman" w:hAnsi="Times New Roman" w:cs="Times New Roman"/>
          <w:sz w:val="24"/>
          <w:szCs w:val="24"/>
        </w:rPr>
      </w:pPr>
      <w:r w:rsidRPr="00A63684">
        <w:rPr>
          <w:rFonts w:ascii="Times New Roman" w:hAnsi="Times New Roman" w:cs="Times New Roman"/>
          <w:sz w:val="24"/>
          <w:szCs w:val="24"/>
        </w:rPr>
        <w:t>All companies that are operating in an international context have a high chance of experiencing challenges with foreign exchange risks.</w:t>
      </w:r>
      <w:r w:rsidRPr="00A63684">
        <w:rPr>
          <w:rFonts w:ascii="Times New Roman" w:eastAsia="Times New Roman" w:hAnsi="Times New Roman" w:cs="Times New Roman"/>
          <w:sz w:val="24"/>
          <w:szCs w:val="24"/>
          <w:lang w:val="en-GB" w:eastAsia="en-GB"/>
        </w:rPr>
        <w:t xml:space="preserve"> Hedging risk exposure across many nations and currencies, along with net payables against receivables, is a two-part process. Combining exposures in the same currency for subsidiaries' receivables and payables is how Netting is done in the first step. Natural hedging is the fundamental stage in which a subsidiary's positive exposure is netted against another subsidiary's negative exposure.</w:t>
      </w:r>
      <w:r w:rsidRPr="00A63684">
        <w:rPr>
          <w:rFonts w:ascii="Times New Roman" w:hAnsi="Times New Roman" w:cs="Times New Roman"/>
          <w:sz w:val="24"/>
          <w:szCs w:val="24"/>
        </w:rPr>
        <w:t xml:space="preserve"> </w:t>
      </w:r>
      <w:r w:rsidRPr="00A63684">
        <w:rPr>
          <w:rFonts w:ascii="Times New Roman" w:eastAsia="Times New Roman" w:hAnsi="Times New Roman" w:cs="Times New Roman"/>
          <w:sz w:val="24"/>
          <w:szCs w:val="24"/>
          <w:lang w:val="en-GB" w:eastAsia="en-GB"/>
        </w:rPr>
        <w:t xml:space="preserve">After netting in several currencies, the second portion of the remaining exposure is now available. In light of the net underlying exposure, the treasury manager must now engage in the market by purchasing or disposing of the derivative instruments. Therefore, it combines natural and market hedges, meaning that subsidiaries' exposure to the same currencies is netted first, followed by market action for any remaining exposures. Overall, an examination of Procter &amp; Gamble's exchange rate exposure risk indicates that the company is exposed to both transactional and translational risks related to the volatile exchange rate. However with the application of the strategies: </w:t>
      </w:r>
      <w:r w:rsidRPr="00A63684">
        <w:rPr>
          <w:rFonts w:ascii="Times New Roman" w:eastAsia="Times New Roman" w:hAnsi="Times New Roman" w:cs="Times New Roman"/>
          <w:b/>
          <w:i/>
          <w:sz w:val="24"/>
          <w:szCs w:val="24"/>
          <w:lang w:val="en-GB" w:eastAsia="en-GB"/>
        </w:rPr>
        <w:t xml:space="preserve">engaging in many currency swaps and Forwards contracts </w:t>
      </w:r>
      <w:r w:rsidRPr="00A63684">
        <w:rPr>
          <w:rFonts w:ascii="Times New Roman" w:eastAsia="Times New Roman" w:hAnsi="Times New Roman" w:cs="Times New Roman"/>
          <w:sz w:val="24"/>
          <w:szCs w:val="24"/>
          <w:lang w:val="en-GB" w:eastAsia="en-GB"/>
        </w:rPr>
        <w:t>the company has been able to mitigate the risks that come with exposure to foreign exchange risks. However, the report has also recommended that for a company to be successful it needs to keep on gradually analysing and making predictions of currency exchanges that will help in coming up with proper strategies for its operations.</w:t>
      </w:r>
    </w:p>
    <w:p w14:paraId="79931045" w14:textId="77777777" w:rsidR="00C3356E" w:rsidRPr="00A63684" w:rsidRDefault="00000000" w:rsidP="00A63684">
      <w:pPr>
        <w:spacing w:line="360" w:lineRule="auto"/>
        <w:rPr>
          <w:rFonts w:ascii="Times New Roman" w:hAnsi="Times New Roman" w:cs="Times New Roman"/>
          <w:b/>
          <w:sz w:val="24"/>
          <w:szCs w:val="24"/>
        </w:rPr>
      </w:pPr>
      <w:r w:rsidRPr="00A63684">
        <w:rPr>
          <w:rFonts w:ascii="Times New Roman" w:hAnsi="Times New Roman" w:cs="Times New Roman"/>
          <w:b/>
          <w:sz w:val="24"/>
          <w:szCs w:val="24"/>
        </w:rPr>
        <w:br w:type="page"/>
      </w:r>
    </w:p>
    <w:p w14:paraId="19E41CA2" w14:textId="77777777" w:rsidR="00A63684" w:rsidRPr="00A63684" w:rsidRDefault="00000000" w:rsidP="00A63684">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5F2B262D"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Adolph, C., Breunig, C. and Koski, C., 2020. The political economy of budget trade-offs. </w:t>
      </w:r>
      <w:r w:rsidRPr="00A63684">
        <w:rPr>
          <w:rFonts w:ascii="Times New Roman" w:hAnsi="Times New Roman" w:cs="Times New Roman"/>
          <w:i/>
          <w:iCs/>
          <w:color w:val="222222"/>
          <w:sz w:val="24"/>
          <w:szCs w:val="24"/>
          <w:shd w:val="clear" w:color="auto" w:fill="FFFFFF"/>
        </w:rPr>
        <w:t>Journal of Public Policy</w:t>
      </w:r>
      <w:r w:rsidRPr="00A63684">
        <w:rPr>
          <w:rFonts w:ascii="Times New Roman" w:hAnsi="Times New Roman" w:cs="Times New Roman"/>
          <w:color w:val="222222"/>
          <w:sz w:val="24"/>
          <w:szCs w:val="24"/>
          <w:shd w:val="clear" w:color="auto" w:fill="FFFFFF"/>
        </w:rPr>
        <w:t>, </w:t>
      </w:r>
      <w:r w:rsidRPr="00A63684">
        <w:rPr>
          <w:rFonts w:ascii="Times New Roman" w:hAnsi="Times New Roman" w:cs="Times New Roman"/>
          <w:i/>
          <w:iCs/>
          <w:color w:val="222222"/>
          <w:sz w:val="24"/>
          <w:szCs w:val="24"/>
          <w:shd w:val="clear" w:color="auto" w:fill="FFFFFF"/>
        </w:rPr>
        <w:t>40</w:t>
      </w:r>
      <w:r w:rsidRPr="00A63684">
        <w:rPr>
          <w:rFonts w:ascii="Times New Roman" w:hAnsi="Times New Roman" w:cs="Times New Roman"/>
          <w:color w:val="222222"/>
          <w:sz w:val="24"/>
          <w:szCs w:val="24"/>
          <w:shd w:val="clear" w:color="auto" w:fill="FFFFFF"/>
        </w:rPr>
        <w:t>(1), pp.25-50.</w:t>
      </w:r>
    </w:p>
    <w:p w14:paraId="15647673"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Alfaro, L., Calani, M. and Varela, L., 2021. Currency hedging: Managing cash flow exposure.</w:t>
      </w:r>
    </w:p>
    <w:p w14:paraId="4A20D50C" w14:textId="77777777" w:rsidR="00A63684" w:rsidRPr="00A63684" w:rsidRDefault="00000000" w:rsidP="00A63684">
      <w:pPr>
        <w:spacing w:line="360" w:lineRule="auto"/>
        <w:ind w:left="567" w:hanging="720"/>
        <w:rPr>
          <w:rFonts w:ascii="Times New Roman" w:hAnsi="Times New Roman" w:cs="Times New Roman"/>
          <w:sz w:val="24"/>
          <w:szCs w:val="24"/>
        </w:rPr>
      </w:pPr>
      <w:r w:rsidRPr="00A63684">
        <w:rPr>
          <w:rFonts w:ascii="Times New Roman" w:hAnsi="Times New Roman" w:cs="Times New Roman"/>
          <w:sz w:val="24"/>
          <w:szCs w:val="24"/>
        </w:rPr>
        <w:t>Islam, Misbahul, and Jayanta Chakraborti. "Futures and forward contract as a route of hedging the risk." Risk Gov. Control. Financ. Mark. Inst 5 (2015): 68-78. www.researchgate.net/publication/288228197_Futures_and_forward_contract_as_a_rout e_of_hedging_the_risk</w:t>
      </w:r>
    </w:p>
    <w:p w14:paraId="6899FAD5"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Liao, G. and Zhang, T., 2020. The hedging channel of exchange rate determination. </w:t>
      </w:r>
      <w:r w:rsidRPr="00A63684">
        <w:rPr>
          <w:rFonts w:ascii="Times New Roman" w:hAnsi="Times New Roman" w:cs="Times New Roman"/>
          <w:i/>
          <w:iCs/>
          <w:color w:val="222222"/>
          <w:sz w:val="24"/>
          <w:szCs w:val="24"/>
          <w:shd w:val="clear" w:color="auto" w:fill="FFFFFF"/>
        </w:rPr>
        <w:t>International finance discussion paper</w:t>
      </w:r>
      <w:r w:rsidRPr="00A63684">
        <w:rPr>
          <w:rFonts w:ascii="Times New Roman" w:hAnsi="Times New Roman" w:cs="Times New Roman"/>
          <w:color w:val="222222"/>
          <w:sz w:val="24"/>
          <w:szCs w:val="24"/>
          <w:shd w:val="clear" w:color="auto" w:fill="FFFFFF"/>
        </w:rPr>
        <w:t>, (1283).</w:t>
      </w:r>
    </w:p>
    <w:p w14:paraId="7638B689" w14:textId="77777777" w:rsidR="00A63684" w:rsidRPr="00A63684" w:rsidRDefault="00000000" w:rsidP="00A63684">
      <w:pPr>
        <w:spacing w:line="360" w:lineRule="auto"/>
        <w:ind w:left="567" w:hanging="720"/>
        <w:rPr>
          <w:rFonts w:ascii="Times New Roman" w:hAnsi="Times New Roman" w:cs="Times New Roman"/>
          <w:sz w:val="24"/>
          <w:szCs w:val="24"/>
        </w:rPr>
      </w:pPr>
      <w:r w:rsidRPr="00A63684">
        <w:rPr>
          <w:rFonts w:ascii="Times New Roman" w:hAnsi="Times New Roman" w:cs="Times New Roman"/>
          <w:sz w:val="24"/>
          <w:szCs w:val="24"/>
        </w:rPr>
        <w:t>Madura, Jeff. International financial management. Cengage Learning, 2020.</w:t>
      </w:r>
    </w:p>
    <w:p w14:paraId="78BF9AF4"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Mo, K., Suvankulov, F. and Griffiths, S., 2021. Financial distress and commodity hedging: Evidence from Canadian oil firms. </w:t>
      </w:r>
      <w:r w:rsidRPr="00A63684">
        <w:rPr>
          <w:rFonts w:ascii="Times New Roman" w:hAnsi="Times New Roman" w:cs="Times New Roman"/>
          <w:i/>
          <w:iCs/>
          <w:color w:val="222222"/>
          <w:sz w:val="24"/>
          <w:szCs w:val="24"/>
          <w:shd w:val="clear" w:color="auto" w:fill="FFFFFF"/>
        </w:rPr>
        <w:t>Energy Economics</w:t>
      </w:r>
      <w:r w:rsidRPr="00A63684">
        <w:rPr>
          <w:rFonts w:ascii="Times New Roman" w:hAnsi="Times New Roman" w:cs="Times New Roman"/>
          <w:color w:val="222222"/>
          <w:sz w:val="24"/>
          <w:szCs w:val="24"/>
          <w:shd w:val="clear" w:color="auto" w:fill="FFFFFF"/>
        </w:rPr>
        <w:t>, </w:t>
      </w:r>
      <w:r w:rsidRPr="00A63684">
        <w:rPr>
          <w:rFonts w:ascii="Times New Roman" w:hAnsi="Times New Roman" w:cs="Times New Roman"/>
          <w:i/>
          <w:iCs/>
          <w:color w:val="222222"/>
          <w:sz w:val="24"/>
          <w:szCs w:val="24"/>
          <w:shd w:val="clear" w:color="auto" w:fill="FFFFFF"/>
        </w:rPr>
        <w:t>97</w:t>
      </w:r>
      <w:r w:rsidRPr="00A63684">
        <w:rPr>
          <w:rFonts w:ascii="Times New Roman" w:hAnsi="Times New Roman" w:cs="Times New Roman"/>
          <w:color w:val="222222"/>
          <w:sz w:val="24"/>
          <w:szCs w:val="24"/>
          <w:shd w:val="clear" w:color="auto" w:fill="FFFFFF"/>
        </w:rPr>
        <w:t>, p.105162.</w:t>
      </w:r>
    </w:p>
    <w:p w14:paraId="69A88623"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Orlov, A.G. and Sharma, R., 2024. Which witch is which? Deconstructing the foreign exchange markets activity. </w:t>
      </w:r>
      <w:r w:rsidRPr="00A63684">
        <w:rPr>
          <w:rFonts w:ascii="Times New Roman" w:hAnsi="Times New Roman" w:cs="Times New Roman"/>
          <w:i/>
          <w:iCs/>
          <w:color w:val="222222"/>
          <w:sz w:val="24"/>
          <w:szCs w:val="24"/>
          <w:shd w:val="clear" w:color="auto" w:fill="FFFFFF"/>
        </w:rPr>
        <w:t>Global Finance Journal</w:t>
      </w:r>
      <w:r w:rsidRPr="00A63684">
        <w:rPr>
          <w:rFonts w:ascii="Times New Roman" w:hAnsi="Times New Roman" w:cs="Times New Roman"/>
          <w:color w:val="222222"/>
          <w:sz w:val="24"/>
          <w:szCs w:val="24"/>
          <w:shd w:val="clear" w:color="auto" w:fill="FFFFFF"/>
        </w:rPr>
        <w:t>, p.100947.</w:t>
      </w:r>
    </w:p>
    <w:p w14:paraId="012EE488"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Paranita, E.S. and Aditya, E.M., 2020. The Effect of Agency Costs on Hedging Policy in Indonesian Public Companies. </w:t>
      </w:r>
      <w:r w:rsidRPr="00A63684">
        <w:rPr>
          <w:rFonts w:ascii="Times New Roman" w:hAnsi="Times New Roman" w:cs="Times New Roman"/>
          <w:i/>
          <w:iCs/>
          <w:color w:val="222222"/>
          <w:sz w:val="24"/>
          <w:szCs w:val="24"/>
          <w:shd w:val="clear" w:color="auto" w:fill="FFFFFF"/>
        </w:rPr>
        <w:t>JDM (Jurnal Dinamika Manajemen)</w:t>
      </w:r>
      <w:r w:rsidRPr="00A63684">
        <w:rPr>
          <w:rFonts w:ascii="Times New Roman" w:hAnsi="Times New Roman" w:cs="Times New Roman"/>
          <w:color w:val="222222"/>
          <w:sz w:val="24"/>
          <w:szCs w:val="24"/>
          <w:shd w:val="clear" w:color="auto" w:fill="FFFFFF"/>
        </w:rPr>
        <w:t>, </w:t>
      </w:r>
      <w:r w:rsidRPr="00A63684">
        <w:rPr>
          <w:rFonts w:ascii="Times New Roman" w:hAnsi="Times New Roman" w:cs="Times New Roman"/>
          <w:i/>
          <w:iCs/>
          <w:color w:val="222222"/>
          <w:sz w:val="24"/>
          <w:szCs w:val="24"/>
          <w:shd w:val="clear" w:color="auto" w:fill="FFFFFF"/>
        </w:rPr>
        <w:t>11</w:t>
      </w:r>
      <w:r w:rsidRPr="00A63684">
        <w:rPr>
          <w:rFonts w:ascii="Times New Roman" w:hAnsi="Times New Roman" w:cs="Times New Roman"/>
          <w:color w:val="222222"/>
          <w:sz w:val="24"/>
          <w:szCs w:val="24"/>
          <w:shd w:val="clear" w:color="auto" w:fill="FFFFFF"/>
        </w:rPr>
        <w:t>(1), pp.93-102.</w:t>
      </w:r>
    </w:p>
    <w:p w14:paraId="7F01D386"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 xml:space="preserve">Sikarwar, E., 2021. Time-varying foreign currency risk of the world tourism industry: effects of COVID-19. </w:t>
      </w:r>
      <w:r w:rsidRPr="00A63684">
        <w:rPr>
          <w:rFonts w:ascii="Times New Roman" w:hAnsi="Times New Roman" w:cs="Times New Roman"/>
          <w:i/>
          <w:iCs/>
          <w:color w:val="222222"/>
          <w:sz w:val="24"/>
          <w:szCs w:val="24"/>
          <w:shd w:val="clear" w:color="auto" w:fill="FFFFFF"/>
        </w:rPr>
        <w:t>Current Issues in Tourism</w:t>
      </w:r>
      <w:r w:rsidRPr="00A63684">
        <w:rPr>
          <w:rFonts w:ascii="Times New Roman" w:hAnsi="Times New Roman" w:cs="Times New Roman"/>
          <w:color w:val="222222"/>
          <w:sz w:val="24"/>
          <w:szCs w:val="24"/>
          <w:shd w:val="clear" w:color="auto" w:fill="FFFFFF"/>
        </w:rPr>
        <w:t>, </w:t>
      </w:r>
      <w:r w:rsidRPr="00A63684">
        <w:rPr>
          <w:rFonts w:ascii="Times New Roman" w:hAnsi="Times New Roman" w:cs="Times New Roman"/>
          <w:i/>
          <w:iCs/>
          <w:color w:val="222222"/>
          <w:sz w:val="24"/>
          <w:szCs w:val="24"/>
          <w:shd w:val="clear" w:color="auto" w:fill="FFFFFF"/>
        </w:rPr>
        <w:t>24</w:t>
      </w:r>
      <w:r w:rsidRPr="00A63684">
        <w:rPr>
          <w:rFonts w:ascii="Times New Roman" w:hAnsi="Times New Roman" w:cs="Times New Roman"/>
          <w:color w:val="222222"/>
          <w:sz w:val="24"/>
          <w:szCs w:val="24"/>
          <w:shd w:val="clear" w:color="auto" w:fill="FFFFFF"/>
        </w:rPr>
        <w:t>(7), pp.887-891.</w:t>
      </w:r>
    </w:p>
    <w:p w14:paraId="041CBCA3" w14:textId="77777777" w:rsidR="00A63684" w:rsidRPr="00A63684" w:rsidRDefault="00000000" w:rsidP="00A63684">
      <w:pPr>
        <w:spacing w:line="360" w:lineRule="auto"/>
        <w:ind w:left="567" w:hanging="720"/>
        <w:rPr>
          <w:rFonts w:ascii="Times New Roman" w:hAnsi="Times New Roman" w:cs="Times New Roman"/>
          <w:color w:val="222222"/>
          <w:sz w:val="24"/>
          <w:szCs w:val="24"/>
          <w:shd w:val="clear" w:color="auto" w:fill="FFFFFF"/>
        </w:rPr>
      </w:pPr>
      <w:r w:rsidRPr="00A63684">
        <w:rPr>
          <w:rFonts w:ascii="Times New Roman" w:hAnsi="Times New Roman" w:cs="Times New Roman"/>
          <w:color w:val="222222"/>
          <w:sz w:val="24"/>
          <w:szCs w:val="24"/>
          <w:shd w:val="clear" w:color="auto" w:fill="FFFFFF"/>
        </w:rPr>
        <w:t>Strategy, M.T.F., 2024. Highways and Transport Committee Tuesday, 30 January 2024 Medium Term Financial Strategy Consultation 2024/25-2027/28 Provisional Settlement Update. </w:t>
      </w:r>
      <w:r w:rsidRPr="00A63684">
        <w:rPr>
          <w:rFonts w:ascii="Times New Roman" w:hAnsi="Times New Roman" w:cs="Times New Roman"/>
          <w:i/>
          <w:iCs/>
          <w:color w:val="222222"/>
          <w:sz w:val="24"/>
          <w:szCs w:val="24"/>
          <w:shd w:val="clear" w:color="auto" w:fill="FFFFFF"/>
        </w:rPr>
        <w:t>Policy</w:t>
      </w:r>
      <w:r w:rsidRPr="00A63684">
        <w:rPr>
          <w:rFonts w:ascii="Times New Roman" w:hAnsi="Times New Roman" w:cs="Times New Roman"/>
          <w:color w:val="222222"/>
          <w:sz w:val="24"/>
          <w:szCs w:val="24"/>
          <w:shd w:val="clear" w:color="auto" w:fill="FFFFFF"/>
        </w:rPr>
        <w:t>, </w:t>
      </w:r>
      <w:r w:rsidRPr="00A63684">
        <w:rPr>
          <w:rFonts w:ascii="Times New Roman" w:hAnsi="Times New Roman" w:cs="Times New Roman"/>
          <w:i/>
          <w:iCs/>
          <w:color w:val="222222"/>
          <w:sz w:val="24"/>
          <w:szCs w:val="24"/>
          <w:shd w:val="clear" w:color="auto" w:fill="FFFFFF"/>
        </w:rPr>
        <w:t>5</w:t>
      </w:r>
      <w:r w:rsidRPr="00A63684">
        <w:rPr>
          <w:rFonts w:ascii="Times New Roman" w:hAnsi="Times New Roman" w:cs="Times New Roman"/>
          <w:color w:val="222222"/>
          <w:sz w:val="24"/>
          <w:szCs w:val="24"/>
          <w:shd w:val="clear" w:color="auto" w:fill="FFFFFF"/>
        </w:rPr>
        <w:t>.</w:t>
      </w:r>
    </w:p>
    <w:p w14:paraId="5D7D6918" w14:textId="77777777" w:rsidR="00C3356E" w:rsidRPr="00A63684" w:rsidRDefault="00000000" w:rsidP="00A63684">
      <w:pPr>
        <w:pStyle w:val="a4"/>
        <w:spacing w:line="360" w:lineRule="auto"/>
        <w:ind w:left="567" w:hanging="720"/>
      </w:pPr>
      <w:r w:rsidRPr="00A63684">
        <w:t xml:space="preserve">THE PROCTER &amp; GAMBLE COMPANY (2017) </w:t>
      </w:r>
      <w:r w:rsidRPr="00A63684">
        <w:rPr>
          <w:i/>
          <w:iCs/>
        </w:rPr>
        <w:t>Document</w:t>
      </w:r>
      <w:r w:rsidRPr="00A63684">
        <w:t xml:space="preserve">. Available at: http://www.sec.gov/Archives/edgar/data/80424/000008042417000047/fy161710-kreport.htm (Accessed: 20 March 2024). </w:t>
      </w:r>
    </w:p>
    <w:p w14:paraId="2F359A2E" w14:textId="77777777" w:rsidR="00E753F3" w:rsidRPr="00A63684" w:rsidRDefault="00E753F3" w:rsidP="00A63684">
      <w:pPr>
        <w:spacing w:line="360" w:lineRule="auto"/>
        <w:rPr>
          <w:rFonts w:ascii="Times New Roman" w:hAnsi="Times New Roman" w:cs="Times New Roman"/>
          <w:sz w:val="24"/>
          <w:szCs w:val="24"/>
        </w:rPr>
      </w:pPr>
    </w:p>
    <w:sectPr w:rsidR="00E753F3" w:rsidRPr="00A636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3CBD"/>
    <w:multiLevelType w:val="hybridMultilevel"/>
    <w:tmpl w:val="AE30F772"/>
    <w:lvl w:ilvl="0" w:tplc="E0826012">
      <w:start w:val="1"/>
      <w:numFmt w:val="bullet"/>
      <w:lvlText w:val=""/>
      <w:lvlJc w:val="left"/>
      <w:pPr>
        <w:ind w:left="720" w:hanging="360"/>
      </w:pPr>
      <w:rPr>
        <w:rFonts w:ascii="Wingdings" w:hAnsi="Wingdings" w:hint="default"/>
      </w:rPr>
    </w:lvl>
    <w:lvl w:ilvl="1" w:tplc="253E291A" w:tentative="1">
      <w:start w:val="1"/>
      <w:numFmt w:val="bullet"/>
      <w:lvlText w:val="o"/>
      <w:lvlJc w:val="left"/>
      <w:pPr>
        <w:ind w:left="1440" w:hanging="360"/>
      </w:pPr>
      <w:rPr>
        <w:rFonts w:ascii="Courier New" w:hAnsi="Courier New" w:cs="Courier New" w:hint="default"/>
      </w:rPr>
    </w:lvl>
    <w:lvl w:ilvl="2" w:tplc="582E5D82" w:tentative="1">
      <w:start w:val="1"/>
      <w:numFmt w:val="bullet"/>
      <w:lvlText w:val=""/>
      <w:lvlJc w:val="left"/>
      <w:pPr>
        <w:ind w:left="2160" w:hanging="360"/>
      </w:pPr>
      <w:rPr>
        <w:rFonts w:ascii="Wingdings" w:hAnsi="Wingdings" w:hint="default"/>
      </w:rPr>
    </w:lvl>
    <w:lvl w:ilvl="3" w:tplc="D5D8770E" w:tentative="1">
      <w:start w:val="1"/>
      <w:numFmt w:val="bullet"/>
      <w:lvlText w:val=""/>
      <w:lvlJc w:val="left"/>
      <w:pPr>
        <w:ind w:left="2880" w:hanging="360"/>
      </w:pPr>
      <w:rPr>
        <w:rFonts w:ascii="Symbol" w:hAnsi="Symbol" w:hint="default"/>
      </w:rPr>
    </w:lvl>
    <w:lvl w:ilvl="4" w:tplc="CE86980E" w:tentative="1">
      <w:start w:val="1"/>
      <w:numFmt w:val="bullet"/>
      <w:lvlText w:val="o"/>
      <w:lvlJc w:val="left"/>
      <w:pPr>
        <w:ind w:left="3600" w:hanging="360"/>
      </w:pPr>
      <w:rPr>
        <w:rFonts w:ascii="Courier New" w:hAnsi="Courier New" w:cs="Courier New" w:hint="default"/>
      </w:rPr>
    </w:lvl>
    <w:lvl w:ilvl="5" w:tplc="B8F2B96C" w:tentative="1">
      <w:start w:val="1"/>
      <w:numFmt w:val="bullet"/>
      <w:lvlText w:val=""/>
      <w:lvlJc w:val="left"/>
      <w:pPr>
        <w:ind w:left="4320" w:hanging="360"/>
      </w:pPr>
      <w:rPr>
        <w:rFonts w:ascii="Wingdings" w:hAnsi="Wingdings" w:hint="default"/>
      </w:rPr>
    </w:lvl>
    <w:lvl w:ilvl="6" w:tplc="F446D938" w:tentative="1">
      <w:start w:val="1"/>
      <w:numFmt w:val="bullet"/>
      <w:lvlText w:val=""/>
      <w:lvlJc w:val="left"/>
      <w:pPr>
        <w:ind w:left="5040" w:hanging="360"/>
      </w:pPr>
      <w:rPr>
        <w:rFonts w:ascii="Symbol" w:hAnsi="Symbol" w:hint="default"/>
      </w:rPr>
    </w:lvl>
    <w:lvl w:ilvl="7" w:tplc="E56041E6" w:tentative="1">
      <w:start w:val="1"/>
      <w:numFmt w:val="bullet"/>
      <w:lvlText w:val="o"/>
      <w:lvlJc w:val="left"/>
      <w:pPr>
        <w:ind w:left="5760" w:hanging="360"/>
      </w:pPr>
      <w:rPr>
        <w:rFonts w:ascii="Courier New" w:hAnsi="Courier New" w:cs="Courier New" w:hint="default"/>
      </w:rPr>
    </w:lvl>
    <w:lvl w:ilvl="8" w:tplc="989AE832" w:tentative="1">
      <w:start w:val="1"/>
      <w:numFmt w:val="bullet"/>
      <w:lvlText w:val=""/>
      <w:lvlJc w:val="left"/>
      <w:pPr>
        <w:ind w:left="6480" w:hanging="360"/>
      </w:pPr>
      <w:rPr>
        <w:rFonts w:ascii="Wingdings" w:hAnsi="Wingdings" w:hint="default"/>
      </w:rPr>
    </w:lvl>
  </w:abstractNum>
  <w:num w:numId="1" w16cid:durableId="1642689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3F3"/>
    <w:rsid w:val="00230F3A"/>
    <w:rsid w:val="002B48E1"/>
    <w:rsid w:val="003D4315"/>
    <w:rsid w:val="005006A3"/>
    <w:rsid w:val="00822FB4"/>
    <w:rsid w:val="0084454C"/>
    <w:rsid w:val="00A63684"/>
    <w:rsid w:val="00C3356E"/>
    <w:rsid w:val="00CE0E2D"/>
    <w:rsid w:val="00E7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CE07E"/>
  <w15:chartTrackingRefBased/>
  <w15:docId w15:val="{F5187E1E-249A-480A-9DE3-539F6C8AB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6A3"/>
    <w:pPr>
      <w:ind w:left="720"/>
      <w:contextualSpacing/>
    </w:pPr>
  </w:style>
  <w:style w:type="paragraph" w:styleId="a4">
    <w:name w:val="Normal (Web)"/>
    <w:basedOn w:val="a"/>
    <w:uiPriority w:val="99"/>
    <w:unhideWhenUsed/>
    <w:rsid w:val="00C3356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Miriam Malova</dc:creator>
  <cp:lastModifiedBy>zlatina9307@gmail.com</cp:lastModifiedBy>
  <cp:revision>2</cp:revision>
  <dcterms:created xsi:type="dcterms:W3CDTF">2024-04-02T10:45:00Z</dcterms:created>
  <dcterms:modified xsi:type="dcterms:W3CDTF">2024-04-02T10:45:00Z</dcterms:modified>
</cp:coreProperties>
</file>