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3CC56" w14:textId="77777777" w:rsidR="004F3AC1" w:rsidRPr="00074402" w:rsidRDefault="004F3AC1" w:rsidP="004F3AC1">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6A65680A" wp14:editId="4F5532DB">
            <wp:simplePos x="0" y="0"/>
            <wp:positionH relativeFrom="column">
              <wp:posOffset>-25400</wp:posOffset>
            </wp:positionH>
            <wp:positionV relativeFrom="paragraph">
              <wp:posOffset>6350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F2B245" w14:textId="77777777" w:rsidR="004F3AC1" w:rsidRPr="00074402" w:rsidRDefault="004F3AC1" w:rsidP="004F3AC1">
      <w:pPr>
        <w:spacing w:line="360" w:lineRule="auto"/>
        <w:rPr>
          <w:rFonts w:ascii="Arial" w:hAnsi="Arial" w:cs="Arial"/>
          <w:szCs w:val="24"/>
        </w:rPr>
      </w:pPr>
    </w:p>
    <w:p w14:paraId="1AADCF4B" w14:textId="77777777" w:rsidR="004F3AC1" w:rsidRPr="00074402" w:rsidRDefault="004F3AC1" w:rsidP="004F3AC1">
      <w:pPr>
        <w:spacing w:line="360" w:lineRule="auto"/>
        <w:rPr>
          <w:rFonts w:ascii="Arial" w:hAnsi="Arial" w:cs="Arial"/>
          <w:szCs w:val="24"/>
        </w:rPr>
      </w:pPr>
    </w:p>
    <w:p w14:paraId="18F63C00" w14:textId="77777777" w:rsidR="004F3AC1" w:rsidRPr="00074402" w:rsidRDefault="004F3AC1" w:rsidP="004F3AC1">
      <w:pPr>
        <w:spacing w:line="360" w:lineRule="auto"/>
        <w:rPr>
          <w:rFonts w:ascii="Arial" w:hAnsi="Arial" w:cs="Arial"/>
          <w:szCs w:val="24"/>
        </w:rPr>
      </w:pPr>
    </w:p>
    <w:p w14:paraId="396897FA" w14:textId="77777777" w:rsidR="004F3AC1" w:rsidRDefault="004F3AC1" w:rsidP="004F3AC1">
      <w:pPr>
        <w:tabs>
          <w:tab w:val="left" w:pos="6540"/>
        </w:tabs>
        <w:spacing w:line="360" w:lineRule="auto"/>
        <w:rPr>
          <w:rFonts w:ascii="Arial" w:hAnsi="Arial" w:cs="Arial"/>
          <w:sz w:val="28"/>
          <w:szCs w:val="28"/>
        </w:rPr>
      </w:pPr>
    </w:p>
    <w:p w14:paraId="7C9B32B3" w14:textId="5765DA13" w:rsidR="004F3AC1" w:rsidRPr="00C83A82" w:rsidRDefault="004F3AC1" w:rsidP="004F3AC1">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Mary Obiageli Ugwuala</w:t>
      </w:r>
    </w:p>
    <w:p w14:paraId="68F4F7E8" w14:textId="2AFC4735" w:rsidR="004F3AC1" w:rsidRPr="00C83A82" w:rsidRDefault="004F3AC1" w:rsidP="004F3AC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2530278</w:t>
      </w:r>
    </w:p>
    <w:p w14:paraId="18D77B4A" w14:textId="77777777" w:rsidR="004F3AC1" w:rsidRPr="00C83A82" w:rsidRDefault="004F3AC1" w:rsidP="004F3AC1">
      <w:pPr>
        <w:tabs>
          <w:tab w:val="left" w:pos="6540"/>
        </w:tabs>
        <w:spacing w:line="360" w:lineRule="auto"/>
        <w:rPr>
          <w:rFonts w:ascii="Arial" w:hAnsi="Arial" w:cs="Arial"/>
          <w:sz w:val="28"/>
          <w:szCs w:val="28"/>
          <w:lang w:val="nl-NL"/>
        </w:rPr>
      </w:pPr>
    </w:p>
    <w:p w14:paraId="1DA190F7" w14:textId="1F7E714C" w:rsidR="004F3AC1" w:rsidRPr="00C83A82" w:rsidRDefault="004F3AC1" w:rsidP="004F3AC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Pr>
          <w:rFonts w:ascii="Arial" w:hAnsi="Arial" w:cs="Arial"/>
          <w:sz w:val="28"/>
          <w:szCs w:val="28"/>
          <w:lang w:val="nl-NL"/>
        </w:rPr>
        <w:t>CertHE Health and social care</w:t>
      </w:r>
    </w:p>
    <w:p w14:paraId="5A43075B" w14:textId="1F0FF644" w:rsidR="004F3AC1" w:rsidRPr="0020413D" w:rsidRDefault="004F3AC1" w:rsidP="004F3AC1">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LCHS4003</w:t>
      </w:r>
    </w:p>
    <w:p w14:paraId="587E0DAA" w14:textId="160E9A38" w:rsidR="004F3AC1" w:rsidRPr="00884BFE" w:rsidRDefault="004F3AC1" w:rsidP="004F3AC1">
      <w:r w:rsidRPr="0020413D">
        <w:rPr>
          <w:rFonts w:ascii="Arial" w:hAnsi="Arial" w:cs="Arial"/>
          <w:b/>
          <w:bCs/>
          <w:sz w:val="28"/>
          <w:szCs w:val="28"/>
        </w:rPr>
        <w:t>Lecturer name</w:t>
      </w:r>
      <w:r w:rsidR="00884BFE">
        <w:rPr>
          <w:rFonts w:ascii="Arial" w:hAnsi="Arial" w:cs="Arial"/>
          <w:b/>
          <w:bCs/>
          <w:sz w:val="28"/>
          <w:szCs w:val="28"/>
        </w:rPr>
        <w:t xml:space="preserve">: </w:t>
      </w:r>
      <w:r w:rsidR="00884BFE" w:rsidRPr="00884BFE">
        <w:rPr>
          <w:rFonts w:ascii="Arial" w:hAnsi="Arial" w:cs="Arial"/>
          <w:sz w:val="28"/>
          <w:szCs w:val="28"/>
        </w:rPr>
        <w:t>Muhammad Aliyu</w:t>
      </w:r>
    </w:p>
    <w:bookmarkEnd w:id="0"/>
    <w:p w14:paraId="76DF2A44" w14:textId="5B11DCA3" w:rsidR="004F3AC1" w:rsidRDefault="004F3AC1" w:rsidP="004F3AC1">
      <w:pPr>
        <w:sectPr w:rsidR="004F3AC1" w:rsidSect="004F3AC1">
          <w:headerReference w:type="default" r:id="rId8"/>
          <w:footerReference w:type="default" r:id="rId9"/>
          <w:pgSz w:w="11906" w:h="16838"/>
          <w:pgMar w:top="1440" w:right="1440" w:bottom="1440" w:left="1440" w:header="708" w:footer="708" w:gutter="0"/>
          <w:cols w:space="708"/>
          <w:docGrid w:linePitch="360"/>
        </w:sectPr>
      </w:pPr>
    </w:p>
    <w:p w14:paraId="181EDD96"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1CECC8EE"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035CA209"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676A2133"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29F13FCD"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4E0E629E" w14:textId="4DBA908E" w:rsidR="004F3AC1" w:rsidRDefault="004F3AC1" w:rsidP="004F3AC1">
      <w:pPr>
        <w:spacing w:line="240" w:lineRule="auto"/>
        <w:rPr>
          <w:rFonts w:ascii="Arial" w:eastAsia="Times New Roman" w:hAnsi="Arial" w:cs="Arial"/>
          <w:b/>
          <w:bCs/>
          <w:color w:val="000000"/>
          <w:kern w:val="0"/>
          <w:sz w:val="40"/>
          <w:szCs w:val="40"/>
          <w:lang w:eastAsia="en-GB"/>
          <w14:ligatures w14:val="none"/>
        </w:rPr>
      </w:pPr>
      <w:r>
        <w:rPr>
          <w:rFonts w:ascii="Arial" w:eastAsia="Times New Roman" w:hAnsi="Arial" w:cs="Arial"/>
          <w:b/>
          <w:bCs/>
          <w:noProof/>
          <w:color w:val="000000"/>
          <w:kern w:val="0"/>
          <w:sz w:val="40"/>
          <w:szCs w:val="40"/>
          <w:lang w:eastAsia="en-GB"/>
        </w:rPr>
        <w:drawing>
          <wp:inline distT="0" distB="0" distL="0" distR="0" wp14:anchorId="09487F84" wp14:editId="5459ED0E">
            <wp:extent cx="5731510" cy="3863340"/>
            <wp:effectExtent l="0" t="0" r="2540" b="3810"/>
            <wp:docPr id="1153036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36795" name="Picture 1153036795"/>
                    <pic:cNvPicPr/>
                  </pic:nvPicPr>
                  <pic:blipFill>
                    <a:blip r:embed="rId10">
                      <a:extLst>
                        <a:ext uri="{28A0092B-C50C-407E-A947-70E740481C1C}">
                          <a14:useLocalDpi xmlns:a14="http://schemas.microsoft.com/office/drawing/2010/main" val="0"/>
                        </a:ext>
                      </a:extLst>
                    </a:blip>
                    <a:stretch>
                      <a:fillRect/>
                    </a:stretch>
                  </pic:blipFill>
                  <pic:spPr>
                    <a:xfrm>
                      <a:off x="0" y="0"/>
                      <a:ext cx="5731510" cy="3863340"/>
                    </a:xfrm>
                    <a:prstGeom prst="rect">
                      <a:avLst/>
                    </a:prstGeom>
                  </pic:spPr>
                </pic:pic>
              </a:graphicData>
            </a:graphic>
          </wp:inline>
        </w:drawing>
      </w:r>
    </w:p>
    <w:p w14:paraId="67AB429C"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15945405"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11274026"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5F84B96D"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5183B46C"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4B7523A1" w14:textId="77777777" w:rsidR="004F3AC1" w:rsidRDefault="004F3AC1" w:rsidP="004F3AC1">
      <w:pPr>
        <w:spacing w:line="240" w:lineRule="auto"/>
        <w:rPr>
          <w:rFonts w:ascii="Arial" w:eastAsia="Times New Roman" w:hAnsi="Arial" w:cs="Arial"/>
          <w:b/>
          <w:bCs/>
          <w:color w:val="000000"/>
          <w:kern w:val="0"/>
          <w:sz w:val="40"/>
          <w:szCs w:val="40"/>
          <w:lang w:eastAsia="en-GB"/>
          <w14:ligatures w14:val="none"/>
        </w:rPr>
      </w:pPr>
    </w:p>
    <w:p w14:paraId="6BA0510D"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723FA3F7"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31B4CA12"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713C97D6"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74413E68"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62E3F00F"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2CC472C9" w14:textId="77777777" w:rsidR="004F3AC1" w:rsidRDefault="004F3AC1" w:rsidP="004F3AC1">
      <w:pPr>
        <w:spacing w:line="240" w:lineRule="auto"/>
        <w:jc w:val="center"/>
        <w:rPr>
          <w:rFonts w:ascii="Arial" w:eastAsia="Times New Roman" w:hAnsi="Arial" w:cs="Arial"/>
          <w:b/>
          <w:bCs/>
          <w:color w:val="000000"/>
          <w:kern w:val="0"/>
          <w:sz w:val="40"/>
          <w:szCs w:val="40"/>
          <w:lang w:eastAsia="en-GB"/>
          <w14:ligatures w14:val="none"/>
        </w:rPr>
      </w:pPr>
    </w:p>
    <w:p w14:paraId="0412A004" w14:textId="5D7D58CC" w:rsidR="004F3AC1" w:rsidRPr="00211086" w:rsidRDefault="004F3AC1" w:rsidP="004F3AC1">
      <w:pPr>
        <w:spacing w:line="240" w:lineRule="auto"/>
        <w:jc w:val="center"/>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b/>
          <w:bCs/>
          <w:color w:val="000000"/>
          <w:kern w:val="0"/>
          <w:sz w:val="40"/>
          <w:szCs w:val="40"/>
          <w:lang w:eastAsia="en-GB"/>
          <w14:ligatures w14:val="none"/>
        </w:rPr>
        <w:t>The Historical Development, Contemporary Function and Importance of Residential Care Homes</w:t>
      </w:r>
    </w:p>
    <w:p w14:paraId="24CA3394" w14:textId="22BD86AB" w:rsidR="004F3AC1" w:rsidRPr="00211086" w:rsidRDefault="004F3AC1" w:rsidP="00907768">
      <w:pPr>
        <w:spacing w:before="240" w:after="0" w:line="240" w:lineRule="auto"/>
        <w:jc w:val="center"/>
        <w:rPr>
          <w:rFonts w:ascii="Times New Roman" w:eastAsia="Times New Roman" w:hAnsi="Times New Roman" w:cs="Times New Roman"/>
          <w:kern w:val="0"/>
          <w:sz w:val="24"/>
          <w:szCs w:val="24"/>
          <w:lang w:eastAsia="en-GB"/>
          <w14:ligatures w14:val="none"/>
        </w:rPr>
      </w:pPr>
    </w:p>
    <w:p w14:paraId="607BEB8D" w14:textId="10A2180C" w:rsidR="004F3AC1" w:rsidRPr="00211086" w:rsidRDefault="00907768" w:rsidP="004F3AC1">
      <w:pPr>
        <w:spacing w:before="240" w:after="0" w:line="240" w:lineRule="auto"/>
        <w:jc w:val="both"/>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Element 2</w:t>
      </w:r>
    </w:p>
    <w:p w14:paraId="1417EDA0" w14:textId="0D62DB17" w:rsidR="004F3AC1" w:rsidRPr="00884BFE" w:rsidRDefault="004F3AC1" w:rsidP="00884BFE">
      <w:pPr>
        <w:spacing w:line="240" w:lineRule="auto"/>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 xml:space="preserve">Residential care homes are facilities that provide accommodation, personal care, and ongoing supportive services to individuals who may not be able to live safely and independently without support (Barker et al., 2021). They may be home to older people, individuals with disability, dementia and complex long-term conditions needing support during the day and night. Modern care homes are therefore located in a liminal space between housing, social care and healthcare, rather than being just homes (Lewis, 2022). This essay will explore the history of residential care, current </w:t>
      </w:r>
      <w:r>
        <w:rPr>
          <w:rFonts w:ascii="Arial" w:eastAsia="Times New Roman" w:hAnsi="Arial" w:cs="Arial"/>
          <w:color w:val="000000"/>
          <w:kern w:val="0"/>
          <w:lang w:eastAsia="en-GB"/>
          <w14:ligatures w14:val="none"/>
        </w:rPr>
        <w:t xml:space="preserve">practices, and the importance of quality residential care </w:t>
      </w:r>
      <w:r w:rsidRPr="00211086">
        <w:rPr>
          <w:rFonts w:ascii="Arial" w:eastAsia="Times New Roman" w:hAnsi="Arial" w:cs="Arial"/>
          <w:color w:val="000000"/>
          <w:kern w:val="0"/>
          <w:lang w:eastAsia="en-GB"/>
          <w14:ligatures w14:val="none"/>
        </w:rPr>
        <w:t>to residents' lives.</w:t>
      </w:r>
      <w:r w:rsidRPr="00211086">
        <w:rPr>
          <w:rFonts w:ascii="Arial" w:eastAsia="Times New Roman" w:hAnsi="Arial" w:cs="Arial"/>
          <w:b/>
          <w:bCs/>
          <w:i/>
          <w:iCs/>
          <w:color w:val="000000"/>
          <w:kern w:val="36"/>
          <w:sz w:val="24"/>
          <w:szCs w:val="24"/>
          <w:lang w:eastAsia="en-GB"/>
          <w14:ligatures w14:val="none"/>
        </w:rPr>
        <w:t> </w:t>
      </w:r>
    </w:p>
    <w:p w14:paraId="7503D6EF" w14:textId="77777777" w:rsidR="004F3AC1" w:rsidRPr="00211086" w:rsidRDefault="004F3AC1" w:rsidP="004F3AC1">
      <w:pPr>
        <w:spacing w:after="0" w:line="240" w:lineRule="auto"/>
        <w:jc w:val="both"/>
        <w:outlineLvl w:val="1"/>
        <w:rPr>
          <w:rFonts w:ascii="Times New Roman" w:eastAsia="Times New Roman" w:hAnsi="Times New Roman" w:cs="Times New Roman"/>
          <w:b/>
          <w:bCs/>
          <w:kern w:val="0"/>
          <w:sz w:val="36"/>
          <w:szCs w:val="36"/>
          <w:lang w:eastAsia="en-GB"/>
          <w14:ligatures w14:val="none"/>
        </w:rPr>
      </w:pPr>
      <w:r w:rsidRPr="00211086">
        <w:rPr>
          <w:rFonts w:ascii="Arial" w:eastAsia="Times New Roman" w:hAnsi="Arial" w:cs="Arial"/>
          <w:i/>
          <w:iCs/>
          <w:color w:val="000000"/>
          <w:kern w:val="0"/>
          <w:sz w:val="24"/>
          <w:szCs w:val="24"/>
          <w:lang w:eastAsia="en-GB"/>
          <w14:ligatures w14:val="none"/>
        </w:rPr>
        <w:t>Origins and Historical Development</w:t>
      </w:r>
    </w:p>
    <w:p w14:paraId="2F59776D" w14:textId="77777777" w:rsidR="004F3AC1" w:rsidRPr="00211086" w:rsidRDefault="004F3AC1" w:rsidP="004F3AC1">
      <w:pPr>
        <w:spacing w:line="240" w:lineRule="auto"/>
        <w:ind w:firstLine="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 xml:space="preserve">Residential care in England has evolved over time from care provided in workhouses and big institutions to more regulated services that aim to promote dignity and welfare (Lewis, 2022). In the past, poverty relief and social control, along with a lack of public accountability for vulnerable adults, often determined the form of provision, leaving residents little choice over what </w:t>
      </w:r>
      <w:r>
        <w:rPr>
          <w:rFonts w:ascii="Arial" w:eastAsia="Times New Roman" w:hAnsi="Arial" w:cs="Arial"/>
          <w:color w:val="000000"/>
          <w:kern w:val="0"/>
          <w:lang w:eastAsia="en-GB"/>
          <w14:ligatures w14:val="none"/>
        </w:rPr>
        <w:t>care they received and where</w:t>
      </w:r>
      <w:r w:rsidRPr="00211086">
        <w:rPr>
          <w:rFonts w:ascii="Arial" w:eastAsia="Times New Roman" w:hAnsi="Arial" w:cs="Arial"/>
          <w:color w:val="000000"/>
          <w:kern w:val="0"/>
          <w:lang w:eastAsia="en-GB"/>
          <w14:ligatures w14:val="none"/>
        </w:rPr>
        <w:t>. Changing expectations and more stringent regulations during subsequent welfare reforms led care homes to adopt more person-centred and safer approaches (Lewis, 2022). However, private provision and market-based commissioning have led to ongoing tensions between financial viability, public accountability and care quality.</w:t>
      </w:r>
    </w:p>
    <w:p w14:paraId="164759F5" w14:textId="77777777" w:rsidR="004F3AC1" w:rsidRPr="00211086" w:rsidRDefault="004F3AC1" w:rsidP="004F3AC1">
      <w:pPr>
        <w:spacing w:after="0" w:line="240" w:lineRule="auto"/>
        <w:jc w:val="both"/>
        <w:outlineLvl w:val="1"/>
        <w:rPr>
          <w:rFonts w:ascii="Times New Roman" w:eastAsia="Times New Roman" w:hAnsi="Times New Roman" w:cs="Times New Roman"/>
          <w:b/>
          <w:bCs/>
          <w:kern w:val="0"/>
          <w:sz w:val="36"/>
          <w:szCs w:val="36"/>
          <w:lang w:eastAsia="en-GB"/>
          <w14:ligatures w14:val="none"/>
        </w:rPr>
      </w:pPr>
      <w:r w:rsidRPr="00211086">
        <w:rPr>
          <w:rFonts w:ascii="Arial" w:eastAsia="Times New Roman" w:hAnsi="Arial" w:cs="Arial"/>
          <w:i/>
          <w:iCs/>
          <w:color w:val="000000"/>
          <w:kern w:val="0"/>
          <w:sz w:val="24"/>
          <w:szCs w:val="24"/>
          <w:lang w:eastAsia="en-GB"/>
          <w14:ligatures w14:val="none"/>
        </w:rPr>
        <w:t xml:space="preserve">Current </w:t>
      </w:r>
      <w:r w:rsidRPr="00211086">
        <w:rPr>
          <w:rFonts w:ascii="Arial" w:eastAsia="Times New Roman" w:hAnsi="Arial" w:cs="Arial"/>
          <w:i/>
          <w:iCs/>
          <w:color w:val="000000"/>
          <w:kern w:val="0"/>
          <w:lang w:eastAsia="en-GB"/>
          <w14:ligatures w14:val="none"/>
        </w:rPr>
        <w:t>Functioning</w:t>
      </w:r>
      <w:r w:rsidRPr="00211086">
        <w:rPr>
          <w:rFonts w:ascii="Arial" w:eastAsia="Times New Roman" w:hAnsi="Arial" w:cs="Arial"/>
          <w:i/>
          <w:iCs/>
          <w:color w:val="000000"/>
          <w:kern w:val="0"/>
          <w:sz w:val="24"/>
          <w:szCs w:val="24"/>
          <w:lang w:eastAsia="en-GB"/>
          <w14:ligatures w14:val="none"/>
        </w:rPr>
        <w:t xml:space="preserve"> of Residential Care Homes</w:t>
      </w:r>
    </w:p>
    <w:p w14:paraId="4A52B8D0" w14:textId="77777777" w:rsidR="004F3AC1" w:rsidRPr="00211086" w:rsidRDefault="004F3AC1" w:rsidP="004F3AC1">
      <w:pPr>
        <w:spacing w:line="240" w:lineRule="auto"/>
        <w:ind w:firstLine="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 xml:space="preserve">Typical residents of contemporary care homes are more likely to have disability, multimorbidity and cognitive impairment than were care home residents in earlier decades (Barker et al., 2021). They therefore have to offer much more than assistance with washing, dressing and feeding and respond to changing requirements and indicators of physical and emotional deterioration. Good services arrange medicines, mobility, nutrition, safeguarding and activities and communicate and coordinate with families and health professionals (Barker et al., 2021). This combined position may help minimise unnecessary risks and provide comfort to people who might otherwise be unable to be safely cared for in their home. But </w:t>
      </w:r>
      <w:r w:rsidRPr="00211086">
        <w:rPr>
          <w:rFonts w:ascii="Arial" w:eastAsia="Times New Roman" w:hAnsi="Arial" w:cs="Arial"/>
          <w:color w:val="000000"/>
          <w:kern w:val="0"/>
          <w:lang w:eastAsia="en-GB"/>
          <w14:ligatures w14:val="none"/>
        </w:rPr>
        <w:lastRenderedPageBreak/>
        <w:t>residential care does not operate the same way across all environments, nor does regulation ensure compassionate daily practice (Lewis, 2022). </w:t>
      </w:r>
    </w:p>
    <w:p w14:paraId="6288CEDD" w14:textId="77777777" w:rsidR="004F3AC1" w:rsidRPr="00211086" w:rsidRDefault="004F3AC1" w:rsidP="004F3AC1">
      <w:pPr>
        <w:spacing w:line="240" w:lineRule="auto"/>
        <w:ind w:firstLine="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The time workers spend away from the job, staff turnover, poorly paid jobs</w:t>
      </w:r>
      <w:r>
        <w:rPr>
          <w:rFonts w:ascii="Arial" w:eastAsia="Times New Roman" w:hAnsi="Arial" w:cs="Arial"/>
          <w:color w:val="000000"/>
          <w:kern w:val="0"/>
          <w:lang w:eastAsia="en-GB"/>
          <w14:ligatures w14:val="none"/>
        </w:rPr>
        <w:t>, and funding pressures can result in less time to establish meaningful relationships</w:t>
      </w:r>
      <w:r w:rsidRPr="00211086">
        <w:rPr>
          <w:rFonts w:ascii="Arial" w:eastAsia="Times New Roman" w:hAnsi="Arial" w:cs="Arial"/>
          <w:color w:val="000000"/>
          <w:kern w:val="0"/>
          <w:lang w:eastAsia="en-GB"/>
          <w14:ligatures w14:val="none"/>
        </w:rPr>
        <w:t xml:space="preserve"> or become familiar with residents' lives. There is also a growing need for residents to have more complex needs, and for more intensive knowledge and collaboration with primary and specialist health services (Barker et al., 2021). In an under tended and/or poorly led setting, routines might become task-oriented</w:t>
      </w:r>
      <w:r>
        <w:rPr>
          <w:rFonts w:ascii="Arial" w:eastAsia="Times New Roman" w:hAnsi="Arial" w:cs="Arial"/>
          <w:color w:val="000000"/>
          <w:kern w:val="0"/>
          <w:lang w:eastAsia="en-GB"/>
          <w14:ligatures w14:val="none"/>
        </w:rPr>
        <w:t>, resulting in a lack of choice for residents and a feeling that care is given to rather than for them</w:t>
      </w:r>
      <w:r w:rsidRPr="00211086">
        <w:rPr>
          <w:rFonts w:ascii="Arial" w:eastAsia="Times New Roman" w:hAnsi="Arial" w:cs="Arial"/>
          <w:color w:val="000000"/>
          <w:kern w:val="0"/>
          <w:lang w:eastAsia="en-GB"/>
          <w14:ligatures w14:val="none"/>
        </w:rPr>
        <w:t>.</w:t>
      </w:r>
    </w:p>
    <w:p w14:paraId="3574E32E" w14:textId="77777777" w:rsidR="004F3AC1" w:rsidRPr="00211086" w:rsidRDefault="004F3AC1" w:rsidP="004F3AC1">
      <w:pPr>
        <w:spacing w:after="0" w:line="240" w:lineRule="auto"/>
        <w:jc w:val="both"/>
        <w:outlineLvl w:val="1"/>
        <w:rPr>
          <w:rFonts w:ascii="Times New Roman" w:eastAsia="Times New Roman" w:hAnsi="Times New Roman" w:cs="Times New Roman"/>
          <w:b/>
          <w:bCs/>
          <w:kern w:val="0"/>
          <w:sz w:val="36"/>
          <w:szCs w:val="36"/>
          <w:lang w:eastAsia="en-GB"/>
          <w14:ligatures w14:val="none"/>
        </w:rPr>
      </w:pPr>
      <w:r w:rsidRPr="00211086">
        <w:rPr>
          <w:rFonts w:ascii="Arial" w:eastAsia="Times New Roman" w:hAnsi="Arial" w:cs="Arial"/>
          <w:i/>
          <w:iCs/>
          <w:color w:val="000000"/>
          <w:kern w:val="0"/>
          <w:lang w:eastAsia="en-GB"/>
          <w14:ligatures w14:val="none"/>
        </w:rPr>
        <w:t>Contribution</w:t>
      </w:r>
      <w:r w:rsidRPr="00211086">
        <w:rPr>
          <w:rFonts w:ascii="Arial" w:eastAsia="Times New Roman" w:hAnsi="Arial" w:cs="Arial"/>
          <w:i/>
          <w:iCs/>
          <w:color w:val="000000"/>
          <w:kern w:val="0"/>
          <w:sz w:val="24"/>
          <w:szCs w:val="24"/>
          <w:lang w:eastAsia="en-GB"/>
          <w14:ligatures w14:val="none"/>
        </w:rPr>
        <w:t xml:space="preserve"> to Quality of Life</w:t>
      </w:r>
    </w:p>
    <w:p w14:paraId="603C2EF4" w14:textId="77777777" w:rsidR="004F3AC1" w:rsidRPr="00211086" w:rsidRDefault="004F3AC1" w:rsidP="004F3AC1">
      <w:pPr>
        <w:spacing w:line="240" w:lineRule="auto"/>
        <w:ind w:firstLine="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Social connection is a key aspect of wellbeing in long-term care, especially when residents have lost a loved one, their health has deteriorated, or they have been moved away from their familiar community (Chapman et al., 2024). Meaningful activities and friendships, as well as contact with family members, can help make the care home feel more like a community than a place of care and promote confidence and emotional security. However, living among others can lead to loneliness amid rigid routines, limited staffing, and a lack of personalised opportunities (Chapman et al., 2024). Autonomy, belonging, privacy, and the ability to maintain personal identity are therefore additional factors crucial to a person's quality of life, alongside physical safety.</w:t>
      </w:r>
    </w:p>
    <w:p w14:paraId="7FE23F46" w14:textId="77777777" w:rsidR="004F3AC1" w:rsidRPr="00211086" w:rsidRDefault="004F3AC1" w:rsidP="004F3AC1">
      <w:pPr>
        <w:spacing w:before="240" w:after="0" w:line="240" w:lineRule="auto"/>
        <w:jc w:val="both"/>
        <w:outlineLvl w:val="0"/>
        <w:rPr>
          <w:rFonts w:ascii="Times New Roman" w:eastAsia="Times New Roman" w:hAnsi="Times New Roman" w:cs="Times New Roman"/>
          <w:b/>
          <w:bCs/>
          <w:kern w:val="36"/>
          <w:sz w:val="48"/>
          <w:szCs w:val="48"/>
          <w:lang w:eastAsia="en-GB"/>
          <w14:ligatures w14:val="none"/>
        </w:rPr>
      </w:pPr>
      <w:r w:rsidRPr="00211086">
        <w:rPr>
          <w:rFonts w:ascii="Arial" w:eastAsia="Times New Roman" w:hAnsi="Arial" w:cs="Arial"/>
          <w:b/>
          <w:bCs/>
          <w:i/>
          <w:iCs/>
          <w:color w:val="000000"/>
          <w:kern w:val="36"/>
          <w:lang w:eastAsia="en-GB"/>
          <w14:ligatures w14:val="none"/>
        </w:rPr>
        <w:t>Conclusion</w:t>
      </w:r>
    </w:p>
    <w:p w14:paraId="25A24B34" w14:textId="77777777" w:rsidR="004F3AC1" w:rsidRPr="00211086" w:rsidRDefault="004F3AC1" w:rsidP="004F3AC1">
      <w:pPr>
        <w:spacing w:line="240" w:lineRule="auto"/>
        <w:ind w:firstLine="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Vulnerable persons in person-centred, well-regulated residential care can be safeguarded, whilst the dignity, health, and social participation of residents are promoted (Lewis, 2022). It is reliant on sustainable funding, capable staff, and daily work that respects residents as people, not as care needs.</w:t>
      </w:r>
    </w:p>
    <w:p w14:paraId="5E2BDD96" w14:textId="77777777" w:rsidR="004F3AC1" w:rsidRPr="00211086" w:rsidRDefault="004F3AC1" w:rsidP="004F3AC1">
      <w:pPr>
        <w:spacing w:after="0" w:line="240" w:lineRule="auto"/>
        <w:rPr>
          <w:rFonts w:ascii="Times New Roman" w:eastAsia="Times New Roman" w:hAnsi="Times New Roman" w:cs="Times New Roman"/>
          <w:kern w:val="0"/>
          <w:sz w:val="24"/>
          <w:szCs w:val="24"/>
          <w:lang w:eastAsia="en-GB"/>
          <w14:ligatures w14:val="none"/>
        </w:rPr>
      </w:pPr>
    </w:p>
    <w:p w14:paraId="53E09936" w14:textId="77777777" w:rsidR="004F3AC1" w:rsidRPr="00211086" w:rsidRDefault="004F3AC1" w:rsidP="004F3AC1">
      <w:pPr>
        <w:spacing w:before="240" w:after="0" w:line="240" w:lineRule="auto"/>
        <w:jc w:val="both"/>
        <w:outlineLvl w:val="0"/>
        <w:rPr>
          <w:rFonts w:ascii="Times New Roman" w:eastAsia="Times New Roman" w:hAnsi="Times New Roman" w:cs="Times New Roman"/>
          <w:b/>
          <w:bCs/>
          <w:kern w:val="36"/>
          <w:sz w:val="48"/>
          <w:szCs w:val="48"/>
          <w:lang w:eastAsia="en-GB"/>
          <w14:ligatures w14:val="none"/>
        </w:rPr>
      </w:pPr>
      <w:r w:rsidRPr="00211086">
        <w:rPr>
          <w:rFonts w:ascii="Arial" w:eastAsia="Times New Roman" w:hAnsi="Arial" w:cs="Arial"/>
          <w:b/>
          <w:bCs/>
          <w:i/>
          <w:iCs/>
          <w:color w:val="000000"/>
          <w:kern w:val="36"/>
          <w:lang w:eastAsia="en-GB"/>
          <w14:ligatures w14:val="none"/>
        </w:rPr>
        <w:t>References</w:t>
      </w:r>
      <w:r w:rsidRPr="00211086">
        <w:rPr>
          <w:rFonts w:ascii="Arial" w:eastAsia="Times New Roman" w:hAnsi="Arial" w:cs="Arial"/>
          <w:b/>
          <w:bCs/>
          <w:i/>
          <w:iCs/>
          <w:color w:val="000000"/>
          <w:kern w:val="36"/>
          <w:sz w:val="24"/>
          <w:szCs w:val="24"/>
          <w:lang w:eastAsia="en-GB"/>
          <w14:ligatures w14:val="none"/>
        </w:rPr>
        <w:t> </w:t>
      </w:r>
    </w:p>
    <w:p w14:paraId="6A627EA9" w14:textId="77777777" w:rsidR="004F3AC1" w:rsidRPr="00211086" w:rsidRDefault="004F3AC1" w:rsidP="004F3AC1">
      <w:pPr>
        <w:spacing w:line="240" w:lineRule="auto"/>
        <w:ind w:hanging="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Barker, R.O., Hanratty, B., Kingston, A., Ramsay, S.E. and Matthews, F.E., 2021. Changes in health and functioning of care home residents over two decades: what can we learn from population-based studies. </w:t>
      </w:r>
      <w:r w:rsidRPr="00211086">
        <w:rPr>
          <w:rFonts w:ascii="Arial" w:eastAsia="Times New Roman" w:hAnsi="Arial" w:cs="Arial"/>
          <w:i/>
          <w:iCs/>
          <w:color w:val="000000"/>
          <w:kern w:val="0"/>
          <w:lang w:eastAsia="en-GB"/>
          <w14:ligatures w14:val="none"/>
        </w:rPr>
        <w:t>Age and ageing</w:t>
      </w:r>
      <w:r w:rsidRPr="00211086">
        <w:rPr>
          <w:rFonts w:ascii="Arial" w:eastAsia="Times New Roman" w:hAnsi="Arial" w:cs="Arial"/>
          <w:color w:val="000000"/>
          <w:kern w:val="0"/>
          <w:lang w:eastAsia="en-GB"/>
          <w14:ligatures w14:val="none"/>
        </w:rPr>
        <w:t>, </w:t>
      </w:r>
      <w:r w:rsidRPr="00211086">
        <w:rPr>
          <w:rFonts w:ascii="Arial" w:eastAsia="Times New Roman" w:hAnsi="Arial" w:cs="Arial"/>
          <w:i/>
          <w:iCs/>
          <w:color w:val="000000"/>
          <w:kern w:val="0"/>
          <w:lang w:eastAsia="en-GB"/>
          <w14:ligatures w14:val="none"/>
        </w:rPr>
        <w:t>50</w:t>
      </w:r>
      <w:r w:rsidRPr="00211086">
        <w:rPr>
          <w:rFonts w:ascii="Arial" w:eastAsia="Times New Roman" w:hAnsi="Arial" w:cs="Arial"/>
          <w:color w:val="000000"/>
          <w:kern w:val="0"/>
          <w:lang w:eastAsia="en-GB"/>
          <w14:ligatures w14:val="none"/>
        </w:rPr>
        <w:t>(3), pp.921-927.</w:t>
      </w:r>
    </w:p>
    <w:p w14:paraId="5FA215A0" w14:textId="77777777" w:rsidR="004F3AC1" w:rsidRPr="00211086" w:rsidRDefault="004F3AC1" w:rsidP="004F3AC1">
      <w:pPr>
        <w:spacing w:line="240" w:lineRule="auto"/>
        <w:ind w:hanging="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 xml:space="preserve">Chapman, H., Bethell, J., Dewan, N., </w:t>
      </w:r>
      <w:proofErr w:type="spellStart"/>
      <w:r w:rsidRPr="00211086">
        <w:rPr>
          <w:rFonts w:ascii="Arial" w:eastAsia="Times New Roman" w:hAnsi="Arial" w:cs="Arial"/>
          <w:color w:val="000000"/>
          <w:kern w:val="0"/>
          <w:lang w:eastAsia="en-GB"/>
          <w14:ligatures w14:val="none"/>
        </w:rPr>
        <w:t>Liougas</w:t>
      </w:r>
      <w:proofErr w:type="spellEnd"/>
      <w:r w:rsidRPr="00211086">
        <w:rPr>
          <w:rFonts w:ascii="Arial" w:eastAsia="Times New Roman" w:hAnsi="Arial" w:cs="Arial"/>
          <w:color w:val="000000"/>
          <w:kern w:val="0"/>
          <w:lang w:eastAsia="en-GB"/>
          <w14:ligatures w14:val="none"/>
        </w:rPr>
        <w:t xml:space="preserve">, M.P., Livingston, G., McGilton, K.S. and </w:t>
      </w:r>
      <w:proofErr w:type="spellStart"/>
      <w:r w:rsidRPr="00211086">
        <w:rPr>
          <w:rFonts w:ascii="Arial" w:eastAsia="Times New Roman" w:hAnsi="Arial" w:cs="Arial"/>
          <w:color w:val="000000"/>
          <w:kern w:val="0"/>
          <w:lang w:eastAsia="en-GB"/>
          <w14:ligatures w14:val="none"/>
        </w:rPr>
        <w:t>Sommerlad</w:t>
      </w:r>
      <w:proofErr w:type="spellEnd"/>
      <w:r w:rsidRPr="00211086">
        <w:rPr>
          <w:rFonts w:ascii="Arial" w:eastAsia="Times New Roman" w:hAnsi="Arial" w:cs="Arial"/>
          <w:color w:val="000000"/>
          <w:kern w:val="0"/>
          <w:lang w:eastAsia="en-GB"/>
          <w14:ligatures w14:val="none"/>
        </w:rPr>
        <w:t>, A., 2024. Social connection in long-term care homes: a qualitative study of barriers and facilitators. </w:t>
      </w:r>
      <w:r w:rsidRPr="00211086">
        <w:rPr>
          <w:rFonts w:ascii="Arial" w:eastAsia="Times New Roman" w:hAnsi="Arial" w:cs="Arial"/>
          <w:i/>
          <w:iCs/>
          <w:color w:val="000000"/>
          <w:kern w:val="0"/>
          <w:lang w:eastAsia="en-GB"/>
          <w14:ligatures w14:val="none"/>
        </w:rPr>
        <w:t>BMC Geriatrics</w:t>
      </w:r>
      <w:r w:rsidRPr="00211086">
        <w:rPr>
          <w:rFonts w:ascii="Arial" w:eastAsia="Times New Roman" w:hAnsi="Arial" w:cs="Arial"/>
          <w:color w:val="000000"/>
          <w:kern w:val="0"/>
          <w:lang w:eastAsia="en-GB"/>
          <w14:ligatures w14:val="none"/>
        </w:rPr>
        <w:t>, </w:t>
      </w:r>
      <w:r w:rsidRPr="00211086">
        <w:rPr>
          <w:rFonts w:ascii="Arial" w:eastAsia="Times New Roman" w:hAnsi="Arial" w:cs="Arial"/>
          <w:i/>
          <w:iCs/>
          <w:color w:val="000000"/>
          <w:kern w:val="0"/>
          <w:lang w:eastAsia="en-GB"/>
          <w14:ligatures w14:val="none"/>
        </w:rPr>
        <w:t>24</w:t>
      </w:r>
      <w:r w:rsidRPr="00211086">
        <w:rPr>
          <w:rFonts w:ascii="Arial" w:eastAsia="Times New Roman" w:hAnsi="Arial" w:cs="Arial"/>
          <w:color w:val="000000"/>
          <w:kern w:val="0"/>
          <w:lang w:eastAsia="en-GB"/>
          <w14:ligatures w14:val="none"/>
        </w:rPr>
        <w:t>(1), p.857.</w:t>
      </w:r>
    </w:p>
    <w:p w14:paraId="68247B1B" w14:textId="77777777" w:rsidR="004F3AC1" w:rsidRPr="00211086" w:rsidRDefault="004F3AC1" w:rsidP="004F3AC1">
      <w:pPr>
        <w:spacing w:line="240" w:lineRule="auto"/>
        <w:ind w:hanging="720"/>
        <w:jc w:val="both"/>
        <w:rPr>
          <w:rFonts w:ascii="Times New Roman" w:eastAsia="Times New Roman" w:hAnsi="Times New Roman" w:cs="Times New Roman"/>
          <w:kern w:val="0"/>
          <w:sz w:val="24"/>
          <w:szCs w:val="24"/>
          <w:lang w:eastAsia="en-GB"/>
          <w14:ligatures w14:val="none"/>
        </w:rPr>
      </w:pPr>
      <w:r w:rsidRPr="00211086">
        <w:rPr>
          <w:rFonts w:ascii="Arial" w:eastAsia="Times New Roman" w:hAnsi="Arial" w:cs="Arial"/>
          <w:color w:val="000000"/>
          <w:kern w:val="0"/>
          <w:lang w:eastAsia="en-GB"/>
          <w14:ligatures w14:val="none"/>
        </w:rPr>
        <w:t>Lewis, J., 2022. The problems of social care in English nursing and residential homes for older people and the role of state regulation. </w:t>
      </w:r>
      <w:r w:rsidRPr="00211086">
        <w:rPr>
          <w:rFonts w:ascii="Arial" w:eastAsia="Times New Roman" w:hAnsi="Arial" w:cs="Arial"/>
          <w:i/>
          <w:iCs/>
          <w:color w:val="000000"/>
          <w:kern w:val="0"/>
          <w:lang w:eastAsia="en-GB"/>
          <w14:ligatures w14:val="none"/>
        </w:rPr>
        <w:t>Journal of Social Welfare and Family Law</w:t>
      </w:r>
      <w:r w:rsidRPr="00211086">
        <w:rPr>
          <w:rFonts w:ascii="Arial" w:eastAsia="Times New Roman" w:hAnsi="Arial" w:cs="Arial"/>
          <w:color w:val="000000"/>
          <w:kern w:val="0"/>
          <w:lang w:eastAsia="en-GB"/>
          <w14:ligatures w14:val="none"/>
        </w:rPr>
        <w:t>, </w:t>
      </w:r>
      <w:r w:rsidRPr="00211086">
        <w:rPr>
          <w:rFonts w:ascii="Arial" w:eastAsia="Times New Roman" w:hAnsi="Arial" w:cs="Arial"/>
          <w:i/>
          <w:iCs/>
          <w:color w:val="000000"/>
          <w:kern w:val="0"/>
          <w:lang w:eastAsia="en-GB"/>
          <w14:ligatures w14:val="none"/>
        </w:rPr>
        <w:t>44</w:t>
      </w:r>
      <w:r w:rsidRPr="00211086">
        <w:rPr>
          <w:rFonts w:ascii="Arial" w:eastAsia="Times New Roman" w:hAnsi="Arial" w:cs="Arial"/>
          <w:color w:val="000000"/>
          <w:kern w:val="0"/>
          <w:lang w:eastAsia="en-GB"/>
          <w14:ligatures w14:val="none"/>
        </w:rPr>
        <w:t>(2), pp.185-204.</w:t>
      </w:r>
    </w:p>
    <w:p w14:paraId="5A93AECC" w14:textId="77777777" w:rsidR="004F3AC1" w:rsidRDefault="004F3AC1" w:rsidP="004F3AC1"/>
    <w:p w14:paraId="2AC75BB2" w14:textId="77777777" w:rsidR="00BB48B5" w:rsidRDefault="00BB48B5"/>
    <w:sectPr w:rsidR="00BB48B5" w:rsidSect="004F3A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E469" w14:textId="77777777" w:rsidR="00963C6D" w:rsidRDefault="00963C6D">
      <w:pPr>
        <w:spacing w:after="0" w:line="240" w:lineRule="auto"/>
      </w:pPr>
      <w:r>
        <w:separator/>
      </w:r>
    </w:p>
  </w:endnote>
  <w:endnote w:type="continuationSeparator" w:id="0">
    <w:p w14:paraId="5B9D2B1A" w14:textId="77777777" w:rsidR="00963C6D" w:rsidRDefault="0096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B7051" w14:textId="77777777" w:rsidR="004F3AC1" w:rsidRDefault="004F3AC1">
    <w:pPr>
      <w:pStyle w:val="Footer"/>
      <w:jc w:val="right"/>
    </w:pPr>
  </w:p>
  <w:p w14:paraId="7100C0E5" w14:textId="77777777" w:rsidR="004F3AC1" w:rsidRDefault="004F3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97DBA" w14:textId="77777777" w:rsidR="00963C6D" w:rsidRDefault="00963C6D">
      <w:pPr>
        <w:spacing w:after="0" w:line="240" w:lineRule="auto"/>
      </w:pPr>
      <w:r>
        <w:separator/>
      </w:r>
    </w:p>
  </w:footnote>
  <w:footnote w:type="continuationSeparator" w:id="0">
    <w:p w14:paraId="245B71C3" w14:textId="77777777" w:rsidR="00963C6D" w:rsidRDefault="00963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CD2A1" w14:textId="77777777" w:rsidR="004F3AC1" w:rsidRDefault="004F3AC1" w:rsidP="00BE6BE0">
    <w:pPr>
      <w:pStyle w:val="Header"/>
      <w:ind w:left="11520"/>
    </w:pPr>
    <w:r>
      <w:rPr>
        <w:noProof/>
      </w:rPr>
      <w:drawing>
        <wp:inline distT="0" distB="0" distL="0" distR="0" wp14:anchorId="24E11A02" wp14:editId="6AAF7F16">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C1"/>
    <w:rsid w:val="004F3AC1"/>
    <w:rsid w:val="00526171"/>
    <w:rsid w:val="00631D73"/>
    <w:rsid w:val="00884BFE"/>
    <w:rsid w:val="00907768"/>
    <w:rsid w:val="00963C6D"/>
    <w:rsid w:val="00BB48B5"/>
    <w:rsid w:val="00CE0501"/>
    <w:rsid w:val="00F5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985B"/>
  <w15:chartTrackingRefBased/>
  <w15:docId w15:val="{06B0A19D-C219-4CF0-A7A6-2269080E0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AC1"/>
  </w:style>
  <w:style w:type="paragraph" w:styleId="Heading1">
    <w:name w:val="heading 1"/>
    <w:basedOn w:val="Normal"/>
    <w:next w:val="Normal"/>
    <w:link w:val="Heading1Char"/>
    <w:uiPriority w:val="9"/>
    <w:qFormat/>
    <w:rsid w:val="004F3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3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AC1"/>
    <w:rPr>
      <w:rFonts w:eastAsiaTheme="majorEastAsia" w:cstheme="majorBidi"/>
      <w:color w:val="272727" w:themeColor="text1" w:themeTint="D8"/>
    </w:rPr>
  </w:style>
  <w:style w:type="paragraph" w:styleId="Title">
    <w:name w:val="Title"/>
    <w:basedOn w:val="Normal"/>
    <w:next w:val="Normal"/>
    <w:link w:val="TitleChar"/>
    <w:uiPriority w:val="10"/>
    <w:qFormat/>
    <w:rsid w:val="004F3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AC1"/>
    <w:pPr>
      <w:spacing w:before="160"/>
      <w:jc w:val="center"/>
    </w:pPr>
    <w:rPr>
      <w:i/>
      <w:iCs/>
      <w:color w:val="404040" w:themeColor="text1" w:themeTint="BF"/>
    </w:rPr>
  </w:style>
  <w:style w:type="character" w:customStyle="1" w:styleId="QuoteChar">
    <w:name w:val="Quote Char"/>
    <w:basedOn w:val="DefaultParagraphFont"/>
    <w:link w:val="Quote"/>
    <w:uiPriority w:val="29"/>
    <w:rsid w:val="004F3AC1"/>
    <w:rPr>
      <w:i/>
      <w:iCs/>
      <w:color w:val="404040" w:themeColor="text1" w:themeTint="BF"/>
    </w:rPr>
  </w:style>
  <w:style w:type="paragraph" w:styleId="ListParagraph">
    <w:name w:val="List Paragraph"/>
    <w:basedOn w:val="Normal"/>
    <w:uiPriority w:val="34"/>
    <w:qFormat/>
    <w:rsid w:val="004F3AC1"/>
    <w:pPr>
      <w:ind w:left="720"/>
      <w:contextualSpacing/>
    </w:pPr>
  </w:style>
  <w:style w:type="character" w:styleId="IntenseEmphasis">
    <w:name w:val="Intense Emphasis"/>
    <w:basedOn w:val="DefaultParagraphFont"/>
    <w:uiPriority w:val="21"/>
    <w:qFormat/>
    <w:rsid w:val="004F3AC1"/>
    <w:rPr>
      <w:i/>
      <w:iCs/>
      <w:color w:val="0F4761" w:themeColor="accent1" w:themeShade="BF"/>
    </w:rPr>
  </w:style>
  <w:style w:type="paragraph" w:styleId="IntenseQuote">
    <w:name w:val="Intense Quote"/>
    <w:basedOn w:val="Normal"/>
    <w:next w:val="Normal"/>
    <w:link w:val="IntenseQuoteChar"/>
    <w:uiPriority w:val="30"/>
    <w:qFormat/>
    <w:rsid w:val="004F3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AC1"/>
    <w:rPr>
      <w:i/>
      <w:iCs/>
      <w:color w:val="0F4761" w:themeColor="accent1" w:themeShade="BF"/>
    </w:rPr>
  </w:style>
  <w:style w:type="character" w:styleId="IntenseReference">
    <w:name w:val="Intense Reference"/>
    <w:basedOn w:val="DefaultParagraphFont"/>
    <w:uiPriority w:val="32"/>
    <w:qFormat/>
    <w:rsid w:val="004F3AC1"/>
    <w:rPr>
      <w:b/>
      <w:bCs/>
      <w:smallCaps/>
      <w:color w:val="0F4761" w:themeColor="accent1" w:themeShade="BF"/>
      <w:spacing w:val="5"/>
    </w:rPr>
  </w:style>
  <w:style w:type="paragraph" w:styleId="Header">
    <w:name w:val="header"/>
    <w:basedOn w:val="Normal"/>
    <w:link w:val="HeaderChar"/>
    <w:uiPriority w:val="99"/>
    <w:unhideWhenUsed/>
    <w:rsid w:val="004F3AC1"/>
    <w:pPr>
      <w:tabs>
        <w:tab w:val="center" w:pos="4513"/>
        <w:tab w:val="right" w:pos="9026"/>
      </w:tabs>
      <w:spacing w:after="0" w:line="240" w:lineRule="auto"/>
    </w:pPr>
    <w:rPr>
      <w:rFonts w:eastAsiaTheme="minorEastAsia"/>
      <w:kern w:val="0"/>
      <w:lang w:eastAsia="zh-CN"/>
      <w14:ligatures w14:val="none"/>
    </w:rPr>
  </w:style>
  <w:style w:type="character" w:customStyle="1" w:styleId="HeaderChar">
    <w:name w:val="Header Char"/>
    <w:basedOn w:val="DefaultParagraphFont"/>
    <w:link w:val="Header"/>
    <w:uiPriority w:val="99"/>
    <w:rsid w:val="004F3AC1"/>
    <w:rPr>
      <w:rFonts w:eastAsiaTheme="minorEastAsia"/>
      <w:kern w:val="0"/>
      <w:lang w:eastAsia="zh-CN"/>
      <w14:ligatures w14:val="none"/>
    </w:rPr>
  </w:style>
  <w:style w:type="paragraph" w:styleId="Footer">
    <w:name w:val="footer"/>
    <w:basedOn w:val="Normal"/>
    <w:link w:val="FooterChar"/>
    <w:uiPriority w:val="99"/>
    <w:unhideWhenUsed/>
    <w:rsid w:val="004F3AC1"/>
    <w:pPr>
      <w:tabs>
        <w:tab w:val="center" w:pos="4513"/>
        <w:tab w:val="right" w:pos="9026"/>
      </w:tabs>
      <w:spacing w:after="0" w:line="240" w:lineRule="auto"/>
    </w:pPr>
    <w:rPr>
      <w:rFonts w:eastAsiaTheme="minorEastAsia"/>
      <w:kern w:val="0"/>
      <w:lang w:eastAsia="zh-CN"/>
      <w14:ligatures w14:val="none"/>
    </w:rPr>
  </w:style>
  <w:style w:type="character" w:customStyle="1" w:styleId="FooterChar">
    <w:name w:val="Footer Char"/>
    <w:basedOn w:val="DefaultParagraphFont"/>
    <w:link w:val="Footer"/>
    <w:uiPriority w:val="99"/>
    <w:rsid w:val="004F3AC1"/>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tmp"/><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ugwuala</dc:creator>
  <cp:keywords/>
  <dc:description/>
  <cp:lastModifiedBy>mary ugwuala</cp:lastModifiedBy>
  <cp:revision>2</cp:revision>
  <dcterms:created xsi:type="dcterms:W3CDTF">2026-07-19T16:45:00Z</dcterms:created>
  <dcterms:modified xsi:type="dcterms:W3CDTF">2026-07-19T16:45:00Z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841b6d2f-a867-4e2b-b796-97954e6f2e8f</vt:lpwstr>
  </property>
</Properties>
</file>