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83FDB" w14:textId="77777777" w:rsidR="00585B22" w:rsidRDefault="00842D77">
      <w:pPr>
        <w:spacing w:line="360" w:lineRule="auto"/>
        <w:rPr>
          <w:b/>
          <w:sz w:val="28"/>
          <w:szCs w:val="24"/>
          <w:lang w:val="en-GB"/>
        </w:rPr>
      </w:pPr>
      <w:r>
        <w:rPr>
          <w:noProof/>
          <w:color w:val="000000"/>
          <w:lang w:val="en-IN"/>
        </w:rPr>
        <w:drawing>
          <wp:inline distT="0" distB="0" distL="0" distR="0" wp14:anchorId="7E9B71EC" wp14:editId="2C6E5A14">
            <wp:extent cx="5288280" cy="2118360"/>
            <wp:effectExtent l="0" t="0" r="7620" b="15240"/>
            <wp:docPr id="20" name="Picture 20" descr="https://lh7-rt.googleusercontent.com/docsz/AD_4nXdrIgdI1lGsPyB57moFa2Z-S0IzI_7m8po9uhKfFvEE6QSjM8gYhewvtmTi2uNqzFVnSKXQmLaWdS7Ud12bNbJTd1Lz0PNH0Xq-_lYtkOo16LOEqfLWDWFXKsoKrxlN3ueRWM1YuA?key=-aRIQclVek25gO8brPfL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https://lh7-rt.googleusercontent.com/docsz/AD_4nXdrIgdI1lGsPyB57moFa2Z-S0IzI_7m8po9uhKfFvEE6QSjM8gYhewvtmTi2uNqzFVnSKXQmLaWdS7Ud12bNbJTd1Lz0PNH0Xq-_lYtkOo16LOEqfLWDWFXKsoKrxlN3ueRWM1YuA?key=-aRIQclVek25gO8brPfLG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288280" cy="2118360"/>
                    </a:xfrm>
                    <a:prstGeom prst="rect">
                      <a:avLst/>
                    </a:prstGeom>
                    <a:noFill/>
                    <a:ln>
                      <a:noFill/>
                    </a:ln>
                  </pic:spPr>
                </pic:pic>
              </a:graphicData>
            </a:graphic>
          </wp:inline>
        </w:drawing>
      </w:r>
    </w:p>
    <w:p w14:paraId="76A69E81" w14:textId="77777777" w:rsidR="00585B22" w:rsidRDefault="00842D77">
      <w:pPr>
        <w:spacing w:after="240" w:line="480" w:lineRule="auto"/>
        <w:jc w:val="center"/>
        <w:rPr>
          <w:b/>
          <w:sz w:val="28"/>
          <w:szCs w:val="24"/>
          <w:lang w:val="en-GB"/>
        </w:rPr>
      </w:pPr>
      <w:r>
        <w:rPr>
          <w:b/>
          <w:sz w:val="28"/>
          <w:szCs w:val="24"/>
          <w:lang w:val="en-GB"/>
        </w:rPr>
        <w:t xml:space="preserve">Student Name: </w:t>
      </w:r>
      <w:proofErr w:type="spellStart"/>
      <w:r>
        <w:rPr>
          <w:b/>
          <w:sz w:val="28"/>
          <w:szCs w:val="24"/>
          <w:lang w:val="en-GB"/>
        </w:rPr>
        <w:t>Mitwa</w:t>
      </w:r>
      <w:proofErr w:type="spellEnd"/>
      <w:r>
        <w:rPr>
          <w:b/>
          <w:sz w:val="28"/>
          <w:szCs w:val="24"/>
          <w:lang w:val="en-GB"/>
        </w:rPr>
        <w:t xml:space="preserve"> </w:t>
      </w:r>
      <w:proofErr w:type="spellStart"/>
      <w:r>
        <w:rPr>
          <w:b/>
          <w:sz w:val="28"/>
          <w:szCs w:val="24"/>
          <w:lang w:val="en-GB"/>
        </w:rPr>
        <w:t>Ghanshyamsinh</w:t>
      </w:r>
      <w:proofErr w:type="spellEnd"/>
      <w:r>
        <w:rPr>
          <w:b/>
          <w:sz w:val="28"/>
          <w:szCs w:val="24"/>
          <w:lang w:val="en-GB"/>
        </w:rPr>
        <w:t xml:space="preserve"> </w:t>
      </w:r>
      <w:proofErr w:type="spellStart"/>
      <w:r>
        <w:rPr>
          <w:b/>
          <w:sz w:val="28"/>
          <w:szCs w:val="24"/>
          <w:lang w:val="en-GB"/>
        </w:rPr>
        <w:t>Gohil</w:t>
      </w:r>
      <w:proofErr w:type="spellEnd"/>
    </w:p>
    <w:p w14:paraId="711BB4EB" w14:textId="77777777" w:rsidR="00585B22" w:rsidRDefault="00842D77">
      <w:pPr>
        <w:spacing w:before="240" w:after="240" w:line="480" w:lineRule="auto"/>
        <w:jc w:val="center"/>
        <w:rPr>
          <w:b/>
          <w:sz w:val="28"/>
          <w:szCs w:val="24"/>
          <w:lang w:val="en-GB"/>
        </w:rPr>
      </w:pPr>
      <w:r>
        <w:rPr>
          <w:b/>
          <w:sz w:val="28"/>
          <w:szCs w:val="24"/>
          <w:lang w:val="en-GB"/>
        </w:rPr>
        <w:t xml:space="preserve"> Student Id: 2431076</w:t>
      </w:r>
    </w:p>
    <w:p w14:paraId="4EF89787" w14:textId="77777777" w:rsidR="00585B22" w:rsidRDefault="00585B22">
      <w:pPr>
        <w:spacing w:line="480" w:lineRule="auto"/>
        <w:jc w:val="center"/>
        <w:rPr>
          <w:b/>
          <w:bCs/>
        </w:rPr>
      </w:pPr>
    </w:p>
    <w:p w14:paraId="31D9EF22" w14:textId="77777777" w:rsidR="00585B22" w:rsidRDefault="00585B22">
      <w:pPr>
        <w:spacing w:line="480" w:lineRule="auto"/>
        <w:jc w:val="center"/>
        <w:rPr>
          <w:b/>
          <w:bCs/>
        </w:rPr>
      </w:pPr>
    </w:p>
    <w:p w14:paraId="10B7C412" w14:textId="77777777" w:rsidR="00585B22" w:rsidRDefault="00585B22">
      <w:pPr>
        <w:spacing w:line="480" w:lineRule="auto"/>
        <w:jc w:val="center"/>
        <w:rPr>
          <w:b/>
          <w:bCs/>
        </w:rPr>
      </w:pPr>
    </w:p>
    <w:p w14:paraId="74E99C69" w14:textId="77777777" w:rsidR="00585B22" w:rsidRDefault="00585B22">
      <w:pPr>
        <w:spacing w:line="480" w:lineRule="auto"/>
        <w:jc w:val="center"/>
        <w:rPr>
          <w:b/>
          <w:bCs/>
        </w:rPr>
      </w:pPr>
    </w:p>
    <w:p w14:paraId="412258FD" w14:textId="77777777" w:rsidR="00585B22" w:rsidRDefault="00585B22">
      <w:pPr>
        <w:spacing w:line="480" w:lineRule="auto"/>
        <w:jc w:val="center"/>
        <w:rPr>
          <w:b/>
          <w:bCs/>
        </w:rPr>
      </w:pPr>
    </w:p>
    <w:p w14:paraId="5DBCAA84" w14:textId="77777777" w:rsidR="00585B22" w:rsidRDefault="00585B22">
      <w:pPr>
        <w:spacing w:line="480" w:lineRule="auto"/>
        <w:jc w:val="center"/>
        <w:rPr>
          <w:b/>
          <w:bCs/>
        </w:rPr>
      </w:pPr>
    </w:p>
    <w:p w14:paraId="29E6642B" w14:textId="77777777" w:rsidR="00585B22" w:rsidRDefault="00842D77">
      <w:pPr>
        <w:spacing w:line="480" w:lineRule="auto"/>
        <w:jc w:val="center"/>
      </w:pPr>
      <w:r>
        <w:rPr>
          <w:b/>
          <w:bCs/>
        </w:rPr>
        <w:t xml:space="preserve">Module: </w:t>
      </w:r>
      <w:r>
        <w:t>Strategic Management</w:t>
      </w:r>
      <w:r>
        <w:br/>
      </w:r>
      <w:r>
        <w:rPr>
          <w:b/>
          <w:bCs/>
        </w:rPr>
        <w:t>Module Code:</w:t>
      </w:r>
      <w:r>
        <w:t xml:space="preserve"> LCMB7003</w:t>
      </w:r>
    </w:p>
    <w:p w14:paraId="069D93C6" w14:textId="4A7AB5B8" w:rsidR="00585B22" w:rsidRDefault="00842D77">
      <w:pPr>
        <w:spacing w:line="480" w:lineRule="auto"/>
        <w:jc w:val="center"/>
      </w:pPr>
      <w:r>
        <w:rPr>
          <w:b/>
          <w:sz w:val="28"/>
          <w:szCs w:val="24"/>
          <w:lang w:val="en-GB"/>
        </w:rPr>
        <w:t>Lecturer’s Name:</w:t>
      </w:r>
      <w:r>
        <w:rPr>
          <w:b/>
          <w:sz w:val="28"/>
          <w:szCs w:val="24"/>
        </w:rPr>
        <w:t xml:space="preserve"> </w:t>
      </w:r>
      <w:proofErr w:type="spellStart"/>
      <w:r>
        <w:t>Andry</w:t>
      </w:r>
      <w:proofErr w:type="spellEnd"/>
      <w:r>
        <w:t xml:space="preserve"> </w:t>
      </w:r>
      <w:proofErr w:type="spellStart"/>
      <w:r>
        <w:t>Rakotovololona</w:t>
      </w:r>
      <w:proofErr w:type="spellEnd"/>
    </w:p>
    <w:p w14:paraId="663AD7B6" w14:textId="77777777" w:rsidR="00585B22" w:rsidRDefault="00585B22">
      <w:pPr>
        <w:spacing w:line="480" w:lineRule="auto"/>
        <w:jc w:val="center"/>
      </w:pPr>
    </w:p>
    <w:p w14:paraId="7A725793" w14:textId="77777777" w:rsidR="00585B22" w:rsidRDefault="00585B22">
      <w:pPr>
        <w:spacing w:line="480" w:lineRule="auto"/>
        <w:jc w:val="center"/>
      </w:pPr>
    </w:p>
    <w:p w14:paraId="0F96A947" w14:textId="77777777" w:rsidR="00585B22" w:rsidRDefault="00842D77">
      <w:pPr>
        <w:spacing w:line="480" w:lineRule="auto"/>
        <w:jc w:val="center"/>
      </w:pPr>
      <w:r>
        <w:rPr>
          <w:b/>
          <w:bCs/>
        </w:rPr>
        <w:t xml:space="preserve">Word Count: </w:t>
      </w:r>
      <w:r>
        <w:t>5024</w:t>
      </w:r>
    </w:p>
    <w:p w14:paraId="21E8BA79" w14:textId="77777777" w:rsidR="00585B22" w:rsidRDefault="00842D77">
      <w:pPr>
        <w:rPr>
          <w:rFonts w:eastAsia="SimSun" w:cs="Times New Roman"/>
          <w:b/>
          <w:bCs/>
          <w:sz w:val="32"/>
          <w:szCs w:val="32"/>
        </w:rPr>
      </w:pPr>
      <w:r>
        <w:rPr>
          <w:rFonts w:eastAsia="SimSun" w:cs="Times New Roman"/>
          <w:b/>
          <w:bCs/>
          <w:sz w:val="32"/>
          <w:szCs w:val="32"/>
        </w:rPr>
        <w:br w:type="page"/>
      </w:r>
    </w:p>
    <w:sdt>
      <w:sdtPr>
        <w:rPr>
          <w:rFonts w:eastAsia="SimSun" w:cs="Times New Roman"/>
          <w:b/>
          <w:bCs/>
          <w:szCs w:val="24"/>
        </w:rPr>
        <w:id w:val="147475486"/>
        <w15:color w:val="DBDBDB"/>
        <w:docPartObj>
          <w:docPartGallery w:val="Table of Contents"/>
          <w:docPartUnique/>
        </w:docPartObj>
      </w:sdtPr>
      <w:sdtEndPr>
        <w:rPr>
          <w:rFonts w:asciiTheme="minorHAnsi" w:eastAsiaTheme="minorEastAsia" w:hAnsiTheme="minorHAnsi" w:cstheme="minorBidi"/>
        </w:rPr>
      </w:sdtEndPr>
      <w:sdtContent>
        <w:p w14:paraId="784677D7" w14:textId="77777777" w:rsidR="00585B22" w:rsidRDefault="00842D77">
          <w:pPr>
            <w:jc w:val="center"/>
            <w:rPr>
              <w:rFonts w:cs="Times New Roman"/>
              <w:b/>
              <w:bCs/>
              <w:szCs w:val="24"/>
            </w:rPr>
          </w:pPr>
          <w:r>
            <w:rPr>
              <w:rFonts w:eastAsia="SimSun" w:cs="Times New Roman"/>
              <w:b/>
              <w:bCs/>
              <w:szCs w:val="24"/>
            </w:rPr>
            <w:t xml:space="preserve">Contents </w:t>
          </w:r>
        </w:p>
        <w:p w14:paraId="427062AD" w14:textId="77777777" w:rsidR="00585B22" w:rsidRDefault="00842D77">
          <w:pPr>
            <w:pStyle w:val="WPSOffice1"/>
            <w:tabs>
              <w:tab w:val="right" w:leader="dot" w:pos="8306"/>
            </w:tabs>
            <w:rPr>
              <w:b/>
              <w:sz w:val="24"/>
              <w:szCs w:val="24"/>
            </w:rPr>
          </w:pPr>
          <w:r>
            <w:rPr>
              <w:rFonts w:eastAsiaTheme="minorEastAsia"/>
              <w:b/>
              <w:sz w:val="24"/>
              <w:szCs w:val="24"/>
              <w:lang w:eastAsia="zh-CN" w:bidi="ar-SA"/>
            </w:rPr>
            <w:fldChar w:fldCharType="begin"/>
          </w:r>
          <w:r>
            <w:rPr>
              <w:rFonts w:eastAsiaTheme="minorEastAsia"/>
              <w:b/>
              <w:sz w:val="24"/>
              <w:szCs w:val="24"/>
              <w:lang w:eastAsia="zh-CN" w:bidi="ar-SA"/>
            </w:rPr>
            <w:instrText xml:space="preserve">TOC \o "1-2" \h \u </w:instrText>
          </w:r>
          <w:r>
            <w:rPr>
              <w:rFonts w:eastAsiaTheme="minorEastAsia"/>
              <w:b/>
              <w:sz w:val="24"/>
              <w:szCs w:val="24"/>
              <w:lang w:eastAsia="zh-CN" w:bidi="ar-SA"/>
            </w:rPr>
            <w:fldChar w:fldCharType="separate"/>
          </w:r>
          <w:hyperlink w:anchor="_Toc3985" w:history="1">
            <w:r>
              <w:rPr>
                <w:b/>
                <w:sz w:val="24"/>
                <w:szCs w:val="24"/>
              </w:rPr>
              <w:t>1. Introduction</w:t>
            </w:r>
            <w:r>
              <w:rPr>
                <w:b/>
                <w:sz w:val="24"/>
                <w:szCs w:val="24"/>
              </w:rPr>
              <w:tab/>
            </w:r>
            <w:r>
              <w:rPr>
                <w:b/>
                <w:sz w:val="24"/>
                <w:szCs w:val="24"/>
              </w:rPr>
              <w:fldChar w:fldCharType="begin"/>
            </w:r>
            <w:r>
              <w:rPr>
                <w:b/>
                <w:sz w:val="24"/>
                <w:szCs w:val="24"/>
              </w:rPr>
              <w:instrText xml:space="preserve"> PAGEREF _Toc3985 \h </w:instrText>
            </w:r>
            <w:r>
              <w:rPr>
                <w:b/>
                <w:sz w:val="24"/>
                <w:szCs w:val="24"/>
              </w:rPr>
            </w:r>
            <w:r>
              <w:rPr>
                <w:b/>
                <w:sz w:val="24"/>
                <w:szCs w:val="24"/>
              </w:rPr>
              <w:fldChar w:fldCharType="separate"/>
            </w:r>
            <w:r>
              <w:rPr>
                <w:b/>
                <w:sz w:val="24"/>
                <w:szCs w:val="24"/>
              </w:rPr>
              <w:t>3</w:t>
            </w:r>
            <w:r>
              <w:rPr>
                <w:b/>
                <w:sz w:val="24"/>
                <w:szCs w:val="24"/>
              </w:rPr>
              <w:fldChar w:fldCharType="end"/>
            </w:r>
          </w:hyperlink>
        </w:p>
        <w:p w14:paraId="6C864C27" w14:textId="77777777" w:rsidR="00585B22" w:rsidRDefault="00842D77">
          <w:pPr>
            <w:pStyle w:val="WPSOffice1"/>
            <w:tabs>
              <w:tab w:val="right" w:leader="dot" w:pos="8306"/>
            </w:tabs>
            <w:rPr>
              <w:b/>
              <w:sz w:val="24"/>
              <w:szCs w:val="24"/>
            </w:rPr>
          </w:pPr>
          <w:hyperlink w:anchor="_Toc19213" w:history="1">
            <w:r>
              <w:rPr>
                <w:b/>
                <w:sz w:val="24"/>
                <w:szCs w:val="24"/>
              </w:rPr>
              <w:t>2. Selection of Organisation &amp; Target Market</w:t>
            </w:r>
            <w:r>
              <w:rPr>
                <w:b/>
                <w:sz w:val="24"/>
                <w:szCs w:val="24"/>
              </w:rPr>
              <w:tab/>
            </w:r>
            <w:r>
              <w:rPr>
                <w:b/>
                <w:sz w:val="24"/>
                <w:szCs w:val="24"/>
              </w:rPr>
              <w:fldChar w:fldCharType="begin"/>
            </w:r>
            <w:r>
              <w:rPr>
                <w:b/>
                <w:sz w:val="24"/>
                <w:szCs w:val="24"/>
              </w:rPr>
              <w:instrText xml:space="preserve"> PAGEREF _Toc19213 \h </w:instrText>
            </w:r>
            <w:r>
              <w:rPr>
                <w:b/>
                <w:sz w:val="24"/>
                <w:szCs w:val="24"/>
              </w:rPr>
            </w:r>
            <w:r>
              <w:rPr>
                <w:b/>
                <w:sz w:val="24"/>
                <w:szCs w:val="24"/>
              </w:rPr>
              <w:fldChar w:fldCharType="separate"/>
            </w:r>
            <w:r>
              <w:rPr>
                <w:b/>
                <w:sz w:val="24"/>
                <w:szCs w:val="24"/>
              </w:rPr>
              <w:t>3</w:t>
            </w:r>
            <w:r>
              <w:rPr>
                <w:b/>
                <w:sz w:val="24"/>
                <w:szCs w:val="24"/>
              </w:rPr>
              <w:fldChar w:fldCharType="end"/>
            </w:r>
          </w:hyperlink>
        </w:p>
        <w:p w14:paraId="7724750B" w14:textId="77777777" w:rsidR="00585B22" w:rsidRDefault="00842D77">
          <w:pPr>
            <w:pStyle w:val="WPSOffice2"/>
            <w:tabs>
              <w:tab w:val="right" w:leader="dot" w:pos="8306"/>
            </w:tabs>
            <w:ind w:left="480"/>
            <w:rPr>
              <w:sz w:val="24"/>
              <w:szCs w:val="24"/>
            </w:rPr>
          </w:pPr>
          <w:hyperlink w:anchor="_Toc1822" w:history="1">
            <w:r>
              <w:rPr>
                <w:sz w:val="24"/>
                <w:szCs w:val="24"/>
              </w:rPr>
              <w:t>2.1 Why HSBC?</w:t>
            </w:r>
            <w:r>
              <w:rPr>
                <w:sz w:val="24"/>
                <w:szCs w:val="24"/>
              </w:rPr>
              <w:tab/>
            </w:r>
            <w:r>
              <w:rPr>
                <w:sz w:val="24"/>
                <w:szCs w:val="24"/>
              </w:rPr>
              <w:fldChar w:fldCharType="begin"/>
            </w:r>
            <w:r>
              <w:rPr>
                <w:sz w:val="24"/>
                <w:szCs w:val="24"/>
              </w:rPr>
              <w:instrText xml:space="preserve"> PAGEREF _Toc1822 \h </w:instrText>
            </w:r>
            <w:r>
              <w:rPr>
                <w:sz w:val="24"/>
                <w:szCs w:val="24"/>
              </w:rPr>
            </w:r>
            <w:r>
              <w:rPr>
                <w:sz w:val="24"/>
                <w:szCs w:val="24"/>
              </w:rPr>
              <w:fldChar w:fldCharType="separate"/>
            </w:r>
            <w:r>
              <w:rPr>
                <w:sz w:val="24"/>
                <w:szCs w:val="24"/>
              </w:rPr>
              <w:t>3</w:t>
            </w:r>
            <w:r>
              <w:rPr>
                <w:sz w:val="24"/>
                <w:szCs w:val="24"/>
              </w:rPr>
              <w:fldChar w:fldCharType="end"/>
            </w:r>
          </w:hyperlink>
        </w:p>
        <w:p w14:paraId="4CAB1105" w14:textId="77777777" w:rsidR="00585B22" w:rsidRDefault="00842D77">
          <w:pPr>
            <w:pStyle w:val="WPSOffice2"/>
            <w:tabs>
              <w:tab w:val="right" w:leader="dot" w:pos="8306"/>
            </w:tabs>
            <w:ind w:left="480"/>
            <w:rPr>
              <w:sz w:val="24"/>
              <w:szCs w:val="24"/>
            </w:rPr>
          </w:pPr>
          <w:hyperlink w:anchor="_Toc6025" w:history="1">
            <w:r>
              <w:rPr>
                <w:sz w:val="24"/>
                <w:szCs w:val="24"/>
              </w:rPr>
              <w:t>2.2 Why Kenya?</w:t>
            </w:r>
            <w:r>
              <w:rPr>
                <w:sz w:val="24"/>
                <w:szCs w:val="24"/>
              </w:rPr>
              <w:tab/>
            </w:r>
            <w:r>
              <w:rPr>
                <w:sz w:val="24"/>
                <w:szCs w:val="24"/>
              </w:rPr>
              <w:fldChar w:fldCharType="begin"/>
            </w:r>
            <w:r>
              <w:rPr>
                <w:sz w:val="24"/>
                <w:szCs w:val="24"/>
              </w:rPr>
              <w:instrText xml:space="preserve"> PAGEREF _Toc6025 \h </w:instrText>
            </w:r>
            <w:r>
              <w:rPr>
                <w:sz w:val="24"/>
                <w:szCs w:val="24"/>
              </w:rPr>
            </w:r>
            <w:r>
              <w:rPr>
                <w:sz w:val="24"/>
                <w:szCs w:val="24"/>
              </w:rPr>
              <w:fldChar w:fldCharType="separate"/>
            </w:r>
            <w:r>
              <w:rPr>
                <w:sz w:val="24"/>
                <w:szCs w:val="24"/>
              </w:rPr>
              <w:t>4</w:t>
            </w:r>
            <w:r>
              <w:rPr>
                <w:sz w:val="24"/>
                <w:szCs w:val="24"/>
              </w:rPr>
              <w:fldChar w:fldCharType="end"/>
            </w:r>
          </w:hyperlink>
        </w:p>
        <w:p w14:paraId="59B8C78E" w14:textId="77777777" w:rsidR="00585B22" w:rsidRDefault="00842D77">
          <w:pPr>
            <w:pStyle w:val="WPSOffice1"/>
            <w:tabs>
              <w:tab w:val="right" w:leader="dot" w:pos="8306"/>
            </w:tabs>
            <w:rPr>
              <w:b/>
              <w:sz w:val="24"/>
              <w:szCs w:val="24"/>
            </w:rPr>
          </w:pPr>
          <w:hyperlink w:anchor="_Toc21707" w:history="1">
            <w:r>
              <w:rPr>
                <w:b/>
                <w:bCs/>
                <w:sz w:val="24"/>
                <w:szCs w:val="24"/>
              </w:rPr>
              <w:t>3. Comprehensive Strategic Analysis</w:t>
            </w:r>
            <w:r>
              <w:rPr>
                <w:b/>
                <w:sz w:val="24"/>
                <w:szCs w:val="24"/>
              </w:rPr>
              <w:tab/>
            </w:r>
            <w:r>
              <w:rPr>
                <w:b/>
                <w:sz w:val="24"/>
                <w:szCs w:val="24"/>
              </w:rPr>
              <w:fldChar w:fldCharType="begin"/>
            </w:r>
            <w:r>
              <w:rPr>
                <w:b/>
                <w:sz w:val="24"/>
                <w:szCs w:val="24"/>
              </w:rPr>
              <w:instrText xml:space="preserve"> PAGEREF _Toc21707 \h </w:instrText>
            </w:r>
            <w:r>
              <w:rPr>
                <w:b/>
                <w:sz w:val="24"/>
                <w:szCs w:val="24"/>
              </w:rPr>
            </w:r>
            <w:r>
              <w:rPr>
                <w:b/>
                <w:sz w:val="24"/>
                <w:szCs w:val="24"/>
              </w:rPr>
              <w:fldChar w:fldCharType="separate"/>
            </w:r>
            <w:r>
              <w:rPr>
                <w:b/>
                <w:sz w:val="24"/>
                <w:szCs w:val="24"/>
              </w:rPr>
              <w:t>6</w:t>
            </w:r>
            <w:r>
              <w:rPr>
                <w:b/>
                <w:sz w:val="24"/>
                <w:szCs w:val="24"/>
              </w:rPr>
              <w:fldChar w:fldCharType="end"/>
            </w:r>
          </w:hyperlink>
        </w:p>
        <w:p w14:paraId="20CC6B27" w14:textId="77777777" w:rsidR="00585B22" w:rsidRDefault="00842D77">
          <w:pPr>
            <w:pStyle w:val="WPSOffice2"/>
            <w:tabs>
              <w:tab w:val="right" w:leader="dot" w:pos="8306"/>
            </w:tabs>
            <w:ind w:left="480"/>
            <w:rPr>
              <w:sz w:val="24"/>
              <w:szCs w:val="24"/>
            </w:rPr>
          </w:pPr>
          <w:hyperlink w:anchor="_Toc24259" w:history="1">
            <w:r>
              <w:rPr>
                <w:bCs/>
                <w:sz w:val="24"/>
                <w:szCs w:val="24"/>
              </w:rPr>
              <w:t>3.1 PESTLE Analysis (Macro Environment)</w:t>
            </w:r>
            <w:r>
              <w:rPr>
                <w:sz w:val="24"/>
                <w:szCs w:val="24"/>
              </w:rPr>
              <w:tab/>
            </w:r>
            <w:r>
              <w:rPr>
                <w:sz w:val="24"/>
                <w:szCs w:val="24"/>
              </w:rPr>
              <w:fldChar w:fldCharType="begin"/>
            </w:r>
            <w:r>
              <w:rPr>
                <w:sz w:val="24"/>
                <w:szCs w:val="24"/>
              </w:rPr>
              <w:instrText xml:space="preserve"> PAGEREF _Toc24259 \h </w:instrText>
            </w:r>
            <w:r>
              <w:rPr>
                <w:sz w:val="24"/>
                <w:szCs w:val="24"/>
              </w:rPr>
            </w:r>
            <w:r>
              <w:rPr>
                <w:sz w:val="24"/>
                <w:szCs w:val="24"/>
              </w:rPr>
              <w:fldChar w:fldCharType="separate"/>
            </w:r>
            <w:r>
              <w:rPr>
                <w:sz w:val="24"/>
                <w:szCs w:val="24"/>
              </w:rPr>
              <w:t>6</w:t>
            </w:r>
            <w:r>
              <w:rPr>
                <w:sz w:val="24"/>
                <w:szCs w:val="24"/>
              </w:rPr>
              <w:fldChar w:fldCharType="end"/>
            </w:r>
          </w:hyperlink>
        </w:p>
        <w:p w14:paraId="5D378577" w14:textId="77777777" w:rsidR="00585B22" w:rsidRDefault="00842D77">
          <w:pPr>
            <w:pStyle w:val="WPSOffice2"/>
            <w:tabs>
              <w:tab w:val="right" w:leader="dot" w:pos="8306"/>
            </w:tabs>
            <w:ind w:left="480"/>
            <w:rPr>
              <w:sz w:val="24"/>
              <w:szCs w:val="24"/>
            </w:rPr>
          </w:pPr>
          <w:hyperlink w:anchor="_Toc30815" w:history="1">
            <w:r>
              <w:rPr>
                <w:bCs/>
                <w:sz w:val="24"/>
                <w:szCs w:val="24"/>
              </w:rPr>
              <w:t>3.2 Porter’s Five Forces (Industry Competitiveness)</w:t>
            </w:r>
            <w:r>
              <w:rPr>
                <w:sz w:val="24"/>
                <w:szCs w:val="24"/>
              </w:rPr>
              <w:tab/>
            </w:r>
            <w:r>
              <w:rPr>
                <w:sz w:val="24"/>
                <w:szCs w:val="24"/>
              </w:rPr>
              <w:fldChar w:fldCharType="begin"/>
            </w:r>
            <w:r>
              <w:rPr>
                <w:sz w:val="24"/>
                <w:szCs w:val="24"/>
              </w:rPr>
              <w:instrText xml:space="preserve"> PAGEREF _Toc30815 \h </w:instrText>
            </w:r>
            <w:r>
              <w:rPr>
                <w:sz w:val="24"/>
                <w:szCs w:val="24"/>
              </w:rPr>
            </w:r>
            <w:r>
              <w:rPr>
                <w:sz w:val="24"/>
                <w:szCs w:val="24"/>
              </w:rPr>
              <w:fldChar w:fldCharType="separate"/>
            </w:r>
            <w:r>
              <w:rPr>
                <w:sz w:val="24"/>
                <w:szCs w:val="24"/>
              </w:rPr>
              <w:t>9</w:t>
            </w:r>
            <w:r>
              <w:rPr>
                <w:sz w:val="24"/>
                <w:szCs w:val="24"/>
              </w:rPr>
              <w:fldChar w:fldCharType="end"/>
            </w:r>
          </w:hyperlink>
        </w:p>
        <w:p w14:paraId="36081F51" w14:textId="77777777" w:rsidR="00585B22" w:rsidRDefault="00842D77">
          <w:pPr>
            <w:pStyle w:val="WPSOffice2"/>
            <w:tabs>
              <w:tab w:val="right" w:leader="dot" w:pos="8306"/>
            </w:tabs>
            <w:ind w:left="480"/>
            <w:rPr>
              <w:sz w:val="24"/>
              <w:szCs w:val="24"/>
            </w:rPr>
          </w:pPr>
          <w:hyperlink w:anchor="_Toc31469" w:history="1">
            <w:r>
              <w:rPr>
                <w:bCs/>
                <w:sz w:val="24"/>
                <w:szCs w:val="24"/>
              </w:rPr>
              <w:t>3.3 VRIO Analysis (HSBC’s Internal Strengths)</w:t>
            </w:r>
            <w:r>
              <w:rPr>
                <w:sz w:val="24"/>
                <w:szCs w:val="24"/>
              </w:rPr>
              <w:tab/>
            </w:r>
            <w:r>
              <w:rPr>
                <w:sz w:val="24"/>
                <w:szCs w:val="24"/>
              </w:rPr>
              <w:fldChar w:fldCharType="begin"/>
            </w:r>
            <w:r>
              <w:rPr>
                <w:sz w:val="24"/>
                <w:szCs w:val="24"/>
              </w:rPr>
              <w:instrText xml:space="preserve"> PAGEREF _Toc31469 \h </w:instrText>
            </w:r>
            <w:r>
              <w:rPr>
                <w:sz w:val="24"/>
                <w:szCs w:val="24"/>
              </w:rPr>
            </w:r>
            <w:r>
              <w:rPr>
                <w:sz w:val="24"/>
                <w:szCs w:val="24"/>
              </w:rPr>
              <w:fldChar w:fldCharType="separate"/>
            </w:r>
            <w:r>
              <w:rPr>
                <w:sz w:val="24"/>
                <w:szCs w:val="24"/>
              </w:rPr>
              <w:t>11</w:t>
            </w:r>
            <w:r>
              <w:rPr>
                <w:sz w:val="24"/>
                <w:szCs w:val="24"/>
              </w:rPr>
              <w:fldChar w:fldCharType="end"/>
            </w:r>
          </w:hyperlink>
        </w:p>
        <w:p w14:paraId="70A62E48" w14:textId="77777777" w:rsidR="00585B22" w:rsidRDefault="00842D77">
          <w:pPr>
            <w:pStyle w:val="WPSOffice2"/>
            <w:tabs>
              <w:tab w:val="right" w:leader="dot" w:pos="8306"/>
            </w:tabs>
            <w:ind w:left="480"/>
            <w:rPr>
              <w:sz w:val="24"/>
              <w:szCs w:val="24"/>
            </w:rPr>
          </w:pPr>
          <w:hyperlink w:anchor="_Toc25422" w:history="1">
            <w:r>
              <w:rPr>
                <w:bCs/>
                <w:sz w:val="24"/>
                <w:szCs w:val="24"/>
              </w:rPr>
              <w:t>3.4 Porter’s Diamond</w:t>
            </w:r>
            <w:r>
              <w:rPr>
                <w:sz w:val="24"/>
                <w:szCs w:val="24"/>
              </w:rPr>
              <w:tab/>
            </w:r>
            <w:r>
              <w:rPr>
                <w:sz w:val="24"/>
                <w:szCs w:val="24"/>
              </w:rPr>
              <w:fldChar w:fldCharType="begin"/>
            </w:r>
            <w:r>
              <w:rPr>
                <w:sz w:val="24"/>
                <w:szCs w:val="24"/>
              </w:rPr>
              <w:instrText xml:space="preserve"> PAGEREF _Toc25422 \h </w:instrText>
            </w:r>
            <w:r>
              <w:rPr>
                <w:sz w:val="24"/>
                <w:szCs w:val="24"/>
              </w:rPr>
            </w:r>
            <w:r>
              <w:rPr>
                <w:sz w:val="24"/>
                <w:szCs w:val="24"/>
              </w:rPr>
              <w:fldChar w:fldCharType="separate"/>
            </w:r>
            <w:r>
              <w:rPr>
                <w:sz w:val="24"/>
                <w:szCs w:val="24"/>
              </w:rPr>
              <w:t>12</w:t>
            </w:r>
            <w:r>
              <w:rPr>
                <w:sz w:val="24"/>
                <w:szCs w:val="24"/>
              </w:rPr>
              <w:fldChar w:fldCharType="end"/>
            </w:r>
          </w:hyperlink>
        </w:p>
        <w:p w14:paraId="324A616A" w14:textId="77777777" w:rsidR="00585B22" w:rsidRDefault="00842D77">
          <w:pPr>
            <w:pStyle w:val="WPSOffice2"/>
            <w:tabs>
              <w:tab w:val="right" w:leader="dot" w:pos="8306"/>
            </w:tabs>
            <w:ind w:left="480"/>
            <w:rPr>
              <w:sz w:val="24"/>
              <w:szCs w:val="24"/>
            </w:rPr>
          </w:pPr>
          <w:hyperlink w:anchor="_Toc32636" w:history="1">
            <w:r>
              <w:rPr>
                <w:bCs/>
                <w:sz w:val="24"/>
                <w:szCs w:val="24"/>
              </w:rPr>
              <w:t>3.5 Strategic Insight</w:t>
            </w:r>
            <w:r>
              <w:rPr>
                <w:sz w:val="24"/>
                <w:szCs w:val="24"/>
              </w:rPr>
              <w:tab/>
            </w:r>
            <w:r>
              <w:rPr>
                <w:sz w:val="24"/>
                <w:szCs w:val="24"/>
              </w:rPr>
              <w:fldChar w:fldCharType="begin"/>
            </w:r>
            <w:r>
              <w:rPr>
                <w:sz w:val="24"/>
                <w:szCs w:val="24"/>
              </w:rPr>
              <w:instrText xml:space="preserve"> PAGEREF _Toc32636 \h </w:instrText>
            </w:r>
            <w:r>
              <w:rPr>
                <w:sz w:val="24"/>
                <w:szCs w:val="24"/>
              </w:rPr>
            </w:r>
            <w:r>
              <w:rPr>
                <w:sz w:val="24"/>
                <w:szCs w:val="24"/>
              </w:rPr>
              <w:fldChar w:fldCharType="separate"/>
            </w:r>
            <w:r>
              <w:rPr>
                <w:sz w:val="24"/>
                <w:szCs w:val="24"/>
              </w:rPr>
              <w:t>14</w:t>
            </w:r>
            <w:r>
              <w:rPr>
                <w:sz w:val="24"/>
                <w:szCs w:val="24"/>
              </w:rPr>
              <w:fldChar w:fldCharType="end"/>
            </w:r>
          </w:hyperlink>
        </w:p>
        <w:p w14:paraId="6A87F081" w14:textId="77777777" w:rsidR="00585B22" w:rsidRDefault="00842D77">
          <w:pPr>
            <w:pStyle w:val="WPSOffice1"/>
            <w:tabs>
              <w:tab w:val="right" w:leader="dot" w:pos="8306"/>
            </w:tabs>
            <w:rPr>
              <w:b/>
              <w:sz w:val="24"/>
              <w:szCs w:val="24"/>
            </w:rPr>
          </w:pPr>
          <w:hyperlink w:anchor="_Toc31410" w:history="1">
            <w:r>
              <w:rPr>
                <w:b/>
                <w:sz w:val="24"/>
                <w:szCs w:val="24"/>
              </w:rPr>
              <w:t>4. Strategy Development and Formulation</w:t>
            </w:r>
            <w:r>
              <w:rPr>
                <w:b/>
                <w:sz w:val="24"/>
                <w:szCs w:val="24"/>
              </w:rPr>
              <w:tab/>
            </w:r>
            <w:r>
              <w:rPr>
                <w:b/>
                <w:sz w:val="24"/>
                <w:szCs w:val="24"/>
              </w:rPr>
              <w:fldChar w:fldCharType="begin"/>
            </w:r>
            <w:r>
              <w:rPr>
                <w:b/>
                <w:sz w:val="24"/>
                <w:szCs w:val="24"/>
              </w:rPr>
              <w:instrText xml:space="preserve"> PAGEREF _Toc31410 \h </w:instrText>
            </w:r>
            <w:r>
              <w:rPr>
                <w:b/>
                <w:sz w:val="24"/>
                <w:szCs w:val="24"/>
              </w:rPr>
            </w:r>
            <w:r>
              <w:rPr>
                <w:b/>
                <w:sz w:val="24"/>
                <w:szCs w:val="24"/>
              </w:rPr>
              <w:fldChar w:fldCharType="separate"/>
            </w:r>
            <w:r>
              <w:rPr>
                <w:b/>
                <w:sz w:val="24"/>
                <w:szCs w:val="24"/>
              </w:rPr>
              <w:t>14</w:t>
            </w:r>
            <w:r>
              <w:rPr>
                <w:b/>
                <w:sz w:val="24"/>
                <w:szCs w:val="24"/>
              </w:rPr>
              <w:fldChar w:fldCharType="end"/>
            </w:r>
          </w:hyperlink>
        </w:p>
        <w:p w14:paraId="7C226C43" w14:textId="77777777" w:rsidR="00585B22" w:rsidRDefault="00842D77">
          <w:pPr>
            <w:pStyle w:val="WPSOffice2"/>
            <w:tabs>
              <w:tab w:val="right" w:leader="dot" w:pos="8306"/>
            </w:tabs>
            <w:ind w:left="480"/>
            <w:rPr>
              <w:sz w:val="24"/>
              <w:szCs w:val="24"/>
            </w:rPr>
          </w:pPr>
          <w:hyperlink w:anchor="_Toc27328" w:history="1">
            <w:r>
              <w:rPr>
                <w:sz w:val="24"/>
                <w:szCs w:val="24"/>
              </w:rPr>
              <w:t>4.1 Ansoff Matrix (Growth Strategy)</w:t>
            </w:r>
            <w:r>
              <w:rPr>
                <w:sz w:val="24"/>
                <w:szCs w:val="24"/>
              </w:rPr>
              <w:tab/>
            </w:r>
            <w:r>
              <w:rPr>
                <w:sz w:val="24"/>
                <w:szCs w:val="24"/>
              </w:rPr>
              <w:fldChar w:fldCharType="begin"/>
            </w:r>
            <w:r>
              <w:rPr>
                <w:sz w:val="24"/>
                <w:szCs w:val="24"/>
              </w:rPr>
              <w:instrText xml:space="preserve"> PAGEREF _Toc27328 \h </w:instrText>
            </w:r>
            <w:r>
              <w:rPr>
                <w:sz w:val="24"/>
                <w:szCs w:val="24"/>
              </w:rPr>
            </w:r>
            <w:r>
              <w:rPr>
                <w:sz w:val="24"/>
                <w:szCs w:val="24"/>
              </w:rPr>
              <w:fldChar w:fldCharType="separate"/>
            </w:r>
            <w:r>
              <w:rPr>
                <w:sz w:val="24"/>
                <w:szCs w:val="24"/>
              </w:rPr>
              <w:t>15</w:t>
            </w:r>
            <w:r>
              <w:rPr>
                <w:sz w:val="24"/>
                <w:szCs w:val="24"/>
              </w:rPr>
              <w:fldChar w:fldCharType="end"/>
            </w:r>
          </w:hyperlink>
        </w:p>
        <w:p w14:paraId="4FA039A7" w14:textId="77777777" w:rsidR="00585B22" w:rsidRDefault="00842D77">
          <w:pPr>
            <w:pStyle w:val="WPSOffice2"/>
            <w:tabs>
              <w:tab w:val="right" w:leader="dot" w:pos="8306"/>
            </w:tabs>
            <w:ind w:left="480"/>
            <w:rPr>
              <w:sz w:val="24"/>
              <w:szCs w:val="24"/>
            </w:rPr>
          </w:pPr>
          <w:hyperlink w:anchor="_Toc17075" w:history="1">
            <w:r>
              <w:rPr>
                <w:sz w:val="24"/>
                <w:szCs w:val="24"/>
              </w:rPr>
              <w:t>4.2 Market Entry Strategy</w:t>
            </w:r>
            <w:r>
              <w:rPr>
                <w:sz w:val="24"/>
                <w:szCs w:val="24"/>
              </w:rPr>
              <w:tab/>
            </w:r>
            <w:r>
              <w:rPr>
                <w:sz w:val="24"/>
                <w:szCs w:val="24"/>
              </w:rPr>
              <w:fldChar w:fldCharType="begin"/>
            </w:r>
            <w:r>
              <w:rPr>
                <w:sz w:val="24"/>
                <w:szCs w:val="24"/>
              </w:rPr>
              <w:instrText xml:space="preserve"> PAGEREF _Toc17075 \h </w:instrText>
            </w:r>
            <w:r>
              <w:rPr>
                <w:sz w:val="24"/>
                <w:szCs w:val="24"/>
              </w:rPr>
            </w:r>
            <w:r>
              <w:rPr>
                <w:sz w:val="24"/>
                <w:szCs w:val="24"/>
              </w:rPr>
              <w:fldChar w:fldCharType="separate"/>
            </w:r>
            <w:r>
              <w:rPr>
                <w:sz w:val="24"/>
                <w:szCs w:val="24"/>
              </w:rPr>
              <w:t>16</w:t>
            </w:r>
            <w:r>
              <w:rPr>
                <w:sz w:val="24"/>
                <w:szCs w:val="24"/>
              </w:rPr>
              <w:fldChar w:fldCharType="end"/>
            </w:r>
          </w:hyperlink>
        </w:p>
        <w:p w14:paraId="50D0AA7C" w14:textId="77777777" w:rsidR="00585B22" w:rsidRDefault="00842D77">
          <w:pPr>
            <w:pStyle w:val="WPSOffice2"/>
            <w:tabs>
              <w:tab w:val="right" w:leader="dot" w:pos="8306"/>
            </w:tabs>
            <w:ind w:left="480"/>
            <w:rPr>
              <w:sz w:val="24"/>
              <w:szCs w:val="24"/>
            </w:rPr>
          </w:pPr>
          <w:hyperlink w:anchor="_Toc6902" w:history="1">
            <w:r>
              <w:rPr>
                <w:sz w:val="24"/>
                <w:szCs w:val="24"/>
              </w:rPr>
              <w:t>4.3 Porter’s Generic Strategy</w:t>
            </w:r>
            <w:r>
              <w:rPr>
                <w:sz w:val="24"/>
                <w:szCs w:val="24"/>
              </w:rPr>
              <w:tab/>
            </w:r>
            <w:r>
              <w:rPr>
                <w:sz w:val="24"/>
                <w:szCs w:val="24"/>
              </w:rPr>
              <w:fldChar w:fldCharType="begin"/>
            </w:r>
            <w:r>
              <w:rPr>
                <w:sz w:val="24"/>
                <w:szCs w:val="24"/>
              </w:rPr>
              <w:instrText xml:space="preserve"> PAGEREF _Toc6902 \h </w:instrText>
            </w:r>
            <w:r>
              <w:rPr>
                <w:sz w:val="24"/>
                <w:szCs w:val="24"/>
              </w:rPr>
            </w:r>
            <w:r>
              <w:rPr>
                <w:sz w:val="24"/>
                <w:szCs w:val="24"/>
              </w:rPr>
              <w:fldChar w:fldCharType="separate"/>
            </w:r>
            <w:r>
              <w:rPr>
                <w:sz w:val="24"/>
                <w:szCs w:val="24"/>
              </w:rPr>
              <w:t>17</w:t>
            </w:r>
            <w:r>
              <w:rPr>
                <w:sz w:val="24"/>
                <w:szCs w:val="24"/>
              </w:rPr>
              <w:fldChar w:fldCharType="end"/>
            </w:r>
          </w:hyperlink>
        </w:p>
        <w:p w14:paraId="702949AF" w14:textId="77777777" w:rsidR="00585B22" w:rsidRDefault="00842D77">
          <w:pPr>
            <w:pStyle w:val="WPSOffice2"/>
            <w:tabs>
              <w:tab w:val="right" w:leader="dot" w:pos="8306"/>
            </w:tabs>
            <w:ind w:left="480"/>
            <w:rPr>
              <w:sz w:val="24"/>
              <w:szCs w:val="24"/>
            </w:rPr>
          </w:pPr>
          <w:hyperlink w:anchor="_Toc10372" w:history="1">
            <w:r>
              <w:rPr>
                <w:sz w:val="24"/>
                <w:szCs w:val="24"/>
              </w:rPr>
              <w:t>4.4 CSR and Sustainability Strategy</w:t>
            </w:r>
            <w:r>
              <w:rPr>
                <w:sz w:val="24"/>
                <w:szCs w:val="24"/>
              </w:rPr>
              <w:tab/>
            </w:r>
            <w:r>
              <w:rPr>
                <w:sz w:val="24"/>
                <w:szCs w:val="24"/>
              </w:rPr>
              <w:fldChar w:fldCharType="begin"/>
            </w:r>
            <w:r>
              <w:rPr>
                <w:sz w:val="24"/>
                <w:szCs w:val="24"/>
              </w:rPr>
              <w:instrText xml:space="preserve"> PAGEREF _Toc10372 \h </w:instrText>
            </w:r>
            <w:r>
              <w:rPr>
                <w:sz w:val="24"/>
                <w:szCs w:val="24"/>
              </w:rPr>
            </w:r>
            <w:r>
              <w:rPr>
                <w:sz w:val="24"/>
                <w:szCs w:val="24"/>
              </w:rPr>
              <w:fldChar w:fldCharType="separate"/>
            </w:r>
            <w:r>
              <w:rPr>
                <w:sz w:val="24"/>
                <w:szCs w:val="24"/>
              </w:rPr>
              <w:t>17</w:t>
            </w:r>
            <w:r>
              <w:rPr>
                <w:sz w:val="24"/>
                <w:szCs w:val="24"/>
              </w:rPr>
              <w:fldChar w:fldCharType="end"/>
            </w:r>
          </w:hyperlink>
        </w:p>
        <w:p w14:paraId="7AFCBB54" w14:textId="77777777" w:rsidR="00585B22" w:rsidRDefault="00842D77">
          <w:pPr>
            <w:pStyle w:val="WPSOffice2"/>
            <w:tabs>
              <w:tab w:val="right" w:leader="dot" w:pos="8306"/>
            </w:tabs>
            <w:ind w:left="480"/>
            <w:rPr>
              <w:sz w:val="24"/>
              <w:szCs w:val="24"/>
            </w:rPr>
          </w:pPr>
          <w:hyperlink w:anchor="_Toc22728" w:history="1">
            <w:r>
              <w:rPr>
                <w:sz w:val="24"/>
                <w:szCs w:val="24"/>
              </w:rPr>
              <w:t>4.5 Risk Analysis</w:t>
            </w:r>
            <w:r>
              <w:rPr>
                <w:sz w:val="24"/>
                <w:szCs w:val="24"/>
              </w:rPr>
              <w:tab/>
            </w:r>
            <w:r>
              <w:rPr>
                <w:sz w:val="24"/>
                <w:szCs w:val="24"/>
              </w:rPr>
              <w:fldChar w:fldCharType="begin"/>
            </w:r>
            <w:r>
              <w:rPr>
                <w:sz w:val="24"/>
                <w:szCs w:val="24"/>
              </w:rPr>
              <w:instrText xml:space="preserve"> PAGEREF _Toc22728 \h </w:instrText>
            </w:r>
            <w:r>
              <w:rPr>
                <w:sz w:val="24"/>
                <w:szCs w:val="24"/>
              </w:rPr>
            </w:r>
            <w:r>
              <w:rPr>
                <w:sz w:val="24"/>
                <w:szCs w:val="24"/>
              </w:rPr>
              <w:fldChar w:fldCharType="separate"/>
            </w:r>
            <w:r>
              <w:rPr>
                <w:sz w:val="24"/>
                <w:szCs w:val="24"/>
              </w:rPr>
              <w:t>19</w:t>
            </w:r>
            <w:r>
              <w:rPr>
                <w:sz w:val="24"/>
                <w:szCs w:val="24"/>
              </w:rPr>
              <w:fldChar w:fldCharType="end"/>
            </w:r>
          </w:hyperlink>
        </w:p>
        <w:p w14:paraId="4CAB6FFD" w14:textId="77777777" w:rsidR="00585B22" w:rsidRDefault="00842D77">
          <w:pPr>
            <w:pStyle w:val="WPSOffice1"/>
            <w:tabs>
              <w:tab w:val="right" w:leader="dot" w:pos="8306"/>
            </w:tabs>
            <w:rPr>
              <w:b/>
              <w:sz w:val="24"/>
              <w:szCs w:val="24"/>
            </w:rPr>
          </w:pPr>
          <w:hyperlink w:anchor="_Toc10597" w:history="1">
            <w:r>
              <w:rPr>
                <w:b/>
                <w:sz w:val="24"/>
                <w:szCs w:val="24"/>
              </w:rPr>
              <w:t>5. Performance Evaluation Framework</w:t>
            </w:r>
            <w:r>
              <w:rPr>
                <w:b/>
                <w:sz w:val="24"/>
                <w:szCs w:val="24"/>
              </w:rPr>
              <w:tab/>
            </w:r>
            <w:r>
              <w:rPr>
                <w:b/>
                <w:sz w:val="24"/>
                <w:szCs w:val="24"/>
              </w:rPr>
              <w:fldChar w:fldCharType="begin"/>
            </w:r>
            <w:r>
              <w:rPr>
                <w:b/>
                <w:sz w:val="24"/>
                <w:szCs w:val="24"/>
              </w:rPr>
              <w:instrText xml:space="preserve"> PAGEREF _Toc10597 \h </w:instrText>
            </w:r>
            <w:r>
              <w:rPr>
                <w:b/>
                <w:sz w:val="24"/>
                <w:szCs w:val="24"/>
              </w:rPr>
            </w:r>
            <w:r>
              <w:rPr>
                <w:b/>
                <w:sz w:val="24"/>
                <w:szCs w:val="24"/>
              </w:rPr>
              <w:fldChar w:fldCharType="separate"/>
            </w:r>
            <w:r>
              <w:rPr>
                <w:b/>
                <w:sz w:val="24"/>
                <w:szCs w:val="24"/>
              </w:rPr>
              <w:t>19</w:t>
            </w:r>
            <w:r>
              <w:rPr>
                <w:b/>
                <w:sz w:val="24"/>
                <w:szCs w:val="24"/>
              </w:rPr>
              <w:fldChar w:fldCharType="end"/>
            </w:r>
          </w:hyperlink>
        </w:p>
        <w:p w14:paraId="67F41B18" w14:textId="77777777" w:rsidR="00585B22" w:rsidRDefault="00842D77">
          <w:pPr>
            <w:pStyle w:val="WPSOffice2"/>
            <w:tabs>
              <w:tab w:val="right" w:leader="dot" w:pos="8306"/>
            </w:tabs>
            <w:ind w:left="480"/>
            <w:rPr>
              <w:sz w:val="24"/>
              <w:szCs w:val="24"/>
            </w:rPr>
          </w:pPr>
          <w:hyperlink w:anchor="_Toc3781" w:history="1">
            <w:r>
              <w:rPr>
                <w:sz w:val="24"/>
                <w:szCs w:val="24"/>
              </w:rPr>
              <w:t>5.1 Balanced Scorecard Framework</w:t>
            </w:r>
            <w:r>
              <w:rPr>
                <w:sz w:val="24"/>
                <w:szCs w:val="24"/>
              </w:rPr>
              <w:tab/>
            </w:r>
            <w:r>
              <w:rPr>
                <w:sz w:val="24"/>
                <w:szCs w:val="24"/>
              </w:rPr>
              <w:fldChar w:fldCharType="begin"/>
            </w:r>
            <w:r>
              <w:rPr>
                <w:sz w:val="24"/>
                <w:szCs w:val="24"/>
              </w:rPr>
              <w:instrText xml:space="preserve"> PAGEREF _Toc3781 \h </w:instrText>
            </w:r>
            <w:r>
              <w:rPr>
                <w:sz w:val="24"/>
                <w:szCs w:val="24"/>
              </w:rPr>
            </w:r>
            <w:r>
              <w:rPr>
                <w:sz w:val="24"/>
                <w:szCs w:val="24"/>
              </w:rPr>
              <w:fldChar w:fldCharType="separate"/>
            </w:r>
            <w:r>
              <w:rPr>
                <w:sz w:val="24"/>
                <w:szCs w:val="24"/>
              </w:rPr>
              <w:t>20</w:t>
            </w:r>
            <w:r>
              <w:rPr>
                <w:sz w:val="24"/>
                <w:szCs w:val="24"/>
              </w:rPr>
              <w:fldChar w:fldCharType="end"/>
            </w:r>
          </w:hyperlink>
        </w:p>
        <w:p w14:paraId="1AC04DEC" w14:textId="77777777" w:rsidR="00585B22" w:rsidRDefault="00842D77">
          <w:pPr>
            <w:pStyle w:val="WPSOffice2"/>
            <w:tabs>
              <w:tab w:val="right" w:leader="dot" w:pos="8306"/>
            </w:tabs>
            <w:ind w:left="480"/>
            <w:rPr>
              <w:sz w:val="24"/>
              <w:szCs w:val="24"/>
            </w:rPr>
          </w:pPr>
          <w:hyperlink w:anchor="_Toc9902" w:history="1">
            <w:r>
              <w:rPr>
                <w:sz w:val="24"/>
                <w:szCs w:val="24"/>
              </w:rPr>
              <w:t>5.</w:t>
            </w:r>
            <w:r>
              <w:rPr>
                <w:sz w:val="24"/>
                <w:szCs w:val="24"/>
              </w:rPr>
              <w:t>2</w:t>
            </w:r>
            <w:r>
              <w:rPr>
                <w:sz w:val="24"/>
                <w:szCs w:val="24"/>
              </w:rPr>
              <w:t xml:space="preserve"> Integrated Assessment</w:t>
            </w:r>
            <w:r>
              <w:rPr>
                <w:sz w:val="24"/>
                <w:szCs w:val="24"/>
              </w:rPr>
              <w:tab/>
            </w:r>
            <w:r>
              <w:rPr>
                <w:sz w:val="24"/>
                <w:szCs w:val="24"/>
              </w:rPr>
              <w:fldChar w:fldCharType="begin"/>
            </w:r>
            <w:r>
              <w:rPr>
                <w:sz w:val="24"/>
                <w:szCs w:val="24"/>
              </w:rPr>
              <w:instrText xml:space="preserve"> PAGEREF _Toc9902 \h </w:instrText>
            </w:r>
            <w:r>
              <w:rPr>
                <w:sz w:val="24"/>
                <w:szCs w:val="24"/>
              </w:rPr>
            </w:r>
            <w:r>
              <w:rPr>
                <w:sz w:val="24"/>
                <w:szCs w:val="24"/>
              </w:rPr>
              <w:fldChar w:fldCharType="separate"/>
            </w:r>
            <w:r>
              <w:rPr>
                <w:sz w:val="24"/>
                <w:szCs w:val="24"/>
              </w:rPr>
              <w:t>22</w:t>
            </w:r>
            <w:r>
              <w:rPr>
                <w:sz w:val="24"/>
                <w:szCs w:val="24"/>
              </w:rPr>
              <w:fldChar w:fldCharType="end"/>
            </w:r>
          </w:hyperlink>
        </w:p>
        <w:p w14:paraId="5E7A2748" w14:textId="77777777" w:rsidR="00585B22" w:rsidRDefault="00842D77">
          <w:pPr>
            <w:pStyle w:val="WPSOffice1"/>
            <w:tabs>
              <w:tab w:val="right" w:leader="dot" w:pos="8306"/>
            </w:tabs>
            <w:rPr>
              <w:b/>
              <w:sz w:val="24"/>
              <w:szCs w:val="24"/>
            </w:rPr>
          </w:pPr>
          <w:hyperlink w:anchor="_Toc24009" w:history="1">
            <w:r>
              <w:rPr>
                <w:b/>
                <w:sz w:val="24"/>
                <w:szCs w:val="24"/>
              </w:rPr>
              <w:t>6. Conclusion</w:t>
            </w:r>
            <w:r>
              <w:rPr>
                <w:b/>
                <w:sz w:val="24"/>
                <w:szCs w:val="24"/>
              </w:rPr>
              <w:tab/>
            </w:r>
            <w:r>
              <w:rPr>
                <w:b/>
                <w:sz w:val="24"/>
                <w:szCs w:val="24"/>
              </w:rPr>
              <w:fldChar w:fldCharType="begin"/>
            </w:r>
            <w:r>
              <w:rPr>
                <w:b/>
                <w:sz w:val="24"/>
                <w:szCs w:val="24"/>
              </w:rPr>
              <w:instrText xml:space="preserve"> PAGEREF _Toc24009 \h </w:instrText>
            </w:r>
            <w:r>
              <w:rPr>
                <w:b/>
                <w:sz w:val="24"/>
                <w:szCs w:val="24"/>
              </w:rPr>
            </w:r>
            <w:r>
              <w:rPr>
                <w:b/>
                <w:sz w:val="24"/>
                <w:szCs w:val="24"/>
              </w:rPr>
              <w:fldChar w:fldCharType="separate"/>
            </w:r>
            <w:r>
              <w:rPr>
                <w:b/>
                <w:sz w:val="24"/>
                <w:szCs w:val="24"/>
              </w:rPr>
              <w:t>22</w:t>
            </w:r>
            <w:r>
              <w:rPr>
                <w:b/>
                <w:sz w:val="24"/>
                <w:szCs w:val="24"/>
              </w:rPr>
              <w:fldChar w:fldCharType="end"/>
            </w:r>
          </w:hyperlink>
        </w:p>
        <w:p w14:paraId="0F41D91D" w14:textId="77777777" w:rsidR="00585B22" w:rsidRDefault="00842D77">
          <w:pPr>
            <w:pStyle w:val="WPSOffice1"/>
            <w:tabs>
              <w:tab w:val="right" w:leader="dot" w:pos="8306"/>
            </w:tabs>
            <w:rPr>
              <w:b/>
              <w:sz w:val="24"/>
              <w:szCs w:val="24"/>
            </w:rPr>
          </w:pPr>
          <w:hyperlink w:anchor="_Toc30505" w:history="1">
            <w:r>
              <w:rPr>
                <w:b/>
                <w:sz w:val="24"/>
                <w:szCs w:val="24"/>
              </w:rPr>
              <w:t>7. References</w:t>
            </w:r>
            <w:r>
              <w:rPr>
                <w:b/>
                <w:sz w:val="24"/>
                <w:szCs w:val="24"/>
              </w:rPr>
              <w:tab/>
            </w:r>
            <w:r>
              <w:rPr>
                <w:b/>
                <w:sz w:val="24"/>
                <w:szCs w:val="24"/>
              </w:rPr>
              <w:fldChar w:fldCharType="begin"/>
            </w:r>
            <w:r>
              <w:rPr>
                <w:b/>
                <w:sz w:val="24"/>
                <w:szCs w:val="24"/>
              </w:rPr>
              <w:instrText xml:space="preserve"> PAGEREF _Toc30505 \h </w:instrText>
            </w:r>
            <w:r>
              <w:rPr>
                <w:b/>
                <w:sz w:val="24"/>
                <w:szCs w:val="24"/>
              </w:rPr>
            </w:r>
            <w:r>
              <w:rPr>
                <w:b/>
                <w:sz w:val="24"/>
                <w:szCs w:val="24"/>
              </w:rPr>
              <w:fldChar w:fldCharType="separate"/>
            </w:r>
            <w:r>
              <w:rPr>
                <w:b/>
                <w:sz w:val="24"/>
                <w:szCs w:val="24"/>
              </w:rPr>
              <w:t>24</w:t>
            </w:r>
            <w:r>
              <w:rPr>
                <w:b/>
                <w:sz w:val="24"/>
                <w:szCs w:val="24"/>
              </w:rPr>
              <w:fldChar w:fldCharType="end"/>
            </w:r>
          </w:hyperlink>
        </w:p>
        <w:p w14:paraId="6C32ECD9" w14:textId="77777777" w:rsidR="00585B22" w:rsidRDefault="00842D77">
          <w:pPr>
            <w:rPr>
              <w:rFonts w:asciiTheme="minorHAnsi" w:hAnsiTheme="minorHAnsi"/>
              <w:b/>
            </w:rPr>
          </w:pPr>
          <w:r>
            <w:rPr>
              <w:rFonts w:cs="Times New Roman"/>
              <w:b/>
              <w:szCs w:val="24"/>
            </w:rPr>
            <w:fldChar w:fldCharType="end"/>
          </w:r>
        </w:p>
      </w:sdtContent>
    </w:sdt>
    <w:p w14:paraId="78B52D53" w14:textId="77777777" w:rsidR="00585B22" w:rsidRDefault="00585B22">
      <w:pPr>
        <w:rPr>
          <w:rFonts w:asciiTheme="minorHAnsi" w:hAnsiTheme="minorHAnsi"/>
          <w:b/>
        </w:rPr>
      </w:pPr>
    </w:p>
    <w:p w14:paraId="5998C9F4" w14:textId="77777777" w:rsidR="00585B22" w:rsidRDefault="00842D77">
      <w:pPr>
        <w:rPr>
          <w:rFonts w:cs="Times New Roman"/>
          <w:szCs w:val="24"/>
        </w:rPr>
      </w:pPr>
      <w:r>
        <w:rPr>
          <w:rFonts w:eastAsia="SimSun" w:cs="Times New Roman"/>
          <w:b/>
          <w:bCs/>
          <w:sz w:val="32"/>
          <w:szCs w:val="32"/>
        </w:rPr>
        <w:br w:type="page"/>
      </w:r>
    </w:p>
    <w:p w14:paraId="558878C5" w14:textId="77777777" w:rsidR="00585B22" w:rsidRDefault="00842D77">
      <w:pPr>
        <w:pStyle w:val="Heading1"/>
        <w:numPr>
          <w:ilvl w:val="0"/>
          <w:numId w:val="11"/>
        </w:numPr>
      </w:pPr>
      <w:bookmarkStart w:id="0" w:name="_Toc3985"/>
      <w:r>
        <w:t>Introduction</w:t>
      </w:r>
      <w:bookmarkEnd w:id="0"/>
    </w:p>
    <w:p w14:paraId="6F8E0351" w14:textId="77777777" w:rsidR="00585B22" w:rsidRDefault="00842D77">
      <w:pPr>
        <w:pStyle w:val="NormalWeb"/>
        <w:spacing w:line="360" w:lineRule="auto"/>
        <w:jc w:val="both"/>
        <w:rPr>
          <w:rFonts w:cs="Times New Roman"/>
        </w:rPr>
      </w:pPr>
      <w:r>
        <w:t xml:space="preserve">This report aims to create a strategic international expansion plan of HSBC through the implementation of high-level strategic management frameworks to evaluate new market opportunities and provide an evidence-based entry approach.  Traditionally, HSBC, which is among the largest banking and financial service organizations in the world, has employed its global presence and its robust global banking facilities to venture into new high growth markets </w:t>
      </w:r>
      <w:r>
        <w:t>(</w:t>
      </w:r>
      <w:r>
        <w:t>HSBC, 2025</w:t>
      </w:r>
      <w:r>
        <w:t>)</w:t>
      </w:r>
      <w:r>
        <w:t xml:space="preserve">. With the industry constantly evolving due to the </w:t>
      </w:r>
      <w:proofErr w:type="spellStart"/>
      <w:r>
        <w:t>fintech</w:t>
      </w:r>
      <w:proofErr w:type="spellEnd"/>
      <w:r>
        <w:t xml:space="preserve"> disruption, regulatory change, and shifting customer expectations, a move into new emerging markets resonates with the long-term strategic vision of HSBC (Jiang</w:t>
      </w:r>
      <w:r>
        <w:t xml:space="preserve"> et al.</w:t>
      </w:r>
      <w:r>
        <w:t>, 2025).</w:t>
      </w:r>
      <w:r>
        <w:t xml:space="preserve"> </w:t>
      </w:r>
      <w:r>
        <w:t>The present report is divided into four main parts: the rationale to choose HSBC and Kenya, a thorough strategic analysis of both the internal and external environment, the formulation of an appropriate market entry and competitive strategy, and a performance evalu</w:t>
      </w:r>
      <w:r>
        <w:t>ation framework to measure the advancement and effectiveness of the expansion process</w:t>
      </w:r>
      <w:r>
        <w:rPr>
          <w:rFonts w:cs="Times New Roman"/>
        </w:rPr>
        <w:t>.</w:t>
      </w:r>
    </w:p>
    <w:p w14:paraId="36222DE4" w14:textId="77777777" w:rsidR="00585B22" w:rsidRDefault="00842D77">
      <w:pPr>
        <w:pStyle w:val="Heading1"/>
      </w:pPr>
      <w:bookmarkStart w:id="1" w:name="_Toc19213"/>
      <w:r>
        <w:t xml:space="preserve">2. Selection of </w:t>
      </w:r>
      <w:proofErr w:type="spellStart"/>
      <w:r>
        <w:t>Organisation</w:t>
      </w:r>
      <w:proofErr w:type="spellEnd"/>
      <w:r>
        <w:t xml:space="preserve"> &amp; Target Market</w:t>
      </w:r>
      <w:bookmarkEnd w:id="1"/>
    </w:p>
    <w:p w14:paraId="58475A38" w14:textId="77777777" w:rsidR="00585B22" w:rsidRDefault="00842D77">
      <w:pPr>
        <w:pStyle w:val="Heading2"/>
      </w:pPr>
      <w:bookmarkStart w:id="2" w:name="_Toc1822"/>
      <w:r>
        <w:t>2.1 Why HSBC?</w:t>
      </w:r>
      <w:bookmarkEnd w:id="2"/>
    </w:p>
    <w:p w14:paraId="445D00BE" w14:textId="77777777" w:rsidR="00585B22" w:rsidRDefault="00842D77">
      <w:pPr>
        <w:pStyle w:val="NormalWeb"/>
        <w:spacing w:line="360" w:lineRule="auto"/>
        <w:jc w:val="both"/>
      </w:pPr>
      <w:r>
        <w:t>HSBC is a large banking group globally that has a comprehensive international presence in Asia, Europe and Middle East, making it poised to intermediary trade, capital and wealth flows to frontier and emerging markets (HSBC, 2025). The Group reported on 2024 an income before tax and taxation of 32.3bn, a return on equity of 14.6 percent, and an amount of new invested assets, net, of 64bn, with 47bn originating in Asia, and its franchise of cross-border clients, which, again, attests to its strategic bias to</w:t>
      </w:r>
      <w:r>
        <w:t xml:space="preserve"> the region (HSBC, 2025). The HSBC model is highly unique in facilitating corporates and wealthy clients involved in South-South trade and the China+1 supply-chain shift-demand trend that is incredibly applicable to East Africa.</w:t>
      </w:r>
    </w:p>
    <w:p w14:paraId="3EF2502A" w14:textId="77777777" w:rsidR="00585B22" w:rsidRDefault="00842D77">
      <w:pPr>
        <w:pStyle w:val="NormalWeb"/>
        <w:spacing w:line="360" w:lineRule="auto"/>
        <w:jc w:val="center"/>
      </w:pPr>
      <w:r>
        <w:rPr>
          <w:rFonts w:ascii="SimSun" w:hAnsi="SimSun" w:cs="SimSun"/>
          <w:noProof/>
        </w:rPr>
        <w:drawing>
          <wp:inline distT="0" distB="0" distL="114300" distR="114300" wp14:anchorId="208287F6" wp14:editId="4AA6A1E9">
            <wp:extent cx="3152775" cy="2095500"/>
            <wp:effectExtent l="0" t="0" r="9525" b="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9"/>
                    <a:stretch>
                      <a:fillRect/>
                    </a:stretch>
                  </pic:blipFill>
                  <pic:spPr>
                    <a:xfrm>
                      <a:off x="0" y="0"/>
                      <a:ext cx="3152775" cy="2095500"/>
                    </a:xfrm>
                    <a:prstGeom prst="rect">
                      <a:avLst/>
                    </a:prstGeom>
                    <a:noFill/>
                    <a:ln w="9525">
                      <a:noFill/>
                    </a:ln>
                  </pic:spPr>
                </pic:pic>
              </a:graphicData>
            </a:graphic>
          </wp:inline>
        </w:drawing>
      </w:r>
    </w:p>
    <w:p w14:paraId="70FA3E9C" w14:textId="77777777" w:rsidR="00585B22" w:rsidRDefault="00842D77">
      <w:pPr>
        <w:pStyle w:val="NormalWeb"/>
        <w:spacing w:line="360" w:lineRule="auto"/>
        <w:jc w:val="both"/>
        <w:rPr>
          <w:rFonts w:cs="Times New Roman"/>
        </w:rPr>
      </w:pPr>
      <w:r>
        <w:t xml:space="preserve">On the digital front, HSBC has emphasized cloud, data and AI to accelerate onboarding, boost fraud/risk management, and expand individual wealth propositions </w:t>
      </w:r>
      <w:r>
        <w:t>(</w:t>
      </w:r>
      <w:r>
        <w:t>HSBC, 2025</w:t>
      </w:r>
      <w:r>
        <w:t>)</w:t>
      </w:r>
      <w:r>
        <w:t xml:space="preserve">. Its operating model simplification which will take place on 1 January 2025 is aimed at the Group harnessing the full potential, and is designed to redistribute costs towards advantaged growth areas (HSBC Holdings plc., 2025). On sustainability, HSBC has made a pledge to achieve or enable $750bn -1tn in sustainable finance by 2030 and it records $447.7bn, which it has already delivered by mid-2025 in target sectors with a 30% absolute decrease in financed emissions over the same sectors since the baseline </w:t>
      </w:r>
      <w:r>
        <w:t>(</w:t>
      </w:r>
      <w:r>
        <w:t>Financial Times, 2025</w:t>
      </w:r>
      <w:r>
        <w:t>)</w:t>
      </w:r>
      <w:r>
        <w:t xml:space="preserve">. The latest release of the Net Zero Transition Plan of 2025 presents governments, industry roadmaps and reporting in accordance with the UK TPT framework </w:t>
      </w:r>
      <w:r>
        <w:t>(</w:t>
      </w:r>
      <w:r>
        <w:t>Financial Times, 2025</w:t>
      </w:r>
      <w:r>
        <w:t>)</w:t>
      </w:r>
      <w:r>
        <w:t xml:space="preserve">. </w:t>
      </w:r>
    </w:p>
    <w:p w14:paraId="4B40E154" w14:textId="77777777" w:rsidR="00585B22" w:rsidRDefault="00842D77">
      <w:pPr>
        <w:pStyle w:val="Heading2"/>
      </w:pPr>
      <w:bookmarkStart w:id="3" w:name="_Toc6025"/>
      <w:r>
        <w:t>2.2 Why Kenya?</w:t>
      </w:r>
      <w:bookmarkEnd w:id="3"/>
      <w:r>
        <w:t xml:space="preserve"> </w:t>
      </w:r>
    </w:p>
    <w:p w14:paraId="13113AB2" w14:textId="77777777" w:rsidR="00585B22" w:rsidRDefault="00842D77">
      <w:pPr>
        <w:pStyle w:val="NormalWeb"/>
        <w:spacing w:line="360" w:lineRule="auto"/>
        <w:jc w:val="both"/>
      </w:pPr>
      <w:r>
        <w:t>Kenya has been chosen as it provides a digitally developed and scalable financial ecosystem in which a global wholesale-to-wealth bank can create value, and HSBC is no existing presence at the moment</w:t>
      </w:r>
      <w:r>
        <w:t xml:space="preserve"> </w:t>
      </w:r>
      <w:r>
        <w:t>(UNDP, 2025). The macro fundamentals of Kenya are high. Accounted GDP growth of 4.5 per cent as given by the World Bank on 2025 will be enhanced by stabilizing macro environment (Kilimokwanza.org, 2025).</w:t>
      </w:r>
    </w:p>
    <w:p w14:paraId="170576B7" w14:textId="77777777" w:rsidR="00585B22" w:rsidRDefault="00842D77">
      <w:pPr>
        <w:pStyle w:val="NormalWeb"/>
        <w:spacing w:line="360" w:lineRule="auto"/>
        <w:jc w:val="center"/>
      </w:pPr>
      <w:r>
        <w:rPr>
          <w:noProof/>
        </w:rPr>
        <w:drawing>
          <wp:inline distT="0" distB="0" distL="114300" distR="114300" wp14:anchorId="759E54AA" wp14:editId="5622E29C">
            <wp:extent cx="2710815" cy="2033270"/>
            <wp:effectExtent l="0" t="0" r="13335" b="5080"/>
            <wp:docPr id="3" name="Picture 3" descr="kenya_gdp_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kenya_gdp_growth"/>
                    <pic:cNvPicPr>
                      <a:picLocks noChangeAspect="1"/>
                    </pic:cNvPicPr>
                  </pic:nvPicPr>
                  <pic:blipFill>
                    <a:blip r:embed="rId10"/>
                    <a:stretch>
                      <a:fillRect/>
                    </a:stretch>
                  </pic:blipFill>
                  <pic:spPr>
                    <a:xfrm>
                      <a:off x="0" y="0"/>
                      <a:ext cx="2710815" cy="2033270"/>
                    </a:xfrm>
                    <a:prstGeom prst="rect">
                      <a:avLst/>
                    </a:prstGeom>
                  </pic:spPr>
                </pic:pic>
              </a:graphicData>
            </a:graphic>
          </wp:inline>
        </w:drawing>
      </w:r>
    </w:p>
    <w:p w14:paraId="47A7F8DC" w14:textId="77777777" w:rsidR="00585B22" w:rsidRDefault="00842D77">
      <w:pPr>
        <w:pStyle w:val="Caption"/>
        <w:spacing w:line="360" w:lineRule="auto"/>
        <w:jc w:val="center"/>
        <w:rPr>
          <w:rFonts w:ascii="Times New Roman" w:hAnsi="Times New Roman"/>
          <w:sz w:val="16"/>
          <w:szCs w:val="16"/>
        </w:rPr>
      </w:pPr>
      <w:r>
        <w:rPr>
          <w:sz w:val="16"/>
          <w:szCs w:val="16"/>
        </w:rPr>
        <w:t xml:space="preserve">Figure </w:t>
      </w:r>
      <w:r>
        <w:rPr>
          <w:sz w:val="16"/>
          <w:szCs w:val="16"/>
        </w:rPr>
        <w:fldChar w:fldCharType="begin"/>
      </w:r>
      <w:r>
        <w:rPr>
          <w:sz w:val="16"/>
          <w:szCs w:val="16"/>
        </w:rPr>
        <w:instrText xml:space="preserve"> SEQ Figure \* ARABIC </w:instrText>
      </w:r>
      <w:r>
        <w:rPr>
          <w:sz w:val="16"/>
          <w:szCs w:val="16"/>
        </w:rPr>
        <w:fldChar w:fldCharType="separate"/>
      </w:r>
      <w:r>
        <w:rPr>
          <w:sz w:val="16"/>
          <w:szCs w:val="16"/>
        </w:rPr>
        <w:t>1</w:t>
      </w:r>
      <w:r>
        <w:rPr>
          <w:sz w:val="16"/>
          <w:szCs w:val="16"/>
        </w:rPr>
        <w:fldChar w:fldCharType="end"/>
      </w:r>
      <w:r>
        <w:rPr>
          <w:sz w:val="16"/>
          <w:szCs w:val="16"/>
        </w:rPr>
        <w:t>: Kenya GDP Growth</w:t>
      </w:r>
    </w:p>
    <w:p w14:paraId="1202FA79" w14:textId="77777777" w:rsidR="00585B22" w:rsidRDefault="00842D77">
      <w:pPr>
        <w:pStyle w:val="NormalWeb"/>
        <w:spacing w:line="360" w:lineRule="auto"/>
        <w:jc w:val="both"/>
        <w:rPr>
          <w:rFonts w:cs="Times New Roman"/>
        </w:rPr>
      </w:pPr>
      <w:r>
        <w:t xml:space="preserve">The high-frequency data indicate a 4.9% </w:t>
      </w:r>
      <w:proofErr w:type="spellStart"/>
      <w:r>
        <w:t>YoY</w:t>
      </w:r>
      <w:proofErr w:type="spellEnd"/>
      <w:r>
        <w:t xml:space="preserve"> GDP growth in Q1 2025, with an expansion in the finance and ICT sectors though at a lower rate than in 2024 (Kenya National Bureau of Statistics, 2025). Investment and confidence is aided with policy programs and external funds and the government forecasts a growth of around five and six percent to 2026 ( Reuters, 2025). </w:t>
      </w:r>
    </w:p>
    <w:p w14:paraId="174FB2AD" w14:textId="77777777" w:rsidR="00585B22" w:rsidRDefault="00842D77">
      <w:pPr>
        <w:pStyle w:val="NormalWeb"/>
        <w:spacing w:line="360" w:lineRule="auto"/>
        <w:jc w:val="both"/>
        <w:outlineLvl w:val="1"/>
        <w:rPr>
          <w:rStyle w:val="Strong"/>
          <w:rFonts w:cs="Times New Roman"/>
        </w:rPr>
      </w:pPr>
      <w:bookmarkStart w:id="4" w:name="_Toc11451"/>
      <w:bookmarkStart w:id="5" w:name="_Toc14587"/>
      <w:bookmarkStart w:id="6" w:name="_Toc10210"/>
      <w:r>
        <w:rPr>
          <w:rStyle w:val="Strong"/>
          <w:rFonts w:cs="Times New Roman"/>
        </w:rPr>
        <w:t>Digital adoption and inclusion</w:t>
      </w:r>
      <w:bookmarkEnd w:id="4"/>
      <w:bookmarkEnd w:id="5"/>
      <w:bookmarkEnd w:id="6"/>
    </w:p>
    <w:p w14:paraId="67864B98" w14:textId="77777777" w:rsidR="00585B22" w:rsidRDefault="00842D77">
      <w:pPr>
        <w:pStyle w:val="NormalWeb"/>
        <w:spacing w:line="360" w:lineRule="auto"/>
        <w:jc w:val="both"/>
        <w:rPr>
          <w:rFonts w:cs="Times New Roman"/>
        </w:rPr>
      </w:pPr>
      <w:r>
        <w:t xml:space="preserve">Kenya is an international benchmark of mobile money and has quickly </w:t>
      </w:r>
      <w:proofErr w:type="spellStart"/>
      <w:r>
        <w:t>digitised</w:t>
      </w:r>
      <w:proofErr w:type="spellEnd"/>
      <w:r>
        <w:t xml:space="preserve"> retail payments. The internet has 22.7m internet users (penetration of approximately 41) as of January 2024, and its growth is in the year-on-year basis (Elliot, 2025). Mobile money is still open; M-</w:t>
      </w:r>
      <w:proofErr w:type="spellStart"/>
      <w:r>
        <w:t>Pesa</w:t>
      </w:r>
      <w:proofErr w:type="spellEnd"/>
      <w:r>
        <w:t xml:space="preserve"> has as much as 92% of the market and the agent network has more than 381k, as per central bank-based summaries (UNCDF, 2022). Financial access is high, but according to World Bank </w:t>
      </w:r>
      <w:proofErr w:type="spellStart"/>
      <w:r>
        <w:t>Findex</w:t>
      </w:r>
      <w:proofErr w:type="spellEnd"/>
      <w:r>
        <w:t>, many Kenyans and women, in particular, access finance mainly through mobile money instead of bank accounts, wh</w:t>
      </w:r>
      <w:r>
        <w:t xml:space="preserve">ich indicate the </w:t>
      </w:r>
      <w:proofErr w:type="spellStart"/>
      <w:r>
        <w:t>possiblity</w:t>
      </w:r>
      <w:proofErr w:type="spellEnd"/>
      <w:r>
        <w:t xml:space="preserve"> to upgrade users to deposit, credit, savings and investment products </w:t>
      </w:r>
      <w:r>
        <w:t>(</w:t>
      </w:r>
      <w:r>
        <w:t>CNBC, 2025</w:t>
      </w:r>
      <w:r>
        <w:t>)</w:t>
      </w:r>
      <w:r>
        <w:t xml:space="preserve">. </w:t>
      </w:r>
    </w:p>
    <w:p w14:paraId="260F01A1" w14:textId="77777777" w:rsidR="00585B22" w:rsidRDefault="00842D77">
      <w:pPr>
        <w:pStyle w:val="NormalWeb"/>
        <w:spacing w:line="360" w:lineRule="auto"/>
        <w:jc w:val="both"/>
        <w:outlineLvl w:val="1"/>
        <w:rPr>
          <w:rStyle w:val="Strong"/>
          <w:rFonts w:cs="Times New Roman"/>
        </w:rPr>
      </w:pPr>
      <w:bookmarkStart w:id="7" w:name="_Toc20916"/>
      <w:bookmarkStart w:id="8" w:name="_Toc19951"/>
      <w:bookmarkStart w:id="9" w:name="_Toc17339"/>
      <w:r>
        <w:rPr>
          <w:rStyle w:val="Strong"/>
          <w:rFonts w:cs="Times New Roman"/>
        </w:rPr>
        <w:t>Trade and capital flows</w:t>
      </w:r>
      <w:bookmarkEnd w:id="7"/>
      <w:bookmarkEnd w:id="8"/>
      <w:bookmarkEnd w:id="9"/>
    </w:p>
    <w:p w14:paraId="28BE372F" w14:textId="77777777" w:rsidR="00585B22" w:rsidRDefault="00842D77">
      <w:pPr>
        <w:pStyle w:val="NormalWeb"/>
        <w:spacing w:line="360" w:lineRule="auto"/>
        <w:jc w:val="both"/>
        <w:rPr>
          <w:rFonts w:cs="Times New Roman"/>
        </w:rPr>
      </w:pPr>
      <w:r>
        <w:t>Nairobi is the logistics and services hub of East Africa; many multinationals operate in the region out of Nairobi. Clients need FX, cash management, supply-chain finance, sustainable infrastructure finance and cross-border wealth to be part of the global offering of HSBC (HSBC, 2025a). The sustainable-finance experience of HSBC (transition finance, green bonds/loans) is in line with the investment focus on renewables, grid, water, and transport in Kenya, providing the opportunity to use global capital to l</w:t>
      </w:r>
      <w:r>
        <w:t>ocal projects (HSBC, 2025)</w:t>
      </w:r>
      <w:r>
        <w:rPr>
          <w:rFonts w:cs="Times New Roman"/>
        </w:rPr>
        <w:t>.</w:t>
      </w:r>
    </w:p>
    <w:p w14:paraId="2457DAAC" w14:textId="77777777" w:rsidR="00585B22" w:rsidRDefault="00842D77">
      <w:pPr>
        <w:pStyle w:val="NormalWeb"/>
        <w:spacing w:line="360" w:lineRule="auto"/>
        <w:jc w:val="both"/>
        <w:outlineLvl w:val="1"/>
        <w:rPr>
          <w:rStyle w:val="Strong"/>
          <w:rFonts w:cs="Times New Roman"/>
        </w:rPr>
      </w:pPr>
      <w:bookmarkStart w:id="10" w:name="_Toc10428"/>
      <w:bookmarkStart w:id="11" w:name="_Toc29358"/>
      <w:bookmarkStart w:id="12" w:name="_Toc5230"/>
      <w:r>
        <w:rPr>
          <w:rStyle w:val="Strong"/>
          <w:rFonts w:cs="Times New Roman"/>
        </w:rPr>
        <w:t>Regulatory and competitive landscape</w:t>
      </w:r>
      <w:bookmarkEnd w:id="10"/>
      <w:bookmarkEnd w:id="11"/>
      <w:bookmarkEnd w:id="12"/>
    </w:p>
    <w:p w14:paraId="596CAEBB" w14:textId="77777777" w:rsidR="00585B22" w:rsidRDefault="00842D77">
      <w:pPr>
        <w:pStyle w:val="NormalWeb"/>
        <w:spacing w:line="360" w:lineRule="auto"/>
        <w:jc w:val="both"/>
      </w:pPr>
      <w:r>
        <w:rPr>
          <w:rFonts w:cs="Times New Roman"/>
        </w:rPr>
        <w:t xml:space="preserve"> </w:t>
      </w:r>
      <w:r>
        <w:t xml:space="preserve">The Central Bank of Kenya (CBK) has a more powerful prudential environment and an advanced National Payments System, and is welcoming of credible foreign entrants that expand market capacity </w:t>
      </w:r>
      <w:r>
        <w:t>(</w:t>
      </w:r>
      <w:proofErr w:type="spellStart"/>
      <w:r>
        <w:t>Morar</w:t>
      </w:r>
      <w:proofErr w:type="spellEnd"/>
      <w:r>
        <w:t>, 2025</w:t>
      </w:r>
      <w:r>
        <w:t>)</w:t>
      </w:r>
      <w:r>
        <w:t xml:space="preserve">. The level of competition is high--KCB, Equity, Co-operative, </w:t>
      </w:r>
      <w:proofErr w:type="spellStart"/>
      <w:r>
        <w:t>Stanbic</w:t>
      </w:r>
      <w:proofErr w:type="spellEnd"/>
      <w:r>
        <w:t>, Standard Chartered and Absa are dominant in the retail and corporate markets—however, there is only international access by the pan-regional connection and ESG-experts based transactions, which are complex and necessitate a complex tran</w:t>
      </w:r>
      <w:r>
        <w:t xml:space="preserve">saction solution. </w:t>
      </w:r>
    </w:p>
    <w:p w14:paraId="39782941" w14:textId="77777777" w:rsidR="00585B22" w:rsidRDefault="00842D77">
      <w:pPr>
        <w:pStyle w:val="NormalWeb"/>
        <w:spacing w:line="360" w:lineRule="auto"/>
        <w:jc w:val="both"/>
        <w:rPr>
          <w:rFonts w:cs="Times New Roman"/>
        </w:rPr>
      </w:pPr>
      <w:r>
        <w:t>Kenya is firm with growth, a digitally ready consumer community, and regional hub and HSBC has international networks, digital capacity, and sustainability leadership. The strategic white space of the non-existence of the present HSBC franchise opens up an opportunity to enter where the bank can be uniquely differentiated and consistent with Group priorities to redistribute capital in advantaged growth and Asia-shoreline trades (U.S. Department of Commerce, 2024)</w:t>
      </w:r>
      <w:r>
        <w:rPr>
          <w:rFonts w:cs="Times New Roman"/>
        </w:rPr>
        <w:t>.</w:t>
      </w:r>
    </w:p>
    <w:p w14:paraId="51D37CFA" w14:textId="77777777" w:rsidR="00585B22" w:rsidRDefault="00842D77">
      <w:pPr>
        <w:pStyle w:val="Heading1"/>
        <w:spacing w:line="360" w:lineRule="auto"/>
        <w:rPr>
          <w:rFonts w:cs="Times New Roman"/>
          <w:sz w:val="24"/>
          <w:szCs w:val="24"/>
        </w:rPr>
      </w:pPr>
      <w:bookmarkStart w:id="13" w:name="_Toc21707"/>
      <w:r>
        <w:rPr>
          <w:rStyle w:val="Strong"/>
          <w:rFonts w:cs="Times New Roman"/>
          <w:b/>
          <w:bCs/>
          <w:sz w:val="24"/>
          <w:szCs w:val="24"/>
        </w:rPr>
        <w:t>3. Comprehensive Strategic Analysis</w:t>
      </w:r>
      <w:bookmarkEnd w:id="13"/>
    </w:p>
    <w:p w14:paraId="396E5EE8" w14:textId="77777777" w:rsidR="00585B22" w:rsidRDefault="00842D77">
      <w:pPr>
        <w:pStyle w:val="Heading2"/>
        <w:spacing w:line="360" w:lineRule="auto"/>
        <w:rPr>
          <w:rFonts w:cs="Times New Roman"/>
          <w:szCs w:val="24"/>
        </w:rPr>
      </w:pPr>
      <w:bookmarkStart w:id="14" w:name="_Toc24259"/>
      <w:r>
        <w:rPr>
          <w:rStyle w:val="Strong"/>
          <w:rFonts w:cs="Times New Roman"/>
          <w:b/>
          <w:bCs/>
          <w:szCs w:val="24"/>
        </w:rPr>
        <w:t>3.1 PESTLE Analysis (Macro Environment)</w:t>
      </w:r>
      <w:bookmarkEnd w:id="14"/>
    </w:p>
    <w:p w14:paraId="5A3BCD2F" w14:textId="77777777" w:rsidR="00585B22" w:rsidRDefault="00842D77">
      <w:pPr>
        <w:pStyle w:val="NormalWeb"/>
        <w:spacing w:line="360" w:lineRule="auto"/>
        <w:jc w:val="both"/>
      </w:pPr>
      <w:r>
        <w:t xml:space="preserve">PESTLE framework is useful in evaluating the external environment affecting the growth of HSBC into Kenya. Even though it offers a macro-level perspective, it has been condemned as mainly descriptive and without </w:t>
      </w:r>
      <w:proofErr w:type="spellStart"/>
      <w:r>
        <w:t>prioritisation</w:t>
      </w:r>
      <w:proofErr w:type="spellEnd"/>
      <w:r>
        <w:t xml:space="preserve"> of the strategic issues </w:t>
      </w:r>
      <w:r>
        <w:t>(</w:t>
      </w:r>
      <w:r>
        <w:t>The Strategy Institute, 2025</w:t>
      </w:r>
      <w:r>
        <w:t>)</w:t>
      </w:r>
      <w:r>
        <w:t>.</w:t>
      </w:r>
    </w:p>
    <w:p w14:paraId="433B7B49" w14:textId="77777777" w:rsidR="00585B22" w:rsidRDefault="00842D77">
      <w:pPr>
        <w:pStyle w:val="NormalWeb"/>
        <w:spacing w:line="360" w:lineRule="auto"/>
        <w:jc w:val="both"/>
        <w:rPr>
          <w:rFonts w:ascii="SimSun" w:hAnsi="SimSun" w:cs="SimSun"/>
        </w:rPr>
      </w:pPr>
      <w:r>
        <w:rPr>
          <w:rFonts w:ascii="SimSun" w:hAnsi="SimSun" w:cs="SimSun"/>
          <w:noProof/>
        </w:rPr>
        <w:drawing>
          <wp:inline distT="0" distB="0" distL="114300" distR="114300" wp14:anchorId="135C673F" wp14:editId="5AF196EE">
            <wp:extent cx="5266690" cy="2372995"/>
            <wp:effectExtent l="0" t="0" r="0" b="0"/>
            <wp:docPr id="4"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IMG_256"/>
                    <pic:cNvPicPr>
                      <a:picLocks noChangeAspect="1"/>
                    </pic:cNvPicPr>
                  </pic:nvPicPr>
                  <pic:blipFill>
                    <a:blip r:embed="rId11"/>
                    <a:srcRect l="531" t="8173" r="-531" b="20633"/>
                    <a:stretch>
                      <a:fillRect/>
                    </a:stretch>
                  </pic:blipFill>
                  <pic:spPr>
                    <a:xfrm>
                      <a:off x="0" y="0"/>
                      <a:ext cx="5266690" cy="2372995"/>
                    </a:xfrm>
                    <a:prstGeom prst="rect">
                      <a:avLst/>
                    </a:prstGeom>
                    <a:noFill/>
                    <a:ln w="9525">
                      <a:noFill/>
                    </a:ln>
                  </pic:spPr>
                </pic:pic>
              </a:graphicData>
            </a:graphic>
          </wp:inline>
        </w:drawing>
      </w:r>
    </w:p>
    <w:p w14:paraId="5BF578FC" w14:textId="77777777" w:rsidR="00585B22" w:rsidRDefault="00842D77">
      <w:pPr>
        <w:pStyle w:val="Caption"/>
        <w:spacing w:line="360" w:lineRule="auto"/>
        <w:jc w:val="center"/>
        <w:rPr>
          <w:rFonts w:ascii="SimSun" w:eastAsia="SimSun" w:hAnsi="SimSun" w:cs="SimSun"/>
          <w:sz w:val="24"/>
          <w:szCs w:val="24"/>
        </w:rPr>
      </w:pPr>
      <w:r>
        <w:t xml:space="preserve">Figure </w:t>
      </w:r>
      <w:r>
        <w:fldChar w:fldCharType="begin"/>
      </w:r>
      <w:r>
        <w:instrText xml:space="preserve"> SEQ Figure \* ARABIC </w:instrText>
      </w:r>
      <w:r>
        <w:fldChar w:fldCharType="separate"/>
      </w:r>
      <w:r>
        <w:t>2</w:t>
      </w:r>
      <w:r>
        <w:fldChar w:fldCharType="end"/>
      </w:r>
      <w:r>
        <w:t>: Pestle Framework</w:t>
      </w:r>
    </w:p>
    <w:p w14:paraId="732F30BD" w14:textId="77777777" w:rsidR="00585B22" w:rsidRDefault="00842D77">
      <w:pPr>
        <w:pStyle w:val="NormalWeb"/>
        <w:spacing w:line="360" w:lineRule="auto"/>
        <w:jc w:val="both"/>
      </w:pPr>
      <w:r>
        <w:rPr>
          <w:b/>
          <w:bCs/>
        </w:rPr>
        <w:t>Political Factors</w:t>
      </w:r>
    </w:p>
    <w:p w14:paraId="746DB0A7" w14:textId="77777777" w:rsidR="00585B22" w:rsidRDefault="00842D77">
      <w:pPr>
        <w:pStyle w:val="NormalWeb"/>
        <w:spacing w:line="360" w:lineRule="auto"/>
        <w:jc w:val="both"/>
      </w:pPr>
      <w:r>
        <w:t>Kenya is considered to be a more stable political system in East Africa, reinforced by the 2010 Constitution that improved judicial independence and governance systems (Jolly et al., 2023). The HSBC strategic interests are in line with the government policy that fosters financial inclusion, digital transformation, and involvement of the private-sector that is part of a strategy named Kenya Vision 2030 (Government of Kenya, 2021). Cross-border banking is also facilitated by the fact that Kenya is a member of</w:t>
      </w:r>
      <w:r>
        <w:t xml:space="preserve"> the EAC as well as the </w:t>
      </w:r>
      <w:proofErr w:type="spellStart"/>
      <w:r>
        <w:t>AfCFTA</w:t>
      </w:r>
      <w:proofErr w:type="spellEnd"/>
      <w:r>
        <w:t xml:space="preserve"> (UNECA, 2022). The issue of political risks, like changes in policies, corruption and bureaucracy delays remains a challenge (</w:t>
      </w:r>
      <w:proofErr w:type="spellStart"/>
      <w:r>
        <w:t>Klaoudatos</w:t>
      </w:r>
      <w:proofErr w:type="spellEnd"/>
      <w:r>
        <w:t xml:space="preserve"> et al., 2024).</w:t>
      </w:r>
    </w:p>
    <w:p w14:paraId="2F1EE962" w14:textId="77777777" w:rsidR="00585B22" w:rsidRDefault="00842D77">
      <w:pPr>
        <w:pStyle w:val="NormalWeb"/>
        <w:spacing w:line="360" w:lineRule="auto"/>
        <w:jc w:val="both"/>
        <w:rPr>
          <w:b/>
          <w:bCs/>
        </w:rPr>
      </w:pPr>
      <w:r>
        <w:rPr>
          <w:b/>
          <w:bCs/>
        </w:rPr>
        <w:t>Economic Factors</w:t>
      </w:r>
    </w:p>
    <w:p w14:paraId="4FEC3209" w14:textId="77777777" w:rsidR="00585B22" w:rsidRDefault="00842D77">
      <w:pPr>
        <w:pStyle w:val="NormalWeb"/>
        <w:spacing w:line="360" w:lineRule="auto"/>
        <w:jc w:val="both"/>
      </w:pPr>
      <w:r>
        <w:t>Kenya is reported to show stable GDP growth of 5-6% in the past ten years (World Bank, 2023). Nairobi is the financial center of East Africa, boasting the presence of multinationals and an eco system of thriving financial technologies. The economy is diversified economically in agriculture, services, manufacturing and ICT which ensures resilience (OECD, 2023).</w:t>
      </w:r>
      <w:r>
        <w:t xml:space="preserve"> </w:t>
      </w:r>
      <w:r>
        <w:t>Yet economic risks persist. Global fuel and food prices have led to inflation being at a range of 6-7 percent (IMF, 2023). Kenyan Shilling is experiencing the impact of depreciation because there is a shortage of dollars and reliance on imports (</w:t>
      </w:r>
      <w:proofErr w:type="spellStart"/>
      <w:r>
        <w:t>Munguti</w:t>
      </w:r>
      <w:proofErr w:type="spellEnd"/>
      <w:r>
        <w:t xml:space="preserve"> et al., 2023). The increase of the public debt is also a long-term fiscal risk (World Bank, 2023).</w:t>
      </w:r>
    </w:p>
    <w:p w14:paraId="33487084" w14:textId="77777777" w:rsidR="00585B22" w:rsidRDefault="00842D77">
      <w:pPr>
        <w:pStyle w:val="NormalWeb"/>
        <w:spacing w:line="360" w:lineRule="auto"/>
        <w:jc w:val="both"/>
        <w:rPr>
          <w:b/>
          <w:bCs/>
        </w:rPr>
      </w:pPr>
      <w:r>
        <w:rPr>
          <w:b/>
          <w:bCs/>
        </w:rPr>
        <w:t>Social Factors</w:t>
      </w:r>
    </w:p>
    <w:p w14:paraId="7D114B58" w14:textId="77777777" w:rsidR="00585B22" w:rsidRDefault="00842D77">
      <w:pPr>
        <w:pStyle w:val="NormalWeb"/>
        <w:spacing w:line="360" w:lineRule="auto"/>
        <w:jc w:val="both"/>
      </w:pPr>
      <w:r>
        <w:t xml:space="preserve">The median age of Kenya is about 20, creating very young and </w:t>
      </w:r>
      <w:proofErr w:type="spellStart"/>
      <w:r>
        <w:t>urbanising</w:t>
      </w:r>
      <w:proofErr w:type="spellEnd"/>
      <w:r>
        <w:t xml:space="preserve"> (Rapid </w:t>
      </w:r>
      <w:proofErr w:type="spellStart"/>
      <w:r>
        <w:t>urbanisation</w:t>
      </w:r>
      <w:proofErr w:type="spellEnd"/>
      <w:r>
        <w:t>) populations in Africa (UN, 2022). There are opportunities available with the rise of financial literacy, the increasing middle-class and need in banking, insurance, and wealth management services (KPMG, 2022). A robust digital adoption, especially in payments, advocacy, contributes to the digital-first approach of HSBC.</w:t>
      </w:r>
      <w:r>
        <w:t xml:space="preserve"> </w:t>
      </w:r>
      <w:r>
        <w:t>However, the issue of financial exclusion continues to be high in rural settings, and the level of trust in foreign institutions differs among communities (</w:t>
      </w:r>
      <w:proofErr w:type="spellStart"/>
      <w:r>
        <w:t>Mu</w:t>
      </w:r>
      <w:r>
        <w:t>nguti</w:t>
      </w:r>
      <w:proofErr w:type="spellEnd"/>
      <w:r>
        <w:t xml:space="preserve"> et al., 2024). The HSBC should thus contextualize products and make them more accessible to the under-served segments.</w:t>
      </w:r>
    </w:p>
    <w:p w14:paraId="1B84758B" w14:textId="77777777" w:rsidR="00585B22" w:rsidRDefault="00842D77">
      <w:pPr>
        <w:pStyle w:val="NormalWeb"/>
        <w:spacing w:line="360" w:lineRule="auto"/>
        <w:jc w:val="both"/>
        <w:rPr>
          <w:b/>
          <w:bCs/>
        </w:rPr>
      </w:pPr>
      <w:r>
        <w:rPr>
          <w:b/>
          <w:bCs/>
        </w:rPr>
        <w:t>Technological Factors</w:t>
      </w:r>
    </w:p>
    <w:p w14:paraId="439E11AA" w14:textId="77777777" w:rsidR="00585B22" w:rsidRDefault="00842D77">
      <w:pPr>
        <w:pStyle w:val="NormalWeb"/>
        <w:spacing w:line="360" w:lineRule="auto"/>
        <w:jc w:val="both"/>
      </w:pPr>
      <w:r>
        <w:t>Kenya is a pioneer in digital finance, and M-</w:t>
      </w:r>
      <w:proofErr w:type="spellStart"/>
      <w:r>
        <w:t>Pesa</w:t>
      </w:r>
      <w:proofErr w:type="spellEnd"/>
      <w:r>
        <w:t xml:space="preserve"> performs more than half of mobile transactions in GDP equivalents (GSMA, 2023). By 2023 some national investments in the digital economy had made over 40 million people on the internet (CAK, 2023). The technological capabilities of HSBC strongly match this environment, facilitating digital-onboarding, mobile banking and trade finance platforms.</w:t>
      </w:r>
      <w:r>
        <w:t xml:space="preserve"> </w:t>
      </w:r>
      <w:r>
        <w:t xml:space="preserve">Nevertheless, </w:t>
      </w:r>
      <w:proofErr w:type="spellStart"/>
      <w:r>
        <w:t>fintech</w:t>
      </w:r>
      <w:proofErr w:type="spellEnd"/>
      <w:r>
        <w:t xml:space="preserve"> companies and telco-financial services competitors are substantial, which HSBC has to be innovative and develop strategic partnerships (Pw</w:t>
      </w:r>
      <w:r>
        <w:t>C, 2022).</w:t>
      </w:r>
    </w:p>
    <w:p w14:paraId="22187B21" w14:textId="77777777" w:rsidR="00585B22" w:rsidRDefault="00842D77">
      <w:pPr>
        <w:pStyle w:val="NormalWeb"/>
        <w:spacing w:line="360" w:lineRule="auto"/>
        <w:jc w:val="both"/>
        <w:rPr>
          <w:b/>
          <w:bCs/>
        </w:rPr>
      </w:pPr>
      <w:r>
        <w:rPr>
          <w:b/>
          <w:bCs/>
        </w:rPr>
        <w:t>Legal Factors</w:t>
      </w:r>
    </w:p>
    <w:p w14:paraId="203868B2" w14:textId="77777777" w:rsidR="00585B22" w:rsidRDefault="00842D77">
      <w:pPr>
        <w:pStyle w:val="NormalWeb"/>
        <w:spacing w:line="360" w:lineRule="auto"/>
        <w:jc w:val="both"/>
      </w:pPr>
      <w:r>
        <w:t>The Banking Act in Kenya, the CBK prudential regulations and the Data Protection Act 2019 constitute a strong regulatory environment (CBK, 2023; Office of the Data Protection Commissioner, 2022). Despite being open to foreign investment, there is a high turnover of the regulatory environment, which raises compliance expenses. There are also anti-money-laundering and consumer protection regulations that also necessitate the careful design of operations.</w:t>
      </w:r>
    </w:p>
    <w:p w14:paraId="2F1547FC" w14:textId="77777777" w:rsidR="00585B22" w:rsidRDefault="00842D77">
      <w:pPr>
        <w:pStyle w:val="NormalWeb"/>
        <w:spacing w:line="360" w:lineRule="auto"/>
        <w:jc w:val="both"/>
        <w:rPr>
          <w:b/>
          <w:bCs/>
        </w:rPr>
      </w:pPr>
      <w:r>
        <w:rPr>
          <w:b/>
          <w:bCs/>
        </w:rPr>
        <w:t>Environmental Factors</w:t>
      </w:r>
    </w:p>
    <w:p w14:paraId="5E7767C9" w14:textId="77777777" w:rsidR="00585B22" w:rsidRDefault="00842D77">
      <w:pPr>
        <w:pStyle w:val="NormalWeb"/>
        <w:spacing w:line="360" w:lineRule="auto"/>
        <w:jc w:val="both"/>
        <w:rPr>
          <w:rFonts w:cs="Times New Roman"/>
        </w:rPr>
      </w:pPr>
      <w:r>
        <w:t>The major climate-related problems in Kenya include droughts, uncertainty in rainfall and land degradation (UNEP, 2022). On the other hand, the nation produces more than 80 percent of its power on renewable sources, which open possibilities of green finance (Musa et al., 2025). With its extensive global ESG engagements, HSBC is adequately placed to finance climate initiatives, yet the threats posed by environmental credit risks, particularly where agricultural SMEs are concerned, are vehement on rigorous as</w:t>
      </w:r>
      <w:r>
        <w:t>sessment (HSBC, 2024)</w:t>
      </w:r>
      <w:r>
        <w:rPr>
          <w:rFonts w:cs="Times New Roman"/>
        </w:rPr>
        <w:t>.</w:t>
      </w:r>
    </w:p>
    <w:p w14:paraId="25D570AC" w14:textId="77777777" w:rsidR="00585B22" w:rsidRDefault="00842D77">
      <w:pPr>
        <w:pStyle w:val="Heading3"/>
        <w:spacing w:line="360" w:lineRule="auto"/>
        <w:rPr>
          <w:rFonts w:cs="Times New Roman"/>
          <w:szCs w:val="24"/>
        </w:rPr>
      </w:pPr>
      <w:r>
        <w:rPr>
          <w:rStyle w:val="Strong"/>
          <w:rFonts w:cs="Times New Roman"/>
          <w:b/>
          <w:bCs/>
          <w:szCs w:val="24"/>
        </w:rPr>
        <w:t>Critical Evaluation of PESTLE</w:t>
      </w:r>
    </w:p>
    <w:p w14:paraId="08504A7C" w14:textId="77777777" w:rsidR="00585B22" w:rsidRDefault="00842D77">
      <w:pPr>
        <w:pStyle w:val="NormalWeb"/>
        <w:spacing w:line="360" w:lineRule="auto"/>
        <w:jc w:val="both"/>
        <w:rPr>
          <w:rFonts w:cs="Times New Roman"/>
        </w:rPr>
      </w:pPr>
      <w:r>
        <w:t xml:space="preserve">Although PESTLE offers an overview of the macro-environment in Kenya, its drawback is that it is descriptive, and it is not </w:t>
      </w:r>
      <w:proofErr w:type="spellStart"/>
      <w:r>
        <w:t>prioritised</w:t>
      </w:r>
      <w:proofErr w:type="spellEnd"/>
      <w:r>
        <w:t xml:space="preserve"> (</w:t>
      </w:r>
      <w:proofErr w:type="spellStart"/>
      <w:r>
        <w:t>Opiyo</w:t>
      </w:r>
      <w:proofErr w:type="spellEnd"/>
      <w:r>
        <w:t xml:space="preserve"> et al., 2018). The framework fails to indicate what factors are the most urgent and the way they are affected by each other or whether their effect is certain or not. Since macro environments are dynamic particularly in new markets, PESTLE cannot be used in isolation, given its static nature and so, necessary to be supported by more dynamic and in-depth analyses like the Porters Five Forces and VRIO</w:t>
      </w:r>
      <w:r>
        <w:rPr>
          <w:rFonts w:cs="Times New Roman"/>
        </w:rPr>
        <w:t>.</w:t>
      </w:r>
    </w:p>
    <w:p w14:paraId="0B461BEA" w14:textId="77777777" w:rsidR="00585B22" w:rsidRDefault="00842D77">
      <w:pPr>
        <w:pStyle w:val="Heading2"/>
        <w:spacing w:line="360" w:lineRule="auto"/>
        <w:rPr>
          <w:rFonts w:cs="Times New Roman"/>
          <w:szCs w:val="24"/>
        </w:rPr>
      </w:pPr>
      <w:bookmarkStart w:id="15" w:name="_Toc30815"/>
      <w:r>
        <w:rPr>
          <w:rStyle w:val="Strong"/>
          <w:rFonts w:cs="Times New Roman"/>
          <w:b/>
          <w:bCs/>
          <w:szCs w:val="24"/>
        </w:rPr>
        <w:t>3.2 Porter’s Five Forces (Industry Competitiveness)</w:t>
      </w:r>
      <w:bookmarkEnd w:id="15"/>
    </w:p>
    <w:p w14:paraId="1BA9A193" w14:textId="77777777" w:rsidR="00585B22" w:rsidRDefault="00842D77">
      <w:pPr>
        <w:pStyle w:val="NormalWeb"/>
        <w:spacing w:line="360" w:lineRule="auto"/>
        <w:jc w:val="both"/>
        <w:rPr>
          <w:rFonts w:cs="Times New Roman"/>
        </w:rPr>
      </w:pPr>
      <w:r>
        <w:t>Porters Five Forces assists in evaluating the industry forces that influence the Kenyan banking industry. The model, though helpful in the structural analysis, asserts too little on technological disruption and collaboration trends transforming financial services</w:t>
      </w:r>
      <w:r>
        <w:rPr>
          <w:rFonts w:cs="Times New Roman"/>
        </w:rPr>
        <w:t>.</w:t>
      </w:r>
    </w:p>
    <w:p w14:paraId="55A83568" w14:textId="77777777" w:rsidR="00585B22" w:rsidRDefault="00842D77">
      <w:pPr>
        <w:pStyle w:val="NormalWeb"/>
        <w:spacing w:line="360" w:lineRule="auto"/>
        <w:jc w:val="both"/>
        <w:rPr>
          <w:rFonts w:cs="Times New Roman"/>
        </w:rPr>
      </w:pPr>
      <w:r>
        <w:rPr>
          <w:rFonts w:cs="Times New Roman"/>
          <w:noProof/>
        </w:rPr>
        <w:drawing>
          <wp:inline distT="0" distB="0" distL="114300" distR="114300" wp14:anchorId="01380766" wp14:editId="5D808CD9">
            <wp:extent cx="5266690" cy="2971165"/>
            <wp:effectExtent l="0" t="0" r="0" b="0"/>
            <wp:docPr id="5" name="Picture 5" descr="porter_five_forces_color_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orter_five_forces_color_large"/>
                    <pic:cNvPicPr>
                      <a:picLocks noChangeAspect="1"/>
                    </pic:cNvPicPr>
                  </pic:nvPicPr>
                  <pic:blipFill>
                    <a:blip r:embed="rId12"/>
                    <a:srcRect t="5988"/>
                    <a:stretch>
                      <a:fillRect/>
                    </a:stretch>
                  </pic:blipFill>
                  <pic:spPr>
                    <a:xfrm>
                      <a:off x="0" y="0"/>
                      <a:ext cx="5266690" cy="2971165"/>
                    </a:xfrm>
                    <a:prstGeom prst="rect">
                      <a:avLst/>
                    </a:prstGeom>
                  </pic:spPr>
                </pic:pic>
              </a:graphicData>
            </a:graphic>
          </wp:inline>
        </w:drawing>
      </w:r>
    </w:p>
    <w:p w14:paraId="3115A8AE" w14:textId="77777777" w:rsidR="00585B22" w:rsidRDefault="00842D77">
      <w:pPr>
        <w:pStyle w:val="Caption"/>
        <w:spacing w:line="360" w:lineRule="auto"/>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t>3</w:t>
      </w:r>
      <w:r>
        <w:fldChar w:fldCharType="end"/>
      </w:r>
      <w:r>
        <w:t>: Porter’s Five Forces (</w:t>
      </w:r>
      <w:r>
        <w:rPr>
          <w:rFonts w:ascii="Times New Roman" w:hAnsi="Times New Roman"/>
          <w:sz w:val="24"/>
          <w:szCs w:val="24"/>
        </w:rPr>
        <w:t xml:space="preserve">Kenyan </w:t>
      </w:r>
      <w:r>
        <w:rPr>
          <w:rFonts w:ascii="Times New Roman" w:hAnsi="Times New Roman"/>
          <w:sz w:val="24"/>
          <w:szCs w:val="24"/>
        </w:rPr>
        <w:t>B</w:t>
      </w:r>
      <w:r>
        <w:rPr>
          <w:rFonts w:ascii="Times New Roman" w:hAnsi="Times New Roman"/>
          <w:sz w:val="24"/>
          <w:szCs w:val="24"/>
        </w:rPr>
        <w:t xml:space="preserve">anking </w:t>
      </w:r>
      <w:r>
        <w:rPr>
          <w:rFonts w:ascii="Times New Roman" w:hAnsi="Times New Roman"/>
          <w:sz w:val="24"/>
          <w:szCs w:val="24"/>
        </w:rPr>
        <w:t>I</w:t>
      </w:r>
      <w:r>
        <w:rPr>
          <w:rFonts w:ascii="Times New Roman" w:hAnsi="Times New Roman"/>
          <w:sz w:val="24"/>
          <w:szCs w:val="24"/>
        </w:rPr>
        <w:t>ndustry</w:t>
      </w:r>
      <w:r>
        <w:rPr>
          <w:rFonts w:ascii="Times New Roman" w:hAnsi="Times New Roman"/>
          <w:sz w:val="24"/>
          <w:szCs w:val="24"/>
        </w:rPr>
        <w:t>)</w:t>
      </w:r>
    </w:p>
    <w:p w14:paraId="26F4E325" w14:textId="77777777" w:rsidR="00585B22" w:rsidRDefault="00842D77">
      <w:pPr>
        <w:pStyle w:val="Heading3"/>
        <w:spacing w:line="360" w:lineRule="auto"/>
        <w:rPr>
          <w:rFonts w:cs="Times New Roman"/>
          <w:szCs w:val="24"/>
        </w:rPr>
      </w:pPr>
      <w:r>
        <w:rPr>
          <w:rStyle w:val="Strong"/>
          <w:rFonts w:cs="Times New Roman"/>
          <w:b/>
          <w:bCs/>
          <w:szCs w:val="24"/>
        </w:rPr>
        <w:t>Threat of New Entrants – Medium</w:t>
      </w:r>
    </w:p>
    <w:p w14:paraId="1BBAC44E" w14:textId="77777777" w:rsidR="00585B22" w:rsidRDefault="00842D77">
      <w:pPr>
        <w:pStyle w:val="NormalWeb"/>
        <w:spacing w:line="360" w:lineRule="auto"/>
        <w:jc w:val="both"/>
        <w:rPr>
          <w:rFonts w:cs="Times New Roman"/>
        </w:rPr>
      </w:pPr>
      <w:r>
        <w:t xml:space="preserve">The banking market in Kenya is a moderate entry barrier because of stringent CBK licensing, capital requirement and compliance requirements (CBK, 2023). Nevertheless, the </w:t>
      </w:r>
      <w:proofErr w:type="spellStart"/>
      <w:r>
        <w:t>fintech</w:t>
      </w:r>
      <w:proofErr w:type="spellEnd"/>
      <w:r>
        <w:t xml:space="preserve"> companies and exclusively digital lenders have minimized the traditional barriers significantly, making it more competitive. The rapid growth of mobile-money eco-systems has allowed the non-banks, such as the </w:t>
      </w:r>
      <w:proofErr w:type="spellStart"/>
      <w:r>
        <w:t>telcos</w:t>
      </w:r>
      <w:proofErr w:type="spellEnd"/>
      <w:r>
        <w:t xml:space="preserve"> like </w:t>
      </w:r>
      <w:proofErr w:type="spellStart"/>
      <w:r>
        <w:t>Safaricom</w:t>
      </w:r>
      <w:proofErr w:type="spellEnd"/>
      <w:r>
        <w:t xml:space="preserve">, to compete with the conventional financial institutions (GSMA, 2023). </w:t>
      </w:r>
    </w:p>
    <w:p w14:paraId="6709B136" w14:textId="77777777" w:rsidR="00585B22" w:rsidRDefault="00842D77">
      <w:pPr>
        <w:pStyle w:val="Heading3"/>
        <w:spacing w:line="360" w:lineRule="auto"/>
        <w:rPr>
          <w:rFonts w:cs="Times New Roman"/>
          <w:szCs w:val="24"/>
        </w:rPr>
      </w:pPr>
      <w:r>
        <w:rPr>
          <w:rStyle w:val="Strong"/>
          <w:rFonts w:cs="Times New Roman"/>
          <w:b/>
          <w:bCs/>
          <w:szCs w:val="24"/>
        </w:rPr>
        <w:t>Supplier Power – Low</w:t>
      </w:r>
    </w:p>
    <w:p w14:paraId="79E04C64" w14:textId="77777777" w:rsidR="00585B22" w:rsidRDefault="00842D77">
      <w:pPr>
        <w:pStyle w:val="NormalWeb"/>
        <w:spacing w:line="360" w:lineRule="auto"/>
        <w:jc w:val="both"/>
        <w:rPr>
          <w:rFonts w:cs="Times New Roman"/>
        </w:rPr>
      </w:pPr>
      <w:r>
        <w:t xml:space="preserve">Banks depend on deposits, wholesale funding and human capital. Kenya has high volume of deposits and has competitive </w:t>
      </w:r>
      <w:proofErr w:type="spellStart"/>
      <w:r>
        <w:t>labour</w:t>
      </w:r>
      <w:proofErr w:type="spellEnd"/>
      <w:r>
        <w:t xml:space="preserve"> force, which </w:t>
      </w:r>
      <w:proofErr w:type="spellStart"/>
      <w:r>
        <w:t>minimises</w:t>
      </w:r>
      <w:proofErr w:type="spellEnd"/>
      <w:r>
        <w:t xml:space="preserve"> supplier power. With its network of global funding sources, HSBC can take advantage of low-cost capital, which provides it with a competitive edge over local banks (</w:t>
      </w:r>
      <w:proofErr w:type="spellStart"/>
      <w:r>
        <w:t>Ochieng</w:t>
      </w:r>
      <w:proofErr w:type="spellEnd"/>
      <w:r>
        <w:t xml:space="preserve"> et al., 2024)</w:t>
      </w:r>
      <w:r>
        <w:rPr>
          <w:rFonts w:cs="Times New Roman"/>
        </w:rPr>
        <w:t>.</w:t>
      </w:r>
    </w:p>
    <w:p w14:paraId="2CDF881F" w14:textId="77777777" w:rsidR="00585B22" w:rsidRDefault="00842D77">
      <w:pPr>
        <w:pStyle w:val="Heading3"/>
        <w:spacing w:line="360" w:lineRule="auto"/>
        <w:rPr>
          <w:rFonts w:cs="Times New Roman"/>
          <w:szCs w:val="24"/>
        </w:rPr>
      </w:pPr>
      <w:r>
        <w:rPr>
          <w:rStyle w:val="Strong"/>
          <w:rFonts w:cs="Times New Roman"/>
          <w:b/>
          <w:bCs/>
          <w:szCs w:val="24"/>
        </w:rPr>
        <w:t>Buyer Power – High</w:t>
      </w:r>
    </w:p>
    <w:p w14:paraId="1675E767" w14:textId="77777777" w:rsidR="00585B22" w:rsidRDefault="00842D77">
      <w:pPr>
        <w:pStyle w:val="NormalWeb"/>
        <w:spacing w:line="360" w:lineRule="auto"/>
        <w:jc w:val="both"/>
        <w:rPr>
          <w:rFonts w:cs="Times New Roman"/>
        </w:rPr>
      </w:pPr>
      <w:r>
        <w:t>Kenyan consumers are digitally savvy, price sensitive, choice-rich. Switching costs are not high because there are more than 40 licensed commercial banks (</w:t>
      </w:r>
      <w:proofErr w:type="spellStart"/>
      <w:r>
        <w:t>Kansongue</w:t>
      </w:r>
      <w:proofErr w:type="spellEnd"/>
      <w:r>
        <w:t xml:space="preserve">, </w:t>
      </w:r>
      <w:proofErr w:type="spellStart"/>
      <w:r>
        <w:t>Njuguna</w:t>
      </w:r>
      <w:proofErr w:type="spellEnd"/>
      <w:r>
        <w:t xml:space="preserve"> and </w:t>
      </w:r>
      <w:proofErr w:type="spellStart"/>
      <w:r>
        <w:t>Vertigans</w:t>
      </w:r>
      <w:proofErr w:type="spellEnd"/>
      <w:r>
        <w:t xml:space="preserve">, 2023). The prominent availability of </w:t>
      </w:r>
      <w:proofErr w:type="spellStart"/>
      <w:r>
        <w:t>fintech</w:t>
      </w:r>
      <w:proofErr w:type="spellEnd"/>
      <w:r>
        <w:t xml:space="preserve"> solutions and digital wallets heighten customer demands on the convenience and low prices. Corporate customers also have high buyer power because there are other regional banks</w:t>
      </w:r>
      <w:r>
        <w:rPr>
          <w:rFonts w:cs="Times New Roman"/>
        </w:rPr>
        <w:t>.</w:t>
      </w:r>
    </w:p>
    <w:p w14:paraId="443B219A" w14:textId="77777777" w:rsidR="00585B22" w:rsidRDefault="00842D77">
      <w:pPr>
        <w:pStyle w:val="Heading3"/>
        <w:spacing w:line="360" w:lineRule="auto"/>
        <w:rPr>
          <w:rFonts w:cs="Times New Roman"/>
          <w:szCs w:val="24"/>
        </w:rPr>
      </w:pPr>
      <w:r>
        <w:rPr>
          <w:rStyle w:val="Strong"/>
          <w:rFonts w:cs="Times New Roman"/>
          <w:b/>
          <w:bCs/>
          <w:szCs w:val="24"/>
        </w:rPr>
        <w:t>Threat of Substitutes – High</w:t>
      </w:r>
    </w:p>
    <w:p w14:paraId="2B84D9DA" w14:textId="77777777" w:rsidR="00585B22" w:rsidRDefault="00842D77">
      <w:pPr>
        <w:pStyle w:val="NormalWeb"/>
        <w:spacing w:line="360" w:lineRule="auto"/>
        <w:jc w:val="both"/>
        <w:rPr>
          <w:rFonts w:cs="Times New Roman"/>
        </w:rPr>
      </w:pPr>
      <w:r>
        <w:t xml:space="preserve">The financial ecosystem of Kenya entertains a diverse array of alternatives: mobile money, </w:t>
      </w:r>
      <w:proofErr w:type="spellStart"/>
      <w:r>
        <w:t>fintechs</w:t>
      </w:r>
      <w:proofErr w:type="spellEnd"/>
      <w:r>
        <w:t>, microfinance services and savings cooperatives (SACCOs). M-</w:t>
      </w:r>
      <w:proofErr w:type="spellStart"/>
      <w:r>
        <w:t>Pesa</w:t>
      </w:r>
      <w:proofErr w:type="spellEnd"/>
      <w:r>
        <w:t xml:space="preserve"> and other mobile financial intermediaries offer cheap and quick financial solutions, which is a significant threat of substitution to banks (</w:t>
      </w:r>
      <w:proofErr w:type="spellStart"/>
      <w:r>
        <w:t>Gürel</w:t>
      </w:r>
      <w:proofErr w:type="spellEnd"/>
      <w:r>
        <w:t xml:space="preserve"> and Tat, 2017). HSBC has to consider collaborating with players in the </w:t>
      </w:r>
      <w:proofErr w:type="spellStart"/>
      <w:r>
        <w:t>fintech</w:t>
      </w:r>
      <w:proofErr w:type="spellEnd"/>
      <w:r>
        <w:t xml:space="preserve"> market and adoption of mobile platforms in order to stay competitive</w:t>
      </w:r>
      <w:r>
        <w:rPr>
          <w:rFonts w:cs="Times New Roman"/>
        </w:rPr>
        <w:t>.</w:t>
      </w:r>
    </w:p>
    <w:p w14:paraId="22A64FEC" w14:textId="77777777" w:rsidR="00585B22" w:rsidRDefault="00842D77">
      <w:pPr>
        <w:pStyle w:val="Heading3"/>
        <w:spacing w:line="360" w:lineRule="auto"/>
        <w:rPr>
          <w:rFonts w:cs="Times New Roman"/>
          <w:szCs w:val="24"/>
        </w:rPr>
      </w:pPr>
      <w:r>
        <w:rPr>
          <w:rStyle w:val="Strong"/>
          <w:rFonts w:cs="Times New Roman"/>
          <w:b/>
          <w:bCs/>
          <w:szCs w:val="24"/>
        </w:rPr>
        <w:t>Competitive Rivalry – High</w:t>
      </w:r>
    </w:p>
    <w:p w14:paraId="6154CE66" w14:textId="77777777" w:rsidR="00585B22" w:rsidRDefault="00842D77">
      <w:pPr>
        <w:pStyle w:val="NormalWeb"/>
        <w:spacing w:line="360" w:lineRule="auto"/>
        <w:jc w:val="both"/>
        <w:rPr>
          <w:rFonts w:cs="Times New Roman"/>
        </w:rPr>
      </w:pPr>
      <w:r>
        <w:t>The market is competitive with the main players including Equity Bank, KCB, Co-operative Bank, Absa Kenya and Standard Chartered competing over customers (KPMG, 2023). Most of them have developed online systems, a high level of brand loyalty, and a well-developed network of branches. This is a high level of competition, which means HSBC has to think about differentiation, niche position and digital invention</w:t>
      </w:r>
      <w:r>
        <w:rPr>
          <w:rFonts w:cs="Times New Roman"/>
        </w:rPr>
        <w:t>.</w:t>
      </w:r>
    </w:p>
    <w:p w14:paraId="0D7F0BB4" w14:textId="77777777" w:rsidR="00585B22" w:rsidRDefault="00842D77">
      <w:pPr>
        <w:pStyle w:val="Heading3"/>
        <w:spacing w:line="360" w:lineRule="auto"/>
        <w:rPr>
          <w:rFonts w:cs="Times New Roman"/>
          <w:szCs w:val="24"/>
        </w:rPr>
      </w:pPr>
      <w:r>
        <w:rPr>
          <w:rStyle w:val="Strong"/>
          <w:rFonts w:cs="Times New Roman"/>
          <w:b/>
          <w:bCs/>
          <w:szCs w:val="24"/>
        </w:rPr>
        <w:t>Critical Evaluation of Five Forces</w:t>
      </w:r>
    </w:p>
    <w:p w14:paraId="5DF0BA67" w14:textId="77777777" w:rsidR="00585B22" w:rsidRDefault="00842D77">
      <w:pPr>
        <w:pStyle w:val="NormalWeb"/>
        <w:spacing w:line="360" w:lineRule="auto"/>
        <w:jc w:val="both"/>
        <w:rPr>
          <w:rFonts w:cs="Times New Roman"/>
        </w:rPr>
      </w:pPr>
      <w:r>
        <w:t xml:space="preserve">The model offered by Porter has a strong structural perspective, yet it does not sufficiently consider the dynamic aspects of the forces of change present in the markets, including regulatory changes, technological upheavals, collaborative ecosystems and </w:t>
      </w:r>
      <w:proofErr w:type="spellStart"/>
      <w:r>
        <w:t>fintech</w:t>
      </w:r>
      <w:proofErr w:type="spellEnd"/>
      <w:r>
        <w:t xml:space="preserve"> relationships (Engle and van </w:t>
      </w:r>
      <w:proofErr w:type="spellStart"/>
      <w:r>
        <w:t>Senten</w:t>
      </w:r>
      <w:proofErr w:type="spellEnd"/>
      <w:r>
        <w:t xml:space="preserve">, 2022). In Kenya, where </w:t>
      </w:r>
      <w:proofErr w:type="spellStart"/>
      <w:r>
        <w:t>fintechs</w:t>
      </w:r>
      <w:proofErr w:type="spellEnd"/>
      <w:r>
        <w:t xml:space="preserve"> disrupt the banking business by the </w:t>
      </w:r>
      <w:proofErr w:type="spellStart"/>
      <w:r>
        <w:t>telcos</w:t>
      </w:r>
      <w:proofErr w:type="spellEnd"/>
      <w:r>
        <w:t>, the model will have to be applied in addition to an analysis that incorporates technological and regulatory fluidity</w:t>
      </w:r>
      <w:r>
        <w:rPr>
          <w:rFonts w:cs="Times New Roman"/>
        </w:rPr>
        <w:t>.</w:t>
      </w:r>
    </w:p>
    <w:p w14:paraId="772BDC3A" w14:textId="77777777" w:rsidR="00585B22" w:rsidRDefault="00842D77">
      <w:pPr>
        <w:pStyle w:val="Heading2"/>
        <w:spacing w:line="360" w:lineRule="auto"/>
        <w:rPr>
          <w:rFonts w:cs="Times New Roman"/>
          <w:szCs w:val="24"/>
        </w:rPr>
      </w:pPr>
      <w:bookmarkStart w:id="16" w:name="_Toc31469"/>
      <w:r>
        <w:rPr>
          <w:rStyle w:val="Strong"/>
          <w:rFonts w:cs="Times New Roman"/>
          <w:b/>
          <w:bCs/>
          <w:szCs w:val="24"/>
        </w:rPr>
        <w:t>3.3 VRIO Analysis (HSBC’s Internal Strengths)</w:t>
      </w:r>
      <w:bookmarkEnd w:id="16"/>
    </w:p>
    <w:p w14:paraId="68ACA2F7" w14:textId="77777777" w:rsidR="00585B22" w:rsidRDefault="00842D77">
      <w:pPr>
        <w:pStyle w:val="Heading3"/>
      </w:pPr>
      <w:r>
        <w:rPr>
          <w:rStyle w:val="Strong"/>
          <w:b/>
          <w:bCs/>
        </w:rPr>
        <w:t xml:space="preserve">Table: VRIO Analysis – HSBC Internal Strengths in Kenya </w:t>
      </w:r>
      <w:r>
        <w:rPr>
          <w:rStyle w:val="Strong"/>
          <w:b/>
          <w:bCs/>
        </w:rPr>
        <w:t>(</w:t>
      </w:r>
      <w:proofErr w:type="spellStart"/>
      <w:r>
        <w:rPr>
          <w:rStyle w:val="Strong"/>
          <w:b/>
          <w:bCs/>
        </w:rPr>
        <w:t>Source:Selfmade</w:t>
      </w:r>
      <w:proofErr w:type="spellEnd"/>
      <w:r>
        <w:rPr>
          <w:rStyle w:val="Strong"/>
          <w:b/>
          <w:bCs/>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1"/>
        <w:gridCol w:w="947"/>
        <w:gridCol w:w="602"/>
        <w:gridCol w:w="1069"/>
        <w:gridCol w:w="1610"/>
        <w:gridCol w:w="1927"/>
      </w:tblGrid>
      <w:tr w:rsidR="00585B22" w14:paraId="515DC475" w14:textId="77777777">
        <w:trPr>
          <w:tblHeader/>
          <w:tblCellSpacing w:w="15" w:type="dxa"/>
        </w:trPr>
        <w:tc>
          <w:tcPr>
            <w:tcW w:w="0" w:type="auto"/>
            <w:vAlign w:val="center"/>
          </w:tcPr>
          <w:p w14:paraId="41F4CE59" w14:textId="77777777" w:rsidR="00585B22" w:rsidRDefault="00842D77">
            <w:pPr>
              <w:spacing w:line="360" w:lineRule="auto"/>
              <w:rPr>
                <w:rFonts w:cs="Times New Roman"/>
                <w:b/>
                <w:bCs/>
                <w:sz w:val="20"/>
              </w:rPr>
            </w:pPr>
            <w:r>
              <w:rPr>
                <w:rStyle w:val="Strong"/>
                <w:rFonts w:eastAsia="SimSun" w:cs="Times New Roman"/>
                <w:sz w:val="20"/>
                <w:lang w:bidi="ar"/>
              </w:rPr>
              <w:t>Resource / Capability</w:t>
            </w:r>
          </w:p>
        </w:tc>
        <w:tc>
          <w:tcPr>
            <w:tcW w:w="0" w:type="auto"/>
            <w:vAlign w:val="center"/>
          </w:tcPr>
          <w:p w14:paraId="679D0665" w14:textId="77777777" w:rsidR="00585B22" w:rsidRDefault="00842D77">
            <w:pPr>
              <w:spacing w:line="360" w:lineRule="auto"/>
              <w:rPr>
                <w:rFonts w:cs="Times New Roman"/>
                <w:b/>
                <w:bCs/>
                <w:sz w:val="20"/>
              </w:rPr>
            </w:pPr>
            <w:r>
              <w:rPr>
                <w:rStyle w:val="Strong"/>
                <w:rFonts w:eastAsia="SimSun" w:cs="Times New Roman"/>
                <w:sz w:val="20"/>
                <w:lang w:bidi="ar"/>
              </w:rPr>
              <w:t>Valuable?</w:t>
            </w:r>
          </w:p>
        </w:tc>
        <w:tc>
          <w:tcPr>
            <w:tcW w:w="0" w:type="auto"/>
            <w:vAlign w:val="center"/>
          </w:tcPr>
          <w:p w14:paraId="0E0B3746" w14:textId="77777777" w:rsidR="00585B22" w:rsidRDefault="00842D77">
            <w:pPr>
              <w:spacing w:line="360" w:lineRule="auto"/>
              <w:rPr>
                <w:rFonts w:cs="Times New Roman"/>
                <w:b/>
                <w:bCs/>
                <w:sz w:val="20"/>
              </w:rPr>
            </w:pPr>
            <w:r>
              <w:rPr>
                <w:rStyle w:val="Strong"/>
                <w:rFonts w:eastAsia="SimSun" w:cs="Times New Roman"/>
                <w:sz w:val="20"/>
                <w:lang w:bidi="ar"/>
              </w:rPr>
              <w:t>Rare?</w:t>
            </w:r>
          </w:p>
        </w:tc>
        <w:tc>
          <w:tcPr>
            <w:tcW w:w="0" w:type="auto"/>
            <w:vAlign w:val="center"/>
          </w:tcPr>
          <w:p w14:paraId="5F541F17" w14:textId="77777777" w:rsidR="00585B22" w:rsidRDefault="00842D77">
            <w:pPr>
              <w:spacing w:line="360" w:lineRule="auto"/>
              <w:rPr>
                <w:rFonts w:cs="Times New Roman"/>
                <w:b/>
                <w:bCs/>
                <w:sz w:val="20"/>
              </w:rPr>
            </w:pPr>
            <w:r>
              <w:rPr>
                <w:rStyle w:val="Strong"/>
                <w:rFonts w:eastAsia="SimSun" w:cs="Times New Roman"/>
                <w:sz w:val="20"/>
                <w:lang w:bidi="ar"/>
              </w:rPr>
              <w:t>Inimitable?</w:t>
            </w:r>
          </w:p>
        </w:tc>
        <w:tc>
          <w:tcPr>
            <w:tcW w:w="0" w:type="auto"/>
            <w:vAlign w:val="center"/>
          </w:tcPr>
          <w:p w14:paraId="3939AB12" w14:textId="77777777" w:rsidR="00585B22" w:rsidRDefault="00842D77">
            <w:pPr>
              <w:spacing w:line="360" w:lineRule="auto"/>
              <w:rPr>
                <w:rFonts w:cs="Times New Roman"/>
                <w:b/>
                <w:bCs/>
                <w:sz w:val="20"/>
              </w:rPr>
            </w:pPr>
            <w:proofErr w:type="spellStart"/>
            <w:r>
              <w:rPr>
                <w:rStyle w:val="Strong"/>
                <w:rFonts w:eastAsia="SimSun" w:cs="Times New Roman"/>
                <w:sz w:val="20"/>
                <w:lang w:bidi="ar"/>
              </w:rPr>
              <w:t>Organised</w:t>
            </w:r>
            <w:proofErr w:type="spellEnd"/>
            <w:r>
              <w:rPr>
                <w:rStyle w:val="Strong"/>
                <w:rFonts w:eastAsia="SimSun" w:cs="Times New Roman"/>
                <w:sz w:val="20"/>
                <w:lang w:bidi="ar"/>
              </w:rPr>
              <w:t xml:space="preserve"> to Capture Value?</w:t>
            </w:r>
          </w:p>
        </w:tc>
        <w:tc>
          <w:tcPr>
            <w:tcW w:w="0" w:type="auto"/>
            <w:vAlign w:val="center"/>
          </w:tcPr>
          <w:p w14:paraId="746492B9" w14:textId="77777777" w:rsidR="00585B22" w:rsidRDefault="00842D77">
            <w:pPr>
              <w:spacing w:line="360" w:lineRule="auto"/>
              <w:rPr>
                <w:rFonts w:cs="Times New Roman"/>
                <w:b/>
                <w:bCs/>
                <w:sz w:val="20"/>
              </w:rPr>
            </w:pPr>
            <w:r>
              <w:rPr>
                <w:rStyle w:val="Strong"/>
                <w:rFonts w:eastAsia="SimSun" w:cs="Times New Roman"/>
                <w:sz w:val="20"/>
                <w:lang w:bidi="ar"/>
              </w:rPr>
              <w:t>Competitive Outcome</w:t>
            </w:r>
          </w:p>
        </w:tc>
      </w:tr>
      <w:tr w:rsidR="00585B22" w14:paraId="115ED11A" w14:textId="77777777">
        <w:trPr>
          <w:tblCellSpacing w:w="15" w:type="dxa"/>
        </w:trPr>
        <w:tc>
          <w:tcPr>
            <w:tcW w:w="0" w:type="auto"/>
            <w:vAlign w:val="center"/>
          </w:tcPr>
          <w:p w14:paraId="1546A315" w14:textId="77777777" w:rsidR="00585B22" w:rsidRDefault="00842D77">
            <w:pPr>
              <w:spacing w:line="360" w:lineRule="auto"/>
              <w:rPr>
                <w:rFonts w:cs="Times New Roman"/>
                <w:sz w:val="20"/>
              </w:rPr>
            </w:pPr>
            <w:r>
              <w:rPr>
                <w:rStyle w:val="Strong"/>
                <w:rFonts w:eastAsia="SimSun" w:cs="Times New Roman"/>
                <w:b w:val="0"/>
                <w:bCs w:val="0"/>
                <w:sz w:val="20"/>
                <w:lang w:bidi="ar"/>
              </w:rPr>
              <w:t>1. Brand Reputation</w:t>
            </w:r>
          </w:p>
        </w:tc>
        <w:tc>
          <w:tcPr>
            <w:tcW w:w="0" w:type="auto"/>
            <w:vAlign w:val="center"/>
          </w:tcPr>
          <w:p w14:paraId="51EB29A8"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45A9E161"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21382DCB"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03417946"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01D63293" w14:textId="77777777" w:rsidR="00585B22" w:rsidRDefault="00842D77">
            <w:pPr>
              <w:spacing w:line="360" w:lineRule="auto"/>
              <w:rPr>
                <w:rFonts w:cs="Times New Roman"/>
                <w:sz w:val="20"/>
              </w:rPr>
            </w:pPr>
            <w:r>
              <w:rPr>
                <w:rStyle w:val="Strong"/>
                <w:rFonts w:eastAsia="SimSun" w:cs="Times New Roman"/>
                <w:sz w:val="20"/>
                <w:lang w:bidi="ar"/>
              </w:rPr>
              <w:t>Sustained Competitive Advantage</w:t>
            </w:r>
          </w:p>
        </w:tc>
      </w:tr>
      <w:tr w:rsidR="00585B22" w14:paraId="2FAC887C" w14:textId="77777777">
        <w:trPr>
          <w:tblCellSpacing w:w="15" w:type="dxa"/>
        </w:trPr>
        <w:tc>
          <w:tcPr>
            <w:tcW w:w="0" w:type="auto"/>
            <w:vAlign w:val="center"/>
          </w:tcPr>
          <w:p w14:paraId="7D88968C" w14:textId="77777777" w:rsidR="00585B22" w:rsidRDefault="00842D77">
            <w:pPr>
              <w:spacing w:line="360" w:lineRule="auto"/>
              <w:rPr>
                <w:rFonts w:cs="Times New Roman"/>
                <w:sz w:val="20"/>
              </w:rPr>
            </w:pPr>
            <w:r>
              <w:rPr>
                <w:rStyle w:val="Strong"/>
                <w:rFonts w:eastAsia="SimSun" w:cs="Times New Roman"/>
                <w:b w:val="0"/>
                <w:bCs w:val="0"/>
                <w:sz w:val="20"/>
                <w:lang w:bidi="ar"/>
              </w:rPr>
              <w:t>2. Technology Capabilities (AI, Cloud, Digital)</w:t>
            </w:r>
          </w:p>
        </w:tc>
        <w:tc>
          <w:tcPr>
            <w:tcW w:w="0" w:type="auto"/>
            <w:vAlign w:val="center"/>
          </w:tcPr>
          <w:p w14:paraId="7C0475B5"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52248A54"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5EDB8FCE" w14:textId="77777777" w:rsidR="00585B22" w:rsidRDefault="00842D77">
            <w:pPr>
              <w:spacing w:line="360" w:lineRule="auto"/>
              <w:rPr>
                <w:rFonts w:cs="Times New Roman"/>
                <w:sz w:val="20"/>
              </w:rPr>
            </w:pPr>
            <w:r>
              <w:rPr>
                <w:rFonts w:eastAsia="SimSun" w:cs="Times New Roman"/>
                <w:sz w:val="20"/>
                <w:lang w:bidi="ar"/>
              </w:rPr>
              <w:t>No</w:t>
            </w:r>
          </w:p>
        </w:tc>
        <w:tc>
          <w:tcPr>
            <w:tcW w:w="0" w:type="auto"/>
            <w:vAlign w:val="center"/>
          </w:tcPr>
          <w:p w14:paraId="2828C321"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3ED2950A" w14:textId="77777777" w:rsidR="00585B22" w:rsidRDefault="00842D77">
            <w:pPr>
              <w:spacing w:line="360" w:lineRule="auto"/>
              <w:rPr>
                <w:rFonts w:cs="Times New Roman"/>
                <w:sz w:val="20"/>
              </w:rPr>
            </w:pPr>
            <w:r>
              <w:rPr>
                <w:rStyle w:val="Strong"/>
                <w:rFonts w:eastAsia="SimSun" w:cs="Times New Roman"/>
                <w:sz w:val="20"/>
                <w:lang w:bidi="ar"/>
              </w:rPr>
              <w:t>Temporary Competitive Advantage</w:t>
            </w:r>
          </w:p>
        </w:tc>
      </w:tr>
      <w:tr w:rsidR="00585B22" w14:paraId="6ED4E0F3" w14:textId="77777777">
        <w:trPr>
          <w:tblCellSpacing w:w="15" w:type="dxa"/>
        </w:trPr>
        <w:tc>
          <w:tcPr>
            <w:tcW w:w="0" w:type="auto"/>
            <w:vAlign w:val="center"/>
          </w:tcPr>
          <w:p w14:paraId="08FCCD73" w14:textId="77777777" w:rsidR="00585B22" w:rsidRDefault="00842D77">
            <w:pPr>
              <w:spacing w:line="360" w:lineRule="auto"/>
              <w:rPr>
                <w:rFonts w:cs="Times New Roman"/>
                <w:sz w:val="20"/>
              </w:rPr>
            </w:pPr>
            <w:r>
              <w:rPr>
                <w:rStyle w:val="Strong"/>
                <w:rFonts w:eastAsia="SimSun" w:cs="Times New Roman"/>
                <w:b w:val="0"/>
                <w:bCs w:val="0"/>
                <w:sz w:val="20"/>
                <w:lang w:bidi="ar"/>
              </w:rPr>
              <w:t>3. Global Network &amp; Cross-Border Connectivity</w:t>
            </w:r>
          </w:p>
        </w:tc>
        <w:tc>
          <w:tcPr>
            <w:tcW w:w="0" w:type="auto"/>
            <w:vAlign w:val="center"/>
          </w:tcPr>
          <w:p w14:paraId="6562646E"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0AB3BDE2"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2C884C7D"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03EB1288"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6C32AAF1" w14:textId="77777777" w:rsidR="00585B22" w:rsidRDefault="00842D77">
            <w:pPr>
              <w:spacing w:line="360" w:lineRule="auto"/>
              <w:rPr>
                <w:rFonts w:cs="Times New Roman"/>
                <w:sz w:val="20"/>
              </w:rPr>
            </w:pPr>
            <w:r>
              <w:rPr>
                <w:rStyle w:val="Strong"/>
                <w:rFonts w:eastAsia="SimSun" w:cs="Times New Roman"/>
                <w:sz w:val="20"/>
                <w:lang w:bidi="ar"/>
              </w:rPr>
              <w:t>Sustained Competitive Advantage</w:t>
            </w:r>
          </w:p>
        </w:tc>
      </w:tr>
      <w:tr w:rsidR="00585B22" w14:paraId="6709C06F" w14:textId="77777777">
        <w:trPr>
          <w:tblCellSpacing w:w="15" w:type="dxa"/>
        </w:trPr>
        <w:tc>
          <w:tcPr>
            <w:tcW w:w="0" w:type="auto"/>
            <w:vAlign w:val="center"/>
          </w:tcPr>
          <w:p w14:paraId="77C6BECA" w14:textId="77777777" w:rsidR="00585B22" w:rsidRDefault="00842D77">
            <w:pPr>
              <w:spacing w:line="360" w:lineRule="auto"/>
              <w:rPr>
                <w:rFonts w:cs="Times New Roman"/>
                <w:sz w:val="20"/>
              </w:rPr>
            </w:pPr>
            <w:r>
              <w:rPr>
                <w:rStyle w:val="Strong"/>
                <w:rFonts w:eastAsia="SimSun" w:cs="Times New Roman"/>
                <w:b w:val="0"/>
                <w:bCs w:val="0"/>
                <w:sz w:val="20"/>
                <w:lang w:bidi="ar"/>
              </w:rPr>
              <w:t>4. Human Capital (Risk &amp; Treasury Expertise)</w:t>
            </w:r>
          </w:p>
        </w:tc>
        <w:tc>
          <w:tcPr>
            <w:tcW w:w="0" w:type="auto"/>
            <w:vAlign w:val="center"/>
          </w:tcPr>
          <w:p w14:paraId="1E92369C"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6A45AF73" w14:textId="77777777" w:rsidR="00585B22" w:rsidRDefault="00842D77">
            <w:pPr>
              <w:spacing w:line="360" w:lineRule="auto"/>
              <w:rPr>
                <w:rFonts w:cs="Times New Roman"/>
                <w:sz w:val="20"/>
              </w:rPr>
            </w:pPr>
            <w:r>
              <w:rPr>
                <w:rFonts w:eastAsia="SimSun" w:cs="Times New Roman"/>
                <w:sz w:val="20"/>
                <w:lang w:bidi="ar"/>
              </w:rPr>
              <w:t>No</w:t>
            </w:r>
          </w:p>
        </w:tc>
        <w:tc>
          <w:tcPr>
            <w:tcW w:w="0" w:type="auto"/>
            <w:vAlign w:val="center"/>
          </w:tcPr>
          <w:p w14:paraId="0E68B223" w14:textId="77777777" w:rsidR="00585B22" w:rsidRDefault="00842D77">
            <w:pPr>
              <w:spacing w:line="360" w:lineRule="auto"/>
              <w:rPr>
                <w:rFonts w:cs="Times New Roman"/>
                <w:sz w:val="20"/>
              </w:rPr>
            </w:pPr>
            <w:r>
              <w:rPr>
                <w:rFonts w:eastAsia="SimSun" w:cs="Times New Roman"/>
                <w:sz w:val="20"/>
                <w:lang w:bidi="ar"/>
              </w:rPr>
              <w:t>No</w:t>
            </w:r>
          </w:p>
        </w:tc>
        <w:tc>
          <w:tcPr>
            <w:tcW w:w="0" w:type="auto"/>
            <w:vAlign w:val="center"/>
          </w:tcPr>
          <w:p w14:paraId="618696A5" w14:textId="77777777" w:rsidR="00585B22" w:rsidRDefault="00842D77">
            <w:pPr>
              <w:spacing w:line="360" w:lineRule="auto"/>
              <w:rPr>
                <w:rFonts w:cs="Times New Roman"/>
                <w:sz w:val="20"/>
              </w:rPr>
            </w:pPr>
            <w:r>
              <w:rPr>
                <w:rFonts w:eastAsia="SimSun" w:cs="Times New Roman"/>
                <w:sz w:val="20"/>
                <w:lang w:bidi="ar"/>
              </w:rPr>
              <w:t>No</w:t>
            </w:r>
          </w:p>
        </w:tc>
        <w:tc>
          <w:tcPr>
            <w:tcW w:w="0" w:type="auto"/>
            <w:vAlign w:val="center"/>
          </w:tcPr>
          <w:p w14:paraId="034E1F0C" w14:textId="77777777" w:rsidR="00585B22" w:rsidRDefault="00842D77">
            <w:pPr>
              <w:spacing w:line="360" w:lineRule="auto"/>
              <w:rPr>
                <w:rFonts w:cs="Times New Roman"/>
                <w:sz w:val="20"/>
              </w:rPr>
            </w:pPr>
            <w:r>
              <w:rPr>
                <w:rStyle w:val="Strong"/>
                <w:rFonts w:eastAsia="SimSun" w:cs="Times New Roman"/>
                <w:sz w:val="20"/>
                <w:lang w:bidi="ar"/>
              </w:rPr>
              <w:t>Competitive Parity</w:t>
            </w:r>
          </w:p>
        </w:tc>
      </w:tr>
      <w:tr w:rsidR="00585B22" w14:paraId="728CB191" w14:textId="77777777">
        <w:trPr>
          <w:tblCellSpacing w:w="15" w:type="dxa"/>
        </w:trPr>
        <w:tc>
          <w:tcPr>
            <w:tcW w:w="0" w:type="auto"/>
            <w:vAlign w:val="center"/>
          </w:tcPr>
          <w:p w14:paraId="7C28618D" w14:textId="77777777" w:rsidR="00585B22" w:rsidRDefault="00842D77">
            <w:pPr>
              <w:spacing w:line="360" w:lineRule="auto"/>
              <w:rPr>
                <w:rFonts w:cs="Times New Roman"/>
                <w:sz w:val="20"/>
              </w:rPr>
            </w:pPr>
            <w:r>
              <w:rPr>
                <w:rStyle w:val="Strong"/>
                <w:rFonts w:eastAsia="SimSun" w:cs="Times New Roman"/>
                <w:b w:val="0"/>
                <w:bCs w:val="0"/>
                <w:sz w:val="20"/>
                <w:lang w:bidi="ar"/>
              </w:rPr>
              <w:t>5. ESG Leadership (Green Finance Strategy)</w:t>
            </w:r>
          </w:p>
        </w:tc>
        <w:tc>
          <w:tcPr>
            <w:tcW w:w="0" w:type="auto"/>
            <w:vAlign w:val="center"/>
          </w:tcPr>
          <w:p w14:paraId="34335F66"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31DFAB97"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6CC68A08" w14:textId="77777777" w:rsidR="00585B22" w:rsidRDefault="00842D77">
            <w:pPr>
              <w:spacing w:line="360" w:lineRule="auto"/>
              <w:rPr>
                <w:rFonts w:cs="Times New Roman"/>
                <w:sz w:val="20"/>
              </w:rPr>
            </w:pPr>
            <w:r>
              <w:rPr>
                <w:rFonts w:eastAsia="SimSun" w:cs="Times New Roman"/>
                <w:sz w:val="20"/>
                <w:lang w:bidi="ar"/>
              </w:rPr>
              <w:t>No</w:t>
            </w:r>
          </w:p>
        </w:tc>
        <w:tc>
          <w:tcPr>
            <w:tcW w:w="0" w:type="auto"/>
            <w:vAlign w:val="center"/>
          </w:tcPr>
          <w:p w14:paraId="17AA4E5E"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7B8D308E" w14:textId="77777777" w:rsidR="00585B22" w:rsidRDefault="00842D77">
            <w:pPr>
              <w:spacing w:line="360" w:lineRule="auto"/>
              <w:rPr>
                <w:rFonts w:cs="Times New Roman"/>
                <w:sz w:val="20"/>
              </w:rPr>
            </w:pPr>
            <w:r>
              <w:rPr>
                <w:rStyle w:val="Strong"/>
                <w:rFonts w:eastAsia="SimSun" w:cs="Times New Roman"/>
                <w:sz w:val="20"/>
                <w:lang w:bidi="ar"/>
              </w:rPr>
              <w:t>Potential Competitive Advantage</w:t>
            </w:r>
          </w:p>
        </w:tc>
      </w:tr>
      <w:tr w:rsidR="00585B22" w14:paraId="5D83C944" w14:textId="77777777">
        <w:trPr>
          <w:tblCellSpacing w:w="15" w:type="dxa"/>
        </w:trPr>
        <w:tc>
          <w:tcPr>
            <w:tcW w:w="0" w:type="auto"/>
            <w:vAlign w:val="center"/>
          </w:tcPr>
          <w:p w14:paraId="1A84FCCB" w14:textId="77777777" w:rsidR="00585B22" w:rsidRDefault="00842D77">
            <w:pPr>
              <w:spacing w:line="360" w:lineRule="auto"/>
              <w:rPr>
                <w:rFonts w:cs="Times New Roman"/>
                <w:sz w:val="20"/>
              </w:rPr>
            </w:pPr>
            <w:r>
              <w:rPr>
                <w:rStyle w:val="Strong"/>
                <w:rFonts w:eastAsia="SimSun" w:cs="Times New Roman"/>
                <w:b w:val="0"/>
                <w:bCs w:val="0"/>
                <w:sz w:val="20"/>
                <w:lang w:bidi="ar"/>
              </w:rPr>
              <w:t>6. Financial Strength &amp; Capital Base</w:t>
            </w:r>
          </w:p>
        </w:tc>
        <w:tc>
          <w:tcPr>
            <w:tcW w:w="0" w:type="auto"/>
            <w:vAlign w:val="center"/>
          </w:tcPr>
          <w:p w14:paraId="7AE2A79F"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64458196"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598936E0"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000B11FC" w14:textId="77777777" w:rsidR="00585B22" w:rsidRDefault="00842D77">
            <w:pPr>
              <w:spacing w:line="360" w:lineRule="auto"/>
              <w:rPr>
                <w:rFonts w:cs="Times New Roman"/>
                <w:sz w:val="20"/>
              </w:rPr>
            </w:pPr>
            <w:r>
              <w:rPr>
                <w:rFonts w:eastAsia="SimSun" w:cs="Times New Roman"/>
                <w:sz w:val="20"/>
                <w:lang w:bidi="ar"/>
              </w:rPr>
              <w:t>Yes</w:t>
            </w:r>
          </w:p>
        </w:tc>
        <w:tc>
          <w:tcPr>
            <w:tcW w:w="0" w:type="auto"/>
            <w:vAlign w:val="center"/>
          </w:tcPr>
          <w:p w14:paraId="43BDA585" w14:textId="77777777" w:rsidR="00585B22" w:rsidRDefault="00842D77">
            <w:pPr>
              <w:spacing w:line="360" w:lineRule="auto"/>
              <w:rPr>
                <w:rFonts w:cs="Times New Roman"/>
                <w:sz w:val="20"/>
              </w:rPr>
            </w:pPr>
            <w:r>
              <w:rPr>
                <w:rStyle w:val="Strong"/>
                <w:rFonts w:eastAsia="SimSun" w:cs="Times New Roman"/>
                <w:sz w:val="20"/>
                <w:lang w:bidi="ar"/>
              </w:rPr>
              <w:t>Sustained Competitive Advantage</w:t>
            </w:r>
          </w:p>
        </w:tc>
      </w:tr>
    </w:tbl>
    <w:p w14:paraId="23CD1709" w14:textId="77777777" w:rsidR="00585B22" w:rsidRDefault="00585B22">
      <w:pPr>
        <w:pStyle w:val="NormalWeb"/>
        <w:spacing w:line="360" w:lineRule="auto"/>
        <w:jc w:val="both"/>
        <w:rPr>
          <w:rFonts w:cs="Times New Roman"/>
        </w:rPr>
      </w:pPr>
    </w:p>
    <w:p w14:paraId="0DF98C3D" w14:textId="77777777" w:rsidR="00585B22" w:rsidRDefault="00842D77">
      <w:pPr>
        <w:pStyle w:val="NormalWeb"/>
        <w:spacing w:line="360" w:lineRule="auto"/>
        <w:jc w:val="both"/>
        <w:rPr>
          <w:rFonts w:cs="Times New Roman"/>
        </w:rPr>
      </w:pPr>
      <w:r>
        <w:t>The VRIO analysis indicates that HSBC has several good internal capabilities, but their sustainability in Kenya is mixed. Brand reputation, financial capacity, and international web of contacts obviously generate long term strategic advantage that can hardly be emulated by local banks</w:t>
      </w:r>
      <w:r>
        <w:t xml:space="preserve"> </w:t>
      </w:r>
      <w:r>
        <w:t>(</w:t>
      </w:r>
      <w:proofErr w:type="spellStart"/>
      <w:r>
        <w:t>Yusop</w:t>
      </w:r>
      <w:proofErr w:type="spellEnd"/>
      <w:r>
        <w:t xml:space="preserve">, 2018). Nevertheless, technology capabilities and ESG leadership, though valuable and rare, is prone to imitation, particularly by fast-moving </w:t>
      </w:r>
      <w:proofErr w:type="spellStart"/>
      <w:r>
        <w:t>fintechs</w:t>
      </w:r>
      <w:proofErr w:type="spellEnd"/>
      <w:r>
        <w:t xml:space="preserve"> and domestic banks which have invested in sustainability. Human capital shows the least promising performance, with the </w:t>
      </w:r>
      <w:proofErr w:type="spellStart"/>
      <w:r>
        <w:t>localisation</w:t>
      </w:r>
      <w:proofErr w:type="spellEnd"/>
      <w:r>
        <w:t xml:space="preserve"> being limited, the rarity is decreased, and the risk of losing the knowledge to the rivalry heightened</w:t>
      </w:r>
      <w:r>
        <w:t xml:space="preserve"> </w:t>
      </w:r>
      <w:r>
        <w:t>(</w:t>
      </w:r>
      <w:proofErr w:type="spellStart"/>
      <w:r>
        <w:t>Yüksel</w:t>
      </w:r>
      <w:proofErr w:type="spellEnd"/>
      <w:r>
        <w:t>, 2012). All in all, HSBC has considerable strengths, yet to remain competitive in Kenya, the company must in</w:t>
      </w:r>
      <w:r>
        <w:t>novate constantly, nurture talent, and integrate further into the market</w:t>
      </w:r>
      <w:r>
        <w:rPr>
          <w:rFonts w:cs="Times New Roman"/>
        </w:rPr>
        <w:t>.</w:t>
      </w:r>
    </w:p>
    <w:p w14:paraId="3985BD14" w14:textId="77777777" w:rsidR="00585B22" w:rsidRDefault="00842D77">
      <w:pPr>
        <w:pStyle w:val="Heading2"/>
        <w:spacing w:line="360" w:lineRule="auto"/>
        <w:rPr>
          <w:rFonts w:cs="Times New Roman"/>
          <w:szCs w:val="24"/>
        </w:rPr>
      </w:pPr>
      <w:bookmarkStart w:id="17" w:name="_Toc25422"/>
      <w:r>
        <w:rPr>
          <w:rStyle w:val="Strong"/>
          <w:rFonts w:cs="Times New Roman"/>
          <w:b/>
          <w:bCs/>
          <w:szCs w:val="24"/>
        </w:rPr>
        <w:t>3.4 Porter’s Diamond</w:t>
      </w:r>
      <w:bookmarkEnd w:id="17"/>
      <w:r>
        <w:rPr>
          <w:rStyle w:val="Strong"/>
          <w:rFonts w:cs="Times New Roman"/>
          <w:b/>
          <w:bCs/>
          <w:szCs w:val="24"/>
        </w:rPr>
        <w:t xml:space="preserve"> </w:t>
      </w:r>
    </w:p>
    <w:p w14:paraId="5AB37597" w14:textId="77777777" w:rsidR="00585B22" w:rsidRDefault="00842D77">
      <w:pPr>
        <w:pStyle w:val="NormalWeb"/>
        <w:spacing w:line="360" w:lineRule="auto"/>
        <w:jc w:val="both"/>
        <w:rPr>
          <w:rFonts w:cs="Times New Roman"/>
        </w:rPr>
      </w:pPr>
      <w:r>
        <w:t>The Diamond by Porter indicates why Kenya has the potential to facilitate successful banking operations</w:t>
      </w:r>
      <w:r>
        <w:rPr>
          <w:rFonts w:cs="Times New Roman"/>
        </w:rPr>
        <w:t>.</w:t>
      </w:r>
    </w:p>
    <w:p w14:paraId="31B30D14" w14:textId="77777777" w:rsidR="00585B22" w:rsidRDefault="00842D77">
      <w:pPr>
        <w:pStyle w:val="NormalWeb"/>
        <w:spacing w:line="360" w:lineRule="auto"/>
        <w:jc w:val="both"/>
        <w:rPr>
          <w:rFonts w:cs="Times New Roman"/>
        </w:rPr>
      </w:pPr>
      <w:r>
        <w:rPr>
          <w:rFonts w:cs="Times New Roman"/>
          <w:noProof/>
        </w:rPr>
        <w:drawing>
          <wp:inline distT="0" distB="0" distL="114300" distR="114300" wp14:anchorId="27A854E6" wp14:editId="7FCDC85A">
            <wp:extent cx="4300220" cy="3422650"/>
            <wp:effectExtent l="0" t="0" r="0" b="0"/>
            <wp:docPr id="6" name="Picture 6" descr="porter_diamond_ken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porter_diamond_kenya"/>
                    <pic:cNvPicPr>
                      <a:picLocks noChangeAspect="1"/>
                    </pic:cNvPicPr>
                  </pic:nvPicPr>
                  <pic:blipFill>
                    <a:blip r:embed="rId13"/>
                    <a:srcRect l="12042" t="7467" r="6407" b="5989"/>
                    <a:stretch>
                      <a:fillRect/>
                    </a:stretch>
                  </pic:blipFill>
                  <pic:spPr>
                    <a:xfrm>
                      <a:off x="0" y="0"/>
                      <a:ext cx="4300220" cy="3422650"/>
                    </a:xfrm>
                    <a:prstGeom prst="rect">
                      <a:avLst/>
                    </a:prstGeom>
                  </pic:spPr>
                </pic:pic>
              </a:graphicData>
            </a:graphic>
          </wp:inline>
        </w:drawing>
      </w:r>
    </w:p>
    <w:p w14:paraId="3D098F55" w14:textId="77777777" w:rsidR="00585B22" w:rsidRDefault="00842D77">
      <w:pPr>
        <w:pStyle w:val="Caption"/>
        <w:spacing w:line="360" w:lineRule="auto"/>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t>4</w:t>
      </w:r>
      <w:r>
        <w:fldChar w:fldCharType="end"/>
      </w:r>
      <w:r>
        <w:t>: Porter’s Diamond Framework</w:t>
      </w:r>
    </w:p>
    <w:p w14:paraId="32CC8C44" w14:textId="77777777" w:rsidR="00585B22" w:rsidRDefault="00842D77">
      <w:pPr>
        <w:rPr>
          <w:b/>
          <w:bCs/>
        </w:rPr>
      </w:pPr>
      <w:r>
        <w:rPr>
          <w:b/>
          <w:bCs/>
        </w:rPr>
        <w:t>Factor Conditions</w:t>
      </w:r>
    </w:p>
    <w:p w14:paraId="6C2DE51E" w14:textId="77777777" w:rsidR="00585B22" w:rsidRDefault="00842D77">
      <w:pPr>
        <w:pStyle w:val="NormalWeb"/>
        <w:spacing w:line="360" w:lineRule="auto"/>
        <w:jc w:val="both"/>
        <w:rPr>
          <w:rFonts w:cs="Times New Roman"/>
        </w:rPr>
      </w:pPr>
      <w:r>
        <w:t>Kenya possesses great human capital in the field of ICT, high mobile-money penetration, and an enhancing infrastructure (World Bank, 2023). Nevertheless, the maturity and the risk-governance capacities of capital markets are still imbalanced</w:t>
      </w:r>
      <w:r>
        <w:rPr>
          <w:rFonts w:cs="Times New Roman"/>
        </w:rPr>
        <w:t>.</w:t>
      </w:r>
    </w:p>
    <w:p w14:paraId="37BB96A0" w14:textId="77777777" w:rsidR="00585B22" w:rsidRDefault="00842D77">
      <w:pPr>
        <w:rPr>
          <w:b/>
          <w:bCs/>
        </w:rPr>
      </w:pPr>
      <w:r>
        <w:rPr>
          <w:b/>
          <w:bCs/>
        </w:rPr>
        <w:t>Demand Conditions</w:t>
      </w:r>
    </w:p>
    <w:p w14:paraId="328E532A" w14:textId="77777777" w:rsidR="00585B22" w:rsidRDefault="00842D77">
      <w:pPr>
        <w:pStyle w:val="NormalWeb"/>
        <w:spacing w:line="360" w:lineRule="auto"/>
        <w:jc w:val="both"/>
        <w:rPr>
          <w:rFonts w:cs="Times New Roman"/>
        </w:rPr>
      </w:pPr>
      <w:r>
        <w:t>Increasing SME sector and high levels of digital usage following the expansion of the middle class increase high-tech demands on modern financial services (KPMG, 2022). The trade finance and international banking is in demand due to the expansion of global trade in Kenya</w:t>
      </w:r>
      <w:r>
        <w:rPr>
          <w:rFonts w:cs="Times New Roman"/>
        </w:rPr>
        <w:t>.</w:t>
      </w:r>
    </w:p>
    <w:p w14:paraId="19194056" w14:textId="77777777" w:rsidR="00585B22" w:rsidRDefault="00842D77">
      <w:pPr>
        <w:rPr>
          <w:b/>
          <w:bCs/>
        </w:rPr>
      </w:pPr>
      <w:r>
        <w:rPr>
          <w:b/>
          <w:bCs/>
        </w:rPr>
        <w:t>Related &amp; Supporting Industries</w:t>
      </w:r>
    </w:p>
    <w:p w14:paraId="78C5E10E" w14:textId="77777777" w:rsidR="00585B22" w:rsidRDefault="00842D77">
      <w:pPr>
        <w:pStyle w:val="NormalWeb"/>
        <w:spacing w:line="360" w:lineRule="auto"/>
        <w:jc w:val="both"/>
        <w:rPr>
          <w:rFonts w:cs="Times New Roman"/>
        </w:rPr>
      </w:pPr>
      <w:r>
        <w:t xml:space="preserve">Banking innovation is assisted by </w:t>
      </w:r>
      <w:proofErr w:type="spellStart"/>
      <w:r>
        <w:t>fintech</w:t>
      </w:r>
      <w:proofErr w:type="spellEnd"/>
      <w:r>
        <w:t>, ICT and telecom sectors which are well-developed. Nevertheless, the field of capital markets and insurance is developing (OECD, 2023)</w:t>
      </w:r>
      <w:r>
        <w:rPr>
          <w:rFonts w:cs="Times New Roman"/>
        </w:rPr>
        <w:t>.</w:t>
      </w:r>
    </w:p>
    <w:p w14:paraId="5A57D0AB" w14:textId="77777777" w:rsidR="00585B22" w:rsidRDefault="00842D77">
      <w:pPr>
        <w:rPr>
          <w:b/>
          <w:bCs/>
        </w:rPr>
      </w:pPr>
      <w:r>
        <w:rPr>
          <w:b/>
          <w:bCs/>
        </w:rPr>
        <w:t>Firm Strategy, Structure &amp; Rivalry</w:t>
      </w:r>
    </w:p>
    <w:p w14:paraId="75ED1040" w14:textId="77777777" w:rsidR="00585B22" w:rsidRDefault="00842D77">
      <w:pPr>
        <w:pStyle w:val="NormalWeb"/>
        <w:spacing w:line="360" w:lineRule="auto"/>
        <w:jc w:val="both"/>
        <w:rPr>
          <w:rFonts w:cs="Times New Roman"/>
        </w:rPr>
      </w:pPr>
      <w:r>
        <w:t>The great competition compels banks to come up with innovations whereas stability is promoted by regulatory discipline. To compete with foreign banks, the foreign banks have to differentiate</w:t>
      </w:r>
      <w:r>
        <w:rPr>
          <w:rFonts w:cs="Times New Roman"/>
        </w:rPr>
        <w:t>.</w:t>
      </w:r>
    </w:p>
    <w:p w14:paraId="2295692E" w14:textId="77777777" w:rsidR="00585B22" w:rsidRDefault="00842D77">
      <w:pPr>
        <w:rPr>
          <w:b/>
          <w:bCs/>
        </w:rPr>
      </w:pPr>
      <w:r>
        <w:rPr>
          <w:b/>
          <w:bCs/>
        </w:rPr>
        <w:t>Government &amp; Chance</w:t>
      </w:r>
    </w:p>
    <w:p w14:paraId="58F0BBD6" w14:textId="77777777" w:rsidR="00585B22" w:rsidRDefault="00842D77">
      <w:pPr>
        <w:pStyle w:val="NormalWeb"/>
        <w:spacing w:line="360" w:lineRule="auto"/>
        <w:jc w:val="both"/>
        <w:rPr>
          <w:rFonts w:cs="Times New Roman"/>
        </w:rPr>
      </w:pPr>
      <w:r>
        <w:t>Policies of the government are pro-financial inclusion, green financial and digital economy. Nevertheless, external shocks like the currency volatility and climate events are still risks</w:t>
      </w:r>
      <w:r>
        <w:rPr>
          <w:rFonts w:cs="Times New Roman"/>
        </w:rPr>
        <w:t>.</w:t>
      </w:r>
    </w:p>
    <w:p w14:paraId="2662EE70" w14:textId="77777777" w:rsidR="00585B22" w:rsidRDefault="00842D77">
      <w:pPr>
        <w:pStyle w:val="Heading3"/>
        <w:spacing w:line="360" w:lineRule="auto"/>
        <w:rPr>
          <w:rFonts w:cs="Times New Roman"/>
          <w:szCs w:val="24"/>
        </w:rPr>
      </w:pPr>
      <w:r>
        <w:rPr>
          <w:rStyle w:val="Strong"/>
          <w:rFonts w:cs="Times New Roman"/>
          <w:b/>
          <w:bCs/>
          <w:szCs w:val="24"/>
        </w:rPr>
        <w:t>Critical Evaluation of Diamond</w:t>
      </w:r>
    </w:p>
    <w:p w14:paraId="3C621588" w14:textId="77777777" w:rsidR="00585B22" w:rsidRDefault="00842D77">
      <w:pPr>
        <w:pStyle w:val="NormalWeb"/>
        <w:spacing w:line="360" w:lineRule="auto"/>
        <w:jc w:val="both"/>
        <w:rPr>
          <w:rFonts w:cs="Times New Roman"/>
        </w:rPr>
      </w:pPr>
      <w:r>
        <w:t>The Diamond model conceptualizes the national competitiveness but is not as applicable in the service sectors and multinational banks because it does not consider the global networks and what global regulations can feature (Grant, 2021)</w:t>
      </w:r>
      <w:r>
        <w:rPr>
          <w:rFonts w:cs="Times New Roman"/>
        </w:rPr>
        <w:t>.</w:t>
      </w:r>
    </w:p>
    <w:p w14:paraId="19E0C9E4" w14:textId="77777777" w:rsidR="00585B22" w:rsidRDefault="00842D77">
      <w:pPr>
        <w:pStyle w:val="Heading2"/>
        <w:spacing w:line="360" w:lineRule="auto"/>
        <w:rPr>
          <w:rFonts w:cs="Times New Roman"/>
          <w:szCs w:val="24"/>
        </w:rPr>
      </w:pPr>
      <w:bookmarkStart w:id="18" w:name="_Toc32636"/>
      <w:r>
        <w:rPr>
          <w:rStyle w:val="Strong"/>
          <w:rFonts w:cs="Times New Roman"/>
          <w:b/>
          <w:bCs/>
          <w:szCs w:val="24"/>
        </w:rPr>
        <w:t>3.5 Strategic Insight</w:t>
      </w:r>
      <w:bookmarkEnd w:id="18"/>
    </w:p>
    <w:p w14:paraId="5FADEE3E" w14:textId="77777777" w:rsidR="00585B22" w:rsidRDefault="00842D77">
      <w:pPr>
        <w:pStyle w:val="NormalWeb"/>
        <w:spacing w:line="360" w:lineRule="auto"/>
        <w:jc w:val="both"/>
      </w:pPr>
      <w:r>
        <w:t xml:space="preserve">The integrated analyses reveal that Kenya provides HSBC with substantial growth opportunities but demands strategic positioning. The PESTEL analysis reveals that the country has a stable political environment, good economic fundamentals and high digital adoption but there are also regulatory complexity and currency risks. According to Porters Five Forces, the competitive environment is quite intense with good substitutes like mobile money and </w:t>
      </w:r>
      <w:proofErr w:type="spellStart"/>
      <w:r>
        <w:t>fintech</w:t>
      </w:r>
      <w:proofErr w:type="spellEnd"/>
      <w:r>
        <w:t xml:space="preserve"> applications, which implies that HSBC has to distinguish itself based on international service offerings, digital innovation and environmental sustainability finance. VRIO reveals that HSBC had several of the sustained competitive advantages, including global network, digital infrastructure, brand equity and ESG leadership, which, however, should be </w:t>
      </w:r>
      <w:proofErr w:type="spellStart"/>
      <w:r>
        <w:t>localised</w:t>
      </w:r>
      <w:proofErr w:type="spellEnd"/>
      <w:r>
        <w:t>. The Diamond of Porter proves Kenya being the financial hub of the East Africa, and the factors and demand conditions have good conditions.</w:t>
      </w:r>
    </w:p>
    <w:p w14:paraId="2E99A621" w14:textId="77777777" w:rsidR="00585B22" w:rsidRDefault="00842D77">
      <w:pPr>
        <w:pStyle w:val="NormalWeb"/>
        <w:spacing w:line="360" w:lineRule="auto"/>
        <w:jc w:val="both"/>
        <w:rPr>
          <w:rFonts w:cs="Times New Roman"/>
        </w:rPr>
      </w:pPr>
      <w:r>
        <w:t xml:space="preserve">All in all, HSBC has the potential to thrive in Kenya due to its digital capabilities, cross-border banking, </w:t>
      </w:r>
      <w:proofErr w:type="spellStart"/>
      <w:r>
        <w:t>fintech</w:t>
      </w:r>
      <w:proofErr w:type="spellEnd"/>
      <w:r>
        <w:t xml:space="preserve"> partnerships and product localization to the local market conditions</w:t>
      </w:r>
      <w:r>
        <w:rPr>
          <w:rFonts w:cs="Times New Roman"/>
        </w:rPr>
        <w:t>.</w:t>
      </w:r>
    </w:p>
    <w:p w14:paraId="5786FF27" w14:textId="77777777" w:rsidR="00585B22" w:rsidRDefault="00842D77">
      <w:pPr>
        <w:pStyle w:val="Heading1"/>
      </w:pPr>
      <w:bookmarkStart w:id="19" w:name="_Toc31410"/>
      <w:r>
        <w:t>4. Strategy Development and Formulation</w:t>
      </w:r>
      <w:bookmarkEnd w:id="19"/>
      <w:r>
        <w:t xml:space="preserve"> </w:t>
      </w:r>
    </w:p>
    <w:p w14:paraId="70F759BA" w14:textId="77777777" w:rsidR="00585B22" w:rsidRDefault="00842D77">
      <w:pPr>
        <w:pStyle w:val="Heading2"/>
      </w:pPr>
      <w:bookmarkStart w:id="20" w:name="_Toc27328"/>
      <w:r>
        <w:t xml:space="preserve">4.1 </w:t>
      </w:r>
      <w:proofErr w:type="spellStart"/>
      <w:r>
        <w:t>Ansoff</w:t>
      </w:r>
      <w:proofErr w:type="spellEnd"/>
      <w:r>
        <w:t xml:space="preserve"> Matrix (Growth Strategy)</w:t>
      </w:r>
      <w:bookmarkEnd w:id="20"/>
    </w:p>
    <w:p w14:paraId="5C3A1740" w14:textId="77777777" w:rsidR="00585B22" w:rsidRDefault="00842D77">
      <w:pPr>
        <w:pStyle w:val="NormalWeb"/>
        <w:spacing w:line="360" w:lineRule="auto"/>
        <w:jc w:val="both"/>
      </w:pPr>
      <w:r>
        <w:t xml:space="preserve">The </w:t>
      </w:r>
      <w:proofErr w:type="spellStart"/>
      <w:r>
        <w:t>Ansoff</w:t>
      </w:r>
      <w:proofErr w:type="spellEnd"/>
      <w:r>
        <w:t xml:space="preserve"> Matrix provides a systematic model to </w:t>
      </w:r>
      <w:proofErr w:type="spellStart"/>
      <w:r>
        <w:t>analyse</w:t>
      </w:r>
      <w:proofErr w:type="spellEnd"/>
      <w:r>
        <w:t xml:space="preserve"> the growth opportunities through the evaluation of the product and market relationship (</w:t>
      </w:r>
      <w:proofErr w:type="spellStart"/>
      <w:r>
        <w:t>Ansoff</w:t>
      </w:r>
      <w:proofErr w:type="spellEnd"/>
      <w:r>
        <w:t>, 1957). In the case of HSBC expanding to Kenya, the most suited quadrant will be the Market Development, whereby the bank will launch their already existing global products-corporate lending, digital banking, trade finance, international wealth management and sustainable finance- in a newly geographical market. This approach will enable HSBC to build on its trac</w:t>
      </w:r>
      <w:r>
        <w:t xml:space="preserve">k record of success globally by using its well-established global product range without the risks of developing completely new products. The financial environment in Kenya, which is currently marked by an increase in incomes and a blistering </w:t>
      </w:r>
      <w:proofErr w:type="spellStart"/>
      <w:r>
        <w:t>urbanisation</w:t>
      </w:r>
      <w:proofErr w:type="spellEnd"/>
      <w:r>
        <w:t xml:space="preserve"> and rising demand on complex financial applications, is highly supportive of the bank</w:t>
      </w:r>
      <w:r>
        <w:t xml:space="preserve"> </w:t>
      </w:r>
      <w:r>
        <w:t>(HSBC, 2024).</w:t>
      </w:r>
    </w:p>
    <w:p w14:paraId="3B9AD4A2" w14:textId="77777777" w:rsidR="00585B22" w:rsidRDefault="00842D77">
      <w:pPr>
        <w:pStyle w:val="NormalWeb"/>
        <w:spacing w:line="360" w:lineRule="auto"/>
        <w:jc w:val="both"/>
      </w:pPr>
      <w:r>
        <w:rPr>
          <w:noProof/>
        </w:rPr>
        <w:drawing>
          <wp:inline distT="0" distB="0" distL="114300" distR="114300" wp14:anchorId="148C2BDE" wp14:editId="607BB133">
            <wp:extent cx="5274310" cy="3955415"/>
            <wp:effectExtent l="0" t="0" r="2540" b="6985"/>
            <wp:docPr id="7" name="Picture 7" descr="ansoff_matrix_hsbc_ken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nsoff_matrix_hsbc_kenya"/>
                    <pic:cNvPicPr>
                      <a:picLocks noChangeAspect="1"/>
                    </pic:cNvPicPr>
                  </pic:nvPicPr>
                  <pic:blipFill>
                    <a:blip r:embed="rId14"/>
                    <a:stretch>
                      <a:fillRect/>
                    </a:stretch>
                  </pic:blipFill>
                  <pic:spPr>
                    <a:xfrm>
                      <a:off x="0" y="0"/>
                      <a:ext cx="5274310" cy="3955415"/>
                    </a:xfrm>
                    <a:prstGeom prst="rect">
                      <a:avLst/>
                    </a:prstGeom>
                  </pic:spPr>
                </pic:pic>
              </a:graphicData>
            </a:graphic>
          </wp:inline>
        </w:drawing>
      </w:r>
    </w:p>
    <w:p w14:paraId="3DDC1149" w14:textId="77777777" w:rsidR="00585B22" w:rsidRDefault="00842D77">
      <w:pPr>
        <w:pStyle w:val="Caption"/>
        <w:spacing w:line="360" w:lineRule="auto"/>
        <w:jc w:val="center"/>
      </w:pPr>
      <w:r>
        <w:t xml:space="preserve">Figure </w:t>
      </w:r>
      <w:r>
        <w:fldChar w:fldCharType="begin"/>
      </w:r>
      <w:r>
        <w:instrText xml:space="preserve"> SEQ Figure \* ARABIC </w:instrText>
      </w:r>
      <w:r>
        <w:fldChar w:fldCharType="separate"/>
      </w:r>
      <w:r>
        <w:t>5</w:t>
      </w:r>
      <w:r>
        <w:fldChar w:fldCharType="end"/>
      </w:r>
      <w:r>
        <w:t xml:space="preserve">: </w:t>
      </w:r>
      <w:proofErr w:type="spellStart"/>
      <w:r>
        <w:t>Ansoff</w:t>
      </w:r>
      <w:proofErr w:type="spellEnd"/>
      <w:r>
        <w:t xml:space="preserve"> Matrix</w:t>
      </w:r>
    </w:p>
    <w:p w14:paraId="3E8FED78" w14:textId="77777777" w:rsidR="00585B22" w:rsidRDefault="00842D77">
      <w:pPr>
        <w:pStyle w:val="NormalWeb"/>
        <w:spacing w:line="360" w:lineRule="auto"/>
        <w:jc w:val="both"/>
      </w:pPr>
      <w:r>
        <w:t xml:space="preserve">In addition, Kenya is in the midst of a healthy digital transformation of its financial landscape, with mobile-money covering more than half of all financial transactions (The Global Treasurer, 2024). These circumstances are an inherent match of HSBC digital first capabilities. The Kenyan Market however needs a high degree of </w:t>
      </w:r>
      <w:proofErr w:type="spellStart"/>
      <w:r>
        <w:t>localisation</w:t>
      </w:r>
      <w:proofErr w:type="spellEnd"/>
      <w:r>
        <w:t xml:space="preserve"> as far as Market Development is concerned. The expectations of customers, culture, financial and digital literacy levels and patterns of adoption are vastly different in comparison to Western and Asian markets. The Central Bank of Kenya (CBK) also has regulatory requirements that are quite different as compared to those in the jurisdictions where HSBC exists (Abacus, 2025). Thus, though the strategy provides clarity and compatibility with the Kenyan economic trajectory, its effectiveness will b</w:t>
      </w:r>
      <w:r>
        <w:t>e determined by the capacity of the bank to modify the pricing of products, service delivery, language, customer onboarding and compliance practices to the Kenyan environment.</w:t>
      </w:r>
    </w:p>
    <w:p w14:paraId="3295E72A" w14:textId="77777777" w:rsidR="00585B22" w:rsidRDefault="00842D77">
      <w:pPr>
        <w:pStyle w:val="Heading2"/>
      </w:pPr>
      <w:bookmarkStart w:id="21" w:name="_Toc17075"/>
      <w:r>
        <w:t>4.2 Market Entry Strategy</w:t>
      </w:r>
      <w:bookmarkEnd w:id="21"/>
    </w:p>
    <w:p w14:paraId="3BD2168B" w14:textId="77777777" w:rsidR="00585B22" w:rsidRDefault="00842D77">
      <w:pPr>
        <w:pStyle w:val="NormalWeb"/>
        <w:spacing w:line="360" w:lineRule="auto"/>
        <w:jc w:val="both"/>
      </w:pPr>
      <w:r>
        <w:t>The choice of the best entry mode is the primary consideration in the successful and risk-adjusted expansion. Banking industry in Kenya is highly controlled and there are strict licensing conditions, minimum capital requirements and close supervision by CBK (CBK, 2023). Creating a wholly owned subsidiary would involve high commitment in terms of capital, long terms regulation approval process and complete exposure to operations risks related to a competitive market. A joint venture also provides mutual risk</w:t>
      </w:r>
      <w:r>
        <w:t xml:space="preserve"> and local experience, but in most circumstances there is a lack of fit in terms of governance and misalignment in strategic decision making </w:t>
      </w:r>
      <w:r>
        <w:t>(</w:t>
      </w:r>
      <w:proofErr w:type="spellStart"/>
      <w:r>
        <w:t>FasterCapital</w:t>
      </w:r>
      <w:proofErr w:type="spellEnd"/>
      <w:r>
        <w:t>, 2025</w:t>
      </w:r>
      <w:r>
        <w:t>)</w:t>
      </w:r>
      <w:r>
        <w:t>. In the meantime, a digital-only entry mode into Kenya will potentially be associated with low trust among consumers and regulatory complications and a market only half way between mobile-money dominance and conventional banking systems (Capital FM, 2025).</w:t>
      </w:r>
    </w:p>
    <w:p w14:paraId="05B795A3" w14:textId="77777777" w:rsidR="00585B22" w:rsidRDefault="00842D77">
      <w:pPr>
        <w:pStyle w:val="NormalWeb"/>
        <w:spacing w:line="360" w:lineRule="auto"/>
        <w:jc w:val="both"/>
      </w:pPr>
      <w:r>
        <w:t>Under such circumstances, a strategic alliance with an existing Kenyan bank/</w:t>
      </w:r>
      <w:proofErr w:type="spellStart"/>
      <w:r>
        <w:t>fintech</w:t>
      </w:r>
      <w:proofErr w:type="spellEnd"/>
      <w:r>
        <w:t xml:space="preserve"> company is the most favorable entry mode to take on by HSBC. This model has regulatory benefits since the domestic partners will already have the necessary </w:t>
      </w:r>
      <w:proofErr w:type="spellStart"/>
      <w:r>
        <w:t>licences</w:t>
      </w:r>
      <w:proofErr w:type="spellEnd"/>
      <w:r>
        <w:t xml:space="preserve"> with reporting systems and history of compliance and this will reduce the bureaucratic hurdle. A strategic alliance also reduces operation and financial risks as he is able to use the branch networks, customer base and market mastery of the partner. This enables HSBC to expand faster than establishing a physical presence by creating it (</w:t>
      </w:r>
      <w:r>
        <w:t>UNCTAD, 2022).</w:t>
      </w:r>
    </w:p>
    <w:p w14:paraId="6EF43819" w14:textId="77777777" w:rsidR="00585B22" w:rsidRDefault="00842D77">
      <w:pPr>
        <w:pStyle w:val="Heading2"/>
      </w:pPr>
      <w:bookmarkStart w:id="22" w:name="_Toc6902"/>
      <w:r>
        <w:t>4.3 Porter’s Generic Strategy</w:t>
      </w:r>
      <w:bookmarkEnd w:id="22"/>
    </w:p>
    <w:p w14:paraId="2A190587" w14:textId="77777777" w:rsidR="00585B22" w:rsidRDefault="00842D77">
      <w:pPr>
        <w:pStyle w:val="NormalWeb"/>
        <w:spacing w:line="360" w:lineRule="auto"/>
        <w:jc w:val="both"/>
      </w:pPr>
      <w:r>
        <w:t xml:space="preserve">Porters Generic Strategies model provides three possible competitive strategies, which include cost leadership, focus and differentiation (Porter, 1980). Since HSBC is a globalized brand with technological strength and broad international network, the differentiation approach is the most logical to explore entering the Kenyan banking market. </w:t>
      </w:r>
    </w:p>
    <w:p w14:paraId="1CF5DBD8" w14:textId="77777777" w:rsidR="00585B22" w:rsidRDefault="00842D77">
      <w:pPr>
        <w:pStyle w:val="NormalWeb"/>
        <w:spacing w:line="360" w:lineRule="auto"/>
        <w:jc w:val="both"/>
      </w:pPr>
      <w:r>
        <w:t>Digital excellence is the first pillar of differentiation. Kenya has become one of the pioneers in mobile financial services in the world, and much of it is because of such innovations as M-</w:t>
      </w:r>
      <w:proofErr w:type="spellStart"/>
      <w:r>
        <w:t>Pesa</w:t>
      </w:r>
      <w:proofErr w:type="spellEnd"/>
      <w:r>
        <w:t xml:space="preserve"> (UN Sustainable Development Group, 2025). The local banks are also performing well as far as payment innovations are concerned but they tend to be lacking as far as advanced cross-border banking, digital wealth management and AI-based financial solutions are concerned. The HSBC global systems, more so the mobile credit scoring, digital investment platforms and global payments provide an evident superiority and can serve both the corporate and retail customers who need international connections.</w:t>
      </w:r>
    </w:p>
    <w:p w14:paraId="1EFFB21B" w14:textId="77777777" w:rsidR="00585B22" w:rsidRDefault="00842D77">
      <w:pPr>
        <w:pStyle w:val="NormalWeb"/>
        <w:spacing w:line="360" w:lineRule="auto"/>
        <w:jc w:val="both"/>
      </w:pPr>
      <w:r>
        <w:t>The second pillar is sustainable finance. The long term development plan of Kenya focuses on green power, infrastructure resilience and climate adaptation (Government of Kenya, 202</w:t>
      </w:r>
      <w:r>
        <w:t>5</w:t>
      </w:r>
      <w:r>
        <w:t xml:space="preserve">). Local banks are still not able to provide complicated sustainability-linked bonds or a huge project in renewable energy financing. Global </w:t>
      </w:r>
      <w:proofErr w:type="spellStart"/>
      <w:r>
        <w:t>mobilisation</w:t>
      </w:r>
      <w:proofErr w:type="spellEnd"/>
      <w:r>
        <w:t xml:space="preserve"> of HSBC in risk-free investment in up to 1 trillion pounds makes it well placed to bridge this vacuum due to its skills in green finance and its global approach (HSBC, 2024).</w:t>
      </w:r>
    </w:p>
    <w:p w14:paraId="526077F8" w14:textId="77777777" w:rsidR="00585B22" w:rsidRDefault="00842D77">
      <w:pPr>
        <w:pStyle w:val="NormalWeb"/>
        <w:spacing w:line="360" w:lineRule="auto"/>
        <w:jc w:val="both"/>
      </w:pPr>
      <w:r>
        <w:t>The international financial capability is the third pillar of differentiation. Due to the increase in the presence of global supply-chain and the development of international trade within Kenya businesses feel the need to have trade finance, international treasury functions, facilitation of foreign direct investment, and cross-border advice services. This is a fundamental differentiator because HSBC has been able to access global markets through its extensive international network.</w:t>
      </w:r>
    </w:p>
    <w:p w14:paraId="59E74DD8" w14:textId="77777777" w:rsidR="00585B22" w:rsidRDefault="00842D77">
      <w:pPr>
        <w:pStyle w:val="Heading2"/>
      </w:pPr>
      <w:bookmarkStart w:id="23" w:name="_Toc10372"/>
      <w:r>
        <w:t>4.4 CSR and Sustainability Strategy</w:t>
      </w:r>
      <w:bookmarkEnd w:id="23"/>
    </w:p>
    <w:p w14:paraId="19A22EC3" w14:textId="77777777" w:rsidR="00585B22" w:rsidRDefault="00842D77">
      <w:pPr>
        <w:pStyle w:val="NormalWeb"/>
        <w:spacing w:line="360" w:lineRule="auto"/>
        <w:jc w:val="both"/>
      </w:pPr>
      <w:r>
        <w:t>Corporate social responsibility (CSR) should be part of HSBC in Kenya strategy, not only to enhance legitimacy but also help the national development agenda. Kenya has urgent environmental issues, such as droughts, uneven rainfall and food insecurity, which demand more support in climate change adjustment and renewable energy (UNEP, 2022). One of the transformative opportunities HSBC can have is by funding renewable energy schemes, providing infrastructure that facilitates green transport, and providing cre</w:t>
      </w:r>
      <w:r>
        <w:t>dit that is contingent on sustainability to businesses that switch to low carbon operations.</w:t>
      </w:r>
    </w:p>
    <w:p w14:paraId="7DE8B9C4" w14:textId="77777777" w:rsidR="00585B22" w:rsidRDefault="00842D77">
      <w:pPr>
        <w:pStyle w:val="NormalWeb"/>
        <w:spacing w:line="360" w:lineRule="auto"/>
        <w:jc w:val="center"/>
      </w:pPr>
      <w:r>
        <w:rPr>
          <w:noProof/>
        </w:rPr>
        <w:drawing>
          <wp:inline distT="0" distB="0" distL="114300" distR="114300" wp14:anchorId="0449CB4C" wp14:editId="1E08C6F4">
            <wp:extent cx="2667635" cy="1666875"/>
            <wp:effectExtent l="0" t="0" r="18415" b="9525"/>
            <wp:docPr id="8" name="Picture 8" descr="hsbc_csr_strategy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sbc_csr_strategy (2)"/>
                    <pic:cNvPicPr>
                      <a:picLocks noChangeAspect="1"/>
                    </pic:cNvPicPr>
                  </pic:nvPicPr>
                  <pic:blipFill>
                    <a:blip r:embed="rId15"/>
                    <a:stretch>
                      <a:fillRect/>
                    </a:stretch>
                  </pic:blipFill>
                  <pic:spPr>
                    <a:xfrm>
                      <a:off x="0" y="0"/>
                      <a:ext cx="2667635" cy="1666875"/>
                    </a:xfrm>
                    <a:prstGeom prst="rect">
                      <a:avLst/>
                    </a:prstGeom>
                  </pic:spPr>
                </pic:pic>
              </a:graphicData>
            </a:graphic>
          </wp:inline>
        </w:drawing>
      </w:r>
    </w:p>
    <w:p w14:paraId="642B869E" w14:textId="77777777" w:rsidR="00585B22" w:rsidRDefault="00842D77">
      <w:pPr>
        <w:pStyle w:val="Caption"/>
        <w:spacing w:line="360" w:lineRule="auto"/>
        <w:jc w:val="center"/>
        <w:rPr>
          <w:sz w:val="18"/>
          <w:szCs w:val="18"/>
        </w:rPr>
      </w:pPr>
      <w:r>
        <w:rPr>
          <w:sz w:val="18"/>
          <w:szCs w:val="18"/>
        </w:rPr>
        <w:t xml:space="preserve">Figure </w:t>
      </w:r>
      <w:r>
        <w:rPr>
          <w:sz w:val="18"/>
          <w:szCs w:val="18"/>
        </w:rPr>
        <w:fldChar w:fldCharType="begin"/>
      </w:r>
      <w:r>
        <w:rPr>
          <w:sz w:val="18"/>
          <w:szCs w:val="18"/>
        </w:rPr>
        <w:instrText xml:space="preserve"> SEQ Figure \* ARABIC </w:instrText>
      </w:r>
      <w:r>
        <w:rPr>
          <w:sz w:val="18"/>
          <w:szCs w:val="18"/>
        </w:rPr>
        <w:fldChar w:fldCharType="separate"/>
      </w:r>
      <w:r>
        <w:rPr>
          <w:sz w:val="18"/>
          <w:szCs w:val="18"/>
        </w:rPr>
        <w:t>6</w:t>
      </w:r>
      <w:r>
        <w:rPr>
          <w:sz w:val="18"/>
          <w:szCs w:val="18"/>
        </w:rPr>
        <w:fldChar w:fldCharType="end"/>
      </w:r>
      <w:r>
        <w:rPr>
          <w:sz w:val="18"/>
          <w:szCs w:val="18"/>
        </w:rPr>
        <w:t>: HSBC Kenya CSR</w:t>
      </w:r>
    </w:p>
    <w:p w14:paraId="74D84352" w14:textId="77777777" w:rsidR="00585B22" w:rsidRDefault="00842D77">
      <w:pPr>
        <w:pStyle w:val="NormalWeb"/>
        <w:spacing w:line="360" w:lineRule="auto"/>
        <w:jc w:val="both"/>
      </w:pPr>
      <w:r>
        <w:t>Financial inclusion is a high priority. Although mobile-money penetration is high, there are still areas of rural populations that are underserved via formal banking (</w:t>
      </w:r>
      <w:proofErr w:type="spellStart"/>
      <w:r>
        <w:t>Ndung'u</w:t>
      </w:r>
      <w:proofErr w:type="spellEnd"/>
      <w:r>
        <w:t xml:space="preserve"> </w:t>
      </w:r>
      <w:r>
        <w:t xml:space="preserve">and </w:t>
      </w:r>
      <w:r>
        <w:t xml:space="preserve">Signe, 2020). Digital accounts at low costs, solution of microcredit, and community-based financial literacy initiatives are some of the ways HSBC can contribute. These would offer more economic activity as well as enhancing the social </w:t>
      </w:r>
      <w:proofErr w:type="spellStart"/>
      <w:r>
        <w:t>licence</w:t>
      </w:r>
      <w:proofErr w:type="spellEnd"/>
      <w:r>
        <w:t xml:space="preserve"> to operate of the bank.</w:t>
      </w:r>
    </w:p>
    <w:p w14:paraId="279B9E85" w14:textId="77777777" w:rsidR="00585B22" w:rsidRDefault="00842D77">
      <w:pPr>
        <w:pStyle w:val="NormalWeb"/>
        <w:spacing w:line="360" w:lineRule="auto"/>
        <w:jc w:val="both"/>
      </w:pPr>
      <w:r>
        <w:t xml:space="preserve">Thirdly CSR has been in support of SMEs. Over 80 percent of employment and productivity in Kenya comes through SMEs, but in most instances, business indicators are not able to source credit at reasonable rates (OECD, 2023). This can be solved by the use of </w:t>
      </w:r>
      <w:proofErr w:type="spellStart"/>
      <w:r>
        <w:t>specialised</w:t>
      </w:r>
      <w:proofErr w:type="spellEnd"/>
      <w:r>
        <w:t xml:space="preserve"> SME lending products, supply-chain financing, digital working-capital platform and business advisory services offered by HSBC. It is also possible to cooperate with </w:t>
      </w:r>
      <w:proofErr w:type="spellStart"/>
      <w:r>
        <w:t>fintech</w:t>
      </w:r>
      <w:proofErr w:type="spellEnd"/>
      <w:r>
        <w:t xml:space="preserve"> partners to introduce innovative micro-financing to rural agricultural enterprises.</w:t>
      </w:r>
    </w:p>
    <w:p w14:paraId="181D2637" w14:textId="77777777" w:rsidR="00585B22" w:rsidRDefault="00842D77">
      <w:pPr>
        <w:pStyle w:val="NormalWeb"/>
        <w:spacing w:line="360" w:lineRule="auto"/>
        <w:jc w:val="both"/>
      </w:pPr>
      <w:r>
        <w:t>Integrating CSR into commercial strategy will ensure the growth of HSBC provides both quantified social-economic value and improved brand confidence and adherence to international ESG standards.</w:t>
      </w:r>
    </w:p>
    <w:p w14:paraId="314FD3EA" w14:textId="77777777" w:rsidR="00585B22" w:rsidRDefault="00842D77">
      <w:pPr>
        <w:pStyle w:val="Heading2"/>
      </w:pPr>
      <w:bookmarkStart w:id="24" w:name="_Toc22728"/>
      <w:r>
        <w:t>4.5 Risk Analysis</w:t>
      </w:r>
      <w:bookmarkEnd w:id="24"/>
    </w:p>
    <w:p w14:paraId="5E8179DE" w14:textId="77777777" w:rsidR="00585B22" w:rsidRDefault="00842D77">
      <w:pPr>
        <w:pStyle w:val="NormalWeb"/>
        <w:spacing w:line="360" w:lineRule="auto"/>
        <w:jc w:val="both"/>
      </w:pPr>
      <w:r>
        <w:t>The decision to expand into the Kenyan market will expose HSBC to multiple risks that should be properly evaluated with the help of a comprehensive risk matrix (</w:t>
      </w:r>
      <w:proofErr w:type="spellStart"/>
      <w:r>
        <w:t>Hillson</w:t>
      </w:r>
      <w:proofErr w:type="spellEnd"/>
      <w:r>
        <w:t xml:space="preserve"> and Murray-Webster, 2017).</w:t>
      </w:r>
    </w:p>
    <w:p w14:paraId="282D2CE4" w14:textId="77777777" w:rsidR="00585B22" w:rsidRDefault="00842D77">
      <w:pPr>
        <w:pStyle w:val="NormalWeb"/>
        <w:spacing w:line="360" w:lineRule="auto"/>
        <w:jc w:val="both"/>
      </w:pPr>
      <w:r>
        <w:t>The volatility of the Kenyan Shilling creates a high currency risk because it is affected by the global dollar movements and structural trade deficits (Fitch, 2023). Some of the mitigation strategies are hedging instruments, diversified sources of funds and currency-oriented asset-liability designs.</w:t>
      </w:r>
    </w:p>
    <w:p w14:paraId="681FE83D" w14:textId="77777777" w:rsidR="00585B22" w:rsidRDefault="00842D77">
      <w:pPr>
        <w:pStyle w:val="NormalWeb"/>
        <w:spacing w:line="360" w:lineRule="auto"/>
        <w:jc w:val="both"/>
      </w:pPr>
      <w:r>
        <w:t>Regulatory and political risks are linked to the changes in capital requirements, consumer protection laws and data-privacy regulations (CBK, 2023). HSBC ought to proactively interact with the CBK, have stringent compliance practices and ride on the regulatory skills of its local partner.</w:t>
      </w:r>
    </w:p>
    <w:p w14:paraId="2B1D5BF4" w14:textId="77777777" w:rsidR="00585B22" w:rsidRDefault="00842D77">
      <w:pPr>
        <w:pStyle w:val="NormalWeb"/>
        <w:spacing w:line="360" w:lineRule="auto"/>
        <w:jc w:val="both"/>
      </w:pPr>
      <w:r>
        <w:t xml:space="preserve">Kenya is rapidly </w:t>
      </w:r>
      <w:proofErr w:type="spellStart"/>
      <w:r>
        <w:t>digitalising</w:t>
      </w:r>
      <w:proofErr w:type="spellEnd"/>
      <w:r>
        <w:t>, which increases its cybersecurity risk. The higher the mobile-money payment and online banking, the more vulnerable to fraud and cyberattacks are (CAK, 2023). HSBC needs to implement powerful cybersecurity systems worldwide, undertake periodic audits and be at the forefront in creating awareness about online security among communities.</w:t>
      </w:r>
    </w:p>
    <w:p w14:paraId="205D79C8" w14:textId="77777777" w:rsidR="00585B22" w:rsidRDefault="00842D77">
      <w:pPr>
        <w:pStyle w:val="NormalWeb"/>
        <w:spacing w:line="360" w:lineRule="auto"/>
        <w:jc w:val="both"/>
      </w:pPr>
      <w:r>
        <w:t xml:space="preserve">Competitive risk is established by large local banks and nimble </w:t>
      </w:r>
      <w:proofErr w:type="spellStart"/>
      <w:r>
        <w:t>fintechs</w:t>
      </w:r>
      <w:proofErr w:type="spellEnd"/>
      <w:r>
        <w:t>. Instead of working directly in the mass retail banking sector, HSBC should also target premium segments, including corporate, international wealth, trade finance, and ESG lending (PwC, 2022). It will be essential to have continuous innovation and strategic alliances.</w:t>
      </w:r>
    </w:p>
    <w:p w14:paraId="3D15B4D7" w14:textId="77777777" w:rsidR="00585B22" w:rsidRDefault="00842D77">
      <w:pPr>
        <w:pStyle w:val="NormalWeb"/>
        <w:spacing w:line="360" w:lineRule="auto"/>
        <w:jc w:val="both"/>
        <w:rPr>
          <w:rFonts w:cs="Times New Roman"/>
        </w:rPr>
      </w:pPr>
      <w:r>
        <w:t xml:space="preserve">Cultural and operational risks entail variations in customer expectations, language and financial </w:t>
      </w:r>
      <w:proofErr w:type="spellStart"/>
      <w:r>
        <w:t>behaviour</w:t>
      </w:r>
      <w:proofErr w:type="spellEnd"/>
      <w:r>
        <w:t xml:space="preserve">. To </w:t>
      </w:r>
      <w:proofErr w:type="spellStart"/>
      <w:r>
        <w:t>localise</w:t>
      </w:r>
      <w:proofErr w:type="spellEnd"/>
      <w:r>
        <w:t xml:space="preserve"> the value proposition of HSBC to suit the Kenyan preferences, it will be necessary to hire locally, train cultural awareness and customer-insight studies</w:t>
      </w:r>
      <w:r>
        <w:rPr>
          <w:rFonts w:cs="Times New Roman"/>
        </w:rPr>
        <w:t>.</w:t>
      </w:r>
    </w:p>
    <w:p w14:paraId="04C76504" w14:textId="77777777" w:rsidR="00585B22" w:rsidRDefault="00842D77">
      <w:pPr>
        <w:pStyle w:val="Heading1"/>
      </w:pPr>
      <w:bookmarkStart w:id="25" w:name="_Toc10597"/>
      <w:r>
        <w:t>5. Performance Evaluation Framework</w:t>
      </w:r>
      <w:bookmarkEnd w:id="25"/>
    </w:p>
    <w:p w14:paraId="707AF3D0" w14:textId="77777777" w:rsidR="00585B22" w:rsidRDefault="00842D77">
      <w:pPr>
        <w:pStyle w:val="NormalWeb"/>
        <w:spacing w:line="360" w:lineRule="auto"/>
        <w:jc w:val="both"/>
      </w:pPr>
      <w:r>
        <w:t xml:space="preserve">The expansion of HSBC into Kenya is sensitive in that a holistic and multi dimensional performance measurement framework is required to reflect financial result, customer value, operational efficiency, </w:t>
      </w:r>
      <w:proofErr w:type="spellStart"/>
      <w:r>
        <w:t>organisational</w:t>
      </w:r>
      <w:proofErr w:type="spellEnd"/>
      <w:r>
        <w:t xml:space="preserve"> learning and sustainability contribution. The financial industry in Kenya is experiencing an accelerated change due to digital innovation, mobile-money predominance and growing sustainability commitments, and so the conventional financial indicators do not suffice anymore. The combination of Balanced Scorecard (BSC) and Triple Bottom Line (TBL) to create a complete evaluating structure serves to overcome this complexity. This two-framework methodology is consistent with the broader academic d</w:t>
      </w:r>
      <w:r>
        <w:t>iscussion that suggests that financial and non-financial measures can be better combined to get a more extensive picture of strategic performance in the new-market setting (</w:t>
      </w:r>
      <w:proofErr w:type="spellStart"/>
      <w:r>
        <w:t>Elkington</w:t>
      </w:r>
      <w:proofErr w:type="spellEnd"/>
      <w:r>
        <w:t xml:space="preserve">, 1997). Using a combination of the BSC and the TBL, HSBC will have the ability to track performance, detect strategic gaps and restructure market-entry operations to align with Kenya evolving financial ecosystem, which relies on economic resilience, heavy digital uptake, and reformed regulatory environments (World Bank, 2025; </w:t>
      </w:r>
      <w:proofErr w:type="spellStart"/>
      <w:r>
        <w:t>S</w:t>
      </w:r>
      <w:r>
        <w:t>indi</w:t>
      </w:r>
      <w:proofErr w:type="spellEnd"/>
      <w:r>
        <w:t>, 2025).</w:t>
      </w:r>
    </w:p>
    <w:p w14:paraId="37E85698" w14:textId="77777777" w:rsidR="00585B22" w:rsidRDefault="00842D77">
      <w:pPr>
        <w:pStyle w:val="NormalWeb"/>
        <w:spacing w:line="360" w:lineRule="auto"/>
        <w:jc w:val="center"/>
      </w:pPr>
      <w:r>
        <w:rPr>
          <w:noProof/>
        </w:rPr>
        <w:drawing>
          <wp:inline distT="0" distB="0" distL="114300" distR="114300" wp14:anchorId="51C535C9" wp14:editId="15AD543C">
            <wp:extent cx="3810000" cy="4145280"/>
            <wp:effectExtent l="0" t="0" r="0" b="0"/>
            <wp:docPr id="9" name="Picture 9" descr="bsc_framework_hsbc_ken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bsc_framework_hsbc_kenya"/>
                    <pic:cNvPicPr>
                      <a:picLocks noChangeAspect="1"/>
                    </pic:cNvPicPr>
                  </pic:nvPicPr>
                  <pic:blipFill>
                    <a:blip r:embed="rId16"/>
                    <a:srcRect l="15519" t="7778" r="12244" b="13629"/>
                    <a:stretch>
                      <a:fillRect/>
                    </a:stretch>
                  </pic:blipFill>
                  <pic:spPr>
                    <a:xfrm>
                      <a:off x="0" y="0"/>
                      <a:ext cx="3810000" cy="4145280"/>
                    </a:xfrm>
                    <a:prstGeom prst="rect">
                      <a:avLst/>
                    </a:prstGeom>
                  </pic:spPr>
                </pic:pic>
              </a:graphicData>
            </a:graphic>
          </wp:inline>
        </w:drawing>
      </w:r>
    </w:p>
    <w:p w14:paraId="674ECB93" w14:textId="77777777" w:rsidR="00585B22" w:rsidRDefault="00842D77">
      <w:pPr>
        <w:pStyle w:val="Caption"/>
        <w:spacing w:line="360" w:lineRule="auto"/>
        <w:jc w:val="center"/>
        <w:rPr>
          <w:rFonts w:ascii="Times New Roman" w:hAnsi="Times New Roman"/>
          <w:sz w:val="21"/>
          <w:szCs w:val="21"/>
        </w:rPr>
      </w:pPr>
      <w:r>
        <w:rPr>
          <w:sz w:val="21"/>
          <w:szCs w:val="21"/>
        </w:rPr>
        <w:t xml:space="preserve">Figure </w:t>
      </w:r>
      <w:r>
        <w:rPr>
          <w:sz w:val="21"/>
          <w:szCs w:val="21"/>
        </w:rPr>
        <w:fldChar w:fldCharType="begin"/>
      </w:r>
      <w:r>
        <w:rPr>
          <w:sz w:val="21"/>
          <w:szCs w:val="21"/>
        </w:rPr>
        <w:instrText xml:space="preserve"> SEQ Figure \* ARABIC </w:instrText>
      </w:r>
      <w:r>
        <w:rPr>
          <w:sz w:val="21"/>
          <w:szCs w:val="21"/>
        </w:rPr>
        <w:fldChar w:fldCharType="separate"/>
      </w:r>
      <w:r>
        <w:rPr>
          <w:sz w:val="21"/>
          <w:szCs w:val="21"/>
        </w:rPr>
        <w:t>7</w:t>
      </w:r>
      <w:r>
        <w:rPr>
          <w:sz w:val="21"/>
          <w:szCs w:val="21"/>
        </w:rPr>
        <w:fldChar w:fldCharType="end"/>
      </w:r>
      <w:r>
        <w:rPr>
          <w:sz w:val="21"/>
          <w:szCs w:val="21"/>
        </w:rPr>
        <w:t>: Balanced Scorecard Framework</w:t>
      </w:r>
    </w:p>
    <w:p w14:paraId="54E4B5BF" w14:textId="77777777" w:rsidR="00585B22" w:rsidRDefault="00842D77">
      <w:pPr>
        <w:pStyle w:val="Heading2"/>
      </w:pPr>
      <w:bookmarkStart w:id="26" w:name="_Toc3781"/>
      <w:r>
        <w:t>5.1 Balanced Scorecard Framework</w:t>
      </w:r>
      <w:bookmarkEnd w:id="26"/>
    </w:p>
    <w:p w14:paraId="651D3714" w14:textId="77777777" w:rsidR="00585B22" w:rsidRDefault="00842D77">
      <w:pPr>
        <w:pStyle w:val="NormalWeb"/>
        <w:spacing w:line="360" w:lineRule="auto"/>
        <w:jc w:val="both"/>
      </w:pPr>
      <w:r>
        <w:t>The Balanced Scorecard provides a frame according to which to evaluate the Kenyan expansion of HSBC in the four key areas including financial performance, customer engagement, internal processes and learning as well as growth. This will prove strategic to Kenyan economic structure, digital environment and policy environment.</w:t>
      </w:r>
    </w:p>
    <w:p w14:paraId="2CD6DA2D" w14:textId="77777777" w:rsidR="00585B22" w:rsidRDefault="00842D77">
      <w:pPr>
        <w:pStyle w:val="Heading3"/>
      </w:pPr>
      <w:r>
        <w:t>5.1.1 Financial Perspective</w:t>
      </w:r>
    </w:p>
    <w:p w14:paraId="497CB701" w14:textId="77777777" w:rsidR="00585B22" w:rsidRDefault="00842D77">
      <w:pPr>
        <w:pStyle w:val="NormalWeb"/>
        <w:spacing w:line="360" w:lineRule="auto"/>
        <w:jc w:val="both"/>
      </w:pPr>
      <w:r>
        <w:t>The financial strategy will ascertain whether entry of HSBC into Kenya will lead to long run economic gains. This type of priorities is gaining market share in corporate banking, trade finance and digital payments that is growing in Kenya courtesy of the increased cross-border trades and SME behaviors (</w:t>
      </w:r>
      <w:proofErr w:type="spellStart"/>
      <w:r>
        <w:t>Oduor</w:t>
      </w:r>
      <w:proofErr w:type="spellEnd"/>
      <w:r>
        <w:t>, 2025). Profit before tax is a key measure that gets into consideration the high competition of the already established local banks like Equity and KCB. The cost to income ratio is also essential because the entry to Kenya would mean that it is required to recognize some investment in meeting the legal requirements, and the digital implementation and risk management in line with the CBK requirements (</w:t>
      </w:r>
      <w:proofErr w:type="spellStart"/>
      <w:r>
        <w:t>Sindi</w:t>
      </w:r>
      <w:proofErr w:type="spellEnd"/>
      <w:r>
        <w:t xml:space="preserve">, 2025). The second metric is the digital product revenue, the ability of HSBC to </w:t>
      </w:r>
      <w:proofErr w:type="spellStart"/>
      <w:r>
        <w:t>monetise</w:t>
      </w:r>
      <w:proofErr w:type="spellEnd"/>
      <w:r>
        <w:t xml:space="preserve"> mobile</w:t>
      </w:r>
      <w:r>
        <w:t xml:space="preserve"> banking, online onboarding and digital wealth services, which increasingly gain popularity due to the existing mobile-money ecosystem in Kenya (</w:t>
      </w:r>
      <w:proofErr w:type="spellStart"/>
      <w:r>
        <w:t>Wachira</w:t>
      </w:r>
      <w:proofErr w:type="spellEnd"/>
      <w:r>
        <w:t xml:space="preserve">, 2025). High digital revenue would mean that it is aligned with the financial </w:t>
      </w:r>
      <w:proofErr w:type="spellStart"/>
      <w:r>
        <w:t>digitalisation</w:t>
      </w:r>
      <w:proofErr w:type="spellEnd"/>
      <w:r>
        <w:t xml:space="preserve"> trend in Kenya.</w:t>
      </w:r>
    </w:p>
    <w:p w14:paraId="50858637" w14:textId="77777777" w:rsidR="00585B22" w:rsidRDefault="00842D77">
      <w:pPr>
        <w:pStyle w:val="Heading3"/>
      </w:pPr>
      <w:r>
        <w:t>5.1.2 Customer Perspective</w:t>
      </w:r>
    </w:p>
    <w:p w14:paraId="2D7AD88E" w14:textId="77777777" w:rsidR="00585B22" w:rsidRDefault="00842D77">
      <w:pPr>
        <w:pStyle w:val="NormalWeb"/>
        <w:spacing w:line="360" w:lineRule="auto"/>
        <w:jc w:val="both"/>
      </w:pPr>
      <w:r>
        <w:t>The customer lens is the assessment of the manner in which HSBC can build a relationship, cultivate trust, and deliver unique value in the Kenya banking competitive environment. Customer satisfaction indicators such as measures of customer satisfaction and brand perception such as Net Promoter Score (NPS) of HSBC are customer satisfaction indicators. The customer acquisition rates reveal the effectiveness of the bank to acquire SMEs and corporates, mass-affluent customers who are interested in international</w:t>
      </w:r>
      <w:r>
        <w:t xml:space="preserve"> banking facilities- segments that are not well covered by their home country banks (HSBC Holdings plc, 2025). Digital adoption levels are critical since Kenya has high reliance on mobile-money and digital payment systems where mobile money payment systems such as M-</w:t>
      </w:r>
      <w:proofErr w:type="spellStart"/>
      <w:r>
        <w:t>Pesa</w:t>
      </w:r>
      <w:proofErr w:type="spellEnd"/>
      <w:r>
        <w:t xml:space="preserve"> handle more than 90% of mobile payments (</w:t>
      </w:r>
      <w:proofErr w:type="spellStart"/>
      <w:r>
        <w:t>Wachira</w:t>
      </w:r>
      <w:proofErr w:type="spellEnd"/>
      <w:r>
        <w:t>, 2025).</w:t>
      </w:r>
    </w:p>
    <w:p w14:paraId="5CD27AA1" w14:textId="77777777" w:rsidR="00585B22" w:rsidRDefault="00842D77">
      <w:pPr>
        <w:pStyle w:val="Heading3"/>
        <w:rPr>
          <w:b w:val="0"/>
          <w:bCs w:val="0"/>
          <w:szCs w:val="24"/>
        </w:rPr>
      </w:pPr>
      <w:r>
        <w:t>5.1.3 Internal Process Perspective</w:t>
      </w:r>
    </w:p>
    <w:p w14:paraId="11B7516D" w14:textId="77777777" w:rsidR="00585B22" w:rsidRDefault="00842D77">
      <w:pPr>
        <w:pStyle w:val="NormalWeb"/>
        <w:spacing w:line="360" w:lineRule="auto"/>
        <w:jc w:val="both"/>
      </w:pPr>
      <w:r>
        <w:t xml:space="preserve">Internal process perspective measures the operational capacity, service performance and risk management performance of HSBC in Kenyan market. The rate at which the bank issues loans is a metric of how the bank competes with other </w:t>
      </w:r>
      <w:proofErr w:type="spellStart"/>
      <w:r>
        <w:t>fintech</w:t>
      </w:r>
      <w:proofErr w:type="spellEnd"/>
      <w:r>
        <w:t xml:space="preserve"> lenders agile and conventional domestic banks. Fraud detection and cybersecurity would be very effective in Kenya because currently, the number of digital-finance and cyber fraud is increasing (</w:t>
      </w:r>
      <w:proofErr w:type="spellStart"/>
      <w:r>
        <w:t>Wachira</w:t>
      </w:r>
      <w:proofErr w:type="spellEnd"/>
      <w:r>
        <w:t>, 2025). The rate of onboarding may also be regarded as an important metric of HSBC capacity to make the digital KYC processes consistent with the Kenyan risk management framework (</w:t>
      </w:r>
      <w:proofErr w:type="spellStart"/>
      <w:r>
        <w:t>Sindi</w:t>
      </w:r>
      <w:proofErr w:type="spellEnd"/>
      <w:r>
        <w:t xml:space="preserve">, 2025). </w:t>
      </w:r>
    </w:p>
    <w:p w14:paraId="40BB7B65" w14:textId="77777777" w:rsidR="00585B22" w:rsidRDefault="00842D77">
      <w:pPr>
        <w:pStyle w:val="Heading3"/>
      </w:pPr>
      <w:r>
        <w:t>5.1.4 Learning and Growth Perspective</w:t>
      </w:r>
    </w:p>
    <w:p w14:paraId="73799F64" w14:textId="77777777" w:rsidR="00585B22" w:rsidRDefault="00842D77">
      <w:pPr>
        <w:pStyle w:val="NormalWeb"/>
        <w:spacing w:line="360" w:lineRule="auto"/>
        <w:jc w:val="both"/>
      </w:pPr>
      <w:r>
        <w:t xml:space="preserve">On HSBC, Kenya needs </w:t>
      </w:r>
      <w:proofErr w:type="spellStart"/>
      <w:r>
        <w:t>organisational</w:t>
      </w:r>
      <w:proofErr w:type="spellEnd"/>
      <w:r>
        <w:t xml:space="preserve"> capabilities that will help in enhancing innovation and local market understanding on which the success of long-term success depends. Evidence has been prepared in the shape of employee-training on digital-skills that is needed to deliver the high-quality digital services in a market that is driven by mobile and online finance (</w:t>
      </w:r>
      <w:proofErr w:type="spellStart"/>
      <w:r>
        <w:t>Wachira</w:t>
      </w:r>
      <w:proofErr w:type="spellEnd"/>
      <w:r>
        <w:t>, 2025). The retention rates of the staff show that the bank is capable of developing a stable and effective local labor force, which is necessary due to the co</w:t>
      </w:r>
      <w:r>
        <w:t xml:space="preserve">mpetition of the digital talent. </w:t>
      </w:r>
    </w:p>
    <w:p w14:paraId="1BE4A708" w14:textId="77777777" w:rsidR="00585B22" w:rsidRDefault="00842D77">
      <w:pPr>
        <w:pStyle w:val="Heading2"/>
      </w:pPr>
      <w:bookmarkStart w:id="27" w:name="_Toc9902"/>
      <w:r>
        <w:t>5.</w:t>
      </w:r>
      <w:r>
        <w:t>2</w:t>
      </w:r>
      <w:r>
        <w:t xml:space="preserve"> Integrated Assessment</w:t>
      </w:r>
      <w:bookmarkEnd w:id="27"/>
    </w:p>
    <w:p w14:paraId="2DE8A05E" w14:textId="77777777" w:rsidR="00585B22" w:rsidRDefault="00842D77">
      <w:pPr>
        <w:pStyle w:val="NormalWeb"/>
        <w:spacing w:line="360" w:lineRule="auto"/>
        <w:jc w:val="both"/>
        <w:rPr>
          <w:rFonts w:cs="Times New Roman"/>
        </w:rPr>
      </w:pPr>
      <w:r>
        <w:t>The combination of the Balanced Scorecard and Triple Bottom Line will allow HSBC to assess its Kenyan expansion holistically. The BSC makes the bank financial competitive, customer and operationally efficient, and the TBL evaluates its support in the environmental protection, social development and economic transformation of Kenya. The combination of these structures enables HSBC to dynamically respond to changes in the marketplace, be strategically aligned with national priorities in Kenya and uphold the g</w:t>
      </w:r>
      <w:r>
        <w:t>lobal sustainability engagements</w:t>
      </w:r>
      <w:r>
        <w:rPr>
          <w:rFonts w:cs="Times New Roman"/>
        </w:rPr>
        <w:t>.</w:t>
      </w:r>
    </w:p>
    <w:p w14:paraId="505D1468" w14:textId="77777777" w:rsidR="00585B22" w:rsidRDefault="00842D77">
      <w:pPr>
        <w:pStyle w:val="Heading1"/>
      </w:pPr>
      <w:bookmarkStart w:id="28" w:name="_Toc24009"/>
      <w:r>
        <w:t>6. Conclusion</w:t>
      </w:r>
      <w:bookmarkEnd w:id="28"/>
      <w:r>
        <w:t xml:space="preserve"> </w:t>
      </w:r>
    </w:p>
    <w:p w14:paraId="1DE4C6F4" w14:textId="77777777" w:rsidR="00585B22" w:rsidRDefault="00842D77">
      <w:pPr>
        <w:pStyle w:val="NormalWeb"/>
        <w:spacing w:line="360" w:lineRule="auto"/>
        <w:jc w:val="both"/>
        <w:rPr>
          <w:rFonts w:cs="Times New Roman"/>
        </w:rPr>
      </w:pPr>
      <w:r>
        <w:t xml:space="preserve">This report has constructed an elaborate international expansion strategy to HSBC in such a way that Kenya is a competitive and very high-potential market to enter. The </w:t>
      </w:r>
      <w:proofErr w:type="spellStart"/>
      <w:r>
        <w:t>favourable</w:t>
      </w:r>
      <w:proofErr w:type="spellEnd"/>
      <w:r>
        <w:t xml:space="preserve"> environment that HSBC can explore in Kenya due to the country's robust economic profile, by developed digital-finance infrastructure, the regional trade status and emerging middle class. The strategic studies conducted on PESTLE, Porters Five Forces, VRIO and Porters Diamond prove that the opportunities are high but Kenya is also a challenging market with the key challenges being the level of competition in Kenya, regulatory requirements as well as a high rate of technological advancement. The ap</w:t>
      </w:r>
      <w:r>
        <w:t>proach proposed, which is founded on the strategic alliances, digital differentiation, sustainable finance leadership and focus on corporate, SMEs and wealthy audiences, prepares HSBC to penetrate Kenya successfully. The combined Balanced Scorecard and Triple Bottom Line models provide a potent instrument of measuring performance on financial, operational and sustainability levels. In the end, the key to the future success of HSBC in Kenya will be the ability to capitalize on its international capabilities,</w:t>
      </w:r>
      <w:r>
        <w:t xml:space="preserve"> but localize its services, technology and </w:t>
      </w:r>
      <w:proofErr w:type="spellStart"/>
      <w:r>
        <w:t>organisational</w:t>
      </w:r>
      <w:proofErr w:type="spellEnd"/>
      <w:r>
        <w:t xml:space="preserve"> culture to the demands of a highly </w:t>
      </w:r>
      <w:proofErr w:type="spellStart"/>
      <w:r>
        <w:t>digitalised</w:t>
      </w:r>
      <w:proofErr w:type="spellEnd"/>
      <w:r>
        <w:t>, competitive and future-driven financial market</w:t>
      </w:r>
      <w:r>
        <w:rPr>
          <w:rFonts w:cs="Times New Roman"/>
        </w:rPr>
        <w:t>.</w:t>
      </w:r>
    </w:p>
    <w:p w14:paraId="6CB14B11" w14:textId="77777777" w:rsidR="00585B22" w:rsidRDefault="00842D77">
      <w:pPr>
        <w:rPr>
          <w:rFonts w:cs="Times New Roman"/>
          <w:szCs w:val="24"/>
        </w:rPr>
      </w:pPr>
      <w:r>
        <w:rPr>
          <w:rFonts w:cs="Times New Roman"/>
          <w:szCs w:val="24"/>
        </w:rPr>
        <w:br w:type="page"/>
      </w:r>
    </w:p>
    <w:p w14:paraId="6899AF81" w14:textId="77777777" w:rsidR="00585B22" w:rsidRDefault="00842D77">
      <w:pPr>
        <w:pStyle w:val="Heading1"/>
        <w:numPr>
          <w:ilvl w:val="0"/>
          <w:numId w:val="12"/>
        </w:numPr>
      </w:pPr>
      <w:bookmarkStart w:id="29" w:name="_Toc30505"/>
      <w:r>
        <w:t>References</w:t>
      </w:r>
      <w:bookmarkEnd w:id="29"/>
    </w:p>
    <w:p w14:paraId="6AEECA18" w14:textId="77777777" w:rsidR="00585B22" w:rsidRDefault="00842D77">
      <w:pPr>
        <w:pStyle w:val="NormalWeb"/>
        <w:spacing w:line="360" w:lineRule="auto"/>
        <w:jc w:val="both"/>
      </w:pPr>
      <w:r>
        <w:rPr>
          <w:rStyle w:val="Strong"/>
          <w:b w:val="0"/>
          <w:bCs w:val="0"/>
        </w:rPr>
        <w:t>Abacus, 2025.</w:t>
      </w:r>
      <w:r>
        <w:t xml:space="preserve"> </w:t>
      </w:r>
      <w:r>
        <w:rPr>
          <w:rStyle w:val="Emphasis"/>
        </w:rPr>
        <w:t>HSBC Kenya representative office changes name</w:t>
      </w:r>
      <w:r>
        <w:t xml:space="preserve">. [online] Available at: </w:t>
      </w:r>
      <w:hyperlink r:id="rId17" w:tgtFrame="_new" w:history="1">
        <w:r>
          <w:rPr>
            <w:rStyle w:val="Hyperlink"/>
          </w:rPr>
          <w:t>https://abacus.co.ke/hsbc-kenya-representative-office-changes-name/</w:t>
        </w:r>
      </w:hyperlink>
      <w:r>
        <w:t xml:space="preserve"> [Accessed </w:t>
      </w:r>
      <w:r>
        <w:t>18</w:t>
      </w:r>
      <w:r>
        <w:t xml:space="preserve"> December 2025].</w:t>
      </w:r>
    </w:p>
    <w:p w14:paraId="65CBD993" w14:textId="77777777" w:rsidR="00585B22" w:rsidRDefault="00842D77">
      <w:pPr>
        <w:pStyle w:val="NormalWeb"/>
        <w:spacing w:line="360" w:lineRule="auto"/>
        <w:jc w:val="both"/>
      </w:pPr>
      <w:proofErr w:type="spellStart"/>
      <w:r>
        <w:rPr>
          <w:rStyle w:val="Strong"/>
          <w:b w:val="0"/>
          <w:bCs w:val="0"/>
        </w:rPr>
        <w:t>Ansoff</w:t>
      </w:r>
      <w:proofErr w:type="spellEnd"/>
      <w:r>
        <w:rPr>
          <w:rStyle w:val="Strong"/>
          <w:b w:val="0"/>
          <w:bCs w:val="0"/>
        </w:rPr>
        <w:t>, H.I., 1957.</w:t>
      </w:r>
      <w:r>
        <w:t xml:space="preserve"> </w:t>
      </w:r>
      <w:r>
        <w:rPr>
          <w:rStyle w:val="Emphasis"/>
        </w:rPr>
        <w:t>Strategies for diversification</w:t>
      </w:r>
      <w:r>
        <w:t>. Harvard Business Review, 35(5), pp.113–124.</w:t>
      </w:r>
    </w:p>
    <w:p w14:paraId="5866DAF4" w14:textId="77777777" w:rsidR="00585B22" w:rsidRDefault="00842D77">
      <w:pPr>
        <w:pStyle w:val="NormalWeb"/>
        <w:spacing w:line="360" w:lineRule="auto"/>
        <w:jc w:val="both"/>
      </w:pPr>
      <w:r>
        <w:rPr>
          <w:rStyle w:val="Strong"/>
          <w:b w:val="0"/>
          <w:bCs w:val="0"/>
        </w:rPr>
        <w:t>CAK, 2023.</w:t>
      </w:r>
      <w:r>
        <w:t xml:space="preserve"> </w:t>
      </w:r>
      <w:r>
        <w:rPr>
          <w:rStyle w:val="Emphasis"/>
        </w:rPr>
        <w:t>Annual Communications Authority of Kenya ICT sector statistics report</w:t>
      </w:r>
      <w:r>
        <w:t>. Government of Kenya.</w:t>
      </w:r>
    </w:p>
    <w:p w14:paraId="7CEABAD2" w14:textId="77777777" w:rsidR="00585B22" w:rsidRDefault="00842D77">
      <w:pPr>
        <w:pStyle w:val="NormalWeb"/>
        <w:spacing w:line="360" w:lineRule="auto"/>
        <w:jc w:val="both"/>
      </w:pPr>
      <w:r>
        <w:rPr>
          <w:rStyle w:val="Strong"/>
          <w:b w:val="0"/>
          <w:bCs w:val="0"/>
        </w:rPr>
        <w:t>Capital FM, 2025.</w:t>
      </w:r>
      <w:r>
        <w:t xml:space="preserve"> </w:t>
      </w:r>
      <w:r>
        <w:rPr>
          <w:rStyle w:val="Emphasis"/>
        </w:rPr>
        <w:t>Kenya’s controversial ETA system switch triggers investor, tourism backlash</w:t>
      </w:r>
      <w:r>
        <w:t xml:space="preserve">. [online] Available at: </w:t>
      </w:r>
      <w:hyperlink r:id="rId18" w:tgtFrame="_new" w:history="1">
        <w:r>
          <w:rPr>
            <w:rStyle w:val="Hyperlink"/>
          </w:rPr>
          <w:t>https://www.capitalfm.co.ke/business/2025/04/kenyas-controversial-eta-system-switch-triggers-investor-tourism-backlash/</w:t>
        </w:r>
      </w:hyperlink>
      <w:r>
        <w:t xml:space="preserve"> [Accessed 2</w:t>
      </w:r>
      <w:r>
        <w:t>0</w:t>
      </w:r>
      <w:r>
        <w:t xml:space="preserve"> December 2025].</w:t>
      </w:r>
    </w:p>
    <w:p w14:paraId="540E17FA" w14:textId="77777777" w:rsidR="00585B22" w:rsidRDefault="00842D77">
      <w:pPr>
        <w:pStyle w:val="NormalWeb"/>
        <w:spacing w:line="360" w:lineRule="auto"/>
        <w:jc w:val="both"/>
      </w:pPr>
      <w:r>
        <w:rPr>
          <w:rStyle w:val="Strong"/>
          <w:b w:val="0"/>
          <w:bCs w:val="0"/>
        </w:rPr>
        <w:t>CBK, 2023.</w:t>
      </w:r>
      <w:r>
        <w:t xml:space="preserve"> </w:t>
      </w:r>
      <w:r>
        <w:rPr>
          <w:rStyle w:val="Emphasis"/>
        </w:rPr>
        <w:t>Legislation and guidelines</w:t>
      </w:r>
      <w:r>
        <w:t xml:space="preserve">. Central Bank of Kenya. [online] Available at: </w:t>
      </w:r>
      <w:hyperlink r:id="rId19" w:tgtFrame="_new" w:history="1">
        <w:r>
          <w:rPr>
            <w:rStyle w:val="Hyperlink"/>
          </w:rPr>
          <w:t>https://www.centralbank.go.ke/policy-procedures/legislation-and-guidelines/</w:t>
        </w:r>
      </w:hyperlink>
      <w:r>
        <w:t xml:space="preserve"> [Accessed </w:t>
      </w:r>
      <w:r>
        <w:t xml:space="preserve">15 </w:t>
      </w:r>
      <w:r>
        <w:t>December 2025].</w:t>
      </w:r>
    </w:p>
    <w:p w14:paraId="3BBABE3E" w14:textId="77777777" w:rsidR="00585B22" w:rsidRDefault="00842D77">
      <w:pPr>
        <w:pStyle w:val="NormalWeb"/>
        <w:spacing w:line="360" w:lineRule="auto"/>
        <w:jc w:val="both"/>
      </w:pPr>
      <w:r>
        <w:rPr>
          <w:rStyle w:val="Strong"/>
          <w:b w:val="0"/>
          <w:bCs w:val="0"/>
        </w:rPr>
        <w:t>CNBC TV18, 2025.</w:t>
      </w:r>
      <w:r>
        <w:t xml:space="preserve"> </w:t>
      </w:r>
      <w:r>
        <w:rPr>
          <w:rStyle w:val="Emphasis"/>
        </w:rPr>
        <w:t xml:space="preserve">Financial inclusion at record high but 1.3 billion still unbanked: World Bank Global </w:t>
      </w:r>
      <w:proofErr w:type="spellStart"/>
      <w:r>
        <w:rPr>
          <w:rStyle w:val="Emphasis"/>
        </w:rPr>
        <w:t>Findex</w:t>
      </w:r>
      <w:proofErr w:type="spellEnd"/>
      <w:r>
        <w:rPr>
          <w:rStyle w:val="Emphasis"/>
        </w:rPr>
        <w:t xml:space="preserve"> 2025 report</w:t>
      </w:r>
      <w:r>
        <w:t xml:space="preserve">. [online] Available at: </w:t>
      </w:r>
      <w:hyperlink r:id="rId20" w:tgtFrame="_new" w:history="1">
        <w:r>
          <w:rPr>
            <w:rStyle w:val="Hyperlink"/>
          </w:rPr>
          <w:t>https://www.cnbctv18.com/world/financial-inclusion-at-record-high-but-1-3-billion-still-unbanked-world-bank-global-findex-2025-report-19638086.htm</w:t>
        </w:r>
      </w:hyperlink>
      <w:r>
        <w:t xml:space="preserve"> [Accessed </w:t>
      </w:r>
      <w:r>
        <w:t>12</w:t>
      </w:r>
      <w:r>
        <w:t xml:space="preserve"> December 2025].</w:t>
      </w:r>
    </w:p>
    <w:p w14:paraId="062123FF" w14:textId="77777777" w:rsidR="00585B22" w:rsidRDefault="00842D77">
      <w:pPr>
        <w:pStyle w:val="NormalWeb"/>
        <w:spacing w:line="360" w:lineRule="auto"/>
        <w:jc w:val="both"/>
      </w:pPr>
      <w:r>
        <w:rPr>
          <w:rStyle w:val="Strong"/>
          <w:b w:val="0"/>
          <w:bCs w:val="0"/>
        </w:rPr>
        <w:t>Elliot, N., 2025.</w:t>
      </w:r>
      <w:r>
        <w:t xml:space="preserve"> </w:t>
      </w:r>
      <w:r>
        <w:rPr>
          <w:rStyle w:val="Emphasis"/>
        </w:rPr>
        <w:t>Kenya’s mobile money market hits 91% penetration</w:t>
      </w:r>
      <w:r>
        <w:t xml:space="preserve">. </w:t>
      </w:r>
      <w:proofErr w:type="spellStart"/>
      <w:r>
        <w:t>FinTech</w:t>
      </w:r>
      <w:proofErr w:type="spellEnd"/>
      <w:r>
        <w:t xml:space="preserve"> Magazine, 25 September. [online] Available at: </w:t>
      </w:r>
      <w:hyperlink r:id="rId21" w:tgtFrame="_new" w:history="1">
        <w:r>
          <w:rPr>
            <w:rStyle w:val="Hyperlink"/>
          </w:rPr>
          <w:t>https://fintechmagazine.com/news/kenya-leads-the-world-in-mobile-money-penetration</w:t>
        </w:r>
      </w:hyperlink>
      <w:r>
        <w:t xml:space="preserve"> [Accessed </w:t>
      </w:r>
      <w:r>
        <w:t>10</w:t>
      </w:r>
      <w:r>
        <w:t xml:space="preserve"> December 2025].</w:t>
      </w:r>
    </w:p>
    <w:p w14:paraId="406EAE73" w14:textId="77777777" w:rsidR="00585B22" w:rsidRDefault="00842D77">
      <w:pPr>
        <w:pStyle w:val="NormalWeb"/>
        <w:spacing w:line="360" w:lineRule="auto"/>
        <w:jc w:val="both"/>
      </w:pPr>
      <w:r>
        <w:rPr>
          <w:rStyle w:val="Strong"/>
          <w:b w:val="0"/>
          <w:bCs w:val="0"/>
        </w:rPr>
        <w:t xml:space="preserve">Engle, C.R. and van </w:t>
      </w:r>
      <w:proofErr w:type="spellStart"/>
      <w:r>
        <w:rPr>
          <w:rStyle w:val="Strong"/>
          <w:b w:val="0"/>
          <w:bCs w:val="0"/>
        </w:rPr>
        <w:t>Senten</w:t>
      </w:r>
      <w:proofErr w:type="spellEnd"/>
      <w:r>
        <w:rPr>
          <w:rStyle w:val="Strong"/>
          <w:b w:val="0"/>
          <w:bCs w:val="0"/>
        </w:rPr>
        <w:t>, J., 2022.</w:t>
      </w:r>
      <w:r>
        <w:t xml:space="preserve"> </w:t>
      </w:r>
      <w:r>
        <w:rPr>
          <w:rStyle w:val="Emphasis"/>
        </w:rPr>
        <w:t>Resilience of communities and sustainable aquaculture: governance and regulatory effects</w:t>
      </w:r>
      <w:r>
        <w:t xml:space="preserve">. Fishes, 7(5), p.268. Available at: </w:t>
      </w:r>
      <w:hyperlink r:id="rId22" w:tgtFrame="_new" w:history="1">
        <w:r>
          <w:rPr>
            <w:rStyle w:val="Hyperlink"/>
          </w:rPr>
          <w:t>https://doi.org/10.3390/fishes7050268</w:t>
        </w:r>
      </w:hyperlink>
    </w:p>
    <w:p w14:paraId="7127502F" w14:textId="77777777" w:rsidR="00585B22" w:rsidRDefault="00842D77">
      <w:pPr>
        <w:pStyle w:val="NormalWeb"/>
        <w:spacing w:line="360" w:lineRule="auto"/>
        <w:jc w:val="both"/>
      </w:pPr>
      <w:proofErr w:type="spellStart"/>
      <w:r>
        <w:rPr>
          <w:rStyle w:val="Strong"/>
          <w:b w:val="0"/>
          <w:bCs w:val="0"/>
        </w:rPr>
        <w:t>FasterCapital</w:t>
      </w:r>
      <w:proofErr w:type="spellEnd"/>
      <w:r>
        <w:rPr>
          <w:rStyle w:val="Strong"/>
          <w:b w:val="0"/>
          <w:bCs w:val="0"/>
        </w:rPr>
        <w:t>, 2025.</w:t>
      </w:r>
      <w:r>
        <w:t xml:space="preserve"> </w:t>
      </w:r>
      <w:r>
        <w:rPr>
          <w:rStyle w:val="Emphasis"/>
        </w:rPr>
        <w:t>Risk sharing: mitigating risks through joint ventures: a win-win approach</w:t>
      </w:r>
      <w:r>
        <w:t xml:space="preserve">. [online] Available at: </w:t>
      </w:r>
      <w:hyperlink r:id="rId23" w:tgtFrame="_new" w:history="1">
        <w:r>
          <w:rPr>
            <w:rStyle w:val="Hyperlink"/>
          </w:rPr>
          <w:t>https://fastercapital.com/content/Risk-sharing--Mitigating-Risks-through-Joint-Ventures--A-Win-Win-Approach.html</w:t>
        </w:r>
      </w:hyperlink>
      <w:r>
        <w:t xml:space="preserve"> [Accessed </w:t>
      </w:r>
      <w:r>
        <w:t>12</w:t>
      </w:r>
      <w:r>
        <w:t xml:space="preserve"> December 2025].</w:t>
      </w:r>
    </w:p>
    <w:p w14:paraId="0C3C162F" w14:textId="77777777" w:rsidR="00585B22" w:rsidRDefault="00842D77">
      <w:pPr>
        <w:pStyle w:val="NormalWeb"/>
        <w:spacing w:line="360" w:lineRule="auto"/>
        <w:jc w:val="both"/>
      </w:pPr>
      <w:r>
        <w:rPr>
          <w:rStyle w:val="Strong"/>
          <w:b w:val="0"/>
          <w:bCs w:val="0"/>
        </w:rPr>
        <w:t>Financial Times, 2025.</w:t>
      </w:r>
      <w:r>
        <w:t xml:space="preserve"> </w:t>
      </w:r>
      <w:r>
        <w:rPr>
          <w:rStyle w:val="Emphasis"/>
        </w:rPr>
        <w:t>Can UK banks stay the course on their climate pledges?</w:t>
      </w:r>
      <w:r>
        <w:t xml:space="preserve"> [online] Available at: </w:t>
      </w:r>
      <w:hyperlink r:id="rId24" w:tgtFrame="_new" w:history="1">
        <w:r>
          <w:rPr>
            <w:rStyle w:val="Hyperlink"/>
          </w:rPr>
          <w:t>https://www.ft.com/content/513489c2-61d5-4857-bbd5-9228da6619db</w:t>
        </w:r>
      </w:hyperlink>
      <w:r>
        <w:t xml:space="preserve"> [Accessed </w:t>
      </w:r>
      <w:r>
        <w:t>14</w:t>
      </w:r>
      <w:r>
        <w:t xml:space="preserve"> December 2025].</w:t>
      </w:r>
    </w:p>
    <w:p w14:paraId="782BCD55" w14:textId="77777777" w:rsidR="00585B22" w:rsidRDefault="00842D77">
      <w:pPr>
        <w:pStyle w:val="NormalWeb"/>
        <w:spacing w:line="360" w:lineRule="auto"/>
        <w:jc w:val="both"/>
      </w:pPr>
      <w:r>
        <w:rPr>
          <w:rStyle w:val="Strong"/>
          <w:b w:val="0"/>
          <w:bCs w:val="0"/>
        </w:rPr>
        <w:t>Food and Agriculture Organization of the United Nations, 2024.</w:t>
      </w:r>
      <w:r>
        <w:t xml:space="preserve"> </w:t>
      </w:r>
      <w:r>
        <w:rPr>
          <w:rStyle w:val="Emphasis"/>
        </w:rPr>
        <w:t>The state of world fisheries and aquaculture 2024: blue transformation in action</w:t>
      </w:r>
      <w:r>
        <w:t xml:space="preserve">. FAO. Available at: </w:t>
      </w:r>
      <w:hyperlink r:id="rId25" w:tgtFrame="_new" w:history="1">
        <w:r>
          <w:rPr>
            <w:rStyle w:val="Hyperlink"/>
          </w:rPr>
          <w:t>https://doi.org/10.4060/cd0683en</w:t>
        </w:r>
      </w:hyperlink>
    </w:p>
    <w:p w14:paraId="437121ED" w14:textId="77777777" w:rsidR="00585B22" w:rsidRDefault="00842D77">
      <w:pPr>
        <w:pStyle w:val="NormalWeb"/>
        <w:spacing w:line="360" w:lineRule="auto"/>
        <w:jc w:val="both"/>
      </w:pPr>
      <w:r>
        <w:rPr>
          <w:rStyle w:val="Strong"/>
          <w:b w:val="0"/>
          <w:bCs w:val="0"/>
        </w:rPr>
        <w:t>Government of Kenya, 2007.</w:t>
      </w:r>
      <w:r>
        <w:t xml:space="preserve"> </w:t>
      </w:r>
      <w:r>
        <w:rPr>
          <w:rStyle w:val="Emphasis"/>
        </w:rPr>
        <w:t>Kenya Vision 2030 (popular version)</w:t>
      </w:r>
      <w:r>
        <w:t xml:space="preserve">. [online] Available at: </w:t>
      </w:r>
      <w:hyperlink r:id="rId26" w:tgtFrame="_new" w:history="1">
        <w:r>
          <w:rPr>
            <w:rStyle w:val="Hyperlink"/>
          </w:rPr>
          <w:t>https://repository.kippra.or.ke/items/b8ee03c8-75e9-445f-9591-a958696ef02f</w:t>
        </w:r>
      </w:hyperlink>
      <w:r>
        <w:t xml:space="preserve"> [Accessed </w:t>
      </w:r>
      <w:r>
        <w:t xml:space="preserve">14 </w:t>
      </w:r>
      <w:r>
        <w:t>December 2025].</w:t>
      </w:r>
    </w:p>
    <w:p w14:paraId="662F5816" w14:textId="77777777" w:rsidR="00585B22" w:rsidRDefault="00842D77">
      <w:pPr>
        <w:pStyle w:val="NormalWeb"/>
        <w:spacing w:line="360" w:lineRule="auto"/>
        <w:jc w:val="both"/>
      </w:pPr>
      <w:r>
        <w:rPr>
          <w:rStyle w:val="Strong"/>
          <w:b w:val="0"/>
          <w:bCs w:val="0"/>
        </w:rPr>
        <w:t>Grant, R., 2021.</w:t>
      </w:r>
      <w:r>
        <w:t xml:space="preserve"> </w:t>
      </w:r>
      <w:r>
        <w:rPr>
          <w:rStyle w:val="Emphasis"/>
        </w:rPr>
        <w:t>Contemporary strategy analysis</w:t>
      </w:r>
      <w:r>
        <w:t>. 11th ed. Wiley.</w:t>
      </w:r>
    </w:p>
    <w:p w14:paraId="41533FC6" w14:textId="77777777" w:rsidR="00585B22" w:rsidRDefault="00842D77">
      <w:pPr>
        <w:pStyle w:val="NormalWeb"/>
        <w:spacing w:line="360" w:lineRule="auto"/>
        <w:jc w:val="both"/>
      </w:pPr>
      <w:r>
        <w:rPr>
          <w:rStyle w:val="Strong"/>
          <w:b w:val="0"/>
          <w:bCs w:val="0"/>
        </w:rPr>
        <w:t>GSMA, 2024.</w:t>
      </w:r>
      <w:r>
        <w:t xml:space="preserve"> </w:t>
      </w:r>
      <w:r>
        <w:rPr>
          <w:rStyle w:val="Emphasis"/>
        </w:rPr>
        <w:t>Kenya digital economy report: driving digital transformation of the economy in Kenya</w:t>
      </w:r>
      <w:r>
        <w:t xml:space="preserve">. GSMA. [online] Available at: </w:t>
      </w:r>
      <w:hyperlink r:id="rId27" w:tgtFrame="_new" w:history="1">
        <w:r>
          <w:rPr>
            <w:rStyle w:val="Hyperlink"/>
          </w:rPr>
          <w:t>https://www.gsma.com/about-us/regions/sub-saharan-africa/wp-content/uploads/2024/10/KENYA-DIGITAL-ECONOMY-REPORT-17TH-OCTOBER-V2.pdf</w:t>
        </w:r>
      </w:hyperlink>
      <w:r>
        <w:t xml:space="preserve"> [Accessed </w:t>
      </w:r>
      <w:r>
        <w:t>15</w:t>
      </w:r>
      <w:r>
        <w:t xml:space="preserve"> December 2025].</w:t>
      </w:r>
    </w:p>
    <w:p w14:paraId="31C26B78" w14:textId="77777777" w:rsidR="00585B22" w:rsidRDefault="00842D77">
      <w:pPr>
        <w:pStyle w:val="NormalWeb"/>
        <w:spacing w:line="360" w:lineRule="auto"/>
        <w:jc w:val="both"/>
      </w:pPr>
      <w:proofErr w:type="spellStart"/>
      <w:r>
        <w:rPr>
          <w:rStyle w:val="Strong"/>
          <w:b w:val="0"/>
          <w:bCs w:val="0"/>
        </w:rPr>
        <w:t>Gürel</w:t>
      </w:r>
      <w:proofErr w:type="spellEnd"/>
      <w:r>
        <w:rPr>
          <w:rStyle w:val="Strong"/>
          <w:b w:val="0"/>
          <w:bCs w:val="0"/>
        </w:rPr>
        <w:t>, E. and Tat, M., 2017.</w:t>
      </w:r>
      <w:r>
        <w:t xml:space="preserve"> </w:t>
      </w:r>
      <w:r>
        <w:rPr>
          <w:rStyle w:val="Emphasis"/>
        </w:rPr>
        <w:t>SWOT analysis: a theoretical review</w:t>
      </w:r>
      <w:r>
        <w:t>. Journal of International Social Research, 10(51), pp.994–1006.</w:t>
      </w:r>
    </w:p>
    <w:p w14:paraId="0AA19A96" w14:textId="77777777" w:rsidR="00585B22" w:rsidRDefault="00842D77">
      <w:pPr>
        <w:pStyle w:val="NormalWeb"/>
        <w:spacing w:line="360" w:lineRule="auto"/>
        <w:jc w:val="both"/>
      </w:pPr>
      <w:proofErr w:type="spellStart"/>
      <w:r>
        <w:rPr>
          <w:rStyle w:val="Strong"/>
          <w:b w:val="0"/>
          <w:bCs w:val="0"/>
        </w:rPr>
        <w:t>Hillson</w:t>
      </w:r>
      <w:proofErr w:type="spellEnd"/>
      <w:r>
        <w:rPr>
          <w:rStyle w:val="Strong"/>
          <w:b w:val="0"/>
          <w:bCs w:val="0"/>
        </w:rPr>
        <w:t>, D. and Murray-Webster, R., 2017.</w:t>
      </w:r>
      <w:r>
        <w:t xml:space="preserve"> </w:t>
      </w:r>
      <w:r>
        <w:rPr>
          <w:rStyle w:val="Emphasis"/>
        </w:rPr>
        <w:t>Understanding and managing risk attitude</w:t>
      </w:r>
      <w:r>
        <w:t>. 3rd ed. Routledge.</w:t>
      </w:r>
    </w:p>
    <w:p w14:paraId="74B4249C" w14:textId="77777777" w:rsidR="00585B22" w:rsidRDefault="00842D77">
      <w:pPr>
        <w:pStyle w:val="NormalWeb"/>
        <w:spacing w:line="360" w:lineRule="auto"/>
        <w:jc w:val="both"/>
      </w:pPr>
      <w:r>
        <w:rPr>
          <w:rStyle w:val="Strong"/>
          <w:b w:val="0"/>
          <w:bCs w:val="0"/>
        </w:rPr>
        <w:t>HSBC, 2024.</w:t>
      </w:r>
      <w:r>
        <w:t xml:space="preserve"> </w:t>
      </w:r>
      <w:r>
        <w:rPr>
          <w:rStyle w:val="Emphasis"/>
        </w:rPr>
        <w:t>Transforming HSBC with AI</w:t>
      </w:r>
      <w:r>
        <w:t xml:space="preserve">. [online] Available at: </w:t>
      </w:r>
      <w:hyperlink r:id="rId28" w:tgtFrame="_new" w:history="1">
        <w:r>
          <w:rPr>
            <w:rStyle w:val="Hyperlink"/>
          </w:rPr>
          <w:t>https://www.hsbc.com/who-we-are/hsbc-and-digital/hsbc-and-ai/transforming-hsbc-with-ai</w:t>
        </w:r>
      </w:hyperlink>
      <w:r>
        <w:t xml:space="preserve"> [Accessed </w:t>
      </w:r>
      <w:r>
        <w:t>15</w:t>
      </w:r>
      <w:r>
        <w:t xml:space="preserve"> December 2025].</w:t>
      </w:r>
    </w:p>
    <w:p w14:paraId="3DED76BF" w14:textId="77777777" w:rsidR="00585B22" w:rsidRDefault="00842D77">
      <w:pPr>
        <w:pStyle w:val="NormalWeb"/>
        <w:spacing w:line="360" w:lineRule="auto"/>
        <w:jc w:val="both"/>
      </w:pPr>
      <w:r>
        <w:rPr>
          <w:rStyle w:val="Strong"/>
          <w:b w:val="0"/>
          <w:bCs w:val="0"/>
        </w:rPr>
        <w:t>HSBC, 2025.</w:t>
      </w:r>
      <w:r>
        <w:t xml:space="preserve"> </w:t>
      </w:r>
      <w:r>
        <w:rPr>
          <w:rStyle w:val="Emphasis"/>
        </w:rPr>
        <w:t>About HSBC</w:t>
      </w:r>
      <w:r>
        <w:t xml:space="preserve">. [online] Available at: </w:t>
      </w:r>
      <w:hyperlink r:id="rId29" w:tgtFrame="_new" w:history="1">
        <w:r>
          <w:rPr>
            <w:rStyle w:val="Hyperlink"/>
          </w:rPr>
          <w:t>https://www.about.hsbc.co.uk/en</w:t>
        </w:r>
      </w:hyperlink>
      <w:r>
        <w:t xml:space="preserve"> [Accessed </w:t>
      </w:r>
      <w:r>
        <w:t>20</w:t>
      </w:r>
      <w:r>
        <w:t xml:space="preserve"> December 2025].</w:t>
      </w:r>
    </w:p>
    <w:p w14:paraId="59F163D0" w14:textId="77777777" w:rsidR="00585B22" w:rsidRDefault="00842D77">
      <w:pPr>
        <w:pStyle w:val="NormalWeb"/>
        <w:spacing w:line="360" w:lineRule="auto"/>
        <w:jc w:val="both"/>
      </w:pPr>
      <w:r>
        <w:rPr>
          <w:rStyle w:val="Strong"/>
          <w:b w:val="0"/>
          <w:bCs w:val="0"/>
        </w:rPr>
        <w:t>HSBC, 2024.</w:t>
      </w:r>
      <w:r>
        <w:t xml:space="preserve"> </w:t>
      </w:r>
      <w:r>
        <w:rPr>
          <w:rStyle w:val="Emphasis"/>
        </w:rPr>
        <w:t xml:space="preserve">HSBC announces completion of next stage of global </w:t>
      </w:r>
      <w:proofErr w:type="spellStart"/>
      <w:r>
        <w:rPr>
          <w:rStyle w:val="Emphasis"/>
        </w:rPr>
        <w:t>reorganisation</w:t>
      </w:r>
      <w:proofErr w:type="spellEnd"/>
      <w:r>
        <w:rPr>
          <w:rStyle w:val="Emphasis"/>
        </w:rPr>
        <w:t xml:space="preserve"> – addendum</w:t>
      </w:r>
      <w:r>
        <w:t xml:space="preserve">. [online] Available at: </w:t>
      </w:r>
      <w:hyperlink r:id="rId30" w:tgtFrame="_new" w:history="1">
        <w:r>
          <w:rPr>
            <w:rStyle w:val="Hyperlink"/>
          </w:rPr>
          <w:t>https://www.hsbc.com/news-and-views/news/media-releases/2024/hsbc-announces-completion-of-next-stage-of-global-reorganisation-addendum</w:t>
        </w:r>
      </w:hyperlink>
      <w:r>
        <w:t xml:space="preserve"> [Accessed </w:t>
      </w:r>
      <w:r>
        <w:t>15</w:t>
      </w:r>
      <w:r>
        <w:t xml:space="preserve"> December 2025].</w:t>
      </w:r>
    </w:p>
    <w:p w14:paraId="1C8F0805" w14:textId="77777777" w:rsidR="00585B22" w:rsidRDefault="00842D77">
      <w:pPr>
        <w:pStyle w:val="NormalWeb"/>
        <w:spacing w:line="360" w:lineRule="auto"/>
        <w:jc w:val="both"/>
      </w:pPr>
      <w:r>
        <w:rPr>
          <w:rStyle w:val="Strong"/>
          <w:b w:val="0"/>
          <w:bCs w:val="0"/>
        </w:rPr>
        <w:t>HSBC Holdings plc., 2025.</w:t>
      </w:r>
      <w:r>
        <w:t xml:space="preserve"> </w:t>
      </w:r>
      <w:r>
        <w:rPr>
          <w:rStyle w:val="Emphasis"/>
        </w:rPr>
        <w:t>Annual report and accounts 2024</w:t>
      </w:r>
      <w:r>
        <w:t>. HSBC Group.</w:t>
      </w:r>
    </w:p>
    <w:p w14:paraId="3633590C" w14:textId="77777777" w:rsidR="00585B22" w:rsidRDefault="00842D77">
      <w:pPr>
        <w:pStyle w:val="NormalWeb"/>
        <w:spacing w:line="360" w:lineRule="auto"/>
        <w:jc w:val="both"/>
      </w:pPr>
      <w:r>
        <w:rPr>
          <w:rStyle w:val="Strong"/>
          <w:b w:val="0"/>
          <w:bCs w:val="0"/>
        </w:rPr>
        <w:t>Jiang, W., Tang, Y., Xiao, R.J. and Yao, V., 2025.</w:t>
      </w:r>
      <w:r>
        <w:t xml:space="preserve"> </w:t>
      </w:r>
      <w:r>
        <w:rPr>
          <w:rStyle w:val="Emphasis"/>
        </w:rPr>
        <w:t xml:space="preserve">Surviving the </w:t>
      </w:r>
      <w:proofErr w:type="spellStart"/>
      <w:r>
        <w:rPr>
          <w:rStyle w:val="Emphasis"/>
        </w:rPr>
        <w:t>fintech</w:t>
      </w:r>
      <w:proofErr w:type="spellEnd"/>
      <w:r>
        <w:rPr>
          <w:rStyle w:val="Emphasis"/>
        </w:rPr>
        <w:t xml:space="preserve"> disruption</w:t>
      </w:r>
      <w:r>
        <w:t xml:space="preserve">. Journal of Financial Economics, 171, p.104071. Available at: </w:t>
      </w:r>
      <w:hyperlink r:id="rId31" w:tgtFrame="_new" w:history="1">
        <w:r>
          <w:rPr>
            <w:rStyle w:val="Hyperlink"/>
          </w:rPr>
          <w:t>https://doi.org/10.1016/j.jfineco.2025.104071</w:t>
        </w:r>
      </w:hyperlink>
    </w:p>
    <w:p w14:paraId="6AEBE1CC" w14:textId="77777777" w:rsidR="00585B22" w:rsidRDefault="00842D77">
      <w:pPr>
        <w:pStyle w:val="NormalWeb"/>
        <w:spacing w:line="360" w:lineRule="auto"/>
        <w:jc w:val="both"/>
      </w:pPr>
      <w:r>
        <w:rPr>
          <w:rStyle w:val="Strong"/>
          <w:b w:val="0"/>
          <w:bCs w:val="0"/>
        </w:rPr>
        <w:t xml:space="preserve">Jolly, C.M., </w:t>
      </w:r>
      <w:proofErr w:type="spellStart"/>
      <w:r>
        <w:rPr>
          <w:rStyle w:val="Strong"/>
          <w:b w:val="0"/>
          <w:bCs w:val="0"/>
        </w:rPr>
        <w:t>Nyandat</w:t>
      </w:r>
      <w:proofErr w:type="spellEnd"/>
      <w:r>
        <w:rPr>
          <w:rStyle w:val="Strong"/>
          <w:b w:val="0"/>
          <w:bCs w:val="0"/>
        </w:rPr>
        <w:t>, B., Yang, Z. et al., 2023.</w:t>
      </w:r>
      <w:r>
        <w:t xml:space="preserve"> </w:t>
      </w:r>
      <w:r>
        <w:rPr>
          <w:rStyle w:val="Emphasis"/>
        </w:rPr>
        <w:t>Dynamics of aquaculture governance</w:t>
      </w:r>
      <w:r>
        <w:t xml:space="preserve">. Journal of the World Aquaculture Society, 54(2), pp.427–481. Available at: </w:t>
      </w:r>
      <w:hyperlink r:id="rId32" w:tgtFrame="_new" w:history="1">
        <w:r>
          <w:rPr>
            <w:rStyle w:val="Hyperlink"/>
          </w:rPr>
          <w:t>https://doi.org/10.1111/jwas.12967</w:t>
        </w:r>
      </w:hyperlink>
    </w:p>
    <w:p w14:paraId="7642310A" w14:textId="77777777" w:rsidR="00585B22" w:rsidRDefault="00842D77">
      <w:pPr>
        <w:pStyle w:val="NormalWeb"/>
        <w:spacing w:line="360" w:lineRule="auto"/>
        <w:jc w:val="both"/>
      </w:pPr>
      <w:proofErr w:type="spellStart"/>
      <w:r>
        <w:rPr>
          <w:rStyle w:val="Strong"/>
          <w:b w:val="0"/>
          <w:bCs w:val="0"/>
        </w:rPr>
        <w:t>Kansongue</w:t>
      </w:r>
      <w:proofErr w:type="spellEnd"/>
      <w:r>
        <w:rPr>
          <w:rStyle w:val="Strong"/>
          <w:b w:val="0"/>
          <w:bCs w:val="0"/>
        </w:rPr>
        <w:t xml:space="preserve">, N., </w:t>
      </w:r>
      <w:proofErr w:type="spellStart"/>
      <w:r>
        <w:rPr>
          <w:rStyle w:val="Strong"/>
          <w:b w:val="0"/>
          <w:bCs w:val="0"/>
        </w:rPr>
        <w:t>Njuguna</w:t>
      </w:r>
      <w:proofErr w:type="spellEnd"/>
      <w:r>
        <w:rPr>
          <w:rStyle w:val="Strong"/>
          <w:b w:val="0"/>
          <w:bCs w:val="0"/>
        </w:rPr>
        <w:t xml:space="preserve">, J. and </w:t>
      </w:r>
      <w:proofErr w:type="spellStart"/>
      <w:r>
        <w:rPr>
          <w:rStyle w:val="Strong"/>
          <w:b w:val="0"/>
          <w:bCs w:val="0"/>
        </w:rPr>
        <w:t>Vertigans</w:t>
      </w:r>
      <w:proofErr w:type="spellEnd"/>
      <w:r>
        <w:rPr>
          <w:rStyle w:val="Strong"/>
          <w:b w:val="0"/>
          <w:bCs w:val="0"/>
        </w:rPr>
        <w:t>, S., 2023.</w:t>
      </w:r>
      <w:r>
        <w:t xml:space="preserve"> </w:t>
      </w:r>
      <w:r>
        <w:rPr>
          <w:rStyle w:val="Emphasis"/>
        </w:rPr>
        <w:t>A PESTEL and SWOT impact analysis on renewable energy development in Togo</w:t>
      </w:r>
      <w:r>
        <w:t xml:space="preserve">. Frontiers in Sustainability, 3, p.990173. Available at: </w:t>
      </w:r>
      <w:hyperlink r:id="rId33" w:tgtFrame="_new" w:history="1">
        <w:r>
          <w:rPr>
            <w:rStyle w:val="Hyperlink"/>
          </w:rPr>
          <w:t>https://doi.org/10.3389/frsus.2022.990173</w:t>
        </w:r>
      </w:hyperlink>
    </w:p>
    <w:p w14:paraId="6460360E" w14:textId="77777777" w:rsidR="00585B22" w:rsidRDefault="00842D77">
      <w:pPr>
        <w:pStyle w:val="NormalWeb"/>
        <w:spacing w:line="360" w:lineRule="auto"/>
        <w:jc w:val="both"/>
      </w:pPr>
      <w:r>
        <w:rPr>
          <w:rStyle w:val="Strong"/>
          <w:b w:val="0"/>
          <w:bCs w:val="0"/>
        </w:rPr>
        <w:t>Kenya Fisheries Service, 2024.</w:t>
      </w:r>
      <w:r>
        <w:t xml:space="preserve"> </w:t>
      </w:r>
      <w:r>
        <w:rPr>
          <w:rStyle w:val="Emphasis"/>
        </w:rPr>
        <w:t>Kenya fisheries statistical bulletin 2023</w:t>
      </w:r>
      <w:r>
        <w:t xml:space="preserve">. [online] Available at: </w:t>
      </w:r>
      <w:hyperlink r:id="rId34" w:tgtFrame="_new" w:history="1">
        <w:r>
          <w:rPr>
            <w:rStyle w:val="Hyperlink"/>
          </w:rPr>
          <w:t>https://kefs.go.ke/sites/default/files/2024-09/FISHERIES%20ANNUAL%20STATISTICS%202023_.pdf</w:t>
        </w:r>
      </w:hyperlink>
      <w:r>
        <w:t xml:space="preserve"> [Accessed </w:t>
      </w:r>
      <w:r>
        <w:t>18</w:t>
      </w:r>
      <w:r>
        <w:t xml:space="preserve"> December 2025].</w:t>
      </w:r>
    </w:p>
    <w:p w14:paraId="5A06A6CE" w14:textId="77777777" w:rsidR="00585B22" w:rsidRDefault="00842D77">
      <w:pPr>
        <w:pStyle w:val="NormalWeb"/>
        <w:spacing w:line="360" w:lineRule="auto"/>
        <w:jc w:val="both"/>
      </w:pPr>
      <w:r>
        <w:rPr>
          <w:rStyle w:val="Strong"/>
          <w:b w:val="0"/>
          <w:bCs w:val="0"/>
        </w:rPr>
        <w:t>Kenya National Bureau of Statistics, 2025.</w:t>
      </w:r>
      <w:r>
        <w:t xml:space="preserve"> </w:t>
      </w:r>
      <w:r>
        <w:rPr>
          <w:rStyle w:val="Emphasis"/>
        </w:rPr>
        <w:t>2025 economic survey</w:t>
      </w:r>
      <w:r>
        <w:t xml:space="preserve">. [online] Available at: </w:t>
      </w:r>
      <w:hyperlink r:id="rId35" w:tgtFrame="_new" w:history="1">
        <w:r>
          <w:rPr>
            <w:rStyle w:val="Hyperlink"/>
          </w:rPr>
          <w:t>https://www.knbs.or.ke/reports/2025-economic-survey/</w:t>
        </w:r>
      </w:hyperlink>
      <w:r>
        <w:t xml:space="preserve"> [Accessed </w:t>
      </w:r>
      <w:r>
        <w:t>20</w:t>
      </w:r>
      <w:r>
        <w:t xml:space="preserve"> December 2025].</w:t>
      </w:r>
    </w:p>
    <w:p w14:paraId="4C3A0002" w14:textId="77777777" w:rsidR="00585B22" w:rsidRDefault="00842D77">
      <w:pPr>
        <w:pStyle w:val="NormalWeb"/>
        <w:spacing w:line="360" w:lineRule="auto"/>
        <w:jc w:val="both"/>
      </w:pPr>
      <w:r>
        <w:rPr>
          <w:rStyle w:val="Strong"/>
          <w:b w:val="0"/>
          <w:bCs w:val="0"/>
        </w:rPr>
        <w:t>Kilimokwanza.org, 2025.</w:t>
      </w:r>
      <w:r>
        <w:t xml:space="preserve"> </w:t>
      </w:r>
      <w:r>
        <w:rPr>
          <w:rStyle w:val="Emphasis"/>
        </w:rPr>
        <w:t xml:space="preserve">Kenya economy analysis 2024–2025: structural adjustments, </w:t>
      </w:r>
      <w:proofErr w:type="spellStart"/>
      <w:r>
        <w:rPr>
          <w:rStyle w:val="Emphasis"/>
        </w:rPr>
        <w:t>sectoral</w:t>
      </w:r>
      <w:proofErr w:type="spellEnd"/>
      <w:r>
        <w:rPr>
          <w:rStyle w:val="Emphasis"/>
        </w:rPr>
        <w:t xml:space="preserve"> resilience, and strategic outlook</w:t>
      </w:r>
      <w:r>
        <w:t xml:space="preserve">. [online] Available at: </w:t>
      </w:r>
      <w:hyperlink r:id="rId36" w:tgtFrame="_new" w:history="1">
        <w:r>
          <w:rPr>
            <w:rStyle w:val="Hyperlink"/>
          </w:rPr>
          <w:t>https://kilimokwanza.org/wp-content/uploads/2025/12/Kenya-Economy-Analysis-2024-2025-1.pdf</w:t>
        </w:r>
      </w:hyperlink>
      <w:r>
        <w:t xml:space="preserve"> [Accessed 2</w:t>
      </w:r>
      <w:r>
        <w:t>2</w:t>
      </w:r>
      <w:r>
        <w:t xml:space="preserve"> December 2025].</w:t>
      </w:r>
    </w:p>
    <w:p w14:paraId="681F1807" w14:textId="77777777" w:rsidR="00585B22" w:rsidRDefault="00842D77">
      <w:pPr>
        <w:pStyle w:val="NormalWeb"/>
        <w:spacing w:line="360" w:lineRule="auto"/>
        <w:jc w:val="both"/>
      </w:pPr>
      <w:proofErr w:type="spellStart"/>
      <w:r>
        <w:rPr>
          <w:rStyle w:val="Strong"/>
          <w:b w:val="0"/>
          <w:bCs w:val="0"/>
        </w:rPr>
        <w:t>Klaoudatos</w:t>
      </w:r>
      <w:proofErr w:type="spellEnd"/>
      <w:r>
        <w:rPr>
          <w:rStyle w:val="Strong"/>
          <w:b w:val="0"/>
          <w:bCs w:val="0"/>
        </w:rPr>
        <w:t xml:space="preserve">, D., </w:t>
      </w:r>
      <w:proofErr w:type="spellStart"/>
      <w:r>
        <w:rPr>
          <w:rStyle w:val="Strong"/>
          <w:b w:val="0"/>
          <w:bCs w:val="0"/>
        </w:rPr>
        <w:t>Karagyaurova</w:t>
      </w:r>
      <w:proofErr w:type="spellEnd"/>
      <w:r>
        <w:rPr>
          <w:rStyle w:val="Strong"/>
          <w:b w:val="0"/>
          <w:bCs w:val="0"/>
        </w:rPr>
        <w:t xml:space="preserve">, T., </w:t>
      </w:r>
      <w:proofErr w:type="spellStart"/>
      <w:r>
        <w:rPr>
          <w:rStyle w:val="Strong"/>
          <w:b w:val="0"/>
          <w:bCs w:val="0"/>
        </w:rPr>
        <w:t>Pitropakis</w:t>
      </w:r>
      <w:proofErr w:type="spellEnd"/>
      <w:r>
        <w:rPr>
          <w:rStyle w:val="Strong"/>
          <w:b w:val="0"/>
          <w:bCs w:val="0"/>
        </w:rPr>
        <w:t>, T.G. et al., 2024.</w:t>
      </w:r>
      <w:r>
        <w:t xml:space="preserve"> </w:t>
      </w:r>
      <w:r>
        <w:rPr>
          <w:rStyle w:val="Emphasis"/>
        </w:rPr>
        <w:t>Factors influencing endangered marine species in the Mediterranean Sea</w:t>
      </w:r>
      <w:r>
        <w:t xml:space="preserve">. Environments, 11(7), p.151. Available at: </w:t>
      </w:r>
      <w:hyperlink r:id="rId37" w:tgtFrame="_new" w:history="1">
        <w:r>
          <w:rPr>
            <w:rStyle w:val="Hyperlink"/>
          </w:rPr>
          <w:t>https://doi.org/10.3390/environments11070151</w:t>
        </w:r>
      </w:hyperlink>
    </w:p>
    <w:p w14:paraId="0BE9B371" w14:textId="77777777" w:rsidR="00585B22" w:rsidRDefault="00842D77">
      <w:pPr>
        <w:pStyle w:val="NormalWeb"/>
        <w:spacing w:line="360" w:lineRule="auto"/>
        <w:jc w:val="both"/>
      </w:pPr>
      <w:r>
        <w:rPr>
          <w:rStyle w:val="Strong"/>
          <w:b w:val="0"/>
          <w:bCs w:val="0"/>
        </w:rPr>
        <w:t>Leigh, D., 2009.</w:t>
      </w:r>
      <w:r>
        <w:t xml:space="preserve"> </w:t>
      </w:r>
      <w:r>
        <w:rPr>
          <w:rStyle w:val="Emphasis"/>
        </w:rPr>
        <w:t>SWOT analysis</w:t>
      </w:r>
      <w:r>
        <w:t xml:space="preserve">. In: </w:t>
      </w:r>
      <w:r>
        <w:rPr>
          <w:rStyle w:val="Emphasis"/>
        </w:rPr>
        <w:t>Handbook of improving performance in the workplace</w:t>
      </w:r>
      <w:r>
        <w:t xml:space="preserve">, Vol. 1–3. Wiley, pp.115–140. Available at: </w:t>
      </w:r>
      <w:hyperlink r:id="rId38" w:tgtFrame="_new" w:history="1">
        <w:r>
          <w:rPr>
            <w:rStyle w:val="Hyperlink"/>
          </w:rPr>
          <w:t>https://doi.org/10.1002/9780470592663.ch24</w:t>
        </w:r>
      </w:hyperlink>
    </w:p>
    <w:p w14:paraId="1F95A2EF" w14:textId="77777777" w:rsidR="00585B22" w:rsidRDefault="00842D77">
      <w:pPr>
        <w:pStyle w:val="NormalWeb"/>
        <w:spacing w:line="360" w:lineRule="auto"/>
        <w:jc w:val="both"/>
      </w:pPr>
      <w:proofErr w:type="spellStart"/>
      <w:r>
        <w:rPr>
          <w:rStyle w:val="Strong"/>
          <w:b w:val="0"/>
          <w:bCs w:val="0"/>
        </w:rPr>
        <w:t>Morar</w:t>
      </w:r>
      <w:proofErr w:type="spellEnd"/>
      <w:r>
        <w:rPr>
          <w:rStyle w:val="Strong"/>
          <w:b w:val="0"/>
          <w:bCs w:val="0"/>
        </w:rPr>
        <w:t>, M., 2025.</w:t>
      </w:r>
      <w:r>
        <w:t xml:space="preserve"> </w:t>
      </w:r>
      <w:r>
        <w:rPr>
          <w:rStyle w:val="Emphasis"/>
        </w:rPr>
        <w:t>Central Bank of Kenya: history, function, and impact</w:t>
      </w:r>
      <w:r>
        <w:t xml:space="preserve">. CGAA. [online] Available at: </w:t>
      </w:r>
      <w:hyperlink r:id="rId39" w:tgtFrame="_new" w:history="1">
        <w:r>
          <w:rPr>
            <w:rStyle w:val="Hyperlink"/>
          </w:rPr>
          <w:t>https://www.cgaa.org/article/central-bank-of-kenya</w:t>
        </w:r>
      </w:hyperlink>
      <w:r>
        <w:t xml:space="preserve"> [Accessed 22 December 2025].</w:t>
      </w:r>
    </w:p>
    <w:p w14:paraId="4A987D18" w14:textId="77777777" w:rsidR="00585B22" w:rsidRDefault="00842D77">
      <w:pPr>
        <w:pStyle w:val="NormalWeb"/>
        <w:spacing w:line="360" w:lineRule="auto"/>
        <w:jc w:val="both"/>
      </w:pPr>
      <w:proofErr w:type="spellStart"/>
      <w:r>
        <w:rPr>
          <w:rStyle w:val="Strong"/>
          <w:b w:val="0"/>
          <w:bCs w:val="0"/>
        </w:rPr>
        <w:t>Munguti</w:t>
      </w:r>
      <w:proofErr w:type="spellEnd"/>
      <w:r>
        <w:rPr>
          <w:rStyle w:val="Strong"/>
          <w:b w:val="0"/>
          <w:bCs w:val="0"/>
        </w:rPr>
        <w:t xml:space="preserve">, J.M., </w:t>
      </w:r>
      <w:proofErr w:type="spellStart"/>
      <w:r>
        <w:rPr>
          <w:rStyle w:val="Strong"/>
          <w:b w:val="0"/>
          <w:bCs w:val="0"/>
        </w:rPr>
        <w:t>Muthoka</w:t>
      </w:r>
      <w:proofErr w:type="spellEnd"/>
      <w:r>
        <w:rPr>
          <w:rStyle w:val="Strong"/>
          <w:b w:val="0"/>
          <w:bCs w:val="0"/>
        </w:rPr>
        <w:t xml:space="preserve">, M., </w:t>
      </w:r>
      <w:proofErr w:type="spellStart"/>
      <w:r>
        <w:rPr>
          <w:rStyle w:val="Strong"/>
          <w:b w:val="0"/>
          <w:bCs w:val="0"/>
        </w:rPr>
        <w:t>Chepkirui</w:t>
      </w:r>
      <w:proofErr w:type="spellEnd"/>
      <w:r>
        <w:rPr>
          <w:rStyle w:val="Strong"/>
          <w:b w:val="0"/>
          <w:bCs w:val="0"/>
        </w:rPr>
        <w:t>, M. et al., 2024.</w:t>
      </w:r>
      <w:r>
        <w:t xml:space="preserve"> </w:t>
      </w:r>
      <w:r>
        <w:rPr>
          <w:rStyle w:val="Emphasis"/>
        </w:rPr>
        <w:t>The fish feed sector in Kenya, Uganda, Tanzania, and Rwanda</w:t>
      </w:r>
      <w:r>
        <w:t>. Aquaculture Nutrition, 2024(1), p.8484451.</w:t>
      </w:r>
    </w:p>
    <w:p w14:paraId="5703EC7E" w14:textId="77777777" w:rsidR="00585B22" w:rsidRDefault="00842D77">
      <w:pPr>
        <w:pStyle w:val="NormalWeb"/>
        <w:spacing w:line="360" w:lineRule="auto"/>
        <w:jc w:val="both"/>
      </w:pPr>
      <w:proofErr w:type="spellStart"/>
      <w:r>
        <w:rPr>
          <w:rStyle w:val="Strong"/>
          <w:b w:val="0"/>
          <w:bCs w:val="0"/>
        </w:rPr>
        <w:t>Munguti</w:t>
      </w:r>
      <w:proofErr w:type="spellEnd"/>
      <w:r>
        <w:rPr>
          <w:rStyle w:val="Strong"/>
          <w:b w:val="0"/>
          <w:bCs w:val="0"/>
        </w:rPr>
        <w:t xml:space="preserve">, J.M., </w:t>
      </w:r>
      <w:proofErr w:type="spellStart"/>
      <w:r>
        <w:rPr>
          <w:rStyle w:val="Strong"/>
          <w:b w:val="0"/>
          <w:bCs w:val="0"/>
        </w:rPr>
        <w:t>Obiero</w:t>
      </w:r>
      <w:proofErr w:type="spellEnd"/>
      <w:r>
        <w:rPr>
          <w:rStyle w:val="Strong"/>
          <w:b w:val="0"/>
          <w:bCs w:val="0"/>
        </w:rPr>
        <w:t xml:space="preserve">, K.O., </w:t>
      </w:r>
      <w:proofErr w:type="spellStart"/>
      <w:r>
        <w:rPr>
          <w:rStyle w:val="Strong"/>
          <w:b w:val="0"/>
          <w:bCs w:val="0"/>
        </w:rPr>
        <w:t>Iteba</w:t>
      </w:r>
      <w:proofErr w:type="spellEnd"/>
      <w:r>
        <w:rPr>
          <w:rStyle w:val="Strong"/>
          <w:b w:val="0"/>
          <w:bCs w:val="0"/>
        </w:rPr>
        <w:t>, J.O. et al., 2023.</w:t>
      </w:r>
      <w:r>
        <w:t xml:space="preserve"> </w:t>
      </w:r>
      <w:r>
        <w:rPr>
          <w:rStyle w:val="Emphasis"/>
        </w:rPr>
        <w:t xml:space="preserve">Role of multilateral development </w:t>
      </w:r>
      <w:proofErr w:type="spellStart"/>
      <w:r>
        <w:rPr>
          <w:rStyle w:val="Emphasis"/>
        </w:rPr>
        <w:t>organisations</w:t>
      </w:r>
      <w:proofErr w:type="spellEnd"/>
      <w:r>
        <w:rPr>
          <w:rStyle w:val="Emphasis"/>
        </w:rPr>
        <w:t xml:space="preserve"> in aquaculture subsector in Kenya</w:t>
      </w:r>
      <w:r>
        <w:t>. Frontiers in Sustainable Food Systems, 7, p.1208918.</w:t>
      </w:r>
    </w:p>
    <w:p w14:paraId="4C947165" w14:textId="77777777" w:rsidR="00585B22" w:rsidRDefault="00842D77">
      <w:pPr>
        <w:pStyle w:val="NormalWeb"/>
        <w:spacing w:line="360" w:lineRule="auto"/>
        <w:jc w:val="both"/>
      </w:pPr>
      <w:r>
        <w:rPr>
          <w:rStyle w:val="Strong"/>
          <w:b w:val="0"/>
          <w:bCs w:val="0"/>
        </w:rPr>
        <w:t xml:space="preserve">Musa, S., Aura, C.M., </w:t>
      </w:r>
      <w:proofErr w:type="spellStart"/>
      <w:r>
        <w:rPr>
          <w:rStyle w:val="Strong"/>
          <w:b w:val="0"/>
          <w:bCs w:val="0"/>
        </w:rPr>
        <w:t>Tomasson</w:t>
      </w:r>
      <w:proofErr w:type="spellEnd"/>
      <w:r>
        <w:rPr>
          <w:rStyle w:val="Strong"/>
          <w:b w:val="0"/>
          <w:bCs w:val="0"/>
        </w:rPr>
        <w:t>, T. et al., 2025.</w:t>
      </w:r>
      <w:r>
        <w:t xml:space="preserve"> </w:t>
      </w:r>
      <w:r>
        <w:rPr>
          <w:rStyle w:val="Emphasis"/>
        </w:rPr>
        <w:t>Influence of feeding strategies on Nile tilapia production</w:t>
      </w:r>
      <w:r>
        <w:t>. Aquaculture, Fish and Fisheries, 5(1), p.e70031.</w:t>
      </w:r>
    </w:p>
    <w:p w14:paraId="75CEFE70" w14:textId="77777777" w:rsidR="00585B22" w:rsidRDefault="00842D77">
      <w:pPr>
        <w:pStyle w:val="NormalWeb"/>
        <w:spacing w:line="360" w:lineRule="auto"/>
        <w:jc w:val="both"/>
      </w:pPr>
      <w:proofErr w:type="spellStart"/>
      <w:r>
        <w:rPr>
          <w:rStyle w:val="Strong"/>
          <w:b w:val="0"/>
          <w:bCs w:val="0"/>
        </w:rPr>
        <w:t>Ochieng</w:t>
      </w:r>
      <w:proofErr w:type="spellEnd"/>
      <w:r>
        <w:rPr>
          <w:rStyle w:val="Strong"/>
          <w:b w:val="0"/>
          <w:bCs w:val="0"/>
        </w:rPr>
        <w:t xml:space="preserve">, S., </w:t>
      </w:r>
      <w:proofErr w:type="spellStart"/>
      <w:r>
        <w:rPr>
          <w:rStyle w:val="Strong"/>
          <w:b w:val="0"/>
          <w:bCs w:val="0"/>
        </w:rPr>
        <w:t>Ogello</w:t>
      </w:r>
      <w:proofErr w:type="spellEnd"/>
      <w:r>
        <w:rPr>
          <w:rStyle w:val="Strong"/>
          <w:b w:val="0"/>
          <w:bCs w:val="0"/>
        </w:rPr>
        <w:t xml:space="preserve">, E., </w:t>
      </w:r>
      <w:proofErr w:type="spellStart"/>
      <w:r>
        <w:rPr>
          <w:rStyle w:val="Strong"/>
          <w:b w:val="0"/>
          <w:bCs w:val="0"/>
        </w:rPr>
        <w:t>Obiero</w:t>
      </w:r>
      <w:proofErr w:type="spellEnd"/>
      <w:r>
        <w:rPr>
          <w:rStyle w:val="Strong"/>
          <w:b w:val="0"/>
          <w:bCs w:val="0"/>
        </w:rPr>
        <w:t xml:space="preserve">, K. and </w:t>
      </w:r>
      <w:proofErr w:type="spellStart"/>
      <w:r>
        <w:rPr>
          <w:rStyle w:val="Strong"/>
          <w:b w:val="0"/>
          <w:bCs w:val="0"/>
        </w:rPr>
        <w:t>Cheserek</w:t>
      </w:r>
      <w:proofErr w:type="spellEnd"/>
      <w:r>
        <w:rPr>
          <w:rStyle w:val="Strong"/>
          <w:b w:val="0"/>
          <w:bCs w:val="0"/>
        </w:rPr>
        <w:t>, M., 2024.</w:t>
      </w:r>
      <w:r>
        <w:t xml:space="preserve"> </w:t>
      </w:r>
      <w:r>
        <w:rPr>
          <w:rStyle w:val="Emphasis"/>
        </w:rPr>
        <w:t>Determinants of households’ resilience to covariate shocks</w:t>
      </w:r>
      <w:r>
        <w:t>. Aquaculture Journal, 4(3), pp.203–216.</w:t>
      </w:r>
    </w:p>
    <w:p w14:paraId="21040B38" w14:textId="77777777" w:rsidR="00585B22" w:rsidRDefault="00842D77">
      <w:pPr>
        <w:pStyle w:val="NormalWeb"/>
        <w:spacing w:line="360" w:lineRule="auto"/>
        <w:jc w:val="both"/>
      </w:pPr>
      <w:r>
        <w:rPr>
          <w:rStyle w:val="Strong"/>
          <w:b w:val="0"/>
          <w:bCs w:val="0"/>
        </w:rPr>
        <w:t>OECD, 2023.</w:t>
      </w:r>
      <w:r>
        <w:t xml:space="preserve"> </w:t>
      </w:r>
      <w:r>
        <w:rPr>
          <w:rStyle w:val="Emphasis"/>
        </w:rPr>
        <w:t>Kenya economic outlook</w:t>
      </w:r>
      <w:r>
        <w:t>. OECD Publishing.</w:t>
      </w:r>
    </w:p>
    <w:p w14:paraId="332F38D7" w14:textId="77777777" w:rsidR="00585B22" w:rsidRDefault="00842D77">
      <w:pPr>
        <w:pStyle w:val="NormalWeb"/>
        <w:spacing w:line="360" w:lineRule="auto"/>
        <w:jc w:val="both"/>
      </w:pPr>
      <w:r>
        <w:rPr>
          <w:rStyle w:val="Strong"/>
          <w:b w:val="0"/>
          <w:bCs w:val="0"/>
        </w:rPr>
        <w:t>Office of the Data Protection Commissioner, 2022.</w:t>
      </w:r>
      <w:r>
        <w:t xml:space="preserve"> </w:t>
      </w:r>
      <w:r>
        <w:rPr>
          <w:rStyle w:val="Emphasis"/>
        </w:rPr>
        <w:t>Data Protection Act implementation report</w:t>
      </w:r>
      <w:r>
        <w:t>. Government of Kenya.</w:t>
      </w:r>
    </w:p>
    <w:p w14:paraId="35A44D3F" w14:textId="77777777" w:rsidR="00585B22" w:rsidRDefault="00842D77">
      <w:pPr>
        <w:pStyle w:val="NormalWeb"/>
        <w:spacing w:line="360" w:lineRule="auto"/>
        <w:jc w:val="both"/>
      </w:pPr>
      <w:proofErr w:type="spellStart"/>
      <w:r>
        <w:rPr>
          <w:rStyle w:val="Strong"/>
          <w:b w:val="0"/>
          <w:bCs w:val="0"/>
        </w:rPr>
        <w:t>Opiyo</w:t>
      </w:r>
      <w:proofErr w:type="spellEnd"/>
      <w:r>
        <w:rPr>
          <w:rStyle w:val="Strong"/>
          <w:b w:val="0"/>
          <w:bCs w:val="0"/>
        </w:rPr>
        <w:t xml:space="preserve">, M.A., </w:t>
      </w:r>
      <w:proofErr w:type="spellStart"/>
      <w:r>
        <w:rPr>
          <w:rStyle w:val="Strong"/>
          <w:b w:val="0"/>
          <w:bCs w:val="0"/>
        </w:rPr>
        <w:t>Marijani</w:t>
      </w:r>
      <w:proofErr w:type="spellEnd"/>
      <w:r>
        <w:rPr>
          <w:rStyle w:val="Strong"/>
          <w:b w:val="0"/>
          <w:bCs w:val="0"/>
        </w:rPr>
        <w:t xml:space="preserve">, E., </w:t>
      </w:r>
      <w:proofErr w:type="spellStart"/>
      <w:r>
        <w:rPr>
          <w:rStyle w:val="Strong"/>
          <w:b w:val="0"/>
          <w:bCs w:val="0"/>
        </w:rPr>
        <w:t>Muendo</w:t>
      </w:r>
      <w:proofErr w:type="spellEnd"/>
      <w:r>
        <w:rPr>
          <w:rStyle w:val="Strong"/>
          <w:b w:val="0"/>
          <w:bCs w:val="0"/>
        </w:rPr>
        <w:t>, P. et al., 2018.</w:t>
      </w:r>
      <w:r>
        <w:t xml:space="preserve"> </w:t>
      </w:r>
      <w:r>
        <w:rPr>
          <w:rStyle w:val="Emphasis"/>
        </w:rPr>
        <w:t>A review of aquaculture production and health management in Kenya</w:t>
      </w:r>
      <w:r>
        <w:t>. International Journal of Veterinary Science and Medicine, 6(2), pp.141–148.</w:t>
      </w:r>
    </w:p>
    <w:p w14:paraId="7B344C1D" w14:textId="77777777" w:rsidR="00585B22" w:rsidRDefault="00842D77">
      <w:pPr>
        <w:pStyle w:val="NormalWeb"/>
        <w:spacing w:line="360" w:lineRule="auto"/>
        <w:jc w:val="both"/>
      </w:pPr>
      <w:r>
        <w:rPr>
          <w:rStyle w:val="Strong"/>
          <w:b w:val="0"/>
          <w:bCs w:val="0"/>
        </w:rPr>
        <w:t>Porter, M.E., 1980.</w:t>
      </w:r>
      <w:r>
        <w:t xml:space="preserve"> </w:t>
      </w:r>
      <w:r>
        <w:rPr>
          <w:rStyle w:val="Emphasis"/>
        </w:rPr>
        <w:t>Competitive strategy</w:t>
      </w:r>
      <w:r>
        <w:t>. Free Press.</w:t>
      </w:r>
    </w:p>
    <w:p w14:paraId="2058F9C3" w14:textId="77777777" w:rsidR="00585B22" w:rsidRDefault="00842D77">
      <w:pPr>
        <w:pStyle w:val="NormalWeb"/>
        <w:spacing w:line="360" w:lineRule="auto"/>
        <w:jc w:val="both"/>
      </w:pPr>
      <w:r>
        <w:rPr>
          <w:rStyle w:val="Strong"/>
          <w:b w:val="0"/>
          <w:bCs w:val="0"/>
        </w:rPr>
        <w:t>PwC, 2022.</w:t>
      </w:r>
      <w:r>
        <w:t xml:space="preserve"> </w:t>
      </w:r>
      <w:r>
        <w:rPr>
          <w:rStyle w:val="Emphasis"/>
        </w:rPr>
        <w:t>East Africa digital banking report</w:t>
      </w:r>
      <w:r>
        <w:t>. PwC.</w:t>
      </w:r>
    </w:p>
    <w:p w14:paraId="10725FAC" w14:textId="77777777" w:rsidR="00585B22" w:rsidRDefault="00842D77">
      <w:pPr>
        <w:pStyle w:val="NormalWeb"/>
        <w:spacing w:line="360" w:lineRule="auto"/>
        <w:jc w:val="both"/>
      </w:pPr>
      <w:r>
        <w:rPr>
          <w:rStyle w:val="Strong"/>
          <w:b w:val="0"/>
          <w:bCs w:val="0"/>
        </w:rPr>
        <w:t>Reuters, 2025.</w:t>
      </w:r>
      <w:r>
        <w:t xml:space="preserve"> </w:t>
      </w:r>
      <w:r>
        <w:rPr>
          <w:rStyle w:val="Emphasis"/>
        </w:rPr>
        <w:t>Kenya economic update forecast 2025</w:t>
      </w:r>
      <w:r>
        <w:t>. Thomson Reuters.</w:t>
      </w:r>
    </w:p>
    <w:p w14:paraId="0ECCF4F2" w14:textId="77777777" w:rsidR="00585B22" w:rsidRDefault="00842D77">
      <w:pPr>
        <w:pStyle w:val="NormalWeb"/>
        <w:spacing w:line="360" w:lineRule="auto"/>
        <w:jc w:val="both"/>
      </w:pPr>
      <w:r>
        <w:rPr>
          <w:rStyle w:val="Strong"/>
          <w:b w:val="0"/>
          <w:bCs w:val="0"/>
        </w:rPr>
        <w:t>The Global Treasurer, 2024.</w:t>
      </w:r>
      <w:r>
        <w:t xml:space="preserve"> </w:t>
      </w:r>
      <w:r>
        <w:rPr>
          <w:rStyle w:val="Emphasis"/>
        </w:rPr>
        <w:t>HSBC unveils global restructuring to navigate East–West divide</w:t>
      </w:r>
      <w:r>
        <w:t xml:space="preserve">. [online] Available at: </w:t>
      </w:r>
      <w:hyperlink r:id="rId40" w:tgtFrame="_new" w:history="1">
        <w:r>
          <w:rPr>
            <w:rStyle w:val="Hyperlink"/>
          </w:rPr>
          <w:t>https://www.theglobaltreasurer.com/2024/10/22/hsbc-unveils-global-restructuring-to-navigate-east-west-divide/</w:t>
        </w:r>
      </w:hyperlink>
      <w:r>
        <w:t xml:space="preserve"> [Accessed </w:t>
      </w:r>
      <w:r>
        <w:t>15</w:t>
      </w:r>
      <w:r>
        <w:t xml:space="preserve"> December 2025].</w:t>
      </w:r>
    </w:p>
    <w:p w14:paraId="67DDA8E0" w14:textId="77777777" w:rsidR="00585B22" w:rsidRDefault="00842D77">
      <w:pPr>
        <w:pStyle w:val="NormalWeb"/>
        <w:spacing w:line="360" w:lineRule="auto"/>
        <w:jc w:val="both"/>
      </w:pPr>
      <w:r>
        <w:rPr>
          <w:rStyle w:val="Strong"/>
          <w:b w:val="0"/>
          <w:bCs w:val="0"/>
        </w:rPr>
        <w:t>The Strategy Institute, 2025.</w:t>
      </w:r>
      <w:r>
        <w:t xml:space="preserve"> </w:t>
      </w:r>
      <w:r>
        <w:rPr>
          <w:rStyle w:val="Emphasis"/>
        </w:rPr>
        <w:t>Understanding external business environments with PEST and PESTLE analysis</w:t>
      </w:r>
      <w:r>
        <w:t xml:space="preserve">. [online] Available at: </w:t>
      </w:r>
      <w:hyperlink r:id="rId41" w:tgtFrame="_new" w:history="1">
        <w:r>
          <w:rPr>
            <w:rStyle w:val="Hyperlink"/>
          </w:rPr>
          <w:t>https://www.thestrategyinstitute.org/insights/understanding-external-business-environments-with-pest-and-pestle-analysis</w:t>
        </w:r>
      </w:hyperlink>
      <w:r>
        <w:t xml:space="preserve"> [Accessed </w:t>
      </w:r>
      <w:r>
        <w:t>16</w:t>
      </w:r>
      <w:r>
        <w:t xml:space="preserve"> December 2025].</w:t>
      </w:r>
    </w:p>
    <w:p w14:paraId="3DA485B9" w14:textId="77777777" w:rsidR="00585B22" w:rsidRDefault="00842D77">
      <w:pPr>
        <w:pStyle w:val="NormalWeb"/>
        <w:spacing w:line="360" w:lineRule="auto"/>
        <w:jc w:val="both"/>
      </w:pPr>
      <w:r>
        <w:rPr>
          <w:rStyle w:val="Strong"/>
          <w:b w:val="0"/>
          <w:bCs w:val="0"/>
        </w:rPr>
        <w:t>UNCDF, 2022.</w:t>
      </w:r>
      <w:r>
        <w:t xml:space="preserve"> </w:t>
      </w:r>
      <w:r>
        <w:rPr>
          <w:rStyle w:val="Emphasis"/>
        </w:rPr>
        <w:t>Where in the world is mobile money prominent?</w:t>
      </w:r>
      <w:r>
        <w:t xml:space="preserve"> [online] Available at: </w:t>
      </w:r>
      <w:hyperlink r:id="rId42" w:tgtFrame="_new" w:history="1">
        <w:r>
          <w:rPr>
            <w:rStyle w:val="Hyperlink"/>
          </w:rPr>
          <w:t>https://www.uncdf.org/article/7904/where-in-the-world-is-mobile-money-prominent</w:t>
        </w:r>
      </w:hyperlink>
      <w:r>
        <w:t xml:space="preserve"> [Accessed </w:t>
      </w:r>
      <w:r>
        <w:t>18</w:t>
      </w:r>
      <w:r>
        <w:t xml:space="preserve"> December 2025].</w:t>
      </w:r>
    </w:p>
    <w:p w14:paraId="6BAAD6B5" w14:textId="77777777" w:rsidR="00585B22" w:rsidRDefault="00842D77">
      <w:pPr>
        <w:pStyle w:val="NormalWeb"/>
        <w:spacing w:line="360" w:lineRule="auto"/>
        <w:jc w:val="both"/>
      </w:pPr>
      <w:r>
        <w:rPr>
          <w:rStyle w:val="Strong"/>
          <w:b w:val="0"/>
          <w:bCs w:val="0"/>
        </w:rPr>
        <w:t>UNDP, 2025.</w:t>
      </w:r>
      <w:r>
        <w:t xml:space="preserve"> </w:t>
      </w:r>
      <w:r>
        <w:rPr>
          <w:rStyle w:val="Emphasis"/>
        </w:rPr>
        <w:t>Bridging the digital financial divide: the next frontier for Kenya’s digital economy</w:t>
      </w:r>
      <w:r>
        <w:t xml:space="preserve">. [online] Available at: </w:t>
      </w:r>
      <w:hyperlink r:id="rId43" w:tgtFrame="_new" w:history="1">
        <w:r>
          <w:rPr>
            <w:rStyle w:val="Hyperlink"/>
          </w:rPr>
          <w:t>https://www.undp.org/kenya/stories/bridging-digital-financial-divide-next-frontier-kenyas-digital-economy</w:t>
        </w:r>
      </w:hyperlink>
      <w:r>
        <w:t xml:space="preserve"> [Accessed </w:t>
      </w:r>
      <w:r>
        <w:t>20</w:t>
      </w:r>
      <w:r>
        <w:t xml:space="preserve"> December 2025].</w:t>
      </w:r>
    </w:p>
    <w:p w14:paraId="13FBC90E" w14:textId="77777777" w:rsidR="00585B22" w:rsidRDefault="00842D77">
      <w:pPr>
        <w:pStyle w:val="NormalWeb"/>
        <w:spacing w:line="360" w:lineRule="auto"/>
        <w:jc w:val="both"/>
      </w:pPr>
      <w:r>
        <w:rPr>
          <w:rStyle w:val="Strong"/>
          <w:b w:val="0"/>
          <w:bCs w:val="0"/>
        </w:rPr>
        <w:t>UN Sustainable Development Group, 2025.</w:t>
      </w:r>
      <w:r>
        <w:t xml:space="preserve"> </w:t>
      </w:r>
      <w:r>
        <w:rPr>
          <w:rStyle w:val="Emphasis"/>
        </w:rPr>
        <w:t>Kenya’s digital leap for a fairer future</w:t>
      </w:r>
      <w:r>
        <w:t xml:space="preserve">. [online] Available at: </w:t>
      </w:r>
      <w:hyperlink r:id="rId44" w:tgtFrame="_new" w:history="1">
        <w:r>
          <w:rPr>
            <w:rStyle w:val="Hyperlink"/>
          </w:rPr>
          <w:t>https://unsdg.un.org/latest/stories/kenya%E2%80%99s-digital-leap-fairer-future</w:t>
        </w:r>
      </w:hyperlink>
      <w:r>
        <w:t xml:space="preserve"> [Accessed 2</w:t>
      </w:r>
      <w:r>
        <w:t>0</w:t>
      </w:r>
      <w:r>
        <w:t xml:space="preserve"> December 2025].</w:t>
      </w:r>
    </w:p>
    <w:p w14:paraId="3D5CD5C2" w14:textId="77777777" w:rsidR="00585B22" w:rsidRDefault="00842D77">
      <w:pPr>
        <w:pStyle w:val="NormalWeb"/>
        <w:spacing w:line="360" w:lineRule="auto"/>
        <w:jc w:val="both"/>
      </w:pPr>
      <w:r>
        <w:rPr>
          <w:rStyle w:val="Strong"/>
          <w:b w:val="0"/>
          <w:bCs w:val="0"/>
        </w:rPr>
        <w:t>U.S. Department of Commerce, 2024.</w:t>
      </w:r>
      <w:r>
        <w:t xml:space="preserve"> </w:t>
      </w:r>
      <w:r>
        <w:rPr>
          <w:rStyle w:val="Emphasis"/>
        </w:rPr>
        <w:t>Kenya digital economy – country commercial guide</w:t>
      </w:r>
      <w:r>
        <w:t xml:space="preserve">. [online] Available at: </w:t>
      </w:r>
      <w:hyperlink r:id="rId45" w:tgtFrame="_new" w:history="1">
        <w:r>
          <w:rPr>
            <w:rStyle w:val="Hyperlink"/>
          </w:rPr>
          <w:t>https://www.trade.gov/country-commercial-guides/kenya-digital-economy</w:t>
        </w:r>
      </w:hyperlink>
      <w:r>
        <w:t xml:space="preserve"> [Accessed 2</w:t>
      </w:r>
      <w:r>
        <w:t>1</w:t>
      </w:r>
      <w:r>
        <w:t xml:space="preserve"> December 2025].</w:t>
      </w:r>
    </w:p>
    <w:p w14:paraId="2D814BBE" w14:textId="77777777" w:rsidR="00585B22" w:rsidRDefault="00842D77">
      <w:pPr>
        <w:pStyle w:val="NormalWeb"/>
        <w:spacing w:line="360" w:lineRule="auto"/>
        <w:jc w:val="both"/>
      </w:pPr>
      <w:proofErr w:type="spellStart"/>
      <w:r>
        <w:rPr>
          <w:rStyle w:val="Strong"/>
          <w:b w:val="0"/>
          <w:bCs w:val="0"/>
        </w:rPr>
        <w:t>Yüksel</w:t>
      </w:r>
      <w:proofErr w:type="spellEnd"/>
      <w:r>
        <w:rPr>
          <w:rStyle w:val="Strong"/>
          <w:b w:val="0"/>
          <w:bCs w:val="0"/>
        </w:rPr>
        <w:t>, I., 2012.</w:t>
      </w:r>
      <w:r>
        <w:t xml:space="preserve"> </w:t>
      </w:r>
      <w:r>
        <w:rPr>
          <w:rStyle w:val="Emphasis"/>
        </w:rPr>
        <w:t>Developing a multi-criteria decision-making model for PESTEL analysis</w:t>
      </w:r>
      <w:r>
        <w:t>. International Journal of Business and Management, 7(24), p.52.</w:t>
      </w:r>
    </w:p>
    <w:p w14:paraId="544390D0" w14:textId="77777777" w:rsidR="00585B22" w:rsidRDefault="00842D77">
      <w:pPr>
        <w:pStyle w:val="NormalWeb"/>
        <w:spacing w:line="360" w:lineRule="auto"/>
        <w:jc w:val="both"/>
      </w:pPr>
      <w:proofErr w:type="spellStart"/>
      <w:r>
        <w:rPr>
          <w:rStyle w:val="Strong"/>
          <w:b w:val="0"/>
          <w:bCs w:val="0"/>
        </w:rPr>
        <w:t>Yusop</w:t>
      </w:r>
      <w:proofErr w:type="spellEnd"/>
      <w:r>
        <w:rPr>
          <w:rStyle w:val="Strong"/>
          <w:b w:val="0"/>
          <w:bCs w:val="0"/>
        </w:rPr>
        <w:t>, Z.B., 2018.</w:t>
      </w:r>
      <w:r>
        <w:t xml:space="preserve"> </w:t>
      </w:r>
      <w:r>
        <w:rPr>
          <w:rStyle w:val="Emphasis"/>
        </w:rPr>
        <w:t>PESTEL analysis</w:t>
      </w:r>
      <w:r>
        <w:t>. COMRAP Conference Proceedings, Kuala Lumpur, pp.34–39.</w:t>
      </w:r>
    </w:p>
    <w:p w14:paraId="3F175EC5" w14:textId="77777777" w:rsidR="00585B22" w:rsidRDefault="00585B22"/>
    <w:sectPr w:rsidR="00585B22">
      <w:footerReference w:type="default" r:id="rId46"/>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E9562" w14:textId="77777777" w:rsidR="00842D77" w:rsidRDefault="00842D77">
      <w:r>
        <w:separator/>
      </w:r>
    </w:p>
  </w:endnote>
  <w:endnote w:type="continuationSeparator" w:id="0">
    <w:p w14:paraId="49BB5C84" w14:textId="77777777" w:rsidR="00842D77" w:rsidRDefault="00842D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default"/>
    <w:sig w:usb0="00000000" w:usb1="0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1"/>
    <w:family w:val="roman"/>
    <w:pitch w:val="variable"/>
  </w:font>
  <w:font w:name="Arial">
    <w:panose1 w:val="020B0604020202020204"/>
    <w:charset w:val="00"/>
    <w:family w:val="swiss"/>
    <w:pitch w:val="variable"/>
    <w:sig w:usb0="E0002EFF" w:usb1="C0007843" w:usb2="00000009" w:usb3="00000000" w:csb0="000001FF" w:csb1="00000000"/>
  </w:font>
  <w:font w:name="SimHei">
    <w:altName w:val="黑体"/>
    <w:panose1 w:val="0201060906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ADD97" w14:textId="77777777" w:rsidR="00585B22" w:rsidRDefault="00842D77">
    <w:pPr>
      <w:pStyle w:val="Footer"/>
    </w:pPr>
    <w:r>
      <w:rPr>
        <w:noProof/>
      </w:rPr>
      <mc:AlternateContent>
        <mc:Choice Requires="wps">
          <w:drawing>
            <wp:anchor distT="0" distB="0" distL="114300" distR="114300" simplePos="0" relativeHeight="251659264" behindDoc="0" locked="0" layoutInCell="1" allowOverlap="1" wp14:anchorId="6896C546" wp14:editId="7B1AFBF9">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5416EB9" w14:textId="77777777" w:rsidR="00585B22" w:rsidRDefault="00842D77">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17E406BA">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58446" w14:textId="77777777" w:rsidR="00842D77" w:rsidRDefault="00842D77">
      <w:r>
        <w:separator/>
      </w:r>
    </w:p>
  </w:footnote>
  <w:footnote w:type="continuationSeparator" w:id="0">
    <w:p w14:paraId="615C14BE" w14:textId="77777777" w:rsidR="00842D77" w:rsidRDefault="00842D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54B5889"/>
    <w:multiLevelType w:val="singleLevel"/>
    <w:tmpl w:val="C54B5889"/>
    <w:lvl w:ilvl="0">
      <w:start w:val="1"/>
      <w:numFmt w:val="decimal"/>
      <w:suff w:val="space"/>
      <w:lvlText w:val="%1."/>
      <w:lvlJc w:val="left"/>
    </w:lvl>
  </w:abstractNum>
  <w:abstractNum w:abstractNumId="1"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2"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3"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4"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5"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6"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7"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8"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9"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0"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1" w15:restartNumberingAfterBreak="0">
    <w:nsid w:val="66B3D7AA"/>
    <w:multiLevelType w:val="singleLevel"/>
    <w:tmpl w:val="66B3D7AA"/>
    <w:lvl w:ilvl="0">
      <w:start w:val="7"/>
      <w:numFmt w:val="decimal"/>
      <w:suff w:val="space"/>
      <w:lvlText w:val="%1."/>
      <w:lvlJc w:val="left"/>
    </w:lvl>
  </w:abstractNum>
  <w:num w:numId="1" w16cid:durableId="1151750805">
    <w:abstractNumId w:val="10"/>
  </w:num>
  <w:num w:numId="2" w16cid:durableId="1896234388">
    <w:abstractNumId w:val="8"/>
  </w:num>
  <w:num w:numId="3" w16cid:durableId="805583490">
    <w:abstractNumId w:val="7"/>
  </w:num>
  <w:num w:numId="4" w16cid:durableId="1230076193">
    <w:abstractNumId w:val="6"/>
  </w:num>
  <w:num w:numId="5" w16cid:durableId="1310481299">
    <w:abstractNumId w:val="5"/>
  </w:num>
  <w:num w:numId="6" w16cid:durableId="1396204545">
    <w:abstractNumId w:val="9"/>
  </w:num>
  <w:num w:numId="7" w16cid:durableId="1536041358">
    <w:abstractNumId w:val="4"/>
  </w:num>
  <w:num w:numId="8" w16cid:durableId="1456293727">
    <w:abstractNumId w:val="3"/>
  </w:num>
  <w:num w:numId="9" w16cid:durableId="1809198756">
    <w:abstractNumId w:val="2"/>
  </w:num>
  <w:num w:numId="10" w16cid:durableId="17123271">
    <w:abstractNumId w:val="1"/>
  </w:num>
  <w:num w:numId="11" w16cid:durableId="521171052">
    <w:abstractNumId w:val="0"/>
  </w:num>
  <w:num w:numId="12" w16cid:durableId="866534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7"/>
  <w:displayBackgroundShap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59D5A7B"/>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45862"/>
    <w:rsid w:val="004643D8"/>
    <w:rsid w:val="00497C24"/>
    <w:rsid w:val="004C7BA5"/>
    <w:rsid w:val="004E7628"/>
    <w:rsid w:val="004F48F2"/>
    <w:rsid w:val="005149B1"/>
    <w:rsid w:val="005647F2"/>
    <w:rsid w:val="005662D1"/>
    <w:rsid w:val="00573A09"/>
    <w:rsid w:val="00585B22"/>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42D77"/>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BD7C98"/>
    <w:rsid w:val="00C05085"/>
    <w:rsid w:val="00C1593D"/>
    <w:rsid w:val="00C51F85"/>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118C0776"/>
    <w:rsid w:val="30BC67EA"/>
    <w:rsid w:val="4AA06F91"/>
    <w:rsid w:val="5994761C"/>
    <w:rsid w:val="755A5196"/>
    <w:rsid w:val="759D5A7B"/>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5D36FBF"/>
  <w15:docId w15:val="{06F1FF1B-DAEC-DB43-8495-37FA88FC6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gu-IN"/>
      </w:rPr>
    </w:rPrDefault>
    <w:pPrDefault/>
  </w:docDefaults>
  <w:latentStyles w:defLockedState="0" w:defUIPriority="0" w:defSemiHidden="0" w:defUnhideWhenUsed="0" w:defQFormat="1" w:count="376">
    <w:lsdException w:name="heading 2" w:unhideWhenUsed="1"/>
    <w:lsdException w:name="heading 3"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5" w:qFormat="0"/>
    <w:lsdException w:name="toc 5" w:qFormat="0"/>
    <w:lsdException w:name="caption" w:semiHidden="1" w:unhideWhenUsed="1"/>
    <w:lsdException w:name="Default Paragraph Font" w:semiHidden="1"/>
    <w:lsdException w:name="Body Text Indent 2" w:qFormat="0"/>
    <w:lsdException w:name="HTML Top of Form" w:semiHidden="1" w:uiPriority="99" w:unhideWhenUsed="1" w:qFormat="0"/>
    <w:lsdException w:name="HTML Bottom of Form" w:semiHidden="1" w:uiPriority="99" w:unhideWhenUsed="1" w:qFormat="0"/>
    <w:lsdException w:name="Normal Table" w:semiHidden="1" w:unhideWhenUsed="1"/>
    <w:lsdException w:name="annotation subject" w:qFormat="0"/>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qFormat="0"/>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qFormat="0"/>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qFormat="0"/>
    <w:lsdException w:name="No Spacing" w:semiHidden="1" w:uiPriority="99" w:unhideWhenUsed="1" w:qFormat="0"/>
    <w:lsdException w:name="Light Shading" w:uiPriority="60" w:qFormat="0"/>
    <w:lsdException w:name="Light List" w:uiPriority="61"/>
    <w:lsdException w:name="Light Grid" w:uiPriority="62"/>
    <w:lsdException w:name="Medium Shading 1" w:uiPriority="63"/>
    <w:lsdException w:name="Medium Shading 2" w:uiPriority="64" w:qFormat="0"/>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qFormat="0"/>
    <w:lsdException w:name="Colorful List" w:uiPriority="72" w:qFormat="0"/>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qFormat="0"/>
    <w:lsdException w:name="List Paragraph" w:semiHidden="1" w:uiPriority="99" w:unhideWhenUsed="1" w:qFormat="0"/>
    <w:lsdException w:name="Quote" w:semiHidden="1" w:uiPriority="99" w:unhideWhenUsed="1" w:qFormat="0"/>
    <w:lsdException w:name="Intense Quote" w:semiHidden="1" w:uiPriority="99" w:unhideWhenUsed="1"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qFormat="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qFormat="0"/>
    <w:lsdException w:name="Medium Shading 2 Accent 2" w:uiPriority="64"/>
    <w:lsdException w:name="Medium List 1 Accent 2" w:uiPriority="65" w:qFormat="0"/>
    <w:lsdException w:name="Medium List 2 Accent 2" w:uiPriority="66"/>
    <w:lsdException w:name="Medium Grid 1 Accent 2" w:uiPriority="67" w:qFormat="0"/>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qFormat="0"/>
    <w:lsdException w:name="Medium List 1 Accent 3" w:uiPriority="65" w:qFormat="0"/>
    <w:lsdException w:name="Medium List 2 Accent 3" w:uiPriority="66"/>
    <w:lsdException w:name="Medium Grid 1 Accent 3" w:uiPriority="67"/>
    <w:lsdException w:name="Medium Grid 2 Accent 3" w:uiPriority="68"/>
    <w:lsdException w:name="Medium Grid 3 Accent 3" w:uiPriority="69"/>
    <w:lsdException w:name="Dark List Accent 3" w:uiPriority="70" w:qFormat="0"/>
    <w:lsdException w:name="Colorful Shading Accent 3" w:uiPriority="71"/>
    <w:lsdException w:name="Colorful List Accent 3" w:uiPriority="72"/>
    <w:lsdException w:name="Colorful Grid Accent 3" w:uiPriority="73"/>
    <w:lsdException w:name="Light Shading Accent 4" w:uiPriority="60" w:qFormat="0"/>
    <w:lsdException w:name="Light List Accent 4" w:uiPriority="61"/>
    <w:lsdException w:name="Light Grid Accent 4" w:uiPriority="62"/>
    <w:lsdException w:name="Medium Shading 1 Accent 4" w:uiPriority="63" w:qFormat="0"/>
    <w:lsdException w:name="Medium Shading 2 Accent 4" w:uiPriority="64"/>
    <w:lsdException w:name="Medium List 1 Accent 4" w:uiPriority="65"/>
    <w:lsdException w:name="Medium List 2 Accent 4" w:uiPriority="66" w:qFormat="0"/>
    <w:lsdException w:name="Medium Grid 1 Accent 4" w:uiPriority="67" w:qFormat="0"/>
    <w:lsdException w:name="Medium Grid 2 Accent 4" w:uiPriority="68" w:qFormat="0"/>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0"/>
    <w:lsdException w:name="Light Grid Accent 5" w:uiPriority="62"/>
    <w:lsdException w:name="Medium Shading 1 Accent 5" w:uiPriority="63"/>
    <w:lsdException w:name="Medium Shading 2 Accent 5" w:uiPriority="64"/>
    <w:lsdException w:name="Medium List 1 Accent 5" w:uiPriority="65" w:qFormat="0"/>
    <w:lsdException w:name="Medium List 2 Accent 5" w:uiPriority="66"/>
    <w:lsdException w:name="Medium Grid 1 Accent 5" w:uiPriority="67" w:qFormat="0"/>
    <w:lsdException w:name="Medium Grid 2 Accent 5" w:uiPriority="68" w:qFormat="0"/>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qFormat="0"/>
    <w:lsdException w:name="Medium Shading 2 Accent 6" w:uiPriority="64" w:qFormat="0"/>
    <w:lsdException w:name="Medium List 1 Accent 6" w:uiPriority="65"/>
    <w:lsdException w:name="Medium List 2 Accent 6" w:uiPriority="66"/>
    <w:lsdException w:name="Medium Grid 1 Accent 6" w:uiPriority="67" w:qFormat="0"/>
    <w:lsdException w:name="Medium Grid 2 Accent 6" w:uiPriority="68" w:qFormat="0"/>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jc w:val="both"/>
    </w:pPr>
    <w:rPr>
      <w:rFonts w:eastAsiaTheme="minorEastAsia" w:cstheme="minorBidi"/>
      <w:sz w:val="24"/>
      <w:lang w:eastAsia="zh-CN" w:bidi="ar-SA"/>
    </w:rPr>
  </w:style>
  <w:style w:type="paragraph" w:styleId="Heading1">
    <w:name w:val="heading 1"/>
    <w:next w:val="Normal"/>
    <w:link w:val="Heading1Char"/>
    <w:qFormat/>
    <w:pPr>
      <w:spacing w:beforeAutospacing="1" w:afterAutospacing="1"/>
      <w:jc w:val="both"/>
      <w:outlineLvl w:val="0"/>
    </w:pPr>
    <w:rPr>
      <w:rFonts w:cs="Shruti"/>
      <w:b/>
      <w:bCs/>
      <w:kern w:val="44"/>
      <w:sz w:val="28"/>
      <w:szCs w:val="48"/>
      <w:lang w:eastAsia="zh-CN"/>
    </w:rPr>
  </w:style>
  <w:style w:type="paragraph" w:styleId="Heading2">
    <w:name w:val="heading 2"/>
    <w:next w:val="Normal"/>
    <w:unhideWhenUsed/>
    <w:qFormat/>
    <w:pPr>
      <w:spacing w:beforeAutospacing="1" w:afterAutospacing="1"/>
      <w:jc w:val="both"/>
      <w:outlineLvl w:val="1"/>
    </w:pPr>
    <w:rPr>
      <w:rFonts w:cs="Shruti"/>
      <w:b/>
      <w:bCs/>
      <w:sz w:val="24"/>
      <w:szCs w:val="36"/>
      <w:lang w:eastAsia="zh-CN"/>
    </w:rPr>
  </w:style>
  <w:style w:type="paragraph" w:styleId="Heading3">
    <w:name w:val="heading 3"/>
    <w:next w:val="Normal"/>
    <w:unhideWhenUsed/>
    <w:qFormat/>
    <w:pPr>
      <w:spacing w:beforeAutospacing="1" w:afterAutospacing="1"/>
      <w:jc w:val="both"/>
      <w:outlineLvl w:val="2"/>
    </w:pPr>
    <w:rPr>
      <w:rFonts w:cs="Shruti"/>
      <w:b/>
      <w:bCs/>
      <w:sz w:val="24"/>
      <w:szCs w:val="27"/>
      <w:lang w:eastAsia="zh-CN"/>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Cs w:val="24"/>
    </w:rPr>
  </w:style>
  <w:style w:type="paragraph" w:styleId="Heading7">
    <w:name w:val="heading 7"/>
    <w:basedOn w:val="Normal"/>
    <w:next w:val="Normal"/>
    <w:semiHidden/>
    <w:unhideWhenUsed/>
    <w:qFormat/>
    <w:pPr>
      <w:keepNext/>
      <w:keepLines/>
      <w:spacing w:before="240" w:after="64" w:line="320" w:lineRule="auto"/>
      <w:outlineLvl w:val="6"/>
    </w:pPr>
    <w:rPr>
      <w:b/>
      <w:bCs/>
      <w:szCs w:val="24"/>
    </w:rPr>
  </w:style>
  <w:style w:type="paragraph" w:styleId="Heading8">
    <w:name w:val="heading 8"/>
    <w:basedOn w:val="Normal"/>
    <w:next w:val="Normal"/>
    <w:semiHidden/>
    <w:unhideWhenUsed/>
    <w:qFormat/>
    <w:pPr>
      <w:keepNext/>
      <w:keepLines/>
      <w:spacing w:before="240" w:after="64" w:line="320" w:lineRule="auto"/>
      <w:outlineLvl w:val="7"/>
    </w:pPr>
    <w:rPr>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eastAsia="zh-CN" w:bidi="ar-SA"/>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Cs w:val="24"/>
    </w:rPr>
  </w:style>
  <w:style w:type="paragraph" w:styleId="NormalWeb">
    <w:name w:val="Normal (Web)"/>
    <w:qFormat/>
    <w:pPr>
      <w:spacing w:beforeAutospacing="1" w:afterAutospacing="1"/>
    </w:pPr>
    <w:rPr>
      <w:rFonts w:cs="Shruti"/>
      <w:sz w:val="24"/>
      <w:szCs w:val="24"/>
      <w:lang w:eastAsia="zh-CN"/>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Cs w:val="24"/>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link w:val="Heading1"/>
    <w:rPr>
      <w:rFonts w:ascii="Times New Roman" w:eastAsia="SimSun" w:hAnsi="Times New Roman" w:cs="SimSun" w:hint="default"/>
      <w:b/>
      <w:bCs/>
      <w:kern w:val="44"/>
      <w:sz w:val="28"/>
      <w:szCs w:val="48"/>
      <w:lang w:val="en-US" w:eastAsia="zh-CN" w:bidi="ar"/>
    </w:r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capitalfm.co.ke/business/2025/04/kenyas-controversial-eta-system-switch-triggers-investor-tourism-backlash/?utm_source=chatgpt.com" TargetMode="External" /><Relationship Id="rId26" Type="http://schemas.openxmlformats.org/officeDocument/2006/relationships/hyperlink" Target="https://repository.kippra.or.ke/items/b8ee03c8-75e9-445f-9591-a958696ef02f?utm_source=chatgpt.com" TargetMode="External" /><Relationship Id="rId39" Type="http://schemas.openxmlformats.org/officeDocument/2006/relationships/hyperlink" Target="https://www.cgaa.org/article/central-bank-of-kenya" TargetMode="External" /><Relationship Id="rId3" Type="http://schemas.openxmlformats.org/officeDocument/2006/relationships/styles" Target="styles.xml" /><Relationship Id="rId21" Type="http://schemas.openxmlformats.org/officeDocument/2006/relationships/hyperlink" Target="https://fintechmagazine.com/news/kenya-leads-the-world-in-mobile-money-penetration?utm_source=chatgpt.com" TargetMode="External" /><Relationship Id="rId34" Type="http://schemas.openxmlformats.org/officeDocument/2006/relationships/hyperlink" Target="https://kefs.go.ke/sites/default/files/2024-09/FISHERIES%20ANNUAL%20STATISTICS%202023_.pdf" TargetMode="External" /><Relationship Id="rId42" Type="http://schemas.openxmlformats.org/officeDocument/2006/relationships/hyperlink" Target="https://www.uncdf.org/article/7904/where-in-the-world-is-mobile-money-prominent?utm_source=chatgpt.com" TargetMode="External" /><Relationship Id="rId47"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abacus.co.ke/hsbc-kenya-representative-office-changes-name/" TargetMode="External" /><Relationship Id="rId25" Type="http://schemas.openxmlformats.org/officeDocument/2006/relationships/hyperlink" Target="https://doi.org/10.4060/cd0683en" TargetMode="External" /><Relationship Id="rId33" Type="http://schemas.openxmlformats.org/officeDocument/2006/relationships/hyperlink" Target="https://doi.org/10.3389/frsus.2022.990173" TargetMode="External" /><Relationship Id="rId38" Type="http://schemas.openxmlformats.org/officeDocument/2006/relationships/hyperlink" Target="https://doi.org/10.1002/9780470592663.ch24" TargetMode="External" /><Relationship Id="rId46"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cnbctv18.com/world/financial-inclusion-at-record-high-but-1-3-billion-still-unbanked-world-bank-global-findex-2025-report-19638086.htm" TargetMode="External" /><Relationship Id="rId29" Type="http://schemas.openxmlformats.org/officeDocument/2006/relationships/hyperlink" Target="https://www.about.hsbc.co.uk/en?utm_source=chatgpt.com" TargetMode="External" /><Relationship Id="rId41" Type="http://schemas.openxmlformats.org/officeDocument/2006/relationships/hyperlink" Target="https://www.thestrategyinstitute.org/insights/understanding-external-business-environments-with-pest-and-pestle-analysi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ft.com/content/513489c2-61d5-4857-bbd5-9228da6619db?utm_source=chatgpt.com" TargetMode="External" /><Relationship Id="rId32" Type="http://schemas.openxmlformats.org/officeDocument/2006/relationships/hyperlink" Target="https://doi.org/10.1111/jwas.12967" TargetMode="External" /><Relationship Id="rId37" Type="http://schemas.openxmlformats.org/officeDocument/2006/relationships/hyperlink" Target="https://doi.org/10.3390/environments11070151" TargetMode="External" /><Relationship Id="rId40" Type="http://schemas.openxmlformats.org/officeDocument/2006/relationships/hyperlink" Target="https://www.theglobaltreasurer.com/2024/10/22/hsbc-unveils-global-restructuring-to-navigate-east-west-divide/?utm_source=chatgpt.com" TargetMode="External" /><Relationship Id="rId45" Type="http://schemas.openxmlformats.org/officeDocument/2006/relationships/hyperlink" Target="https://www.trade.gov/country-commercial-guides/kenya-digital-economy?utm_source=chatgpt.com"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fastercapital.com/content/Risk-sharing--Mitigating-Risks-through-Joint-Ventures--A-Win-Win-Approach.html" TargetMode="External" /><Relationship Id="rId28" Type="http://schemas.openxmlformats.org/officeDocument/2006/relationships/hyperlink" Target="https://www.hsbc.com/who-we-are/hsbc-and-digital/hsbc-and-ai/transforming-hsbc-with-ai?utm_source=chatgpt.com" TargetMode="External" /><Relationship Id="rId36" Type="http://schemas.openxmlformats.org/officeDocument/2006/relationships/hyperlink" Target="https://kilimokwanza.org/wp-content/uploads/2025/12/Kenya-Economy-Analysis-2024-2025-1.pdf?utm_source=chatgpt.com" TargetMode="External" /><Relationship Id="rId10" Type="http://schemas.openxmlformats.org/officeDocument/2006/relationships/image" Target="media/image3.png" /><Relationship Id="rId19" Type="http://schemas.openxmlformats.org/officeDocument/2006/relationships/hyperlink" Target="https://www.centralbank.go.ke/policy-procedures/legislation-and-guidelines/" TargetMode="External" /><Relationship Id="rId31" Type="http://schemas.openxmlformats.org/officeDocument/2006/relationships/hyperlink" Target="https://doi.org/10.1016/j.jfineco.2025.104071" TargetMode="External" /><Relationship Id="rId44" Type="http://schemas.openxmlformats.org/officeDocument/2006/relationships/hyperlink" Target="https://unsdg.un.org/latest/stories/kenya%E2%80%99s-digital-leap-fairer-future?utm_source=chatgpt.com"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hyperlink" Target="https://doi.org/10.3390/fishes7050268" TargetMode="External" /><Relationship Id="rId27" Type="http://schemas.openxmlformats.org/officeDocument/2006/relationships/hyperlink" Target="https://www.gsma.com/about-us/regions/sub-saharan-africa/wp-content/uploads/2024/10/KENYA-DIGITAL-ECONOMY-REPORT-17TH-OCTOBER-V2.pdf" TargetMode="External" /><Relationship Id="rId30" Type="http://schemas.openxmlformats.org/officeDocument/2006/relationships/hyperlink" Target="https://www.hsbc.com/news-and-views/news/media-releases/2024/hsbc-announces-completion-of-next-stage-of-global-reorganisation-addendum?utm_source=chatgpt.com" TargetMode="External" /><Relationship Id="rId35" Type="http://schemas.openxmlformats.org/officeDocument/2006/relationships/hyperlink" Target="https://www.knbs.or.ke/reports/2025-economic-survey/?utm_source=chatgpt.com" TargetMode="External" /><Relationship Id="rId43" Type="http://schemas.openxmlformats.org/officeDocument/2006/relationships/hyperlink" Target="https://www.undp.org/kenya/stories/bridging-digital-financial-divide-next-frontier-kenyas-digital-economy?utm_source=chatgpt.com" TargetMode="External" /><Relationship Id="rId48" Type="http://schemas.openxmlformats.org/officeDocument/2006/relationships/theme" Target="theme/theme1.xm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6030</Words>
  <Characters>42166</Characters>
  <Application>Microsoft Office Word</Application>
  <DocSecurity>0</DocSecurity>
  <Lines>351</Lines>
  <Paragraphs>96</Paragraphs>
  <ScaleCrop>false</ScaleCrop>
  <Company/>
  <LinksUpToDate>false</LinksUpToDate>
  <CharactersWithSpaces>48100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Talal Rashid</dc:creator>
  <cp:lastModifiedBy>Mitwa Ghanshyamsinh Gohil (2431076)</cp:lastModifiedBy>
  <cp:revision>2</cp:revision>
  <dcterms:created xsi:type="dcterms:W3CDTF">2025-12-21T21:44:00Z</dcterms:created>
  <dcterms:modified xsi:type="dcterms:W3CDTF">2025-12-21T21:44:00Z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557749AD49F74E0EABBB35F7E6FAAC92_13</vt:lpwstr>
  </property>
</Properties>
</file>