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hAnsi="Times New Roman"/>
          <w:sz w:val="34"/>
          <w:szCs w:val="34"/>
          <w:shd w:val="clear" w:color="auto" w:fill="ffffff"/>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hAnsi="Times New Roman"/>
          <w:sz w:val="34"/>
          <w:szCs w:val="34"/>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rFonts w:ascii="Times New Roman" w:hAnsi="Times New Roman" w:hint="default"/>
          <w:sz w:val="36"/>
          <w:szCs w:val="36"/>
          <w:shd w:val="clear" w:color="auto" w:fill="feffff"/>
          <w:rtl w:val="0"/>
        </w:rPr>
        <w:t xml:space="preserve">                            </w:t>
      </w:r>
      <w:r>
        <w:rPr>
          <w:rFonts w:ascii="Times New Roman" w:cs="Times New Roman" w:hAnsi="Times New Roman" w:eastAsia="Times New Roman"/>
          <w:sz w:val="36"/>
          <w:szCs w:val="36"/>
          <w:shd w:val="clear" w:color="auto" w:fill="feffff"/>
          <w:rtl w:val="0"/>
        </w:rPr>
        <w:drawing xmlns:a="http://schemas.openxmlformats.org/drawingml/2006/main">
          <wp:inline distT="0" distB="0" distL="0" distR="0">
            <wp:extent cx="2628900" cy="1320800"/>
            <wp:effectExtent l="0" t="0" r="0" b="0"/>
            <wp:docPr id="1073741825" name="officeArt object" descr="3C9499D4-6176-4BED-AEE0-55D2820CFF22.jpg"/>
            <wp:cNvGraphicFramePr/>
            <a:graphic xmlns:a="http://schemas.openxmlformats.org/drawingml/2006/main">
              <a:graphicData uri="http://schemas.openxmlformats.org/drawingml/2006/picture">
                <pic:pic xmlns:pic="http://schemas.openxmlformats.org/drawingml/2006/picture">
                  <pic:nvPicPr>
                    <pic:cNvPr id="1073741825" name="3C9499D4-6176-4BED-AEE0-55D2820CFF22.jpg" descr="3C9499D4-6176-4BED-AEE0-55D2820CFF22.jpg"/>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Module name:</w:t>
      </w:r>
      <w:r>
        <w:rPr>
          <w:rFonts w:ascii="Times New Roman" w:hAnsi="Times New Roman"/>
          <w:b w:val="1"/>
          <w:bCs w:val="1"/>
          <w:sz w:val="42"/>
          <w:szCs w:val="42"/>
          <w:shd w:val="clear" w:color="auto" w:fill="fefffe"/>
          <w:rtl w:val="0"/>
          <w:lang w:val="en-US"/>
        </w:rPr>
        <w:t xml:space="preserve">International Financial Management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 xml:space="preserve">Module code: LCBB </w:t>
      </w:r>
      <w:r>
        <w:rPr>
          <w:rFonts w:ascii="Times New Roman" w:hAnsi="Times New Roman"/>
          <w:b w:val="1"/>
          <w:bCs w:val="1"/>
          <w:sz w:val="42"/>
          <w:szCs w:val="42"/>
          <w:shd w:val="clear" w:color="auto" w:fill="fefffe"/>
          <w:rtl w:val="0"/>
          <w:lang w:val="en-US"/>
        </w:rPr>
        <w:t>6002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lang w:val="en-US"/>
        </w:rPr>
        <w:t xml:space="preserve">Assignment Title: Assessment </w:t>
      </w:r>
      <w:r>
        <w:rPr>
          <w:rFonts w:ascii="Times New Roman" w:hAnsi="Times New Roman"/>
          <w:b w:val="1"/>
          <w:bCs w:val="1"/>
          <w:sz w:val="36"/>
          <w:szCs w:val="36"/>
          <w:shd w:val="clear" w:color="auto" w:fill="fefffe"/>
          <w:rtl w:val="0"/>
          <w:lang w:val="en-US"/>
        </w:rPr>
        <w:t>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31/8/2023</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Contents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u w:val="none" w:color="000000"/>
          <w:rtl w:val="0"/>
        </w:rPr>
      </w:pPr>
      <w:r>
        <w:rPr>
          <w:rFonts w:ascii="Times New Roman" w:hAnsi="Times New Roman"/>
          <w:sz w:val="34"/>
          <w:szCs w:val="34"/>
          <w:u w:val="single" w:color="000000"/>
          <w:rtl w:val="0"/>
          <w:lang w:val="de-DE"/>
        </w:rPr>
        <w:t>INTRODUCTION</w:t>
      </w:r>
      <w:r>
        <w:rPr>
          <w:rFonts w:ascii="Times New Roman" w:hAnsi="Times New Roman"/>
          <w:sz w:val="34"/>
          <w:szCs w:val="34"/>
          <w:u w:val="none" w:color="000000"/>
          <w:rtl w:val="0"/>
        </w:rPr>
        <w:t xml:space="preserve"> 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u w:val="none" w:color="000000"/>
          <w:rtl w:val="0"/>
        </w:rPr>
      </w:pPr>
      <w:r>
        <w:rPr>
          <w:rFonts w:ascii="Times New Roman" w:hAnsi="Times New Roman"/>
          <w:sz w:val="34"/>
          <w:szCs w:val="34"/>
          <w:u w:val="single" w:color="000000"/>
          <w:rtl w:val="0"/>
        </w:rPr>
        <w:t>TASK</w:t>
      </w:r>
      <w:r>
        <w:rPr>
          <w:rFonts w:ascii="Times New Roman" w:hAnsi="Times New Roman"/>
          <w:sz w:val="34"/>
          <w:szCs w:val="34"/>
          <w:u w:val="none" w:color="000000"/>
          <w:rtl w:val="0"/>
        </w:rPr>
        <w:t xml:space="preserve"> 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u w:val="none" w:color="000000"/>
          <w:rtl w:val="0"/>
        </w:rPr>
      </w:pPr>
      <w:r>
        <w:rPr>
          <w:rFonts w:ascii="Times New Roman" w:hAnsi="Times New Roman"/>
          <w:sz w:val="34"/>
          <w:szCs w:val="34"/>
          <w:u w:val="single" w:color="000000"/>
          <w:rtl w:val="0"/>
        </w:rPr>
        <w:t>CONCLUSION</w:t>
      </w:r>
      <w:r>
        <w:rPr>
          <w:rFonts w:ascii="Times New Roman" w:hAnsi="Times New Roman"/>
          <w:sz w:val="34"/>
          <w:szCs w:val="34"/>
          <w:u w:val="none" w:color="000000"/>
          <w:rtl w:val="0"/>
        </w:rPr>
        <w:t xml:space="preserve"> 6</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u w:val="single" w:color="000000"/>
          <w:shd w:val="clear" w:color="auto" w:fill="ffffff"/>
          <w:rtl w:val="0"/>
        </w:rPr>
      </w:pPr>
      <w:r>
        <w:rPr>
          <w:rFonts w:ascii="Times New Roman" w:hAnsi="Times New Roman"/>
          <w:sz w:val="34"/>
          <w:szCs w:val="34"/>
          <w:u w:val="single" w:color="000000"/>
          <w:rtl w:val="0"/>
          <w:lang w:val="de-DE"/>
        </w:rPr>
        <w:t>REFERENCES</w:t>
      </w:r>
      <w:r>
        <w:rPr>
          <w:rFonts w:ascii="Times New Roman" w:hAnsi="Times New Roman"/>
          <w:sz w:val="34"/>
          <w:szCs w:val="34"/>
          <w:u w:val="none" w:color="000000"/>
          <w:rtl w:val="0"/>
        </w:rPr>
        <w:t xml:space="preserve"> 7</w:t>
      </w:r>
    </w:p>
    <w:p>
      <w:pPr>
        <w:pStyle w:val="Default"/>
        <w:bidi w:val="0"/>
        <w:spacing w:before="0" w:line="240" w:lineRule="auto"/>
        <w:ind w:left="0" w:right="0" w:firstLine="0"/>
        <w:jc w:val="left"/>
        <w:rPr>
          <w:rFonts w:ascii="Times New Roman" w:cs="Times New Roman" w:hAnsi="Times New Roman" w:eastAsia="Times New Roman"/>
          <w:sz w:val="36"/>
          <w:szCs w:val="36"/>
          <w:u w:color="0563c0"/>
          <w:shd w:val="clear" w:color="auto" w:fill="ffffff"/>
          <w:rtl w:val="0"/>
        </w:rPr>
      </w:pPr>
    </w:p>
    <w:p>
      <w:pPr>
        <w:pStyle w:val="Default"/>
        <w:bidi w:val="0"/>
        <w:spacing w:before="0" w:after="160" w:line="240" w:lineRule="auto"/>
        <w:ind w:left="0" w:right="0" w:firstLine="0"/>
        <w:jc w:val="left"/>
        <w:rPr>
          <w:rFonts w:ascii="Times New Roman" w:cs="Times New Roman" w:hAnsi="Times New Roman" w:eastAsia="Times New Roman"/>
          <w:sz w:val="36"/>
          <w:szCs w:val="36"/>
          <w:u w:color="0563c0"/>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shd w:val="clear" w:color="auto" w:fill="feffff"/>
          <w:rtl w:val="0"/>
        </w:rPr>
      </w:pPr>
      <w:r>
        <w:rPr>
          <w:rFonts w:ascii="Times New Roman" w:hAnsi="Times New Roman"/>
          <w:b w:val="1"/>
          <w:bCs w:val="1"/>
          <w:sz w:val="36"/>
          <w:szCs w:val="36"/>
          <w:u w:color="0563c0"/>
          <w:shd w:val="clear" w:color="auto" w:fill="feffff"/>
          <w:rtl w:val="0"/>
          <w:lang w:val="de-DE"/>
        </w:rPr>
        <w:t>INTRODUCTION</w:t>
      </w:r>
    </w:p>
    <w:p>
      <w:pPr>
        <w:pStyle w:val="Default"/>
        <w:bidi w:val="0"/>
        <w:spacing w:before="0" w:line="240" w:lineRule="auto"/>
        <w:ind w:left="0" w:right="0" w:firstLine="720"/>
        <w:jc w:val="both"/>
        <w:rPr>
          <w:rFonts w:ascii="Times New Roman" w:cs="Times New Roman" w:hAnsi="Times New Roman" w:eastAsia="Times New Roman"/>
          <w:sz w:val="36"/>
          <w:szCs w:val="36"/>
          <w:u w:color="0563c0"/>
          <w:shd w:val="clear" w:color="auto" w:fill="feffff"/>
          <w:rtl w:val="0"/>
        </w:rPr>
      </w:pPr>
      <w:r>
        <w:rPr>
          <w:rFonts w:ascii="Times New Roman" w:hAnsi="Times New Roman"/>
          <w:sz w:val="36"/>
          <w:szCs w:val="36"/>
          <w:u w:color="0563c0"/>
          <w:shd w:val="clear" w:color="auto" w:fill="feffff"/>
          <w:rtl w:val="0"/>
          <w:lang w:val="en-US"/>
        </w:rPr>
        <w:t xml:space="preserve">The term International financial management refers to the activities which are considered for managing the financial tasks across the countries in strategic manner. It is dealing with finance in global context. It provides the way to trade in the external markets including the profit earning ways using such activities. It is regarded as a part of financial economics. Increase in dynamism within the global markets is also creating hindrances for existing corporates. Management of such environment supports better sustainable and social development </w:t>
      </w:r>
      <w:r>
        <w:rPr>
          <w:rFonts w:ascii="Times New Roman" w:hAnsi="Times New Roman"/>
          <w:outline w:val="0"/>
          <w:color w:val="212121"/>
          <w:sz w:val="36"/>
          <w:szCs w:val="36"/>
          <w:u w:color="0563c0"/>
          <w:shd w:val="clear" w:color="auto" w:fill="feffff"/>
          <w:rtl w:val="0"/>
          <w14:textFill>
            <w14:solidFill>
              <w14:srgbClr w14:val="222222"/>
            </w14:solidFill>
          </w14:textFill>
        </w:rPr>
        <w:t>(Davradakis and Santos 2019)</w:t>
      </w:r>
      <w:r>
        <w:rPr>
          <w:rFonts w:ascii="Times New Roman" w:hAnsi="Times New Roman"/>
          <w:sz w:val="36"/>
          <w:szCs w:val="36"/>
          <w:u w:color="0563c0"/>
          <w:shd w:val="clear" w:color="auto" w:fill="feffff"/>
          <w:rtl w:val="0"/>
          <w:lang w:val="en-US"/>
        </w:rPr>
        <w:t>. In the following essay, Wipro limited is chosen for the investigation purposes. Importance and discussion regarding the challenges within different financial markets are discussed including the dividend distribution policy of the specified firm. Critical analysis of efficient market hypothesis theory and methods of appraising the project are also included.</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shd w:val="clear" w:color="auto" w:fill="feffff"/>
          <w:rtl w:val="0"/>
        </w:rPr>
      </w:pPr>
      <w:r>
        <w:rPr>
          <w:rFonts w:ascii="Times New Roman" w:hAnsi="Times New Roman"/>
          <w:b w:val="1"/>
          <w:bCs w:val="1"/>
          <w:sz w:val="36"/>
          <w:szCs w:val="36"/>
          <w:u w:color="0563c0"/>
          <w:shd w:val="clear" w:color="auto" w:fill="feffff"/>
          <w:rtl w:val="0"/>
        </w:rPr>
        <w:t>TASK</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b w:val="1"/>
          <w:bCs w:val="1"/>
          <w:sz w:val="36"/>
          <w:szCs w:val="36"/>
          <w:u w:color="0563c0"/>
          <w:shd w:val="clear" w:color="auto" w:fill="ffffff"/>
          <w:rtl w:val="0"/>
          <w:lang w:val="en-US"/>
        </w:rPr>
        <w:t xml:space="preserve">Importance of IFM for Wipro Limited </w:t>
      </w:r>
      <w:r>
        <w:rPr>
          <w:rFonts w:ascii="Times New Roman" w:hAnsi="Times New Roman"/>
          <w:sz w:val="36"/>
          <w:szCs w:val="36"/>
          <w:u w:color="0563c0"/>
          <w:shd w:val="clear" w:color="auto" w:fill="ffffff"/>
          <w:rtl w:val="0"/>
          <w:lang w:val="en-US"/>
        </w:rPr>
        <w:t xml:space="preserve">are like it is very helpful in maintaining the healthy and fruitful relation with foreign countries and determination of exchange rates on basis of given currencies. It provides to follow the IFRS system of financial management in order to report all the related economic problem in accordance to globally defined accounting system. IFRS is a part of international financial system and management </w:t>
      </w:r>
      <w:r>
        <w:rPr>
          <w:rFonts w:ascii="Times New Roman" w:hAnsi="Times New Roman"/>
          <w:outline w:val="0"/>
          <w:color w:val="212121"/>
          <w:sz w:val="36"/>
          <w:szCs w:val="36"/>
          <w:u w:color="0563c0"/>
          <w:shd w:val="clear" w:color="auto" w:fill="ffffff"/>
          <w:rtl w:val="0"/>
          <w:lang w:val="en-US"/>
          <w14:textFill>
            <w14:solidFill>
              <w14:srgbClr w14:val="222222"/>
            </w14:solidFill>
          </w14:textFill>
        </w:rPr>
        <w:t>(Malo-Alain, Aldoseri and Melegy, 2021)</w:t>
      </w:r>
      <w:r>
        <w:rPr>
          <w:rFonts w:ascii="Times New Roman" w:hAnsi="Times New Roman"/>
          <w:sz w:val="36"/>
          <w:szCs w:val="36"/>
          <w:u w:color="0563c0"/>
          <w:shd w:val="clear" w:color="auto" w:fill="ffffff"/>
          <w:rtl w:val="0"/>
          <w:lang w:val="en-US"/>
        </w:rPr>
        <w:t>. Computation of exchange rates keeps much relevance in context to global economies as helps in making safer investment within foreign securities. Different types of economic factors are involving within different countries. Use of international financial system of management helps in reaching better coordination among all the countries. Organisations like IMF and World bank provide for management of international financial disputes and act as a mediator between various nation as worldwide.</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sz w:val="36"/>
          <w:szCs w:val="36"/>
          <w:u w:color="0563c0"/>
          <w:shd w:val="clear" w:color="auto" w:fill="ffffff"/>
          <w:rtl w:val="0"/>
          <w:lang w:val="en-US"/>
        </w:rPr>
        <w:t xml:space="preserve">Management of financial activities in international markets is a complex process. It is complex due to globalisation and more integrated commodity markets. The </w:t>
      </w:r>
      <w:r>
        <w:rPr>
          <w:rFonts w:ascii="Times New Roman" w:hAnsi="Times New Roman"/>
          <w:b w:val="1"/>
          <w:bCs w:val="1"/>
          <w:sz w:val="36"/>
          <w:szCs w:val="36"/>
          <w:u w:color="0563c0"/>
          <w:shd w:val="clear" w:color="auto" w:fill="ffffff"/>
          <w:rtl w:val="0"/>
          <w:lang w:val="en-US"/>
        </w:rPr>
        <w:t>challenges of the international financial markets</w:t>
      </w:r>
      <w:r>
        <w:rPr>
          <w:rFonts w:ascii="Times New Roman" w:hAnsi="Times New Roman"/>
          <w:sz w:val="36"/>
          <w:szCs w:val="36"/>
          <w:u w:color="0563c0"/>
          <w:shd w:val="clear" w:color="auto" w:fill="ffffff"/>
          <w:rtl w:val="0"/>
          <w:lang w:val="en-US"/>
        </w:rPr>
        <w:t xml:space="preserve"> include multiplicity of tax rates within all the countries which impact the company operation in terms of profitability </w:t>
      </w:r>
      <w:r>
        <w:rPr>
          <w:rFonts w:ascii="Times New Roman" w:hAnsi="Times New Roman"/>
          <w:outline w:val="0"/>
          <w:color w:val="212121"/>
          <w:sz w:val="36"/>
          <w:szCs w:val="36"/>
          <w:u w:color="0563c0"/>
          <w:shd w:val="clear" w:color="auto" w:fill="ffffff"/>
          <w:rtl w:val="0"/>
          <w14:textFill>
            <w14:solidFill>
              <w14:srgbClr w14:val="222222"/>
            </w14:solidFill>
          </w14:textFill>
        </w:rPr>
        <w:t>(Tarca, 2020)</w:t>
      </w:r>
      <w:r>
        <w:rPr>
          <w:rFonts w:ascii="Times New Roman" w:hAnsi="Times New Roman"/>
          <w:sz w:val="36"/>
          <w:szCs w:val="36"/>
          <w:u w:color="0563c0"/>
          <w:shd w:val="clear" w:color="auto" w:fill="ffffff"/>
          <w:rtl w:val="0"/>
          <w:lang w:val="en-US"/>
        </w:rPr>
        <w:t>. But such challenge could be mitigated by managing the tax burden using the fund transfers using tax heavens. The another type of challenge is source of funds for investing purpose. It is affected by change in rate of foreign exchange within different nations. Cultural differences are another challenge which provides for making different approaches for the different types of markets. They are required to provide some training to existing employees for getting cultural knowledge. Law of nations and policies made by different political parties could grow problems for the multinational companies. Hence, compliance to each law is important for the MNC firms. Another problem is faced by firms include terrorism activities within the foreign nations. Ban on all such international sources could be a solution for this problem.</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b w:val="1"/>
          <w:bCs w:val="1"/>
          <w:sz w:val="36"/>
          <w:szCs w:val="36"/>
          <w:u w:color="0563c0"/>
          <w:shd w:val="clear" w:color="auto" w:fill="ffffff"/>
          <w:rtl w:val="0"/>
          <w:lang w:val="en-US"/>
        </w:rPr>
        <w:t xml:space="preserve">Wipro Limited </w:t>
      </w:r>
      <w:r>
        <w:rPr>
          <w:rFonts w:ascii="Times New Roman" w:hAnsi="Times New Roman"/>
          <w:sz w:val="36"/>
          <w:szCs w:val="36"/>
          <w:u w:color="0563c0"/>
          <w:shd w:val="clear" w:color="auto" w:fill="ffffff"/>
          <w:rtl w:val="0"/>
          <w:lang w:val="en-US"/>
        </w:rPr>
        <w:t>is a public firm which is traded within BSE, NSE, NYSE and NSE NIFTY exchange within top 50 constituents. It is a multiple industry company and have a global existence. It is also known as a conglomerate as it is a differentiated group company include various mergers and acquisitions. It was founded in 1945 as a IT consulting and outsourcing firm. Currently it is working with 240000 employees. Profitability during 2023 was US$1.4 billion 2022-23 which was lesser than of last period. Dividend policy of the company for 2023 declares that company would provide dividend of 50% out of its equity for 1 per share. According to the current share price of 413.05 the company, it is providing a total yield of 0.24 % in total.</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sz w:val="36"/>
          <w:szCs w:val="36"/>
          <w:u w:color="0563c0"/>
          <w:shd w:val="clear" w:color="auto" w:fill="ffffff"/>
          <w:rtl w:val="0"/>
          <w:lang w:val="en-US"/>
        </w:rPr>
        <w:t>According to the</w:t>
      </w:r>
      <w:r>
        <w:rPr>
          <w:rFonts w:ascii="Times New Roman" w:hAnsi="Times New Roman"/>
          <w:b w:val="1"/>
          <w:bCs w:val="1"/>
          <w:sz w:val="36"/>
          <w:szCs w:val="36"/>
          <w:u w:color="0563c0"/>
          <w:shd w:val="clear" w:color="auto" w:fill="ffffff"/>
          <w:rtl w:val="0"/>
          <w:lang w:val="en-US"/>
        </w:rPr>
        <w:t xml:space="preserve"> Dividend distribution policy </w:t>
      </w:r>
      <w:r>
        <w:rPr>
          <w:rFonts w:ascii="Times New Roman" w:hAnsi="Times New Roman"/>
          <w:sz w:val="36"/>
          <w:szCs w:val="36"/>
          <w:u w:color="0563c0"/>
          <w:shd w:val="clear" w:color="auto" w:fill="ffffff"/>
          <w:rtl w:val="0"/>
          <w:lang w:val="en-US"/>
        </w:rPr>
        <w:t>the current policy of firm implies that the company is giving a total 5% pay out on company net income for financial year 2023. According to the historical trends, company pays annual dividend. The company paid highest dividend during FY15 i.e. 41%. It was lower than 10 during 2018 to 2021 but then it reached to 27% in 2022 (Wipro limited- Dividend distribution policy (2023)). Company diminished its dividend pay-out as company used higher cash resource for performing buy back actions. The company declares its dividend during its AGM according to the Board approvals. Board of also provides for special dividend of required. Wipro limited attempts to increase their value of stakeholders as company tries to return cash back to their holders for better value formation. Some of the consideration made by company during dividend declaration are circumstances of dividend expectations, financial limits defined for declaration, internal and external factors, use of retained earnings and other boundations for different types of shares issued by the firm. Company board reviews the company dividend rates in regular terms and make changes accordingly. Factors impact the dividend distribution are Profit after tax according to IFRS computation on current and forecasted level. Cash flow generation, cash balances with firm, Debt raising capacity, needs of cash flows, macro and business environment factors as well as forecasted cash flow generation helps in deciding some sustainable dividend policy for the stakeholders.</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b w:val="1"/>
          <w:bCs w:val="1"/>
          <w:sz w:val="36"/>
          <w:szCs w:val="36"/>
          <w:u w:color="0563c0"/>
          <w:shd w:val="clear" w:color="auto" w:fill="ffffff"/>
          <w:rtl w:val="0"/>
          <w:lang w:val="en-US"/>
        </w:rPr>
        <w:t>Efficient market Hypothesis</w:t>
      </w:r>
      <w:r>
        <w:rPr>
          <w:rFonts w:ascii="Times New Roman" w:hAnsi="Times New Roman"/>
          <w:sz w:val="36"/>
          <w:szCs w:val="36"/>
          <w:u w:color="0563c0"/>
          <w:shd w:val="clear" w:color="auto" w:fill="ffffff"/>
          <w:rtl w:val="0"/>
          <w:lang w:val="en-US"/>
        </w:rPr>
        <w:t xml:space="preserve"> theory refers to the hypothesis which provides for the theory that the stock value of the company is helpful in gathering information about the company. Change in stock market states for new information and analysis regarding investment. According to this, no one of stockholders could make better return more than given average in markets as there are not any overpriced as well as undervalued stock markets. They could be categorised into 3 types of EMH for Wipro limited i.e. weak form, semi strong form and strong form of EMH. In </w:t>
      </w:r>
      <w:r>
        <w:rPr>
          <w:rFonts w:ascii="Times New Roman" w:hAnsi="Times New Roman"/>
          <w:b w:val="1"/>
          <w:bCs w:val="1"/>
          <w:sz w:val="36"/>
          <w:szCs w:val="36"/>
          <w:u w:color="0563c0"/>
          <w:shd w:val="clear" w:color="auto" w:fill="ffffff"/>
          <w:rtl w:val="0"/>
          <w:lang w:val="en-US"/>
        </w:rPr>
        <w:t>weak form</w:t>
      </w:r>
      <w:r>
        <w:rPr>
          <w:rFonts w:ascii="Times New Roman" w:hAnsi="Times New Roman"/>
          <w:sz w:val="36"/>
          <w:szCs w:val="36"/>
          <w:u w:color="0563c0"/>
          <w:shd w:val="clear" w:color="auto" w:fill="ffffff"/>
          <w:rtl w:val="0"/>
          <w:lang w:val="en-US"/>
        </w:rPr>
        <w:t xml:space="preserve">, the belief is that the prices of the company would not provide for data which is not available openly. It provides that the future prices did not have any type of relation with the existing information of price volume and returns generated by the firm. According to this company cannot determine future prices on past basis but source new information for such purpose </w:t>
      </w:r>
      <w:r>
        <w:rPr>
          <w:rFonts w:ascii="Times New Roman" w:hAnsi="Times New Roman"/>
          <w:outline w:val="0"/>
          <w:color w:val="212121"/>
          <w:sz w:val="36"/>
          <w:szCs w:val="36"/>
          <w:u w:color="0563c0"/>
          <w:shd w:val="clear" w:color="auto" w:fill="ffffff"/>
          <w:rtl w:val="0"/>
          <w14:textFill>
            <w14:solidFill>
              <w14:srgbClr w14:val="222222"/>
            </w14:solidFill>
          </w14:textFill>
        </w:rPr>
        <w:t>(Karp, 2019)</w:t>
      </w:r>
      <w:r>
        <w:rPr>
          <w:rFonts w:ascii="Times New Roman" w:hAnsi="Times New Roman"/>
          <w:sz w:val="36"/>
          <w:szCs w:val="36"/>
          <w:u w:color="0563c0"/>
          <w:shd w:val="clear" w:color="auto" w:fill="ffffff"/>
          <w:rtl w:val="0"/>
        </w:rPr>
        <w:t xml:space="preserve">. </w:t>
      </w:r>
      <w:r>
        <w:rPr>
          <w:rFonts w:ascii="Times New Roman" w:hAnsi="Times New Roman"/>
          <w:b w:val="1"/>
          <w:bCs w:val="1"/>
          <w:sz w:val="36"/>
          <w:szCs w:val="36"/>
          <w:u w:color="0563c0"/>
          <w:shd w:val="clear" w:color="auto" w:fill="ffffff"/>
          <w:rtl w:val="0"/>
        </w:rPr>
        <w:t>Semi strong analysis</w:t>
      </w:r>
      <w:r>
        <w:rPr>
          <w:rFonts w:ascii="Times New Roman" w:hAnsi="Times New Roman"/>
          <w:sz w:val="36"/>
          <w:szCs w:val="36"/>
          <w:u w:color="0563c0"/>
          <w:shd w:val="clear" w:color="auto" w:fill="ffffff"/>
          <w:rtl w:val="0"/>
          <w:lang w:val="en-US"/>
        </w:rPr>
        <w:t xml:space="preserve"> theory does not consider any type of fundamental or technical form of analysis. It includes weak form of conventions for assuming that change and adjustment in stock prices happens according to the new public information. It provides that the fundamental analysis is not capable for predicting the future action in stock prices. </w:t>
      </w:r>
      <w:r>
        <w:rPr>
          <w:rFonts w:ascii="Times New Roman" w:hAnsi="Times New Roman"/>
          <w:b w:val="1"/>
          <w:bCs w:val="1"/>
          <w:sz w:val="36"/>
          <w:szCs w:val="36"/>
          <w:u w:color="0563c0"/>
          <w:shd w:val="clear" w:color="auto" w:fill="ffffff"/>
          <w:rtl w:val="0"/>
          <w:lang w:val="en-US"/>
        </w:rPr>
        <w:t>Strong form</w:t>
      </w:r>
      <w:r>
        <w:rPr>
          <w:rFonts w:ascii="Times New Roman" w:hAnsi="Times New Roman"/>
          <w:sz w:val="36"/>
          <w:szCs w:val="36"/>
          <w:u w:color="0563c0"/>
          <w:shd w:val="clear" w:color="auto" w:fill="ffffff"/>
          <w:rtl w:val="0"/>
          <w:lang w:val="en-US"/>
        </w:rPr>
        <w:t xml:space="preserve"> of EMH provides that the stock prices provide complete information in relation to public and private context. It integrates all the publically provided data and insider info including current and historical data.</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sz w:val="36"/>
          <w:szCs w:val="36"/>
          <w:u w:color="0563c0"/>
          <w:shd w:val="clear" w:color="auto" w:fill="ffffff"/>
          <w:rtl w:val="0"/>
          <w:lang w:val="en-US"/>
        </w:rPr>
        <w:t xml:space="preserve">Project appraisal is a technique of assessing the given project option and comparing with the different other option for best decision making after analysis. There are mainly 5 methods of project appraisal which provide for </w:t>
      </w:r>
      <w:r>
        <w:rPr>
          <w:rFonts w:ascii="Times New Roman" w:hAnsi="Times New Roman"/>
          <w:b w:val="1"/>
          <w:bCs w:val="1"/>
          <w:sz w:val="36"/>
          <w:szCs w:val="36"/>
          <w:u w:color="0563c0"/>
          <w:shd w:val="clear" w:color="auto" w:fill="ffffff"/>
          <w:rtl w:val="0"/>
          <w:lang w:val="en-US"/>
        </w:rPr>
        <w:t>Economic analysis method</w:t>
      </w:r>
      <w:r>
        <w:rPr>
          <w:rFonts w:ascii="Times New Roman" w:hAnsi="Times New Roman"/>
          <w:sz w:val="36"/>
          <w:szCs w:val="36"/>
          <w:u w:color="0563c0"/>
          <w:shd w:val="clear" w:color="auto" w:fill="ffffff"/>
          <w:rtl w:val="0"/>
          <w:lang w:val="en-US"/>
        </w:rPr>
        <w:t xml:space="preserve"> includes ascertainment of all the features of a project that is requirement of direct material, use of project, sales generation capacity using it, costs to be incurred and end profits ascertainable. Determination of variable like profits volumes helps to ascertain the another related variable </w:t>
      </w:r>
      <w:r>
        <w:rPr>
          <w:rFonts w:ascii="Times New Roman" w:hAnsi="Times New Roman"/>
          <w:outline w:val="0"/>
          <w:color w:val="212121"/>
          <w:sz w:val="36"/>
          <w:szCs w:val="36"/>
          <w:u w:color="0563c0"/>
          <w:shd w:val="clear" w:color="auto" w:fill="ffffff"/>
          <w:rtl w:val="0"/>
          <w:lang w:val="en-US"/>
          <w14:textFill>
            <w14:solidFill>
              <w14:srgbClr w14:val="222222"/>
            </w14:solidFill>
          </w14:textFill>
        </w:rPr>
        <w:t>(Chen, Kumara, and Sivakumar, 2021)</w:t>
      </w:r>
      <w:r>
        <w:rPr>
          <w:rFonts w:ascii="Times New Roman" w:hAnsi="Times New Roman"/>
          <w:sz w:val="36"/>
          <w:szCs w:val="36"/>
          <w:u w:color="0563c0"/>
          <w:shd w:val="clear" w:color="auto" w:fill="ffffff"/>
          <w:rtl w:val="0"/>
          <w:lang w:val="en-US"/>
        </w:rPr>
        <w:t xml:space="preserve">. Companies use profits in order to ascertain the level of sales and expenses for the firm. It assumes that Sales of the company is dependent on its demand in marketplace hence demand could be a factor for analysis viability of project for the firm. </w:t>
      </w:r>
      <w:r>
        <w:rPr>
          <w:rFonts w:ascii="Times New Roman" w:hAnsi="Times New Roman"/>
          <w:b w:val="1"/>
          <w:bCs w:val="1"/>
          <w:sz w:val="36"/>
          <w:szCs w:val="36"/>
          <w:u w:color="0563c0"/>
          <w:shd w:val="clear" w:color="auto" w:fill="ffffff"/>
          <w:rtl w:val="0"/>
          <w:lang w:val="en-US"/>
        </w:rPr>
        <w:t>Financial analysis</w:t>
      </w:r>
      <w:r>
        <w:rPr>
          <w:rFonts w:ascii="Times New Roman" w:hAnsi="Times New Roman"/>
          <w:sz w:val="36"/>
          <w:szCs w:val="36"/>
          <w:u w:color="0563c0"/>
          <w:shd w:val="clear" w:color="auto" w:fill="ffffff"/>
          <w:rtl w:val="0"/>
          <w:lang w:val="en-US"/>
        </w:rPr>
        <w:t xml:space="preserve"> is another method which provide that requirement of working and fixed capital must be assessed before choosing a project. Determination of fixed capital includes costs of acquisition of fixed assets, engineering and installation fee, depreciation as well as other preliminary expenses. Working capital requirement includes the requirement of excess current assets over the current year obligations for meeting its day to day requirements. </w:t>
      </w:r>
      <w:r>
        <w:rPr>
          <w:rFonts w:ascii="Times New Roman" w:hAnsi="Times New Roman"/>
          <w:b w:val="1"/>
          <w:bCs w:val="1"/>
          <w:sz w:val="36"/>
          <w:szCs w:val="36"/>
          <w:u w:color="0563c0"/>
          <w:shd w:val="clear" w:color="auto" w:fill="ffffff"/>
          <w:rtl w:val="0"/>
        </w:rPr>
        <w:t>Market analysis</w:t>
      </w:r>
      <w:r>
        <w:rPr>
          <w:rFonts w:ascii="Times New Roman" w:hAnsi="Times New Roman"/>
          <w:sz w:val="36"/>
          <w:szCs w:val="36"/>
          <w:u w:color="0563c0"/>
          <w:shd w:val="clear" w:color="auto" w:fill="ffffff"/>
          <w:rtl w:val="0"/>
          <w:lang w:val="en-US"/>
        </w:rPr>
        <w:t xml:space="preserve"> is a method which assumes that company should conduct a market analysis for determining the demand of product within the market i.e. demand forecasting. It includes some of methods of demand forecasting like opinion polling method (survey method), life cycle segmentation method for project </w:t>
      </w:r>
      <w:r>
        <w:rPr>
          <w:rFonts w:ascii="Times New Roman" w:hAnsi="Times New Roman"/>
          <w:outline w:val="0"/>
          <w:color w:val="212121"/>
          <w:sz w:val="36"/>
          <w:szCs w:val="36"/>
          <w:u w:color="0563c0"/>
          <w:shd w:val="clear" w:color="auto" w:fill="ffffff"/>
          <w:rtl w:val="0"/>
          <w14:textFill>
            <w14:solidFill>
              <w14:srgbClr w14:val="222222"/>
            </w14:solidFill>
          </w14:textFill>
        </w:rPr>
        <w:t>(Ren, 2021)</w:t>
      </w:r>
      <w:r>
        <w:rPr>
          <w:rFonts w:ascii="Times New Roman" w:hAnsi="Times New Roman"/>
          <w:sz w:val="36"/>
          <w:szCs w:val="36"/>
          <w:u w:color="0563c0"/>
          <w:shd w:val="clear" w:color="auto" w:fill="ffffff"/>
          <w:rtl w:val="0"/>
          <w:lang w:val="en-US"/>
        </w:rPr>
        <w:t xml:space="preserve">. Method of </w:t>
      </w:r>
      <w:r>
        <w:rPr>
          <w:rFonts w:ascii="Times New Roman" w:hAnsi="Times New Roman"/>
          <w:b w:val="1"/>
          <w:bCs w:val="1"/>
          <w:sz w:val="36"/>
          <w:szCs w:val="36"/>
          <w:u w:color="0563c0"/>
          <w:shd w:val="clear" w:color="auto" w:fill="ffffff"/>
          <w:rtl w:val="0"/>
          <w:lang w:val="en-US"/>
        </w:rPr>
        <w:t>technical feasibility</w:t>
      </w:r>
      <w:r>
        <w:rPr>
          <w:rFonts w:ascii="Times New Roman" w:hAnsi="Times New Roman"/>
          <w:sz w:val="36"/>
          <w:szCs w:val="36"/>
          <w:u w:color="0563c0"/>
          <w:shd w:val="clear" w:color="auto" w:fill="ffffff"/>
          <w:rtl w:val="0"/>
          <w:lang w:val="en-US"/>
        </w:rPr>
        <w:t xml:space="preserve"> provides that the assessment of project for meeting the production requirement of defined product with desired set of standards. It helps to evaluate that whether company have desired resources for meeting the requirement of production or not. The availability of land, adequate material, infrastructure, service facility, skills of operation within workforce.</w:t>
      </w:r>
      <w:r>
        <w:rPr>
          <w:rFonts w:ascii="Times New Roman" w:hAnsi="Times New Roman"/>
          <w:b w:val="1"/>
          <w:bCs w:val="1"/>
          <w:sz w:val="36"/>
          <w:szCs w:val="36"/>
          <w:u w:color="0563c0"/>
          <w:shd w:val="clear" w:color="auto" w:fill="ffffff"/>
          <w:rtl w:val="0"/>
          <w:lang w:val="en-US"/>
        </w:rPr>
        <w:t xml:space="preserve"> Managerial competence </w:t>
      </w:r>
      <w:r>
        <w:rPr>
          <w:rFonts w:ascii="Times New Roman" w:hAnsi="Times New Roman"/>
          <w:sz w:val="36"/>
          <w:szCs w:val="36"/>
          <w:u w:color="0563c0"/>
          <w:shd w:val="clear" w:color="auto" w:fill="ffffff"/>
          <w:rtl w:val="0"/>
          <w:lang w:val="en-US"/>
        </w:rPr>
        <w:t>refers to ability of management to derive profits from poor project. If Company managers manage the project in competitive way. The company could achieve better competitiveness edge and profitability in regard to project feasibility.</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shd w:val="clear" w:color="auto" w:fill="feffff"/>
          <w:rtl w:val="0"/>
        </w:rPr>
      </w:pPr>
      <w:r>
        <w:rPr>
          <w:rFonts w:ascii="Times New Roman" w:hAnsi="Times New Roman"/>
          <w:b w:val="1"/>
          <w:bCs w:val="1"/>
          <w:sz w:val="36"/>
          <w:szCs w:val="36"/>
          <w:u w:color="0563c0"/>
          <w:shd w:val="clear" w:color="auto" w:fill="feffff"/>
          <w:rtl w:val="0"/>
        </w:rPr>
        <w:t>CONCLUSION</w:t>
      </w:r>
    </w:p>
    <w:p>
      <w:pPr>
        <w:pStyle w:val="Default"/>
        <w:bidi w:val="0"/>
        <w:spacing w:before="0" w:line="240" w:lineRule="auto"/>
        <w:ind w:left="0" w:right="0" w:firstLine="720"/>
        <w:jc w:val="both"/>
        <w:rPr>
          <w:rFonts w:ascii="Times New Roman" w:cs="Times New Roman" w:hAnsi="Times New Roman" w:eastAsia="Times New Roman"/>
          <w:sz w:val="36"/>
          <w:szCs w:val="36"/>
          <w:u w:color="0563c0"/>
          <w:shd w:val="clear" w:color="auto" w:fill="ffffff"/>
          <w:rtl w:val="0"/>
        </w:rPr>
      </w:pPr>
      <w:r>
        <w:rPr>
          <w:rFonts w:ascii="Times New Roman" w:hAnsi="Times New Roman"/>
          <w:sz w:val="36"/>
          <w:szCs w:val="36"/>
          <w:u w:color="0563c0"/>
          <w:shd w:val="clear" w:color="auto" w:fill="ffffff"/>
          <w:rtl w:val="0"/>
          <w:lang w:val="en-US"/>
        </w:rPr>
        <w:t>From the above analysis, it can be concluded that the management of financial in international environment is very important. It helps to solve all the complexities and problem within the business environment and helps business to achieve better stability in long term. Dividend policy of the company provides for the pay-out ascertainment made during the period. While, using EHM company can assess the information using stock prices of firm. Project appraisal methods have been also discussed which would help in making best investment decision by company.</w:t>
      </w:r>
    </w:p>
    <w:p>
      <w:pPr>
        <w:pStyle w:val="Default"/>
        <w:bidi w:val="0"/>
        <w:spacing w:before="0" w:after="160" w:line="240" w:lineRule="auto"/>
        <w:ind w:left="0" w:right="0" w:firstLine="0"/>
        <w:jc w:val="left"/>
        <w:rPr>
          <w:rFonts w:ascii="Times New Roman" w:cs="Times New Roman" w:hAnsi="Times New Roman" w:eastAsia="Times New Roman"/>
          <w:sz w:val="36"/>
          <w:szCs w:val="36"/>
          <w:u w:color="0563c0"/>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shd w:val="clear" w:color="auto" w:fill="feffff"/>
          <w:rtl w:val="0"/>
        </w:rPr>
      </w:pPr>
      <w:r>
        <w:rPr>
          <w:rFonts w:ascii="Times New Roman" w:hAnsi="Times New Roman"/>
          <w:b w:val="1"/>
          <w:bCs w:val="1"/>
          <w:sz w:val="36"/>
          <w:szCs w:val="36"/>
          <w:u w:color="0563c0"/>
          <w:shd w:val="clear" w:color="auto" w:fill="feffff"/>
          <w:rtl w:val="0"/>
          <w:lang w:val="de-DE"/>
        </w:rPr>
        <w:t>REFERENCES</w:t>
      </w:r>
    </w:p>
    <w:p>
      <w:pPr>
        <w:pStyle w:val="Default"/>
        <w:bidi w:val="0"/>
        <w:spacing w:before="0" w:line="240" w:lineRule="auto"/>
        <w:ind w:left="720" w:right="0" w:hanging="720"/>
        <w:jc w:val="left"/>
        <w:rPr>
          <w:rFonts w:ascii="Times New Roman" w:cs="Times New Roman" w:hAnsi="Times New Roman" w:eastAsia="Times New Roman"/>
          <w:i w:val="0"/>
          <w:iCs w:val="0"/>
          <w:outline w:val="0"/>
          <w:color w:val="000000"/>
          <w:sz w:val="36"/>
          <w:szCs w:val="36"/>
          <w:u w:color="0563c0"/>
          <w:shd w:val="clear" w:color="auto" w:fill="ffffff"/>
          <w:rtl w:val="0"/>
          <w14:textFill>
            <w14:solidFill>
              <w14:srgbClr w14:val="000000"/>
            </w14:solidFill>
          </w14:textFill>
        </w:rPr>
      </w:pPr>
      <w:r>
        <w:rPr>
          <w:rFonts w:ascii="Times New Roman" w:hAnsi="Times New Roman"/>
          <w:i w:val="0"/>
          <w:iCs w:val="0"/>
          <w:outline w:val="0"/>
          <w:color w:val="212121"/>
          <w:sz w:val="36"/>
          <w:szCs w:val="36"/>
          <w:u w:color="0563c0"/>
          <w:shd w:val="clear" w:color="auto" w:fill="ffffff"/>
          <w:rtl w:val="0"/>
          <w14:textFill>
            <w14:solidFill>
              <w14:srgbClr w14:val="222222"/>
            </w14:solidFill>
          </w14:textFill>
        </w:rPr>
        <w:t>Davradakis, E. and Santos, R., 2019.</w:t>
      </w:r>
      <w:r>
        <w:rPr>
          <w:rFonts w:ascii="Times New Roman" w:hAnsi="Times New Roman" w:hint="default"/>
          <w:i w:val="0"/>
          <w:iCs w:val="0"/>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lang w:val="en-US"/>
          <w14:textFill>
            <w14:solidFill>
              <w14:srgbClr w14:val="222222"/>
            </w14:solidFill>
          </w14:textFill>
        </w:rPr>
        <w:t>Blockchain, FinTechs and their relevance for international financial institutions</w:t>
      </w:r>
      <w:r>
        <w:rPr>
          <w:rFonts w:ascii="Times New Roman" w:hAnsi="Times New Roman" w:hint="default"/>
          <w:b w:val="1"/>
          <w:bCs w:val="1"/>
          <w:i w:val="0"/>
          <w:iCs w:val="0"/>
          <w:outline w:val="0"/>
          <w:color w:val="212121"/>
          <w:sz w:val="36"/>
          <w:szCs w:val="36"/>
          <w:u w:color="0563c0"/>
          <w:shd w:val="clear" w:color="auto" w:fill="ffffff"/>
          <w:rtl w:val="0"/>
          <w14:textFill>
            <w14:solidFill>
              <w14:srgbClr w14:val="222222"/>
            </w14:solidFill>
          </w14:textFill>
        </w:rPr>
        <w:t> </w:t>
      </w:r>
      <w:r>
        <w:rPr>
          <w:rFonts w:ascii="Times New Roman" w:hAnsi="Times New Roman"/>
          <w:i w:val="0"/>
          <w:iCs w:val="0"/>
          <w:outline w:val="0"/>
          <w:color w:val="212121"/>
          <w:sz w:val="36"/>
          <w:szCs w:val="36"/>
          <w:u w:color="0563c0"/>
          <w:shd w:val="clear" w:color="auto" w:fill="ffffff"/>
          <w:rtl w:val="0"/>
          <w14:textFill>
            <w14:solidFill>
              <w14:srgbClr w14:val="222222"/>
            </w14:solidFill>
          </w14:textFill>
        </w:rPr>
        <w:t>(No. 2019/01). EIB Working Papers.</w:t>
      </w:r>
    </w:p>
    <w:p>
      <w:pPr>
        <w:pStyle w:val="Default"/>
        <w:bidi w:val="0"/>
        <w:spacing w:before="0" w:line="240" w:lineRule="auto"/>
        <w:ind w:left="720" w:right="0" w:hanging="720"/>
        <w:jc w:val="left"/>
        <w:rPr>
          <w:rFonts w:ascii="Times New Roman" w:cs="Times New Roman" w:hAnsi="Times New Roman" w:eastAsia="Times New Roman"/>
          <w:outline w:val="0"/>
          <w:color w:val="000000"/>
          <w:sz w:val="36"/>
          <w:szCs w:val="36"/>
          <w:u w:color="0563c0"/>
          <w:shd w:val="clear" w:color="auto" w:fill="ffffff"/>
          <w:rtl w:val="0"/>
          <w14:textFill>
            <w14:solidFill>
              <w14:srgbClr w14:val="000000"/>
            </w14:solidFill>
          </w14:textFill>
        </w:rPr>
      </w:pPr>
      <w:r>
        <w:rPr>
          <w:rFonts w:ascii="Times New Roman" w:hAnsi="Times New Roman"/>
          <w:outline w:val="0"/>
          <w:color w:val="212121"/>
          <w:sz w:val="36"/>
          <w:szCs w:val="36"/>
          <w:u w:color="0563c0"/>
          <w:shd w:val="clear" w:color="auto" w:fill="ffffff"/>
          <w:rtl w:val="0"/>
          <w:lang w:val="en-US"/>
          <w14:textFill>
            <w14:solidFill>
              <w14:srgbClr w14:val="222222"/>
            </w14:solidFill>
          </w14:textFill>
        </w:rPr>
        <w:t>Tarca, A., 2020. The IASB and comparability of international financial reporting: Research evidence and implications.</w:t>
      </w:r>
      <w:r>
        <w:rPr>
          <w:rFonts w:ascii="Times New Roman" w:hAnsi="Times New Roman" w:hint="default"/>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lang w:val="en-US"/>
          <w14:textFill>
            <w14:solidFill>
              <w14:srgbClr w14:val="222222"/>
            </w14:solidFill>
          </w14:textFill>
        </w:rPr>
        <w:t>Australian Accounting Review</w:t>
      </w:r>
      <w:r>
        <w:rPr>
          <w:rFonts w:ascii="Times New Roman" w:hAnsi="Times New Roman"/>
          <w:outline w:val="0"/>
          <w:color w:val="212121"/>
          <w:sz w:val="36"/>
          <w:szCs w:val="36"/>
          <w:u w:color="0563c0"/>
          <w:shd w:val="clear" w:color="auto" w:fill="ffffff"/>
          <w:rtl w:val="0"/>
          <w14:textFill>
            <w14:solidFill>
              <w14:srgbClr w14:val="222222"/>
            </w14:solidFill>
          </w14:textFill>
        </w:rPr>
        <w:t>,</w:t>
      </w:r>
      <w:r>
        <w:rPr>
          <w:rFonts w:ascii="Times New Roman" w:hAnsi="Times New Roman" w:hint="default"/>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14:textFill>
            <w14:solidFill>
              <w14:srgbClr w14:val="222222"/>
            </w14:solidFill>
          </w14:textFill>
        </w:rPr>
        <w:t>30</w:t>
      </w:r>
      <w:r>
        <w:rPr>
          <w:rFonts w:ascii="Times New Roman" w:hAnsi="Times New Roman"/>
          <w:outline w:val="0"/>
          <w:color w:val="212121"/>
          <w:sz w:val="36"/>
          <w:szCs w:val="36"/>
          <w:u w:color="0563c0"/>
          <w:shd w:val="clear" w:color="auto" w:fill="ffffff"/>
          <w:rtl w:val="0"/>
          <w14:textFill>
            <w14:solidFill>
              <w14:srgbClr w14:val="222222"/>
            </w14:solidFill>
          </w14:textFill>
        </w:rPr>
        <w:t>(4), pp.231-242.</w:t>
      </w:r>
    </w:p>
    <w:p>
      <w:pPr>
        <w:pStyle w:val="Default"/>
        <w:bidi w:val="0"/>
        <w:spacing w:before="0" w:line="240" w:lineRule="auto"/>
        <w:ind w:left="720" w:right="0" w:hanging="720"/>
        <w:jc w:val="left"/>
        <w:rPr>
          <w:rFonts w:ascii="Times New Roman" w:cs="Times New Roman" w:hAnsi="Times New Roman" w:eastAsia="Times New Roman"/>
          <w:outline w:val="0"/>
          <w:color w:val="000000"/>
          <w:sz w:val="36"/>
          <w:szCs w:val="36"/>
          <w:u w:color="0563c0"/>
          <w:shd w:val="clear" w:color="auto" w:fill="ffffff"/>
          <w:rtl w:val="0"/>
          <w14:textFill>
            <w14:solidFill>
              <w14:srgbClr w14:val="000000"/>
            </w14:solidFill>
          </w14:textFill>
        </w:rPr>
      </w:pPr>
      <w:r>
        <w:rPr>
          <w:rFonts w:ascii="Times New Roman" w:hAnsi="Times New Roman"/>
          <w:outline w:val="0"/>
          <w:color w:val="212121"/>
          <w:sz w:val="36"/>
          <w:szCs w:val="36"/>
          <w:u w:color="0563c0"/>
          <w:shd w:val="clear" w:color="auto" w:fill="ffffff"/>
          <w:rtl w:val="0"/>
          <w:lang w:val="en-US"/>
          <w14:textFill>
            <w14:solidFill>
              <w14:srgbClr w14:val="222222"/>
            </w14:solidFill>
          </w14:textFill>
        </w:rPr>
        <w:t>Malo-Alain, A., Aldoseri, M. and Melegy, M., 2021. Measuring the effect of international financial reporting standards on quality of accounting performance and efficiency of investment decisions.</w:t>
      </w:r>
      <w:r>
        <w:rPr>
          <w:rFonts w:ascii="Times New Roman" w:hAnsi="Times New Roman" w:hint="default"/>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lang w:val="en-US"/>
          <w14:textFill>
            <w14:solidFill>
              <w14:srgbClr w14:val="222222"/>
            </w14:solidFill>
          </w14:textFill>
        </w:rPr>
        <w:t>Accounting</w:t>
      </w:r>
      <w:r>
        <w:rPr>
          <w:rFonts w:ascii="Times New Roman" w:hAnsi="Times New Roman"/>
          <w:outline w:val="0"/>
          <w:color w:val="212121"/>
          <w:sz w:val="36"/>
          <w:szCs w:val="36"/>
          <w:u w:color="0563c0"/>
          <w:shd w:val="clear" w:color="auto" w:fill="ffffff"/>
          <w:rtl w:val="0"/>
          <w14:textFill>
            <w14:solidFill>
              <w14:srgbClr w14:val="222222"/>
            </w14:solidFill>
          </w14:textFill>
        </w:rPr>
        <w:t>,</w:t>
      </w:r>
      <w:r>
        <w:rPr>
          <w:rFonts w:ascii="Times New Roman" w:hAnsi="Times New Roman" w:hint="default"/>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14:textFill>
            <w14:solidFill>
              <w14:srgbClr w14:val="222222"/>
            </w14:solidFill>
          </w14:textFill>
        </w:rPr>
        <w:t>7</w:t>
      </w:r>
      <w:r>
        <w:rPr>
          <w:rFonts w:ascii="Times New Roman" w:hAnsi="Times New Roman"/>
          <w:outline w:val="0"/>
          <w:color w:val="212121"/>
          <w:sz w:val="36"/>
          <w:szCs w:val="36"/>
          <w:u w:color="0563c0"/>
          <w:shd w:val="clear" w:color="auto" w:fill="ffffff"/>
          <w:rtl w:val="0"/>
          <w14:textFill>
            <w14:solidFill>
              <w14:srgbClr w14:val="222222"/>
            </w14:solidFill>
          </w14:textFill>
        </w:rPr>
        <w:t>(1), pp.249-256.</w:t>
      </w:r>
    </w:p>
    <w:p>
      <w:pPr>
        <w:pStyle w:val="Default"/>
        <w:bidi w:val="0"/>
        <w:spacing w:before="0" w:line="240" w:lineRule="auto"/>
        <w:ind w:left="720" w:right="0" w:hanging="720"/>
        <w:jc w:val="left"/>
        <w:rPr>
          <w:rFonts w:ascii="Times New Roman" w:cs="Times New Roman" w:hAnsi="Times New Roman" w:eastAsia="Times New Roman"/>
          <w:outline w:val="0"/>
          <w:color w:val="000000"/>
          <w:sz w:val="36"/>
          <w:szCs w:val="36"/>
          <w:u w:color="0563c0"/>
          <w:shd w:val="clear" w:color="auto" w:fill="ffffff"/>
          <w:rtl w:val="0"/>
          <w14:textFill>
            <w14:solidFill>
              <w14:srgbClr w14:val="000000"/>
            </w14:solidFill>
          </w14:textFill>
        </w:rPr>
      </w:pPr>
      <w:r>
        <w:rPr>
          <w:rFonts w:ascii="Times New Roman" w:hAnsi="Times New Roman"/>
          <w:outline w:val="0"/>
          <w:color w:val="212121"/>
          <w:sz w:val="36"/>
          <w:szCs w:val="36"/>
          <w:u w:color="0563c0"/>
          <w:shd w:val="clear" w:color="auto" w:fill="ffffff"/>
          <w:rtl w:val="0"/>
          <w:lang w:val="en-US"/>
          <w14:textFill>
            <w14:solidFill>
              <w14:srgbClr w14:val="222222"/>
            </w14:solidFill>
          </w14:textFill>
        </w:rPr>
        <w:t>Zainuddin, Z. and Mananohas, O.A., 2020. The Effect of Debt Policies, Profitability, Managerial Ownership Structure, and Liquidity on Dividend Policy.</w:t>
      </w:r>
      <w:r>
        <w:rPr>
          <w:rFonts w:ascii="Times New Roman" w:hAnsi="Times New Roman" w:hint="default"/>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lang w:val="en-US"/>
          <w14:textFill>
            <w14:solidFill>
              <w14:srgbClr w14:val="222222"/>
            </w14:solidFill>
          </w14:textFill>
        </w:rPr>
        <w:t>The Indonesian Journal of Accounting Research</w:t>
      </w:r>
      <w:r>
        <w:rPr>
          <w:rFonts w:ascii="Times New Roman" w:hAnsi="Times New Roman"/>
          <w:outline w:val="0"/>
          <w:color w:val="212121"/>
          <w:sz w:val="36"/>
          <w:szCs w:val="36"/>
          <w:u w:color="0563c0"/>
          <w:shd w:val="clear" w:color="auto" w:fill="ffffff"/>
          <w:rtl w:val="0"/>
          <w14:textFill>
            <w14:solidFill>
              <w14:srgbClr w14:val="222222"/>
            </w14:solidFill>
          </w14:textFill>
        </w:rPr>
        <w:t>,</w:t>
      </w:r>
      <w:r>
        <w:rPr>
          <w:rFonts w:ascii="Times New Roman" w:hAnsi="Times New Roman" w:hint="default"/>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14:textFill>
            <w14:solidFill>
              <w14:srgbClr w14:val="222222"/>
            </w14:solidFill>
          </w14:textFill>
        </w:rPr>
        <w:t>23</w:t>
      </w:r>
      <w:r>
        <w:rPr>
          <w:rFonts w:ascii="Times New Roman" w:hAnsi="Times New Roman"/>
          <w:outline w:val="0"/>
          <w:color w:val="212121"/>
          <w:sz w:val="36"/>
          <w:szCs w:val="36"/>
          <w:u w:color="0563c0"/>
          <w:shd w:val="clear" w:color="auto" w:fill="ffffff"/>
          <w:rtl w:val="0"/>
          <w14:textFill>
            <w14:solidFill>
              <w14:srgbClr w14:val="222222"/>
            </w14:solidFill>
          </w14:textFill>
        </w:rPr>
        <w:t>(3), pp.411-428.</w:t>
      </w:r>
    </w:p>
    <w:p>
      <w:pPr>
        <w:pStyle w:val="Default"/>
        <w:bidi w:val="0"/>
        <w:spacing w:before="0" w:line="240" w:lineRule="auto"/>
        <w:ind w:left="720" w:right="0" w:hanging="720"/>
        <w:jc w:val="left"/>
        <w:rPr>
          <w:rFonts w:ascii="Times New Roman" w:cs="Times New Roman" w:hAnsi="Times New Roman" w:eastAsia="Times New Roman"/>
          <w:i w:val="0"/>
          <w:iCs w:val="0"/>
          <w:outline w:val="0"/>
          <w:color w:val="000000"/>
          <w:sz w:val="36"/>
          <w:szCs w:val="36"/>
          <w:u w:color="0563c0"/>
          <w:shd w:val="clear" w:color="auto" w:fill="ffffff"/>
          <w:rtl w:val="0"/>
          <w14:textFill>
            <w14:solidFill>
              <w14:srgbClr w14:val="000000"/>
            </w14:solidFill>
          </w14:textFill>
        </w:rPr>
      </w:pPr>
      <w:r>
        <w:rPr>
          <w:rFonts w:ascii="Times New Roman" w:hAnsi="Times New Roman"/>
          <w:i w:val="0"/>
          <w:iCs w:val="0"/>
          <w:outline w:val="0"/>
          <w:color w:val="212121"/>
          <w:sz w:val="36"/>
          <w:szCs w:val="36"/>
          <w:u w:color="0563c0"/>
          <w:shd w:val="clear" w:color="auto" w:fill="ffffff"/>
          <w:rtl w:val="0"/>
          <w14:textFill>
            <w14:solidFill>
              <w14:srgbClr w14:val="222222"/>
            </w14:solidFill>
          </w14:textFill>
        </w:rPr>
        <w:t>Karp, A., 2019.</w:t>
      </w:r>
      <w:r>
        <w:rPr>
          <w:rFonts w:ascii="Times New Roman" w:hAnsi="Times New Roman" w:hint="default"/>
          <w:i w:val="0"/>
          <w:iCs w:val="0"/>
          <w:outline w:val="0"/>
          <w:color w:val="212121"/>
          <w:sz w:val="36"/>
          <w:szCs w:val="36"/>
          <w:u w:color="0563c0"/>
          <w:shd w:val="clear" w:color="auto" w:fill="ff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fffff"/>
          <w:rtl w:val="0"/>
          <w:lang w:val="en-US"/>
          <w14:textFill>
            <w14:solidFill>
              <w14:srgbClr w14:val="222222"/>
            </w14:solidFill>
          </w14:textFill>
        </w:rPr>
        <w:t>A comparison of the efficient and fractal market hypotheses in developing markets</w:t>
      </w:r>
      <w:r>
        <w:rPr>
          <w:rFonts w:ascii="Times New Roman" w:hAnsi="Times New Roman" w:hint="default"/>
          <w:b w:val="1"/>
          <w:bCs w:val="1"/>
          <w:i w:val="0"/>
          <w:iCs w:val="0"/>
          <w:outline w:val="0"/>
          <w:color w:val="212121"/>
          <w:sz w:val="36"/>
          <w:szCs w:val="36"/>
          <w:u w:color="0563c0"/>
          <w:shd w:val="clear" w:color="auto" w:fill="ffffff"/>
          <w:rtl w:val="0"/>
          <w14:textFill>
            <w14:solidFill>
              <w14:srgbClr w14:val="222222"/>
            </w14:solidFill>
          </w14:textFill>
        </w:rPr>
        <w:t> </w:t>
      </w:r>
      <w:r>
        <w:rPr>
          <w:rFonts w:ascii="Times New Roman" w:hAnsi="Times New Roman"/>
          <w:i w:val="0"/>
          <w:iCs w:val="0"/>
          <w:outline w:val="0"/>
          <w:color w:val="212121"/>
          <w:sz w:val="36"/>
          <w:szCs w:val="36"/>
          <w:u w:color="0563c0"/>
          <w:shd w:val="clear" w:color="auto" w:fill="ffffff"/>
          <w:rtl w:val="0"/>
          <w:lang w:val="en-US"/>
          <w14:textFill>
            <w14:solidFill>
              <w14:srgbClr w14:val="222222"/>
            </w14:solidFill>
          </w14:textFill>
        </w:rPr>
        <w:t>(Doctoral dissertation, North-West University (South Africa)).</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563c0"/>
          <w:shd w:val="clear" w:color="auto" w:fill="feffff"/>
          <w:rtl w:val="0"/>
          <w14:textFill>
            <w14:solidFill>
              <w14:srgbClr w14:val="000000"/>
            </w14:solidFill>
          </w14:textFill>
        </w:rPr>
      </w:pPr>
      <w:r>
        <w:rPr>
          <w:rFonts w:ascii="Times New Roman" w:hAnsi="Times New Roman"/>
          <w:outline w:val="0"/>
          <w:color w:val="212121"/>
          <w:sz w:val="36"/>
          <w:szCs w:val="36"/>
          <w:u w:color="0563c0"/>
          <w:shd w:val="clear" w:color="auto" w:fill="feffff"/>
          <w:rtl w:val="0"/>
          <w:lang w:val="en-US"/>
          <w14:textFill>
            <w14:solidFill>
              <w14:srgbClr w14:val="222222"/>
            </w14:solidFill>
          </w14:textFill>
        </w:rPr>
        <w:t>Chen, Y., Kumara, E.K. and Sivakumar, V., 2021. Investigation of finance industry on risk awareness model and digital economic growth.</w:t>
      </w:r>
      <w:r>
        <w:rPr>
          <w:rFonts w:ascii="Times New Roman" w:hAnsi="Times New Roman" w:hint="default"/>
          <w:outline w:val="0"/>
          <w:color w:val="212121"/>
          <w:sz w:val="36"/>
          <w:szCs w:val="36"/>
          <w:u w:color="0563c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effff"/>
          <w:rtl w:val="0"/>
          <w:lang w:val="en-US"/>
          <w14:textFill>
            <w14:solidFill>
              <w14:srgbClr w14:val="222222"/>
            </w14:solidFill>
          </w14:textFill>
        </w:rPr>
        <w:t>Annals of Operations Research</w:t>
      </w:r>
      <w:r>
        <w:rPr>
          <w:rFonts w:ascii="Times New Roman" w:hAnsi="Times New Roman"/>
          <w:outline w:val="0"/>
          <w:color w:val="212121"/>
          <w:sz w:val="36"/>
          <w:szCs w:val="36"/>
          <w:u w:color="0563c0"/>
          <w:shd w:val="clear" w:color="auto" w:fill="feffff"/>
          <w:rtl w:val="0"/>
          <w14:textFill>
            <w14:solidFill>
              <w14:srgbClr w14:val="222222"/>
            </w14:solidFill>
          </w14:textFill>
        </w:rPr>
        <w:t>, pp.1-22.</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563c0"/>
          <w:shd w:val="clear" w:color="auto" w:fill="feffff"/>
          <w:rtl w:val="0"/>
          <w14:textFill>
            <w14:solidFill>
              <w14:srgbClr w14:val="000000"/>
            </w14:solidFill>
          </w14:textFill>
        </w:rPr>
      </w:pPr>
      <w:r>
        <w:rPr>
          <w:rFonts w:ascii="Times New Roman" w:hAnsi="Times New Roman"/>
          <w:outline w:val="0"/>
          <w:color w:val="212121"/>
          <w:sz w:val="36"/>
          <w:szCs w:val="36"/>
          <w:u w:color="0563c0"/>
          <w:shd w:val="clear" w:color="auto" w:fill="feffff"/>
          <w:rtl w:val="0"/>
          <w:lang w:val="en-US"/>
          <w14:textFill>
            <w14:solidFill>
              <w14:srgbClr w14:val="222222"/>
            </w14:solidFill>
          </w14:textFill>
        </w:rPr>
        <w:t>Ren, X., 2021, May. Research on Financial Investment Decision Based on Cloud Model and Hybrid Drosophila Algorithm Optimization. In</w:t>
      </w:r>
      <w:r>
        <w:rPr>
          <w:rFonts w:ascii="Times New Roman" w:hAnsi="Times New Roman" w:hint="default"/>
          <w:outline w:val="0"/>
          <w:color w:val="212121"/>
          <w:sz w:val="36"/>
          <w:szCs w:val="36"/>
          <w:u w:color="0563c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563c0"/>
          <w:shd w:val="clear" w:color="auto" w:fill="feffff"/>
          <w:rtl w:val="0"/>
          <w:lang w:val="en-US"/>
          <w14:textFill>
            <w14:solidFill>
              <w14:srgbClr w14:val="222222"/>
            </w14:solidFill>
          </w14:textFill>
        </w:rPr>
        <w:t>2021 2nd International Conference on Artificial Intelligence and Information Systems</w:t>
      </w:r>
      <w:r>
        <w:rPr>
          <w:rFonts w:ascii="Times New Roman" w:hAnsi="Times New Roman" w:hint="default"/>
          <w:outline w:val="0"/>
          <w:color w:val="212121"/>
          <w:sz w:val="36"/>
          <w:szCs w:val="36"/>
          <w:u w:color="0563c0"/>
          <w:shd w:val="clear" w:color="auto" w:fill="feffff"/>
          <w:rtl w:val="0"/>
          <w14:textFill>
            <w14:solidFill>
              <w14:srgbClr w14:val="222222"/>
            </w14:solidFill>
          </w14:textFill>
        </w:rPr>
        <w:t> </w:t>
      </w:r>
      <w:r>
        <w:rPr>
          <w:rFonts w:ascii="Times New Roman" w:hAnsi="Times New Roman"/>
          <w:outline w:val="0"/>
          <w:color w:val="212121"/>
          <w:sz w:val="36"/>
          <w:szCs w:val="36"/>
          <w:u w:color="0563c0"/>
          <w:shd w:val="clear" w:color="auto" w:fill="feffff"/>
          <w:rtl w:val="0"/>
          <w14:textFill>
            <w14:solidFill>
              <w14:srgbClr w14:val="222222"/>
            </w14:solidFill>
          </w14:textFill>
        </w:rPr>
        <w:t>(pp. 1-4).</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hint="default"/>
          <w:sz w:val="36"/>
          <w:szCs w:val="36"/>
          <w:u w:color="0563c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shd w:val="clear" w:color="auto" w:fill="ffffff"/>
          <w:rtl w:val="0"/>
        </w:rPr>
      </w:pPr>
      <w:r>
        <w:rPr>
          <w:rFonts w:ascii="Times New Roman" w:hAnsi="Times New Roman"/>
          <w:b w:val="1"/>
          <w:bCs w:val="1"/>
          <w:sz w:val="36"/>
          <w:szCs w:val="36"/>
          <w:u w:color="0563c0"/>
          <w:shd w:val="clear" w:color="auto" w:fill="ffffff"/>
          <w:rtl w:val="0"/>
          <w:lang w:val="pt-PT"/>
        </w:rPr>
        <w:t>Online reference</w:t>
      </w:r>
    </w:p>
    <w:p>
      <w:pPr>
        <w:pStyle w:val="Default"/>
        <w:bidi w:val="0"/>
        <w:spacing w:before="0" w:line="240" w:lineRule="auto"/>
        <w:ind w:left="0" w:right="0" w:firstLine="0"/>
        <w:jc w:val="both"/>
        <w:rPr>
          <w:rFonts w:ascii="Times New Roman" w:cs="Times New Roman" w:hAnsi="Times New Roman" w:eastAsia="Times New Roman"/>
          <w:sz w:val="36"/>
          <w:szCs w:val="36"/>
          <w:u w:color="0563c0"/>
          <w:shd w:val="clear" w:color="auto" w:fill="ffffff"/>
          <w:rtl w:val="0"/>
        </w:rPr>
      </w:pPr>
      <w:r>
        <w:rPr>
          <w:rFonts w:ascii="Times New Roman" w:hAnsi="Times New Roman"/>
          <w:sz w:val="36"/>
          <w:szCs w:val="36"/>
          <w:u w:color="0563c0"/>
          <w:shd w:val="clear" w:color="auto" w:fill="ffffff"/>
          <w:rtl w:val="0"/>
          <w:lang w:val="en-US"/>
        </w:rPr>
        <w:t>Wipro limited- Dividend distribution policy (2023) (online) {Available through:</w:t>
      </w:r>
    </w:p>
    <w:p>
      <w:pPr>
        <w:pStyle w:val="Default"/>
        <w:bidi w:val="0"/>
        <w:spacing w:before="0" w:line="240" w:lineRule="auto"/>
        <w:ind w:left="0" w:right="0" w:firstLine="0"/>
        <w:jc w:val="left"/>
        <w:rPr>
          <w:rStyle w:val="None"/>
          <w:rFonts w:ascii="Times New Roman" w:cs="Times New Roman" w:hAnsi="Times New Roman" w:eastAsia="Times New Roman"/>
          <w:outline w:val="0"/>
          <w:color w:val="000000"/>
          <w:sz w:val="36"/>
          <w:szCs w:val="36"/>
          <w:u w:val="none" w:color="0563c0"/>
          <w:shd w:val="clear" w:color="auto" w:fill="ffffff"/>
          <w:rtl w:val="0"/>
          <w14:textFill>
            <w14:solidFill>
              <w14:srgbClr w14:val="000000"/>
            </w14:solidFill>
          </w14:textFill>
        </w:rPr>
      </w:pPr>
      <w:r>
        <w:rPr>
          <w:rStyle w:val="Hyperlink.0"/>
          <w:rFonts w:ascii="Times New Roman" w:cs="Times New Roman" w:hAnsi="Times New Roman" w:eastAsia="Times New Roman"/>
          <w:outline w:val="0"/>
          <w:color w:val="0563c0"/>
          <w:sz w:val="36"/>
          <w:szCs w:val="36"/>
          <w:u w:val="single" w:color="0563c0"/>
          <w:rtl w:val="0"/>
          <w14:textFill>
            <w14:solidFill>
              <w14:srgbClr w14:val="0563C1"/>
            </w14:solidFill>
          </w14:textFill>
        </w:rPr>
        <w:fldChar w:fldCharType="begin" w:fldLock="0"/>
      </w:r>
      <w:r>
        <w:rPr>
          <w:rStyle w:val="Hyperlink.0"/>
          <w:rFonts w:ascii="Times New Roman" w:cs="Times New Roman" w:hAnsi="Times New Roman" w:eastAsia="Times New Roman"/>
          <w:outline w:val="0"/>
          <w:color w:val="0563c0"/>
          <w:sz w:val="36"/>
          <w:szCs w:val="36"/>
          <w:u w:val="single" w:color="0563c0"/>
          <w:rtl w:val="0"/>
          <w14:textFill>
            <w14:solidFill>
              <w14:srgbClr w14:val="0563C1"/>
            </w14:solidFill>
          </w14:textFill>
        </w:rPr>
        <w:instrText xml:space="preserve"> HYPERLINK "https://www.wipro.com/content/dam/nexus/en/investor/corporate-governance/policies-and-guidelines/ethical-guidelines/12769-dividend-distribution-policy-october-2016.pdf"</w:instrText>
      </w:r>
      <w:r>
        <w:rPr>
          <w:rStyle w:val="Hyperlink.0"/>
          <w:rFonts w:ascii="Times New Roman" w:cs="Times New Roman" w:hAnsi="Times New Roman" w:eastAsia="Times New Roman"/>
          <w:outline w:val="0"/>
          <w:color w:val="0563c0"/>
          <w:sz w:val="36"/>
          <w:szCs w:val="36"/>
          <w:u w:val="single" w:color="0563c0"/>
          <w:rtl w:val="0"/>
          <w14:textFill>
            <w14:solidFill>
              <w14:srgbClr w14:val="0563C1"/>
            </w14:solidFill>
          </w14:textFill>
        </w:rPr>
        <w:fldChar w:fldCharType="separate" w:fldLock="0"/>
      </w:r>
      <w:r>
        <w:rPr>
          <w:rStyle w:val="Hyperlink.0"/>
          <w:rFonts w:ascii="Times New Roman" w:hAnsi="Times New Roman"/>
          <w:outline w:val="0"/>
          <w:color w:val="0563c0"/>
          <w:sz w:val="36"/>
          <w:szCs w:val="36"/>
          <w:u w:val="single" w:color="0563c0"/>
          <w:rtl w:val="0"/>
          <w:lang w:val="en-US"/>
          <w14:textFill>
            <w14:solidFill>
              <w14:srgbClr w14:val="0563C1"/>
            </w14:solidFill>
          </w14:textFill>
        </w:rPr>
        <w:t>https://www.wipro.com/content/dam/nexus/en/investor/corporate-governance/policies-and-guidelines/ethical-guidelines/12769-dividend-distribution-policy-october-2016.pdf</w:t>
      </w:r>
      <w:r>
        <w:rPr>
          <w:rFonts w:ascii="Times New Roman" w:cs="Times New Roman" w:hAnsi="Times New Roman" w:eastAsia="Times New Roman"/>
          <w:outline w:val="0"/>
          <w:color w:val="0563c0"/>
          <w:sz w:val="36"/>
          <w:szCs w:val="36"/>
          <w:u w:val="single" w:color="0563c0"/>
          <w:rtl w:val="0"/>
          <w14:textFill>
            <w14:solidFill>
              <w14:srgbClr w14:val="0563C1"/>
            </w14:solidFill>
          </w14:textFill>
        </w:rPr>
        <w:fldChar w:fldCharType="end" w:fldLock="0"/>
      </w:r>
    </w:p>
    <w:p>
      <w:pPr>
        <w:pStyle w:val="Default"/>
        <w:bidi w:val="0"/>
        <w:spacing w:before="0" w:line="240" w:lineRule="auto"/>
        <w:ind w:left="0" w:right="0" w:firstLine="0"/>
        <w:jc w:val="both"/>
        <w:rPr>
          <w:rStyle w:val="Hyperlink.0"/>
          <w:rFonts w:ascii="Times New Roman" w:cs="Times New Roman" w:hAnsi="Times New Roman" w:eastAsia="Times New Roman"/>
          <w:sz w:val="36"/>
          <w:szCs w:val="36"/>
          <w:u w:color="0563c0"/>
          <w:rtl w:val="0"/>
        </w:rPr>
      </w:pPr>
      <w:r>
        <w:rPr>
          <w:rStyle w:val="Hyperlink.0"/>
          <w:rFonts w:ascii="Times New Roman" w:hAnsi="Times New Roman" w:hint="default"/>
          <w:sz w:val="36"/>
          <w:szCs w:val="36"/>
          <w:u w:color="0563c0"/>
          <w:rtl w:val="0"/>
        </w:rPr>
        <w:t> </w:t>
      </w:r>
    </w:p>
    <w:p>
      <w:pPr>
        <w:pStyle w:val="Default"/>
        <w:bidi w:val="0"/>
        <w:spacing w:before="0" w:line="240" w:lineRule="auto"/>
        <w:ind w:left="0" w:right="0" w:firstLine="0"/>
        <w:jc w:val="both"/>
        <w:rPr>
          <w:rtl w:val="0"/>
        </w:rPr>
      </w:pPr>
      <w:r>
        <w:rPr>
          <w:rStyle w:val="Hyperlink.0"/>
          <w:rFonts w:ascii="Times New Roman" w:hAnsi="Times New Roman" w:hint="default"/>
          <w:sz w:val="36"/>
          <w:szCs w:val="36"/>
          <w:u w:color="0563c0"/>
          <w:rtl w:val="0"/>
        </w:rPr>
        <w:t>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shd w:val="clear" w:color="auto" w:fill="ffff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