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0D5CE2" w14:textId="6FC2DE22" w:rsidR="00D64DB1" w:rsidRDefault="00000000" w:rsidP="00B90388">
      <w:pPr>
        <w:spacing w:before="240"/>
        <w:jc w:val="center"/>
      </w:pPr>
      <w:r w:rsidRPr="00B90388">
        <w:rPr>
          <w:noProof/>
        </w:rPr>
        <w:drawing>
          <wp:inline distT="114300" distB="114300" distL="114300" distR="114300" wp14:anchorId="0AD69D01" wp14:editId="752DE3A5">
            <wp:extent cx="2971800" cy="1455420"/>
            <wp:effectExtent l="0" t="0" r="0" b="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a:stretch>
                      <a:fillRect/>
                    </a:stretch>
                  </pic:blipFill>
                  <pic:spPr>
                    <a:xfrm>
                      <a:off x="0" y="0"/>
                      <a:ext cx="2972491" cy="1455758"/>
                    </a:xfrm>
                    <a:prstGeom prst="rect">
                      <a:avLst/>
                    </a:prstGeom>
                    <a:ln/>
                  </pic:spPr>
                </pic:pic>
              </a:graphicData>
            </a:graphic>
          </wp:inline>
        </w:drawing>
      </w:r>
    </w:p>
    <w:p w14:paraId="1B40674A" w14:textId="77777777" w:rsidR="00E47284" w:rsidRPr="00B90388" w:rsidRDefault="00E47284" w:rsidP="00B90388">
      <w:pPr>
        <w:spacing w:before="240"/>
        <w:jc w:val="center"/>
      </w:pPr>
    </w:p>
    <w:p w14:paraId="37B1339A" w14:textId="77777777" w:rsidR="00D64DB1" w:rsidRPr="00E47284" w:rsidRDefault="00000000" w:rsidP="00B90388">
      <w:pPr>
        <w:spacing w:before="240"/>
        <w:jc w:val="center"/>
        <w:rPr>
          <w:b/>
          <w:sz w:val="32"/>
          <w:szCs w:val="32"/>
        </w:rPr>
      </w:pPr>
      <w:r w:rsidRPr="00E47284">
        <w:rPr>
          <w:b/>
          <w:sz w:val="32"/>
          <w:szCs w:val="32"/>
        </w:rPr>
        <w:t>Programme: Master of Business Administration</w:t>
      </w:r>
    </w:p>
    <w:p w14:paraId="24156B32" w14:textId="77777777" w:rsidR="00D64DB1" w:rsidRPr="00B90388" w:rsidRDefault="00D64DB1" w:rsidP="00B90388">
      <w:pPr>
        <w:spacing w:before="240"/>
        <w:jc w:val="center"/>
        <w:rPr>
          <w:b/>
          <w:sz w:val="28"/>
          <w:szCs w:val="28"/>
        </w:rPr>
      </w:pPr>
    </w:p>
    <w:p w14:paraId="6DA7B1AF" w14:textId="3D8AC7BC" w:rsidR="00D64DB1" w:rsidRPr="00E47284" w:rsidRDefault="00000000" w:rsidP="002518E5">
      <w:pPr>
        <w:spacing w:before="240"/>
        <w:jc w:val="center"/>
        <w:rPr>
          <w:b/>
          <w:sz w:val="32"/>
          <w:szCs w:val="32"/>
        </w:rPr>
      </w:pPr>
      <w:r w:rsidRPr="00E47284">
        <w:rPr>
          <w:b/>
          <w:sz w:val="32"/>
          <w:szCs w:val="32"/>
        </w:rPr>
        <w:t>Module: Financial Management</w:t>
      </w:r>
    </w:p>
    <w:p w14:paraId="55587192" w14:textId="3484F0EC" w:rsidR="00D64DB1" w:rsidRDefault="00000000" w:rsidP="00B90388">
      <w:pPr>
        <w:spacing w:before="240"/>
        <w:jc w:val="center"/>
        <w:rPr>
          <w:b/>
          <w:sz w:val="32"/>
          <w:szCs w:val="32"/>
        </w:rPr>
      </w:pPr>
      <w:r w:rsidRPr="00E47284">
        <w:rPr>
          <w:b/>
          <w:sz w:val="32"/>
          <w:szCs w:val="32"/>
        </w:rPr>
        <w:t xml:space="preserve">Module </w:t>
      </w:r>
      <w:r w:rsidR="00E47284" w:rsidRPr="00E47284">
        <w:rPr>
          <w:b/>
          <w:sz w:val="32"/>
          <w:szCs w:val="32"/>
        </w:rPr>
        <w:t xml:space="preserve">Code: </w:t>
      </w:r>
      <w:r w:rsidRPr="00E47284">
        <w:rPr>
          <w:b/>
          <w:sz w:val="32"/>
          <w:szCs w:val="32"/>
        </w:rPr>
        <w:t>LCMB7002</w:t>
      </w:r>
    </w:p>
    <w:p w14:paraId="3C54186B" w14:textId="3D3658A7" w:rsidR="00564C4D" w:rsidRPr="00564C4D" w:rsidRDefault="00564C4D" w:rsidP="00564C4D">
      <w:pPr>
        <w:ind w:left="755" w:right="762"/>
        <w:jc w:val="center"/>
        <w:rPr>
          <w:rFonts w:eastAsia="Arial" w:cs="Arial"/>
          <w:b/>
          <w:bCs/>
          <w:sz w:val="32"/>
          <w:szCs w:val="32"/>
        </w:rPr>
      </w:pPr>
      <w:r>
        <w:rPr>
          <w:rFonts w:eastAsia="Arial" w:cs="Arial"/>
          <w:b/>
          <w:bCs/>
          <w:sz w:val="32"/>
          <w:szCs w:val="32"/>
        </w:rPr>
        <w:t xml:space="preserve">Lecturer's Name: </w:t>
      </w:r>
      <w:r>
        <w:rPr>
          <w:rFonts w:eastAsia="Arial" w:cs="Arial"/>
          <w:b/>
          <w:bCs/>
          <w:sz w:val="32"/>
          <w:szCs w:val="32"/>
        </w:rPr>
        <w:t>Isaiah Oino</w:t>
      </w:r>
    </w:p>
    <w:p w14:paraId="3D09D691" w14:textId="77777777" w:rsidR="00D64DB1" w:rsidRPr="00B90388" w:rsidRDefault="00D64DB1" w:rsidP="00B90388">
      <w:pPr>
        <w:spacing w:before="240"/>
        <w:jc w:val="center"/>
        <w:rPr>
          <w:b/>
          <w:sz w:val="28"/>
          <w:szCs w:val="28"/>
        </w:rPr>
      </w:pPr>
    </w:p>
    <w:p w14:paraId="3D793B10" w14:textId="6B1B6C84" w:rsidR="00D64DB1" w:rsidRDefault="00000000" w:rsidP="00B90388">
      <w:pPr>
        <w:spacing w:before="240"/>
        <w:jc w:val="center"/>
        <w:rPr>
          <w:b/>
          <w:sz w:val="28"/>
          <w:szCs w:val="28"/>
        </w:rPr>
      </w:pPr>
      <w:r w:rsidRPr="00B90388">
        <w:rPr>
          <w:b/>
          <w:sz w:val="28"/>
          <w:szCs w:val="28"/>
        </w:rPr>
        <w:t>Assignment Title: Financial performance and management</w:t>
      </w:r>
    </w:p>
    <w:p w14:paraId="47C5B1D7" w14:textId="0F8E004E" w:rsidR="002518E5" w:rsidRPr="002518E5" w:rsidRDefault="002518E5" w:rsidP="00B90388">
      <w:pPr>
        <w:spacing w:before="240"/>
        <w:jc w:val="center"/>
        <w:rPr>
          <w:b/>
          <w:i/>
          <w:iCs/>
          <w:sz w:val="28"/>
          <w:szCs w:val="28"/>
        </w:rPr>
      </w:pPr>
      <w:r w:rsidRPr="002518E5">
        <w:rPr>
          <w:b/>
          <w:i/>
          <w:iCs/>
          <w:sz w:val="28"/>
          <w:szCs w:val="28"/>
        </w:rPr>
        <w:t>Strategic CFO Challenge: Saving a Failing Global Firm</w:t>
      </w:r>
    </w:p>
    <w:p w14:paraId="6EDBAC1A" w14:textId="77777777" w:rsidR="00D64DB1" w:rsidRPr="00B90388" w:rsidRDefault="00D64DB1" w:rsidP="00B90388">
      <w:pPr>
        <w:spacing w:before="240"/>
        <w:jc w:val="center"/>
        <w:rPr>
          <w:b/>
          <w:sz w:val="28"/>
          <w:szCs w:val="28"/>
        </w:rPr>
      </w:pPr>
    </w:p>
    <w:p w14:paraId="4A086609" w14:textId="74737E72" w:rsidR="00E47284" w:rsidRDefault="007007FD" w:rsidP="00B90388">
      <w:pPr>
        <w:spacing w:before="240"/>
        <w:jc w:val="center"/>
        <w:rPr>
          <w:b/>
          <w:sz w:val="28"/>
          <w:szCs w:val="28"/>
        </w:rPr>
      </w:pPr>
      <w:r>
        <w:rPr>
          <w:b/>
          <w:sz w:val="28"/>
          <w:szCs w:val="28"/>
        </w:rPr>
        <w:t xml:space="preserve">Name: </w:t>
      </w:r>
      <w:r w:rsidRPr="007007FD">
        <w:rPr>
          <w:b/>
          <w:sz w:val="28"/>
          <w:szCs w:val="28"/>
        </w:rPr>
        <w:t xml:space="preserve">Yagnik </w:t>
      </w:r>
      <w:proofErr w:type="spellStart"/>
      <w:r>
        <w:rPr>
          <w:b/>
          <w:sz w:val="28"/>
          <w:szCs w:val="28"/>
        </w:rPr>
        <w:t>B</w:t>
      </w:r>
      <w:r w:rsidRPr="007007FD">
        <w:rPr>
          <w:b/>
          <w:sz w:val="28"/>
          <w:szCs w:val="28"/>
        </w:rPr>
        <w:t>haratbhai</w:t>
      </w:r>
      <w:proofErr w:type="spellEnd"/>
      <w:r w:rsidRPr="007007FD">
        <w:rPr>
          <w:b/>
          <w:sz w:val="28"/>
          <w:szCs w:val="28"/>
        </w:rPr>
        <w:t xml:space="preserve"> </w:t>
      </w:r>
      <w:r>
        <w:rPr>
          <w:b/>
          <w:sz w:val="28"/>
          <w:szCs w:val="28"/>
        </w:rPr>
        <w:t>B</w:t>
      </w:r>
      <w:r w:rsidRPr="007007FD">
        <w:rPr>
          <w:b/>
          <w:sz w:val="28"/>
          <w:szCs w:val="28"/>
        </w:rPr>
        <w:t>hakhar</w:t>
      </w:r>
      <w:r>
        <w:rPr>
          <w:b/>
          <w:sz w:val="28"/>
          <w:szCs w:val="28"/>
        </w:rPr>
        <w:br/>
        <w:t xml:space="preserve">Student ID: </w:t>
      </w:r>
      <w:r w:rsidRPr="007007FD">
        <w:rPr>
          <w:b/>
          <w:sz w:val="28"/>
          <w:szCs w:val="28"/>
        </w:rPr>
        <w:t>2431085</w:t>
      </w:r>
    </w:p>
    <w:p w14:paraId="7C6652BC" w14:textId="15D04308" w:rsidR="00D64DB1" w:rsidRPr="00B90388" w:rsidRDefault="00000000" w:rsidP="00B90388">
      <w:pPr>
        <w:spacing w:before="240"/>
        <w:jc w:val="center"/>
        <w:rPr>
          <w:b/>
          <w:sz w:val="28"/>
          <w:szCs w:val="28"/>
        </w:rPr>
      </w:pPr>
      <w:r w:rsidRPr="00B90388">
        <w:rPr>
          <w:b/>
          <w:sz w:val="28"/>
          <w:szCs w:val="28"/>
        </w:rPr>
        <w:t xml:space="preserve">Word </w:t>
      </w:r>
      <w:r w:rsidR="00E47284" w:rsidRPr="00B90388">
        <w:rPr>
          <w:b/>
          <w:sz w:val="28"/>
          <w:szCs w:val="28"/>
        </w:rPr>
        <w:t xml:space="preserve">Count: </w:t>
      </w:r>
      <w:r w:rsidR="00E47284">
        <w:rPr>
          <w:b/>
          <w:sz w:val="28"/>
          <w:szCs w:val="28"/>
        </w:rPr>
        <w:t>5097</w:t>
      </w:r>
      <w:r w:rsidR="00E47284" w:rsidRPr="00B90388">
        <w:rPr>
          <w:b/>
          <w:sz w:val="28"/>
          <w:szCs w:val="28"/>
        </w:rPr>
        <w:t xml:space="preserve"> Words</w:t>
      </w:r>
    </w:p>
    <w:p w14:paraId="7C80E8B6" w14:textId="77777777" w:rsidR="00D64DB1" w:rsidRPr="00B90388" w:rsidRDefault="00000000" w:rsidP="00B90388">
      <w:pPr>
        <w:spacing w:before="240"/>
        <w:rPr>
          <w:b/>
        </w:rPr>
      </w:pPr>
      <w:r w:rsidRPr="00B90388">
        <w:br w:type="page"/>
      </w:r>
      <w:r w:rsidRPr="002518E5">
        <w:rPr>
          <w:b/>
          <w:sz w:val="28"/>
          <w:szCs w:val="28"/>
        </w:rPr>
        <w:lastRenderedPageBreak/>
        <w:t xml:space="preserve">Executive Summary </w:t>
      </w:r>
    </w:p>
    <w:p w14:paraId="26D265CE" w14:textId="504EC6C5" w:rsidR="00B90388" w:rsidRPr="00B90388" w:rsidRDefault="00000000" w:rsidP="00B90388">
      <w:pPr>
        <w:spacing w:before="240"/>
      </w:pPr>
      <w:r w:rsidRPr="00B90388">
        <w:t>The current study evaluates the financial health position of General Electronics with the help of assessing its annual statements and conducting ratio analysis to demonstrate the shrinking profitability in line with the rising leverage power and the declining liquidity. Furthermore, the assessment of working capital management followed by Altman's Z-score highlights functional efficiency with moderate solvency. It identifies the area of restructuring financing options, working capital management through inventory optimisation, and the need of integrating sustainable investment projects for financial growth. In this regard, the report reflects on the suitability of Project C based on the capital budgeting assessment by the implementation of different techniques like PBP, NPV, ARR, PI, and IRR.</w:t>
      </w:r>
      <w:r w:rsidR="00B90388" w:rsidRPr="00B90388">
        <w:br w:type="page"/>
      </w:r>
    </w:p>
    <w:sdt>
      <w:sdtPr>
        <w:rPr>
          <w:rFonts w:ascii="Times New Roman" w:eastAsia="Times New Roman" w:hAnsi="Times New Roman" w:cs="Times New Roman"/>
          <w:color w:val="222222"/>
          <w:sz w:val="24"/>
          <w:szCs w:val="24"/>
          <w:highlight w:val="white"/>
          <w:lang w:val="en-GB"/>
        </w:rPr>
        <w:id w:val="103781947"/>
        <w:docPartObj>
          <w:docPartGallery w:val="Table of Contents"/>
          <w:docPartUnique/>
        </w:docPartObj>
      </w:sdtPr>
      <w:sdtEndPr>
        <w:rPr>
          <w:rFonts w:ascii="Arial" w:hAnsi="Arial"/>
          <w:b/>
          <w:bCs/>
        </w:rPr>
      </w:sdtEndPr>
      <w:sdtContent>
        <w:p w14:paraId="715AF950" w14:textId="7B1B469A" w:rsidR="00B90388" w:rsidRPr="00E47284" w:rsidRDefault="00B90388" w:rsidP="00B90388">
          <w:pPr>
            <w:pStyle w:val="TOCHeading"/>
            <w:spacing w:after="240"/>
            <w:jc w:val="center"/>
            <w:rPr>
              <w:rFonts w:ascii="Arial" w:hAnsi="Arial" w:cs="Arial"/>
              <w:b/>
              <w:bCs/>
              <w:color w:val="auto"/>
              <w:lang w:val="en-GB"/>
            </w:rPr>
          </w:pPr>
          <w:r w:rsidRPr="00E47284">
            <w:rPr>
              <w:rFonts w:ascii="Arial" w:hAnsi="Arial" w:cs="Arial"/>
              <w:b/>
              <w:bCs/>
              <w:color w:val="auto"/>
              <w:lang w:val="en-GB"/>
            </w:rPr>
            <w:t>Table of Contents</w:t>
          </w:r>
        </w:p>
        <w:p w14:paraId="2E9A1856" w14:textId="041755DF" w:rsidR="00546E7B" w:rsidRDefault="00B90388">
          <w:pPr>
            <w:pStyle w:val="TOC1"/>
            <w:tabs>
              <w:tab w:val="right" w:leader="dot" w:pos="9350"/>
            </w:tabs>
            <w:rPr>
              <w:rFonts w:asciiTheme="minorHAnsi" w:eastAsiaTheme="minorEastAsia" w:hAnsiTheme="minorHAnsi" w:cstheme="minorBidi"/>
              <w:noProof/>
              <w:color w:val="auto"/>
              <w:kern w:val="2"/>
              <w:highlight w:val="none"/>
              <w:lang w:val="en-US"/>
              <w14:ligatures w14:val="standardContextual"/>
            </w:rPr>
          </w:pPr>
          <w:r w:rsidRPr="00B90388">
            <w:fldChar w:fldCharType="begin"/>
          </w:r>
          <w:r w:rsidRPr="00B90388">
            <w:instrText xml:space="preserve"> TOC \o "1-3" \h \z \u </w:instrText>
          </w:r>
          <w:r w:rsidRPr="00B90388">
            <w:fldChar w:fldCharType="separate"/>
          </w:r>
          <w:hyperlink w:anchor="_Toc213805379" w:history="1">
            <w:r w:rsidR="00546E7B" w:rsidRPr="001C372E">
              <w:rPr>
                <w:rStyle w:val="Hyperlink"/>
                <w:noProof/>
              </w:rPr>
              <w:t>1. Financial Health Assessment</w:t>
            </w:r>
            <w:r w:rsidR="00546E7B">
              <w:rPr>
                <w:noProof/>
                <w:webHidden/>
              </w:rPr>
              <w:tab/>
            </w:r>
            <w:r w:rsidR="00546E7B">
              <w:rPr>
                <w:noProof/>
                <w:webHidden/>
              </w:rPr>
              <w:fldChar w:fldCharType="begin"/>
            </w:r>
            <w:r w:rsidR="00546E7B">
              <w:rPr>
                <w:noProof/>
                <w:webHidden/>
              </w:rPr>
              <w:instrText xml:space="preserve"> PAGEREF _Toc213805379 \h </w:instrText>
            </w:r>
            <w:r w:rsidR="00546E7B">
              <w:rPr>
                <w:noProof/>
                <w:webHidden/>
              </w:rPr>
            </w:r>
            <w:r w:rsidR="00546E7B">
              <w:rPr>
                <w:noProof/>
                <w:webHidden/>
              </w:rPr>
              <w:fldChar w:fldCharType="separate"/>
            </w:r>
            <w:r w:rsidR="00546E7B">
              <w:rPr>
                <w:noProof/>
                <w:webHidden/>
              </w:rPr>
              <w:t>4</w:t>
            </w:r>
            <w:r w:rsidR="00546E7B">
              <w:rPr>
                <w:noProof/>
                <w:webHidden/>
              </w:rPr>
              <w:fldChar w:fldCharType="end"/>
            </w:r>
          </w:hyperlink>
        </w:p>
        <w:p w14:paraId="68A46C8A" w14:textId="2E4A7160" w:rsidR="00546E7B" w:rsidRDefault="00546E7B">
          <w:pPr>
            <w:pStyle w:val="TOC2"/>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80" w:history="1">
            <w:r w:rsidRPr="001C372E">
              <w:rPr>
                <w:rStyle w:val="Hyperlink"/>
                <w:noProof/>
              </w:rPr>
              <w:t>1.1 Financial Statements Analysis</w:t>
            </w:r>
            <w:r>
              <w:rPr>
                <w:noProof/>
                <w:webHidden/>
              </w:rPr>
              <w:tab/>
            </w:r>
            <w:r>
              <w:rPr>
                <w:noProof/>
                <w:webHidden/>
              </w:rPr>
              <w:fldChar w:fldCharType="begin"/>
            </w:r>
            <w:r>
              <w:rPr>
                <w:noProof/>
                <w:webHidden/>
              </w:rPr>
              <w:instrText xml:space="preserve"> PAGEREF _Toc213805380 \h </w:instrText>
            </w:r>
            <w:r>
              <w:rPr>
                <w:noProof/>
                <w:webHidden/>
              </w:rPr>
            </w:r>
            <w:r>
              <w:rPr>
                <w:noProof/>
                <w:webHidden/>
              </w:rPr>
              <w:fldChar w:fldCharType="separate"/>
            </w:r>
            <w:r>
              <w:rPr>
                <w:noProof/>
                <w:webHidden/>
              </w:rPr>
              <w:t>4</w:t>
            </w:r>
            <w:r>
              <w:rPr>
                <w:noProof/>
                <w:webHidden/>
              </w:rPr>
              <w:fldChar w:fldCharType="end"/>
            </w:r>
          </w:hyperlink>
        </w:p>
        <w:p w14:paraId="06E4C70C" w14:textId="1C30BF04" w:rsidR="00546E7B" w:rsidRDefault="00546E7B">
          <w:pPr>
            <w:pStyle w:val="TOC2"/>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81" w:history="1">
            <w:r w:rsidRPr="001C372E">
              <w:rPr>
                <w:rStyle w:val="Hyperlink"/>
                <w:noProof/>
              </w:rPr>
              <w:t>1.2 Analysis of Financial Ratios Analysis</w:t>
            </w:r>
            <w:r>
              <w:rPr>
                <w:noProof/>
                <w:webHidden/>
              </w:rPr>
              <w:tab/>
            </w:r>
            <w:r>
              <w:rPr>
                <w:noProof/>
                <w:webHidden/>
              </w:rPr>
              <w:fldChar w:fldCharType="begin"/>
            </w:r>
            <w:r>
              <w:rPr>
                <w:noProof/>
                <w:webHidden/>
              </w:rPr>
              <w:instrText xml:space="preserve"> PAGEREF _Toc213805381 \h </w:instrText>
            </w:r>
            <w:r>
              <w:rPr>
                <w:noProof/>
                <w:webHidden/>
              </w:rPr>
            </w:r>
            <w:r>
              <w:rPr>
                <w:noProof/>
                <w:webHidden/>
              </w:rPr>
              <w:fldChar w:fldCharType="separate"/>
            </w:r>
            <w:r>
              <w:rPr>
                <w:noProof/>
                <w:webHidden/>
              </w:rPr>
              <w:t>8</w:t>
            </w:r>
            <w:r>
              <w:rPr>
                <w:noProof/>
                <w:webHidden/>
              </w:rPr>
              <w:fldChar w:fldCharType="end"/>
            </w:r>
          </w:hyperlink>
        </w:p>
        <w:p w14:paraId="11B4D3D4" w14:textId="0BC0AAAB" w:rsidR="00546E7B" w:rsidRDefault="00546E7B">
          <w:pPr>
            <w:pStyle w:val="TOC2"/>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82" w:history="1">
            <w:r w:rsidRPr="001C372E">
              <w:rPr>
                <w:rStyle w:val="Hyperlink"/>
                <w:noProof/>
              </w:rPr>
              <w:t>1.3 Trends, Strengths and Threats</w:t>
            </w:r>
            <w:r>
              <w:rPr>
                <w:noProof/>
                <w:webHidden/>
              </w:rPr>
              <w:tab/>
            </w:r>
            <w:r>
              <w:rPr>
                <w:noProof/>
                <w:webHidden/>
              </w:rPr>
              <w:fldChar w:fldCharType="begin"/>
            </w:r>
            <w:r>
              <w:rPr>
                <w:noProof/>
                <w:webHidden/>
              </w:rPr>
              <w:instrText xml:space="preserve"> PAGEREF _Toc213805382 \h </w:instrText>
            </w:r>
            <w:r>
              <w:rPr>
                <w:noProof/>
                <w:webHidden/>
              </w:rPr>
            </w:r>
            <w:r>
              <w:rPr>
                <w:noProof/>
                <w:webHidden/>
              </w:rPr>
              <w:fldChar w:fldCharType="separate"/>
            </w:r>
            <w:r>
              <w:rPr>
                <w:noProof/>
                <w:webHidden/>
              </w:rPr>
              <w:t>14</w:t>
            </w:r>
            <w:r>
              <w:rPr>
                <w:noProof/>
                <w:webHidden/>
              </w:rPr>
              <w:fldChar w:fldCharType="end"/>
            </w:r>
          </w:hyperlink>
        </w:p>
        <w:p w14:paraId="612F35E5" w14:textId="7468F46D" w:rsidR="00546E7B" w:rsidRDefault="00546E7B">
          <w:pPr>
            <w:pStyle w:val="TOC2"/>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83" w:history="1">
            <w:r w:rsidRPr="001C372E">
              <w:rPr>
                <w:rStyle w:val="Hyperlink"/>
                <w:noProof/>
              </w:rPr>
              <w:t>1.4 Altman Z-Score Application as Corporate Failure Prediction Model</w:t>
            </w:r>
            <w:r>
              <w:rPr>
                <w:noProof/>
                <w:webHidden/>
              </w:rPr>
              <w:tab/>
            </w:r>
            <w:r>
              <w:rPr>
                <w:noProof/>
                <w:webHidden/>
              </w:rPr>
              <w:fldChar w:fldCharType="begin"/>
            </w:r>
            <w:r>
              <w:rPr>
                <w:noProof/>
                <w:webHidden/>
              </w:rPr>
              <w:instrText xml:space="preserve"> PAGEREF _Toc213805383 \h </w:instrText>
            </w:r>
            <w:r>
              <w:rPr>
                <w:noProof/>
                <w:webHidden/>
              </w:rPr>
            </w:r>
            <w:r>
              <w:rPr>
                <w:noProof/>
                <w:webHidden/>
              </w:rPr>
              <w:fldChar w:fldCharType="separate"/>
            </w:r>
            <w:r>
              <w:rPr>
                <w:noProof/>
                <w:webHidden/>
              </w:rPr>
              <w:t>15</w:t>
            </w:r>
            <w:r>
              <w:rPr>
                <w:noProof/>
                <w:webHidden/>
              </w:rPr>
              <w:fldChar w:fldCharType="end"/>
            </w:r>
          </w:hyperlink>
        </w:p>
        <w:p w14:paraId="6B336FC6" w14:textId="3C875008" w:rsidR="00546E7B" w:rsidRDefault="00546E7B">
          <w:pPr>
            <w:pStyle w:val="TOC1"/>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84" w:history="1">
            <w:r w:rsidRPr="001C372E">
              <w:rPr>
                <w:rStyle w:val="Hyperlink"/>
                <w:noProof/>
              </w:rPr>
              <w:t>2. Working Capital Management Analysis</w:t>
            </w:r>
            <w:r>
              <w:rPr>
                <w:noProof/>
                <w:webHidden/>
              </w:rPr>
              <w:tab/>
            </w:r>
            <w:r>
              <w:rPr>
                <w:noProof/>
                <w:webHidden/>
              </w:rPr>
              <w:fldChar w:fldCharType="begin"/>
            </w:r>
            <w:r>
              <w:rPr>
                <w:noProof/>
                <w:webHidden/>
              </w:rPr>
              <w:instrText xml:space="preserve"> PAGEREF _Toc213805384 \h </w:instrText>
            </w:r>
            <w:r>
              <w:rPr>
                <w:noProof/>
                <w:webHidden/>
              </w:rPr>
            </w:r>
            <w:r>
              <w:rPr>
                <w:noProof/>
                <w:webHidden/>
              </w:rPr>
              <w:fldChar w:fldCharType="separate"/>
            </w:r>
            <w:r>
              <w:rPr>
                <w:noProof/>
                <w:webHidden/>
              </w:rPr>
              <w:t>16</w:t>
            </w:r>
            <w:r>
              <w:rPr>
                <w:noProof/>
                <w:webHidden/>
              </w:rPr>
              <w:fldChar w:fldCharType="end"/>
            </w:r>
          </w:hyperlink>
        </w:p>
        <w:p w14:paraId="2F53FA1D" w14:textId="2222D402" w:rsidR="00546E7B" w:rsidRDefault="00546E7B">
          <w:pPr>
            <w:pStyle w:val="TOC2"/>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85" w:history="1">
            <w:r w:rsidRPr="001C372E">
              <w:rPr>
                <w:rStyle w:val="Hyperlink"/>
                <w:noProof/>
              </w:rPr>
              <w:t>2.1 Cash Operating Cycle Assessment</w:t>
            </w:r>
            <w:r>
              <w:rPr>
                <w:noProof/>
                <w:webHidden/>
              </w:rPr>
              <w:tab/>
            </w:r>
            <w:r>
              <w:rPr>
                <w:noProof/>
                <w:webHidden/>
              </w:rPr>
              <w:fldChar w:fldCharType="begin"/>
            </w:r>
            <w:r>
              <w:rPr>
                <w:noProof/>
                <w:webHidden/>
              </w:rPr>
              <w:instrText xml:space="preserve"> PAGEREF _Toc213805385 \h </w:instrText>
            </w:r>
            <w:r>
              <w:rPr>
                <w:noProof/>
                <w:webHidden/>
              </w:rPr>
            </w:r>
            <w:r>
              <w:rPr>
                <w:noProof/>
                <w:webHidden/>
              </w:rPr>
              <w:fldChar w:fldCharType="separate"/>
            </w:r>
            <w:r>
              <w:rPr>
                <w:noProof/>
                <w:webHidden/>
              </w:rPr>
              <w:t>16</w:t>
            </w:r>
            <w:r>
              <w:rPr>
                <w:noProof/>
                <w:webHidden/>
              </w:rPr>
              <w:fldChar w:fldCharType="end"/>
            </w:r>
          </w:hyperlink>
        </w:p>
        <w:p w14:paraId="43AEF5B0" w14:textId="0F5BF187" w:rsidR="00546E7B" w:rsidRDefault="00546E7B">
          <w:pPr>
            <w:pStyle w:val="TOC2"/>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86" w:history="1">
            <w:r w:rsidRPr="001C372E">
              <w:rPr>
                <w:rStyle w:val="Hyperlink"/>
                <w:noProof/>
              </w:rPr>
              <w:t>2.2 Recommendation of Liquidity Improvement Strategies using working capital reformation</w:t>
            </w:r>
            <w:r>
              <w:rPr>
                <w:noProof/>
                <w:webHidden/>
              </w:rPr>
              <w:tab/>
            </w:r>
            <w:r>
              <w:rPr>
                <w:noProof/>
                <w:webHidden/>
              </w:rPr>
              <w:fldChar w:fldCharType="begin"/>
            </w:r>
            <w:r>
              <w:rPr>
                <w:noProof/>
                <w:webHidden/>
              </w:rPr>
              <w:instrText xml:space="preserve"> PAGEREF _Toc213805386 \h </w:instrText>
            </w:r>
            <w:r>
              <w:rPr>
                <w:noProof/>
                <w:webHidden/>
              </w:rPr>
            </w:r>
            <w:r>
              <w:rPr>
                <w:noProof/>
                <w:webHidden/>
              </w:rPr>
              <w:fldChar w:fldCharType="separate"/>
            </w:r>
            <w:r>
              <w:rPr>
                <w:noProof/>
                <w:webHidden/>
              </w:rPr>
              <w:t>17</w:t>
            </w:r>
            <w:r>
              <w:rPr>
                <w:noProof/>
                <w:webHidden/>
              </w:rPr>
              <w:fldChar w:fldCharType="end"/>
            </w:r>
          </w:hyperlink>
        </w:p>
        <w:p w14:paraId="2A1441E5" w14:textId="19B92148" w:rsidR="00546E7B" w:rsidRDefault="00546E7B">
          <w:pPr>
            <w:pStyle w:val="TOC2"/>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87" w:history="1">
            <w:r w:rsidRPr="001C372E">
              <w:rPr>
                <w:rStyle w:val="Hyperlink"/>
                <w:noProof/>
              </w:rPr>
              <w:t>2.3 Comparison between short-term and long-term financing options</w:t>
            </w:r>
            <w:r>
              <w:rPr>
                <w:noProof/>
                <w:webHidden/>
              </w:rPr>
              <w:tab/>
            </w:r>
            <w:r>
              <w:rPr>
                <w:noProof/>
                <w:webHidden/>
              </w:rPr>
              <w:fldChar w:fldCharType="begin"/>
            </w:r>
            <w:r>
              <w:rPr>
                <w:noProof/>
                <w:webHidden/>
              </w:rPr>
              <w:instrText xml:space="preserve"> PAGEREF _Toc213805387 \h </w:instrText>
            </w:r>
            <w:r>
              <w:rPr>
                <w:noProof/>
                <w:webHidden/>
              </w:rPr>
            </w:r>
            <w:r>
              <w:rPr>
                <w:noProof/>
                <w:webHidden/>
              </w:rPr>
              <w:fldChar w:fldCharType="separate"/>
            </w:r>
            <w:r>
              <w:rPr>
                <w:noProof/>
                <w:webHidden/>
              </w:rPr>
              <w:t>19</w:t>
            </w:r>
            <w:r>
              <w:rPr>
                <w:noProof/>
                <w:webHidden/>
              </w:rPr>
              <w:fldChar w:fldCharType="end"/>
            </w:r>
          </w:hyperlink>
        </w:p>
        <w:p w14:paraId="6630C9AD" w14:textId="7168C2B0" w:rsidR="00546E7B" w:rsidRDefault="00546E7B">
          <w:pPr>
            <w:pStyle w:val="TOC1"/>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88" w:history="1">
            <w:r w:rsidRPr="001C372E">
              <w:rPr>
                <w:rStyle w:val="Hyperlink"/>
                <w:noProof/>
              </w:rPr>
              <w:t>3. Strategic Financial Restructuring Plan</w:t>
            </w:r>
            <w:r>
              <w:rPr>
                <w:noProof/>
                <w:webHidden/>
              </w:rPr>
              <w:tab/>
            </w:r>
            <w:r>
              <w:rPr>
                <w:noProof/>
                <w:webHidden/>
              </w:rPr>
              <w:fldChar w:fldCharType="begin"/>
            </w:r>
            <w:r>
              <w:rPr>
                <w:noProof/>
                <w:webHidden/>
              </w:rPr>
              <w:instrText xml:space="preserve"> PAGEREF _Toc213805388 \h </w:instrText>
            </w:r>
            <w:r>
              <w:rPr>
                <w:noProof/>
                <w:webHidden/>
              </w:rPr>
            </w:r>
            <w:r>
              <w:rPr>
                <w:noProof/>
                <w:webHidden/>
              </w:rPr>
              <w:fldChar w:fldCharType="separate"/>
            </w:r>
            <w:r>
              <w:rPr>
                <w:noProof/>
                <w:webHidden/>
              </w:rPr>
              <w:t>20</w:t>
            </w:r>
            <w:r>
              <w:rPr>
                <w:noProof/>
                <w:webHidden/>
              </w:rPr>
              <w:fldChar w:fldCharType="end"/>
            </w:r>
          </w:hyperlink>
        </w:p>
        <w:p w14:paraId="78B5E9BB" w14:textId="708AAF4A" w:rsidR="00546E7B" w:rsidRDefault="00546E7B">
          <w:pPr>
            <w:pStyle w:val="TOC2"/>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89" w:history="1">
            <w:r w:rsidRPr="001C372E">
              <w:rPr>
                <w:rStyle w:val="Hyperlink"/>
                <w:noProof/>
              </w:rPr>
              <w:t>3.1 Financial Restructuring Options</w:t>
            </w:r>
            <w:r>
              <w:rPr>
                <w:noProof/>
                <w:webHidden/>
              </w:rPr>
              <w:tab/>
            </w:r>
            <w:r>
              <w:rPr>
                <w:noProof/>
                <w:webHidden/>
              </w:rPr>
              <w:fldChar w:fldCharType="begin"/>
            </w:r>
            <w:r>
              <w:rPr>
                <w:noProof/>
                <w:webHidden/>
              </w:rPr>
              <w:instrText xml:space="preserve"> PAGEREF _Toc213805389 \h </w:instrText>
            </w:r>
            <w:r>
              <w:rPr>
                <w:noProof/>
                <w:webHidden/>
              </w:rPr>
            </w:r>
            <w:r>
              <w:rPr>
                <w:noProof/>
                <w:webHidden/>
              </w:rPr>
              <w:fldChar w:fldCharType="separate"/>
            </w:r>
            <w:r>
              <w:rPr>
                <w:noProof/>
                <w:webHidden/>
              </w:rPr>
              <w:t>20</w:t>
            </w:r>
            <w:r>
              <w:rPr>
                <w:noProof/>
                <w:webHidden/>
              </w:rPr>
              <w:fldChar w:fldCharType="end"/>
            </w:r>
          </w:hyperlink>
        </w:p>
        <w:p w14:paraId="75D49CBF" w14:textId="54AD5E0E" w:rsidR="00546E7B" w:rsidRDefault="00546E7B">
          <w:pPr>
            <w:pStyle w:val="TOC2"/>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90" w:history="1">
            <w:r w:rsidRPr="001C372E">
              <w:rPr>
                <w:rStyle w:val="Hyperlink"/>
                <w:noProof/>
              </w:rPr>
              <w:t>3.2 Impact on Shareholder Value, Debt Structure, and Operational Flexibility</w:t>
            </w:r>
            <w:r>
              <w:rPr>
                <w:noProof/>
                <w:webHidden/>
              </w:rPr>
              <w:tab/>
            </w:r>
            <w:r>
              <w:rPr>
                <w:noProof/>
                <w:webHidden/>
              </w:rPr>
              <w:fldChar w:fldCharType="begin"/>
            </w:r>
            <w:r>
              <w:rPr>
                <w:noProof/>
                <w:webHidden/>
              </w:rPr>
              <w:instrText xml:space="preserve"> PAGEREF _Toc213805390 \h </w:instrText>
            </w:r>
            <w:r>
              <w:rPr>
                <w:noProof/>
                <w:webHidden/>
              </w:rPr>
            </w:r>
            <w:r>
              <w:rPr>
                <w:noProof/>
                <w:webHidden/>
              </w:rPr>
              <w:fldChar w:fldCharType="separate"/>
            </w:r>
            <w:r>
              <w:rPr>
                <w:noProof/>
                <w:webHidden/>
              </w:rPr>
              <w:t>21</w:t>
            </w:r>
            <w:r>
              <w:rPr>
                <w:noProof/>
                <w:webHidden/>
              </w:rPr>
              <w:fldChar w:fldCharType="end"/>
            </w:r>
          </w:hyperlink>
        </w:p>
        <w:p w14:paraId="788E484A" w14:textId="45651E61" w:rsidR="00546E7B" w:rsidRDefault="00546E7B">
          <w:pPr>
            <w:pStyle w:val="TOC2"/>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91" w:history="1">
            <w:r w:rsidRPr="001C372E">
              <w:rPr>
                <w:rStyle w:val="Hyperlink"/>
                <w:noProof/>
              </w:rPr>
              <w:t>3.3 International and Ethical Considerations</w:t>
            </w:r>
            <w:r>
              <w:rPr>
                <w:noProof/>
                <w:webHidden/>
              </w:rPr>
              <w:tab/>
            </w:r>
            <w:r>
              <w:rPr>
                <w:noProof/>
                <w:webHidden/>
              </w:rPr>
              <w:fldChar w:fldCharType="begin"/>
            </w:r>
            <w:r>
              <w:rPr>
                <w:noProof/>
                <w:webHidden/>
              </w:rPr>
              <w:instrText xml:space="preserve"> PAGEREF _Toc213805391 \h </w:instrText>
            </w:r>
            <w:r>
              <w:rPr>
                <w:noProof/>
                <w:webHidden/>
              </w:rPr>
            </w:r>
            <w:r>
              <w:rPr>
                <w:noProof/>
                <w:webHidden/>
              </w:rPr>
              <w:fldChar w:fldCharType="separate"/>
            </w:r>
            <w:r>
              <w:rPr>
                <w:noProof/>
                <w:webHidden/>
              </w:rPr>
              <w:t>22</w:t>
            </w:r>
            <w:r>
              <w:rPr>
                <w:noProof/>
                <w:webHidden/>
              </w:rPr>
              <w:fldChar w:fldCharType="end"/>
            </w:r>
          </w:hyperlink>
        </w:p>
        <w:p w14:paraId="0578374C" w14:textId="0B6D285D" w:rsidR="00546E7B" w:rsidRDefault="00546E7B">
          <w:pPr>
            <w:pStyle w:val="TOC1"/>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92" w:history="1">
            <w:r w:rsidRPr="001C372E">
              <w:rPr>
                <w:rStyle w:val="Hyperlink"/>
                <w:noProof/>
              </w:rPr>
              <w:t>4. Investment Appraisal and Capital Budgeting</w:t>
            </w:r>
            <w:r>
              <w:rPr>
                <w:noProof/>
                <w:webHidden/>
              </w:rPr>
              <w:tab/>
            </w:r>
            <w:r>
              <w:rPr>
                <w:noProof/>
                <w:webHidden/>
              </w:rPr>
              <w:fldChar w:fldCharType="begin"/>
            </w:r>
            <w:r>
              <w:rPr>
                <w:noProof/>
                <w:webHidden/>
              </w:rPr>
              <w:instrText xml:space="preserve"> PAGEREF _Toc213805392 \h </w:instrText>
            </w:r>
            <w:r>
              <w:rPr>
                <w:noProof/>
                <w:webHidden/>
              </w:rPr>
            </w:r>
            <w:r>
              <w:rPr>
                <w:noProof/>
                <w:webHidden/>
              </w:rPr>
              <w:fldChar w:fldCharType="separate"/>
            </w:r>
            <w:r>
              <w:rPr>
                <w:noProof/>
                <w:webHidden/>
              </w:rPr>
              <w:t>24</w:t>
            </w:r>
            <w:r>
              <w:rPr>
                <w:noProof/>
                <w:webHidden/>
              </w:rPr>
              <w:fldChar w:fldCharType="end"/>
            </w:r>
          </w:hyperlink>
        </w:p>
        <w:p w14:paraId="6FEE0E30" w14:textId="4D862E48" w:rsidR="00546E7B" w:rsidRDefault="00546E7B">
          <w:pPr>
            <w:pStyle w:val="TOC2"/>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93" w:history="1">
            <w:r w:rsidRPr="001C372E">
              <w:rPr>
                <w:rStyle w:val="Hyperlink"/>
                <w:noProof/>
              </w:rPr>
              <w:t>4.1 Selection of Investment Projects</w:t>
            </w:r>
            <w:r>
              <w:rPr>
                <w:noProof/>
                <w:webHidden/>
              </w:rPr>
              <w:tab/>
            </w:r>
            <w:r>
              <w:rPr>
                <w:noProof/>
                <w:webHidden/>
              </w:rPr>
              <w:fldChar w:fldCharType="begin"/>
            </w:r>
            <w:r>
              <w:rPr>
                <w:noProof/>
                <w:webHidden/>
              </w:rPr>
              <w:instrText xml:space="preserve"> PAGEREF _Toc213805393 \h </w:instrText>
            </w:r>
            <w:r>
              <w:rPr>
                <w:noProof/>
                <w:webHidden/>
              </w:rPr>
            </w:r>
            <w:r>
              <w:rPr>
                <w:noProof/>
                <w:webHidden/>
              </w:rPr>
              <w:fldChar w:fldCharType="separate"/>
            </w:r>
            <w:r>
              <w:rPr>
                <w:noProof/>
                <w:webHidden/>
              </w:rPr>
              <w:t>24</w:t>
            </w:r>
            <w:r>
              <w:rPr>
                <w:noProof/>
                <w:webHidden/>
              </w:rPr>
              <w:fldChar w:fldCharType="end"/>
            </w:r>
          </w:hyperlink>
        </w:p>
        <w:p w14:paraId="1AA32E64" w14:textId="35459D91" w:rsidR="00546E7B" w:rsidRDefault="00546E7B">
          <w:pPr>
            <w:pStyle w:val="TOC2"/>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94" w:history="1">
            <w:r w:rsidRPr="001C372E">
              <w:rPr>
                <w:rStyle w:val="Hyperlink"/>
                <w:noProof/>
              </w:rPr>
              <w:t>4.2 Final Investment Recommendation</w:t>
            </w:r>
            <w:r>
              <w:rPr>
                <w:noProof/>
                <w:webHidden/>
              </w:rPr>
              <w:tab/>
            </w:r>
            <w:r>
              <w:rPr>
                <w:noProof/>
                <w:webHidden/>
              </w:rPr>
              <w:fldChar w:fldCharType="begin"/>
            </w:r>
            <w:r>
              <w:rPr>
                <w:noProof/>
                <w:webHidden/>
              </w:rPr>
              <w:instrText xml:space="preserve"> PAGEREF _Toc213805394 \h </w:instrText>
            </w:r>
            <w:r>
              <w:rPr>
                <w:noProof/>
                <w:webHidden/>
              </w:rPr>
            </w:r>
            <w:r>
              <w:rPr>
                <w:noProof/>
                <w:webHidden/>
              </w:rPr>
              <w:fldChar w:fldCharType="separate"/>
            </w:r>
            <w:r>
              <w:rPr>
                <w:noProof/>
                <w:webHidden/>
              </w:rPr>
              <w:t>27</w:t>
            </w:r>
            <w:r>
              <w:rPr>
                <w:noProof/>
                <w:webHidden/>
              </w:rPr>
              <w:fldChar w:fldCharType="end"/>
            </w:r>
          </w:hyperlink>
        </w:p>
        <w:p w14:paraId="01377BD6" w14:textId="7564952C" w:rsidR="00546E7B" w:rsidRDefault="00546E7B">
          <w:pPr>
            <w:pStyle w:val="TOC2"/>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95" w:history="1">
            <w:r w:rsidRPr="001C372E">
              <w:rPr>
                <w:rStyle w:val="Hyperlink"/>
                <w:noProof/>
              </w:rPr>
              <w:t>4.3 Justification of the Recommendation</w:t>
            </w:r>
            <w:r>
              <w:rPr>
                <w:noProof/>
                <w:webHidden/>
              </w:rPr>
              <w:tab/>
            </w:r>
            <w:r>
              <w:rPr>
                <w:noProof/>
                <w:webHidden/>
              </w:rPr>
              <w:fldChar w:fldCharType="begin"/>
            </w:r>
            <w:r>
              <w:rPr>
                <w:noProof/>
                <w:webHidden/>
              </w:rPr>
              <w:instrText xml:space="preserve"> PAGEREF _Toc213805395 \h </w:instrText>
            </w:r>
            <w:r>
              <w:rPr>
                <w:noProof/>
                <w:webHidden/>
              </w:rPr>
            </w:r>
            <w:r>
              <w:rPr>
                <w:noProof/>
                <w:webHidden/>
              </w:rPr>
              <w:fldChar w:fldCharType="separate"/>
            </w:r>
            <w:r>
              <w:rPr>
                <w:noProof/>
                <w:webHidden/>
              </w:rPr>
              <w:t>28</w:t>
            </w:r>
            <w:r>
              <w:rPr>
                <w:noProof/>
                <w:webHidden/>
              </w:rPr>
              <w:fldChar w:fldCharType="end"/>
            </w:r>
          </w:hyperlink>
        </w:p>
        <w:p w14:paraId="48967B7C" w14:textId="71AE0457" w:rsidR="00546E7B" w:rsidRDefault="00546E7B">
          <w:pPr>
            <w:pStyle w:val="TOC1"/>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96" w:history="1">
            <w:r w:rsidRPr="001C372E">
              <w:rPr>
                <w:rStyle w:val="Hyperlink"/>
                <w:noProof/>
              </w:rPr>
              <w:t>5. Reference List</w:t>
            </w:r>
            <w:r>
              <w:rPr>
                <w:noProof/>
                <w:webHidden/>
              </w:rPr>
              <w:tab/>
            </w:r>
            <w:r>
              <w:rPr>
                <w:noProof/>
                <w:webHidden/>
              </w:rPr>
              <w:fldChar w:fldCharType="begin"/>
            </w:r>
            <w:r>
              <w:rPr>
                <w:noProof/>
                <w:webHidden/>
              </w:rPr>
              <w:instrText xml:space="preserve"> PAGEREF _Toc213805396 \h </w:instrText>
            </w:r>
            <w:r>
              <w:rPr>
                <w:noProof/>
                <w:webHidden/>
              </w:rPr>
            </w:r>
            <w:r>
              <w:rPr>
                <w:noProof/>
                <w:webHidden/>
              </w:rPr>
              <w:fldChar w:fldCharType="separate"/>
            </w:r>
            <w:r>
              <w:rPr>
                <w:noProof/>
                <w:webHidden/>
              </w:rPr>
              <w:t>30</w:t>
            </w:r>
            <w:r>
              <w:rPr>
                <w:noProof/>
                <w:webHidden/>
              </w:rPr>
              <w:fldChar w:fldCharType="end"/>
            </w:r>
          </w:hyperlink>
        </w:p>
        <w:p w14:paraId="500C2D79" w14:textId="0356505F" w:rsidR="00546E7B" w:rsidRDefault="00546E7B">
          <w:pPr>
            <w:pStyle w:val="TOC1"/>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97" w:history="1">
            <w:r w:rsidRPr="001C372E">
              <w:rPr>
                <w:rStyle w:val="Hyperlink"/>
                <w:noProof/>
              </w:rPr>
              <w:t>6. Appendices</w:t>
            </w:r>
            <w:r>
              <w:rPr>
                <w:noProof/>
                <w:webHidden/>
              </w:rPr>
              <w:tab/>
            </w:r>
            <w:r>
              <w:rPr>
                <w:noProof/>
                <w:webHidden/>
              </w:rPr>
              <w:fldChar w:fldCharType="begin"/>
            </w:r>
            <w:r>
              <w:rPr>
                <w:noProof/>
                <w:webHidden/>
              </w:rPr>
              <w:instrText xml:space="preserve"> PAGEREF _Toc213805397 \h </w:instrText>
            </w:r>
            <w:r>
              <w:rPr>
                <w:noProof/>
                <w:webHidden/>
              </w:rPr>
            </w:r>
            <w:r>
              <w:rPr>
                <w:noProof/>
                <w:webHidden/>
              </w:rPr>
              <w:fldChar w:fldCharType="separate"/>
            </w:r>
            <w:r>
              <w:rPr>
                <w:noProof/>
                <w:webHidden/>
              </w:rPr>
              <w:t>37</w:t>
            </w:r>
            <w:r>
              <w:rPr>
                <w:noProof/>
                <w:webHidden/>
              </w:rPr>
              <w:fldChar w:fldCharType="end"/>
            </w:r>
          </w:hyperlink>
        </w:p>
        <w:p w14:paraId="7E394FB3" w14:textId="7CD9EC9A" w:rsidR="00546E7B" w:rsidRDefault="00546E7B">
          <w:pPr>
            <w:pStyle w:val="TOC2"/>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98" w:history="1">
            <w:r w:rsidRPr="001C372E">
              <w:rPr>
                <w:rStyle w:val="Hyperlink"/>
                <w:noProof/>
              </w:rPr>
              <w:t>Appendix 1: Computation of Ratios</w:t>
            </w:r>
            <w:r>
              <w:rPr>
                <w:noProof/>
                <w:webHidden/>
              </w:rPr>
              <w:tab/>
            </w:r>
            <w:r>
              <w:rPr>
                <w:noProof/>
                <w:webHidden/>
              </w:rPr>
              <w:fldChar w:fldCharType="begin"/>
            </w:r>
            <w:r>
              <w:rPr>
                <w:noProof/>
                <w:webHidden/>
              </w:rPr>
              <w:instrText xml:space="preserve"> PAGEREF _Toc213805398 \h </w:instrText>
            </w:r>
            <w:r>
              <w:rPr>
                <w:noProof/>
                <w:webHidden/>
              </w:rPr>
            </w:r>
            <w:r>
              <w:rPr>
                <w:noProof/>
                <w:webHidden/>
              </w:rPr>
              <w:fldChar w:fldCharType="separate"/>
            </w:r>
            <w:r>
              <w:rPr>
                <w:noProof/>
                <w:webHidden/>
              </w:rPr>
              <w:t>37</w:t>
            </w:r>
            <w:r>
              <w:rPr>
                <w:noProof/>
                <w:webHidden/>
              </w:rPr>
              <w:fldChar w:fldCharType="end"/>
            </w:r>
          </w:hyperlink>
        </w:p>
        <w:p w14:paraId="77B37093" w14:textId="50CF6FBA" w:rsidR="00546E7B" w:rsidRDefault="00546E7B">
          <w:pPr>
            <w:pStyle w:val="TOC2"/>
            <w:tabs>
              <w:tab w:val="right" w:leader="dot" w:pos="9350"/>
            </w:tabs>
            <w:rPr>
              <w:rFonts w:asciiTheme="minorHAnsi" w:eastAsiaTheme="minorEastAsia" w:hAnsiTheme="minorHAnsi" w:cstheme="minorBidi"/>
              <w:noProof/>
              <w:color w:val="auto"/>
              <w:kern w:val="2"/>
              <w:highlight w:val="none"/>
              <w:lang w:val="en-US"/>
              <w14:ligatures w14:val="standardContextual"/>
            </w:rPr>
          </w:pPr>
          <w:hyperlink w:anchor="_Toc213805399" w:history="1">
            <w:r w:rsidRPr="001C372E">
              <w:rPr>
                <w:rStyle w:val="Hyperlink"/>
                <w:noProof/>
              </w:rPr>
              <w:t>Appendix 2: Calculations of Project Investment Appraisals</w:t>
            </w:r>
            <w:r>
              <w:rPr>
                <w:noProof/>
                <w:webHidden/>
              </w:rPr>
              <w:tab/>
            </w:r>
            <w:r>
              <w:rPr>
                <w:noProof/>
                <w:webHidden/>
              </w:rPr>
              <w:fldChar w:fldCharType="begin"/>
            </w:r>
            <w:r>
              <w:rPr>
                <w:noProof/>
                <w:webHidden/>
              </w:rPr>
              <w:instrText xml:space="preserve"> PAGEREF _Toc213805399 \h </w:instrText>
            </w:r>
            <w:r>
              <w:rPr>
                <w:noProof/>
                <w:webHidden/>
              </w:rPr>
            </w:r>
            <w:r>
              <w:rPr>
                <w:noProof/>
                <w:webHidden/>
              </w:rPr>
              <w:fldChar w:fldCharType="separate"/>
            </w:r>
            <w:r>
              <w:rPr>
                <w:noProof/>
                <w:webHidden/>
              </w:rPr>
              <w:t>38</w:t>
            </w:r>
            <w:r>
              <w:rPr>
                <w:noProof/>
                <w:webHidden/>
              </w:rPr>
              <w:fldChar w:fldCharType="end"/>
            </w:r>
          </w:hyperlink>
        </w:p>
        <w:p w14:paraId="4A1B5E69" w14:textId="39F29C7B" w:rsidR="00B90388" w:rsidRPr="00B90388" w:rsidRDefault="00B90388" w:rsidP="00B90388">
          <w:pPr>
            <w:spacing w:before="240"/>
          </w:pPr>
          <w:r w:rsidRPr="00B90388">
            <w:rPr>
              <w:b/>
              <w:bCs/>
            </w:rPr>
            <w:fldChar w:fldCharType="end"/>
          </w:r>
        </w:p>
      </w:sdtContent>
    </w:sdt>
    <w:p w14:paraId="786C760A" w14:textId="4C7E5D69" w:rsidR="00D64DB1" w:rsidRPr="00B90388" w:rsidRDefault="00000000" w:rsidP="00B90388">
      <w:pPr>
        <w:spacing w:before="240"/>
      </w:pPr>
      <w:r w:rsidRPr="00B90388">
        <w:br w:type="page"/>
      </w:r>
    </w:p>
    <w:p w14:paraId="73F95B6F" w14:textId="77777777" w:rsidR="00D64DB1" w:rsidRPr="00B90388" w:rsidRDefault="00000000" w:rsidP="00B90388">
      <w:pPr>
        <w:pStyle w:val="Heading1"/>
        <w:spacing w:before="240"/>
      </w:pPr>
      <w:bookmarkStart w:id="0" w:name="_2jgdr8yjbc5c" w:colFirst="0" w:colLast="0"/>
      <w:bookmarkStart w:id="1" w:name="_Toc213805379"/>
      <w:bookmarkEnd w:id="0"/>
      <w:r w:rsidRPr="00B90388">
        <w:lastRenderedPageBreak/>
        <w:t>1. Financial Health Assessment</w:t>
      </w:r>
      <w:bookmarkEnd w:id="1"/>
    </w:p>
    <w:p w14:paraId="4035B0A1" w14:textId="77777777" w:rsidR="00D64DB1" w:rsidRPr="00B90388" w:rsidRDefault="00000000" w:rsidP="00B90388">
      <w:pPr>
        <w:pStyle w:val="Heading2"/>
        <w:spacing w:before="240"/>
      </w:pPr>
      <w:bookmarkStart w:id="2" w:name="_ibt49otjvnuo" w:colFirst="0" w:colLast="0"/>
      <w:bookmarkStart w:id="3" w:name="_Toc213805380"/>
      <w:bookmarkEnd w:id="2"/>
      <w:r w:rsidRPr="00B90388">
        <w:t>1.1 Financial Statements Analysis</w:t>
      </w:r>
      <w:bookmarkEnd w:id="3"/>
      <w:r w:rsidRPr="00B90388">
        <w:t xml:space="preserve"> </w:t>
      </w:r>
    </w:p>
    <w:p w14:paraId="66C5DB57" w14:textId="61444468" w:rsidR="00D64DB1" w:rsidRPr="00B90388" w:rsidRDefault="00000000" w:rsidP="00B90388">
      <w:pPr>
        <w:spacing w:before="240"/>
      </w:pPr>
      <w:r w:rsidRPr="00B90388">
        <w:t>The financial performance of General Electronics shows that the last two years 2020-2024 have a drastic decline in income.</w:t>
      </w:r>
      <w:r w:rsidR="0022007C">
        <w:t xml:space="preserve"> </w:t>
      </w:r>
      <w:r w:rsidRPr="00B90388">
        <w:t xml:space="preserve">The net sales decreased steadily in 2020 (£614,680m) to 2024 (£394,879m) </w:t>
      </w:r>
      <w:proofErr w:type="gramStart"/>
      <w:r w:rsidRPr="00B90388">
        <w:t>as a result of</w:t>
      </w:r>
      <w:proofErr w:type="gramEnd"/>
      <w:r w:rsidRPr="00B90388">
        <w:t xml:space="preserve"> a lack of competitiveness in the market and the decreased demand. Even though the low gross profit in 2022 (£152,292m) was slightly reversed, this was short-term as operating expenses grew, peaking in 2023 (£182,861m), eroded profitability and resulted in consecutive net losses of £98,238m and £24,029m in the respective years of 2023 and </w:t>
      </w:r>
      <w:r w:rsidR="00E47284" w:rsidRPr="00B90388">
        <w:t>2024.</w:t>
      </w:r>
    </w:p>
    <w:p w14:paraId="4F7C840D" w14:textId="77777777" w:rsidR="00D64DB1" w:rsidRPr="00B90388" w:rsidRDefault="00000000" w:rsidP="00B90388">
      <w:pPr>
        <w:spacing w:before="240"/>
        <w:jc w:val="center"/>
        <w:rPr>
          <w:b/>
        </w:rPr>
      </w:pPr>
      <w:r w:rsidRPr="00B90388">
        <w:rPr>
          <w:b/>
          <w:noProof/>
        </w:rPr>
        <w:drawing>
          <wp:inline distT="114300" distB="114300" distL="114300" distR="114300" wp14:anchorId="711025E6" wp14:editId="7CF86B17">
            <wp:extent cx="4724400" cy="3762375"/>
            <wp:effectExtent l="0" t="0" r="0" b="9525"/>
            <wp:docPr id="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9"/>
                    <a:srcRect/>
                    <a:stretch>
                      <a:fillRect/>
                    </a:stretch>
                  </pic:blipFill>
                  <pic:spPr>
                    <a:xfrm>
                      <a:off x="0" y="0"/>
                      <a:ext cx="4724909" cy="3762780"/>
                    </a:xfrm>
                    <a:prstGeom prst="rect">
                      <a:avLst/>
                    </a:prstGeom>
                    <a:ln/>
                  </pic:spPr>
                </pic:pic>
              </a:graphicData>
            </a:graphic>
          </wp:inline>
        </w:drawing>
      </w:r>
    </w:p>
    <w:p w14:paraId="010DBBFC" w14:textId="5F01F04C" w:rsidR="00E47284" w:rsidRDefault="00E47284" w:rsidP="00E47284">
      <w:pPr>
        <w:pStyle w:val="Caption"/>
        <w:jc w:val="center"/>
        <w:rPr>
          <w:b/>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BC6D90">
        <w:t>Income Statement (£m) of General Electronics</w:t>
      </w:r>
    </w:p>
    <w:p w14:paraId="76B9C6AF" w14:textId="2DDF52B5" w:rsidR="00D64DB1" w:rsidRPr="00B90388" w:rsidRDefault="00000000" w:rsidP="00B90388">
      <w:pPr>
        <w:spacing w:before="240"/>
        <w:jc w:val="center"/>
      </w:pPr>
      <w:r w:rsidRPr="00B90388">
        <w:t xml:space="preserve">(Source: </w:t>
      </w:r>
      <w:r w:rsidR="00CA5A09">
        <w:t>As provided</w:t>
      </w:r>
      <w:r w:rsidRPr="00B90388">
        <w:t>)</w:t>
      </w:r>
    </w:p>
    <w:p w14:paraId="5008277A" w14:textId="77777777" w:rsidR="00D64DB1" w:rsidRPr="00B90388" w:rsidRDefault="00000000" w:rsidP="00B90388">
      <w:pPr>
        <w:spacing w:before="240"/>
      </w:pPr>
      <w:r w:rsidRPr="00B90388">
        <w:t xml:space="preserve">The decreasing operating income and other volatile income indicate that there are inefficiencies in cost management and there might be asset depreciation. The continual </w:t>
      </w:r>
      <w:r w:rsidRPr="00B90388">
        <w:lastRenderedPageBreak/>
        <w:t>losses will mean low operational leverage and low resource utilisation (Income, 2020). This trend shows that it is imperative to restructure, optimize spending, and invest in innovation again to become profitable.</w:t>
      </w:r>
    </w:p>
    <w:p w14:paraId="63DF4F8E" w14:textId="77777777" w:rsidR="00D64DB1" w:rsidRPr="00B90388" w:rsidRDefault="00000000" w:rsidP="00B90388">
      <w:pPr>
        <w:spacing w:before="240"/>
        <w:jc w:val="left"/>
      </w:pPr>
      <w:r w:rsidRPr="00B90388">
        <w:rPr>
          <w:b/>
          <w:u w:val="single"/>
        </w:rPr>
        <w:t>Balance Sheet Statement: -</w:t>
      </w:r>
    </w:p>
    <w:p w14:paraId="08FBEB6E" w14:textId="462648AB" w:rsidR="00D64DB1" w:rsidRPr="00B90388" w:rsidRDefault="00000000" w:rsidP="00B90388">
      <w:pPr>
        <w:spacing w:before="240"/>
      </w:pPr>
      <w:r w:rsidRPr="00B90388">
        <w:t xml:space="preserve">The combined balance sheet of General Electronics indicates the deteriorating quality of assets and the deterioration of the equity. Total assets decreased between 2020 and 2024 by more than £510,290m to £323,354m and </w:t>
      </w:r>
      <w:r w:rsidR="00E47284" w:rsidRPr="00B90388">
        <w:t>a</w:t>
      </w:r>
      <w:r w:rsidRPr="00B90388">
        <w:t xml:space="preserve"> major part of it was caused by the fall in inventories and property, plant and equipment, suggesting the existence of asset disposals or impairment write downs. Current liabilities are high (£158,291m in 2024) this squeezes liquidity and indicates that it faces short term solvency pressure. Even though paid in capital continued to rise steadily, retained earnings shrank drastically by £324,990m in 2020 to £208,431m in 2024 </w:t>
      </w:r>
      <w:proofErr w:type="gramStart"/>
      <w:r w:rsidRPr="00B90388">
        <w:t>as a result of</w:t>
      </w:r>
      <w:proofErr w:type="gramEnd"/>
      <w:r w:rsidRPr="00B90388">
        <w:t xml:space="preserve"> accumulated losses. </w:t>
      </w:r>
    </w:p>
    <w:p w14:paraId="4383A391" w14:textId="77777777" w:rsidR="00D64DB1" w:rsidRPr="00B90388" w:rsidRDefault="00000000" w:rsidP="00B90388">
      <w:pPr>
        <w:spacing w:before="240"/>
        <w:jc w:val="center"/>
      </w:pPr>
      <w:r w:rsidRPr="00B90388">
        <w:rPr>
          <w:noProof/>
        </w:rPr>
        <w:lastRenderedPageBreak/>
        <w:drawing>
          <wp:inline distT="114300" distB="114300" distL="114300" distR="114300" wp14:anchorId="541000A3" wp14:editId="27B75B65">
            <wp:extent cx="5052695" cy="5362575"/>
            <wp:effectExtent l="0" t="0" r="0" b="9525"/>
            <wp:docPr id="3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0"/>
                    <a:srcRect/>
                    <a:stretch>
                      <a:fillRect/>
                    </a:stretch>
                  </pic:blipFill>
                  <pic:spPr>
                    <a:xfrm>
                      <a:off x="0" y="0"/>
                      <a:ext cx="5053015" cy="5362915"/>
                    </a:xfrm>
                    <a:prstGeom prst="rect">
                      <a:avLst/>
                    </a:prstGeom>
                    <a:ln/>
                  </pic:spPr>
                </pic:pic>
              </a:graphicData>
            </a:graphic>
          </wp:inline>
        </w:drawing>
      </w:r>
    </w:p>
    <w:p w14:paraId="7ED277F8" w14:textId="1C161C37" w:rsidR="00E47284" w:rsidRDefault="00E47284" w:rsidP="00E47284">
      <w:pPr>
        <w:pStyle w:val="Caption"/>
        <w:jc w:val="center"/>
        <w:rPr>
          <w:b/>
        </w:rPr>
      </w:pPr>
      <w:r>
        <w:t xml:space="preserve">Figure </w:t>
      </w:r>
      <w:r>
        <w:fldChar w:fldCharType="begin"/>
      </w:r>
      <w:r>
        <w:instrText xml:space="preserve"> SEQ Figure \* ARABIC </w:instrText>
      </w:r>
      <w:r>
        <w:fldChar w:fldCharType="separate"/>
      </w:r>
      <w:r>
        <w:rPr>
          <w:noProof/>
        </w:rPr>
        <w:t>2</w:t>
      </w:r>
      <w:r>
        <w:fldChar w:fldCharType="end"/>
      </w:r>
      <w:r>
        <w:t xml:space="preserve">: </w:t>
      </w:r>
      <w:r w:rsidRPr="003E101A">
        <w:t>Statement of Financial Position (£m) of General Electronics</w:t>
      </w:r>
    </w:p>
    <w:p w14:paraId="6768B7FA" w14:textId="6ED55A20" w:rsidR="00D64DB1" w:rsidRPr="00B90388" w:rsidRDefault="00000000" w:rsidP="00B90388">
      <w:pPr>
        <w:spacing w:before="240"/>
        <w:jc w:val="center"/>
      </w:pPr>
      <w:r w:rsidRPr="00B90388">
        <w:t xml:space="preserve">(Source: </w:t>
      </w:r>
      <w:r w:rsidR="00CA5A09">
        <w:t>As provided</w:t>
      </w:r>
      <w:r w:rsidRPr="00B90388">
        <w:t>)</w:t>
      </w:r>
    </w:p>
    <w:p w14:paraId="3766DCF8" w14:textId="0645E7A0" w:rsidR="00D64DB1" w:rsidRPr="00B90388" w:rsidRDefault="00000000" w:rsidP="00B90388">
      <w:pPr>
        <w:spacing w:before="240"/>
      </w:pPr>
      <w:r w:rsidRPr="00B90388">
        <w:t xml:space="preserve">This reduction in </w:t>
      </w:r>
      <w:r w:rsidR="00E47284" w:rsidRPr="00B90388">
        <w:t>shareholders’</w:t>
      </w:r>
      <w:r w:rsidRPr="00B90388">
        <w:t xml:space="preserve"> equity of £313301m to £153105m shows that there is extensive loss in value. Besides, the increase in the number of treasury stock indicates excess stock buybacks in case of dwindling performance as per Arimany Serrat, </w:t>
      </w:r>
      <w:proofErr w:type="spellStart"/>
      <w:r w:rsidRPr="00B90388">
        <w:t>Farreras</w:t>
      </w:r>
      <w:proofErr w:type="spellEnd"/>
      <w:r w:rsidRPr="00B90388">
        <w:t xml:space="preserve"> Noguer, and </w:t>
      </w:r>
      <w:proofErr w:type="spellStart"/>
      <w:r w:rsidRPr="00B90388">
        <w:t>Coenders</w:t>
      </w:r>
      <w:proofErr w:type="spellEnd"/>
      <w:r w:rsidRPr="00B90388">
        <w:t>, (2022). Such balance sheet structure means over-leverage and under investment in productive assets such that, capital restructuring and better management of working capital are required (Olayinka, 2022).</w:t>
      </w:r>
    </w:p>
    <w:p w14:paraId="0037E632" w14:textId="77777777" w:rsidR="00D64DB1" w:rsidRPr="00B90388" w:rsidRDefault="00000000" w:rsidP="00B90388">
      <w:pPr>
        <w:spacing w:before="240"/>
        <w:jc w:val="left"/>
        <w:rPr>
          <w:b/>
          <w:u w:val="single"/>
        </w:rPr>
      </w:pPr>
      <w:r w:rsidRPr="00B90388">
        <w:rPr>
          <w:b/>
          <w:u w:val="single"/>
        </w:rPr>
        <w:lastRenderedPageBreak/>
        <w:t xml:space="preserve">Cash Flow Statement: - </w:t>
      </w:r>
    </w:p>
    <w:p w14:paraId="7B86C64E" w14:textId="77777777" w:rsidR="00D64DB1" w:rsidRPr="00B90388" w:rsidRDefault="00000000" w:rsidP="00B90388">
      <w:pPr>
        <w:spacing w:before="240"/>
        <w:jc w:val="center"/>
        <w:rPr>
          <w:b/>
        </w:rPr>
      </w:pPr>
      <w:r w:rsidRPr="00B90388">
        <w:rPr>
          <w:b/>
          <w:noProof/>
        </w:rPr>
        <w:drawing>
          <wp:inline distT="114300" distB="114300" distL="114300" distR="114300" wp14:anchorId="5329396F" wp14:editId="69108D81">
            <wp:extent cx="4752975" cy="6381750"/>
            <wp:effectExtent l="0" t="0" r="9525" b="0"/>
            <wp:docPr id="1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4753591" cy="6382577"/>
                    </a:xfrm>
                    <a:prstGeom prst="rect">
                      <a:avLst/>
                    </a:prstGeom>
                    <a:ln/>
                  </pic:spPr>
                </pic:pic>
              </a:graphicData>
            </a:graphic>
          </wp:inline>
        </w:drawing>
      </w:r>
    </w:p>
    <w:p w14:paraId="10F85A76" w14:textId="75E30577" w:rsidR="00E47284" w:rsidRDefault="00E47284" w:rsidP="00E47284">
      <w:pPr>
        <w:pStyle w:val="Caption"/>
        <w:jc w:val="center"/>
        <w:rPr>
          <w:b/>
        </w:rPr>
      </w:pPr>
      <w:r>
        <w:t xml:space="preserve">Figure </w:t>
      </w:r>
      <w:r>
        <w:fldChar w:fldCharType="begin"/>
      </w:r>
      <w:r>
        <w:instrText xml:space="preserve"> SEQ Figure \* ARABIC </w:instrText>
      </w:r>
      <w:r>
        <w:fldChar w:fldCharType="separate"/>
      </w:r>
      <w:r>
        <w:rPr>
          <w:noProof/>
        </w:rPr>
        <w:t>3</w:t>
      </w:r>
      <w:r>
        <w:fldChar w:fldCharType="end"/>
      </w:r>
      <w:r>
        <w:t xml:space="preserve">: </w:t>
      </w:r>
      <w:r w:rsidRPr="00544F6A">
        <w:t>Cash Flow Statement (£m) of General Electronics</w:t>
      </w:r>
    </w:p>
    <w:p w14:paraId="53F3F75E" w14:textId="411A5E06" w:rsidR="00D64DB1" w:rsidRPr="00B90388" w:rsidRDefault="00000000" w:rsidP="00B90388">
      <w:pPr>
        <w:spacing w:before="240"/>
        <w:jc w:val="center"/>
      </w:pPr>
      <w:r w:rsidRPr="00B90388">
        <w:t xml:space="preserve">(Source: </w:t>
      </w:r>
      <w:r w:rsidR="00CA5A09">
        <w:t>As provided</w:t>
      </w:r>
      <w:r w:rsidRPr="00B90388">
        <w:t>)</w:t>
      </w:r>
    </w:p>
    <w:p w14:paraId="5165C2F7" w14:textId="77777777" w:rsidR="00D64DB1" w:rsidRPr="00B90388" w:rsidRDefault="00000000" w:rsidP="00B90388">
      <w:pPr>
        <w:spacing w:before="240"/>
      </w:pPr>
      <w:r w:rsidRPr="00B90388">
        <w:lastRenderedPageBreak/>
        <w:t>Cash flow statement shows that the liquidity is strained despite having positive operating inflows at £14,822m in 2024. The amount of cash generated decreased significantly as compared to £73,392m in 2020 indicating a lower level of profitability and inefficiency in the working capacity. Moreover, the outflows in investing activities are always in the form of capital expenditures and intangible asset purchases whereas the financing activities are volatile because of the high level of borrowings and repayment under credit lines. The change of the year end cash between £57,153m and 26,783m in between FY2020 to 2024 shows the decreased cash reserves and the lack of financial flexibility. Continuous negative trends demonstrate the necessity of payments of more strict cash management, capital priority, and reorganization of funding requirements (Vítek, 2021).</w:t>
      </w:r>
    </w:p>
    <w:p w14:paraId="47F55433" w14:textId="77777777" w:rsidR="00D64DB1" w:rsidRPr="00B90388" w:rsidRDefault="00000000" w:rsidP="00B90388">
      <w:pPr>
        <w:pStyle w:val="Heading2"/>
        <w:spacing w:before="240"/>
      </w:pPr>
      <w:bookmarkStart w:id="4" w:name="_qv8w6k4ox7al" w:colFirst="0" w:colLast="0"/>
      <w:bookmarkStart w:id="5" w:name="_Toc213805381"/>
      <w:bookmarkEnd w:id="4"/>
      <w:r w:rsidRPr="00B90388">
        <w:t>1.2 Analysis of Financial Ratios Analysis</w:t>
      </w:r>
      <w:bookmarkEnd w:id="5"/>
    </w:p>
    <w:p w14:paraId="29ABF388" w14:textId="77777777" w:rsidR="00D64DB1" w:rsidRPr="00B90388" w:rsidRDefault="00000000" w:rsidP="00B90388">
      <w:pPr>
        <w:spacing w:before="240"/>
        <w:rPr>
          <w:b/>
          <w:i/>
        </w:rPr>
      </w:pPr>
      <w:r w:rsidRPr="00B90388">
        <w:rPr>
          <w:b/>
          <w:i/>
        </w:rPr>
        <w:t xml:space="preserve">Profitability Ratios </w:t>
      </w:r>
    </w:p>
    <w:p w14:paraId="44AA7B6D" w14:textId="77777777" w:rsidR="00D64DB1" w:rsidRPr="00B90388" w:rsidRDefault="00000000" w:rsidP="00B90388">
      <w:pPr>
        <w:spacing w:before="240"/>
      </w:pPr>
      <w:r w:rsidRPr="00B90388">
        <w:t xml:space="preserve">The financial statements have shown a rapid loss of profitability of General Electronics between 2020 and 2024, which is characterized by structural inefficiencies and falling competitiveness in the market. The return on capital employed turns negative at -9.27% in the year 2024 which was recorded at 11.27% in 2020.  It signifies poor utilization of the employed capital in the business and the need for strategic reformation (Shem and </w:t>
      </w:r>
      <w:proofErr w:type="spellStart"/>
      <w:r w:rsidRPr="00B90388">
        <w:t>Mupa</w:t>
      </w:r>
      <w:proofErr w:type="spellEnd"/>
      <w:r w:rsidRPr="00B90388">
        <w:t xml:space="preserve">, 2024). The operating profit margin declined to -3.87% compared to 6.06% and the net profit margin also dropped to -6.09% compared to 6.28 percent which is a sign of excessive cost revenue imbalance. </w:t>
      </w:r>
    </w:p>
    <w:p w14:paraId="5B4DE853" w14:textId="77777777" w:rsidR="00D64DB1" w:rsidRPr="00B90388" w:rsidRDefault="00000000" w:rsidP="00B90388">
      <w:pPr>
        <w:spacing w:before="240"/>
        <w:jc w:val="center"/>
        <w:rPr>
          <w:b/>
          <w:i/>
        </w:rPr>
      </w:pPr>
      <w:r w:rsidRPr="00B90388">
        <w:rPr>
          <w:b/>
          <w:i/>
          <w:noProof/>
        </w:rPr>
        <w:drawing>
          <wp:inline distT="114300" distB="114300" distL="114300" distR="114300" wp14:anchorId="194D2B48" wp14:editId="40823103">
            <wp:extent cx="5943600" cy="1066800"/>
            <wp:effectExtent l="0" t="0" r="0" b="0"/>
            <wp:docPr id="24"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2"/>
                    <a:srcRect/>
                    <a:stretch>
                      <a:fillRect/>
                    </a:stretch>
                  </pic:blipFill>
                  <pic:spPr>
                    <a:xfrm>
                      <a:off x="0" y="0"/>
                      <a:ext cx="5943600" cy="1066800"/>
                    </a:xfrm>
                    <a:prstGeom prst="rect">
                      <a:avLst/>
                    </a:prstGeom>
                    <a:ln/>
                  </pic:spPr>
                </pic:pic>
              </a:graphicData>
            </a:graphic>
          </wp:inline>
        </w:drawing>
      </w:r>
    </w:p>
    <w:p w14:paraId="46B47B16" w14:textId="2861F231" w:rsidR="00E47284" w:rsidRDefault="00E47284" w:rsidP="00E47284">
      <w:pPr>
        <w:pStyle w:val="Caption"/>
        <w:jc w:val="center"/>
        <w:rPr>
          <w:b/>
        </w:rPr>
      </w:pPr>
      <w:r>
        <w:t xml:space="preserve">Table </w:t>
      </w:r>
      <w:r>
        <w:fldChar w:fldCharType="begin"/>
      </w:r>
      <w:r>
        <w:instrText xml:space="preserve"> SEQ Table \* ARABIC </w:instrText>
      </w:r>
      <w:r>
        <w:fldChar w:fldCharType="separate"/>
      </w:r>
      <w:r>
        <w:rPr>
          <w:noProof/>
        </w:rPr>
        <w:t>1</w:t>
      </w:r>
      <w:r>
        <w:fldChar w:fldCharType="end"/>
      </w:r>
      <w:r>
        <w:t xml:space="preserve">: </w:t>
      </w:r>
      <w:r w:rsidRPr="00A3322A">
        <w:t>Outcome of Profitability ratios</w:t>
      </w:r>
    </w:p>
    <w:p w14:paraId="3E236E8E" w14:textId="77777777" w:rsidR="00D64DB1" w:rsidRPr="00B90388" w:rsidRDefault="00000000" w:rsidP="00B90388">
      <w:pPr>
        <w:spacing w:before="240"/>
      </w:pPr>
      <w:r w:rsidRPr="00B90388">
        <w:t xml:space="preserve">Even though its gross margins are </w:t>
      </w:r>
      <w:proofErr w:type="gramStart"/>
      <w:r w:rsidRPr="00B90388">
        <w:t>fairly stable</w:t>
      </w:r>
      <w:proofErr w:type="gramEnd"/>
      <w:r w:rsidRPr="00B90388">
        <w:t xml:space="preserve"> (28%), operating costs have been increasing, a sign of poor cost management and ineffective strategic focus. The fact that the company cannot translate the revenue into sustainable profit shows that the company requires </w:t>
      </w:r>
      <w:r w:rsidRPr="00B90388">
        <w:lastRenderedPageBreak/>
        <w:t xml:space="preserve">restructuring and cost rationalization as well as the new investment in innovation and other high-margin segments as suggested by </w:t>
      </w:r>
      <w:proofErr w:type="spellStart"/>
      <w:r w:rsidRPr="00B90388">
        <w:t>Mavlutova</w:t>
      </w:r>
      <w:proofErr w:type="spellEnd"/>
      <w:r w:rsidRPr="00B90388">
        <w:t xml:space="preserve"> et al. (2021).</w:t>
      </w:r>
    </w:p>
    <w:p w14:paraId="705504D7" w14:textId="77777777" w:rsidR="00D64DB1" w:rsidRPr="00B90388" w:rsidRDefault="00000000" w:rsidP="00B90388">
      <w:pPr>
        <w:spacing w:before="240"/>
        <w:jc w:val="left"/>
      </w:pPr>
      <w:r w:rsidRPr="00B90388">
        <w:rPr>
          <w:noProof/>
        </w:rPr>
        <w:drawing>
          <wp:inline distT="114300" distB="114300" distL="114300" distR="114300" wp14:anchorId="5D9F2158" wp14:editId="2B277E3F">
            <wp:extent cx="5876925" cy="3533775"/>
            <wp:effectExtent l="0" t="0" r="9525" b="9525"/>
            <wp:docPr id="29"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3"/>
                    <a:srcRect/>
                    <a:stretch>
                      <a:fillRect/>
                    </a:stretch>
                  </pic:blipFill>
                  <pic:spPr>
                    <a:xfrm>
                      <a:off x="0" y="0"/>
                      <a:ext cx="5876925" cy="3533775"/>
                    </a:xfrm>
                    <a:prstGeom prst="rect">
                      <a:avLst/>
                    </a:prstGeom>
                    <a:ln/>
                  </pic:spPr>
                </pic:pic>
              </a:graphicData>
            </a:graphic>
          </wp:inline>
        </w:drawing>
      </w:r>
    </w:p>
    <w:p w14:paraId="05D3EF75" w14:textId="00C4F88C" w:rsidR="00E47284" w:rsidRDefault="00E47284" w:rsidP="00E47284">
      <w:pPr>
        <w:pStyle w:val="Caption"/>
        <w:jc w:val="center"/>
        <w:rPr>
          <w:b/>
        </w:rPr>
      </w:pPr>
      <w:r>
        <w:t xml:space="preserve">Figure </w:t>
      </w:r>
      <w:r>
        <w:fldChar w:fldCharType="begin"/>
      </w:r>
      <w:r>
        <w:instrText xml:space="preserve"> SEQ Figure \* ARABIC </w:instrText>
      </w:r>
      <w:r>
        <w:fldChar w:fldCharType="separate"/>
      </w:r>
      <w:r>
        <w:rPr>
          <w:noProof/>
        </w:rPr>
        <w:t>4</w:t>
      </w:r>
      <w:r>
        <w:fldChar w:fldCharType="end"/>
      </w:r>
      <w:r>
        <w:t xml:space="preserve">: </w:t>
      </w:r>
      <w:r w:rsidRPr="00561BCF">
        <w:t>Profitability Ratios</w:t>
      </w:r>
    </w:p>
    <w:p w14:paraId="220BD5B9" w14:textId="77777777" w:rsidR="00D64DB1" w:rsidRPr="00B90388" w:rsidRDefault="00000000" w:rsidP="00B90388">
      <w:pPr>
        <w:spacing w:before="240"/>
        <w:jc w:val="center"/>
      </w:pPr>
      <w:r w:rsidRPr="00B90388">
        <w:t>(Source: Self-developed)</w:t>
      </w:r>
    </w:p>
    <w:p w14:paraId="3B12E62F" w14:textId="77777777" w:rsidR="00D64DB1" w:rsidRPr="00B90388" w:rsidRDefault="00000000" w:rsidP="00B90388">
      <w:pPr>
        <w:spacing w:before="240"/>
        <w:rPr>
          <w:b/>
          <w:i/>
        </w:rPr>
      </w:pPr>
      <w:r w:rsidRPr="00B90388">
        <w:rPr>
          <w:b/>
          <w:i/>
        </w:rPr>
        <w:t xml:space="preserve">Liquidity Ratios </w:t>
      </w:r>
    </w:p>
    <w:p w14:paraId="5F1579F4" w14:textId="77777777" w:rsidR="00D64DB1" w:rsidRPr="00B90388" w:rsidRDefault="00000000" w:rsidP="00B90388">
      <w:pPr>
        <w:spacing w:before="240"/>
      </w:pPr>
      <w:r w:rsidRPr="00B90388">
        <w:t>There has been a deterioration in liquidity, a current ratio of 1.82 (2020) has deteriorated to 1.53 (2024) and the quick ratio of 1.15 to 1.03. Even though both ratios are not below 1, the direction is towards the declining short-term solvency, and tightening working capital control. The decrease in the current assets, especially cash and inventories, and the relatively steady current liabilities has limited the flexibility of liquidity. Such findings show that the company might fail to pay short-term debts without external financing. Poor inventory control and decreased receivables turnover further exert pressure on liquidity and better credit control, therefore working capital optimization is also required as per Ombui et al. (2024).</w:t>
      </w:r>
    </w:p>
    <w:p w14:paraId="55F48086" w14:textId="77777777" w:rsidR="00D64DB1" w:rsidRPr="00B90388" w:rsidRDefault="00000000" w:rsidP="00B90388">
      <w:pPr>
        <w:spacing w:before="240"/>
      </w:pPr>
      <w:r w:rsidRPr="00B90388">
        <w:rPr>
          <w:noProof/>
        </w:rPr>
        <w:lastRenderedPageBreak/>
        <w:drawing>
          <wp:inline distT="114300" distB="114300" distL="114300" distR="114300" wp14:anchorId="71B191EA" wp14:editId="4437B153">
            <wp:extent cx="5943600" cy="635000"/>
            <wp:effectExtent l="0" t="0" r="0" b="0"/>
            <wp:docPr id="1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943600" cy="635000"/>
                    </a:xfrm>
                    <a:prstGeom prst="rect">
                      <a:avLst/>
                    </a:prstGeom>
                    <a:ln/>
                  </pic:spPr>
                </pic:pic>
              </a:graphicData>
            </a:graphic>
          </wp:inline>
        </w:drawing>
      </w:r>
    </w:p>
    <w:p w14:paraId="191C4EFA" w14:textId="476F28FD" w:rsidR="00E47284" w:rsidRDefault="00E47284" w:rsidP="00E47284">
      <w:pPr>
        <w:pStyle w:val="Caption"/>
        <w:jc w:val="center"/>
        <w:rPr>
          <w:b/>
        </w:rPr>
      </w:pPr>
      <w:r>
        <w:t xml:space="preserve">Table </w:t>
      </w:r>
      <w:r>
        <w:fldChar w:fldCharType="begin"/>
      </w:r>
      <w:r>
        <w:instrText xml:space="preserve"> SEQ Table \* ARABIC </w:instrText>
      </w:r>
      <w:r>
        <w:fldChar w:fldCharType="separate"/>
      </w:r>
      <w:r>
        <w:rPr>
          <w:noProof/>
        </w:rPr>
        <w:t>2</w:t>
      </w:r>
      <w:r>
        <w:fldChar w:fldCharType="end"/>
      </w:r>
      <w:r>
        <w:t xml:space="preserve">: </w:t>
      </w:r>
      <w:r w:rsidRPr="00DB1DCD">
        <w:t>Outcome of Liquidity Ratios</w:t>
      </w:r>
    </w:p>
    <w:p w14:paraId="13625A6D" w14:textId="77777777" w:rsidR="00D64DB1" w:rsidRPr="00B90388" w:rsidRDefault="00000000" w:rsidP="00B90388">
      <w:pPr>
        <w:spacing w:before="240"/>
      </w:pPr>
      <w:r w:rsidRPr="00B90388">
        <w:rPr>
          <w:noProof/>
        </w:rPr>
        <w:drawing>
          <wp:inline distT="114300" distB="114300" distL="114300" distR="114300" wp14:anchorId="279A859C" wp14:editId="6E047DF2">
            <wp:extent cx="5943600" cy="2781300"/>
            <wp:effectExtent l="0" t="0" r="0" b="0"/>
            <wp:docPr id="2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5"/>
                    <a:srcRect/>
                    <a:stretch>
                      <a:fillRect/>
                    </a:stretch>
                  </pic:blipFill>
                  <pic:spPr>
                    <a:xfrm>
                      <a:off x="0" y="0"/>
                      <a:ext cx="5943600" cy="2781300"/>
                    </a:xfrm>
                    <a:prstGeom prst="rect">
                      <a:avLst/>
                    </a:prstGeom>
                    <a:ln/>
                  </pic:spPr>
                </pic:pic>
              </a:graphicData>
            </a:graphic>
          </wp:inline>
        </w:drawing>
      </w:r>
    </w:p>
    <w:p w14:paraId="61C22580" w14:textId="3CD4B731" w:rsidR="00E47284" w:rsidRDefault="00E47284" w:rsidP="00E47284">
      <w:pPr>
        <w:pStyle w:val="Caption"/>
        <w:jc w:val="center"/>
        <w:rPr>
          <w:b/>
        </w:rPr>
      </w:pPr>
      <w:r>
        <w:t xml:space="preserve">Figure </w:t>
      </w:r>
      <w:r>
        <w:fldChar w:fldCharType="begin"/>
      </w:r>
      <w:r>
        <w:instrText xml:space="preserve"> SEQ Figure \* ARABIC </w:instrText>
      </w:r>
      <w:r>
        <w:fldChar w:fldCharType="separate"/>
      </w:r>
      <w:r>
        <w:rPr>
          <w:noProof/>
        </w:rPr>
        <w:t>5</w:t>
      </w:r>
      <w:r>
        <w:fldChar w:fldCharType="end"/>
      </w:r>
      <w:r>
        <w:t xml:space="preserve">: </w:t>
      </w:r>
      <w:r w:rsidRPr="00AE6A39">
        <w:t>Liquidity Ratios</w:t>
      </w:r>
    </w:p>
    <w:p w14:paraId="3F79EF9E" w14:textId="77777777" w:rsidR="00D64DB1" w:rsidRPr="00B90388" w:rsidRDefault="00000000" w:rsidP="00B90388">
      <w:pPr>
        <w:spacing w:before="240"/>
        <w:jc w:val="center"/>
      </w:pPr>
      <w:r w:rsidRPr="00B90388">
        <w:t>(Source: Self-developed)</w:t>
      </w:r>
    </w:p>
    <w:p w14:paraId="43EA4F5F" w14:textId="77777777" w:rsidR="00D64DB1" w:rsidRPr="00B90388" w:rsidRDefault="00000000" w:rsidP="00B90388">
      <w:pPr>
        <w:spacing w:before="240"/>
        <w:jc w:val="left"/>
        <w:rPr>
          <w:b/>
          <w:i/>
        </w:rPr>
      </w:pPr>
      <w:r w:rsidRPr="00B90388">
        <w:rPr>
          <w:b/>
          <w:i/>
        </w:rPr>
        <w:t xml:space="preserve">Efficiency Ratios </w:t>
      </w:r>
    </w:p>
    <w:p w14:paraId="0EF3DA96" w14:textId="77777777" w:rsidR="00D64DB1" w:rsidRPr="00B90388" w:rsidRDefault="00000000" w:rsidP="00B90388">
      <w:pPr>
        <w:spacing w:before="240"/>
      </w:pPr>
      <w:r w:rsidRPr="00B90388">
        <w:t xml:space="preserve">Efficiency ratios show that there is a falling operational effectiveness. Inventory days were also irregular with 129 days being recorded in 2023 and then reducing to 109 days in 2024 indicating poor stock control. The days accounts receivable deteriorated to 106 days in 2011 as compared to 77 days in 2010, which shows that it takes longer to collect and the possible credit policy is weak. </w:t>
      </w:r>
      <w:r w:rsidRPr="00B90388">
        <w:rPr>
          <w:noProof/>
        </w:rPr>
        <w:drawing>
          <wp:inline distT="114300" distB="114300" distL="114300" distR="114300" wp14:anchorId="3D60A9AC" wp14:editId="4059EF98">
            <wp:extent cx="5943600" cy="850900"/>
            <wp:effectExtent l="0" t="0" r="0" b="0"/>
            <wp:docPr id="2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6"/>
                    <a:srcRect/>
                    <a:stretch>
                      <a:fillRect/>
                    </a:stretch>
                  </pic:blipFill>
                  <pic:spPr>
                    <a:xfrm>
                      <a:off x="0" y="0"/>
                      <a:ext cx="5943600" cy="850900"/>
                    </a:xfrm>
                    <a:prstGeom prst="rect">
                      <a:avLst/>
                    </a:prstGeom>
                    <a:ln/>
                  </pic:spPr>
                </pic:pic>
              </a:graphicData>
            </a:graphic>
          </wp:inline>
        </w:drawing>
      </w:r>
    </w:p>
    <w:p w14:paraId="1393A1A9" w14:textId="7636BE7F" w:rsidR="00E47284" w:rsidRDefault="00E47284" w:rsidP="00E47284">
      <w:pPr>
        <w:pStyle w:val="Caption"/>
        <w:jc w:val="center"/>
        <w:rPr>
          <w:b/>
        </w:rPr>
      </w:pPr>
      <w:r>
        <w:t xml:space="preserve">Table </w:t>
      </w:r>
      <w:r>
        <w:fldChar w:fldCharType="begin"/>
      </w:r>
      <w:r>
        <w:instrText xml:space="preserve"> SEQ Table \* ARABIC </w:instrText>
      </w:r>
      <w:r>
        <w:fldChar w:fldCharType="separate"/>
      </w:r>
      <w:r>
        <w:rPr>
          <w:noProof/>
        </w:rPr>
        <w:t>3</w:t>
      </w:r>
      <w:r>
        <w:fldChar w:fldCharType="end"/>
      </w:r>
      <w:r>
        <w:t xml:space="preserve">: </w:t>
      </w:r>
      <w:r w:rsidRPr="009B19A3">
        <w:t>Outcome of Efficiency Ratios</w:t>
      </w:r>
    </w:p>
    <w:p w14:paraId="39FC88FF" w14:textId="77777777" w:rsidR="00D64DB1" w:rsidRPr="00B90388" w:rsidRDefault="00000000" w:rsidP="00B90388">
      <w:pPr>
        <w:spacing w:before="240"/>
      </w:pPr>
      <w:r w:rsidRPr="00B90388">
        <w:lastRenderedPageBreak/>
        <w:t>On the other hand, the accounts payable days rose to 94 days in 2024 indicating that payments to suppliers are made late to save cash. Such an asymmetry between the payables and receivables means strained liquidity and low bargaining power (Oloo, 2021). It can be stated that the ineffective use of assets and slow working capital processes have negatively affected the efficiency of the operations and the stability of cash flow and profitability.</w:t>
      </w:r>
    </w:p>
    <w:p w14:paraId="2820660C" w14:textId="77777777" w:rsidR="00D64DB1" w:rsidRPr="00B90388" w:rsidRDefault="00000000" w:rsidP="00B90388">
      <w:pPr>
        <w:spacing w:before="240"/>
        <w:jc w:val="left"/>
      </w:pPr>
      <w:r w:rsidRPr="00B90388">
        <w:rPr>
          <w:noProof/>
        </w:rPr>
        <w:drawing>
          <wp:inline distT="114300" distB="114300" distL="114300" distR="114300" wp14:anchorId="55497854" wp14:editId="7E9A0DBF">
            <wp:extent cx="5819775" cy="3090863"/>
            <wp:effectExtent l="0" t="0" r="0" b="0"/>
            <wp:docPr id="1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5819775" cy="3090863"/>
                    </a:xfrm>
                    <a:prstGeom prst="rect">
                      <a:avLst/>
                    </a:prstGeom>
                    <a:ln/>
                  </pic:spPr>
                </pic:pic>
              </a:graphicData>
            </a:graphic>
          </wp:inline>
        </w:drawing>
      </w:r>
    </w:p>
    <w:p w14:paraId="2F2DCFEE" w14:textId="44DC1705" w:rsidR="00E47284" w:rsidRDefault="00E47284" w:rsidP="00E47284">
      <w:pPr>
        <w:pStyle w:val="Caption"/>
        <w:jc w:val="center"/>
        <w:rPr>
          <w:b/>
        </w:rPr>
      </w:pPr>
      <w:r>
        <w:t xml:space="preserve">Figure </w:t>
      </w:r>
      <w:r>
        <w:fldChar w:fldCharType="begin"/>
      </w:r>
      <w:r>
        <w:instrText xml:space="preserve"> SEQ Figure \* ARABIC </w:instrText>
      </w:r>
      <w:r>
        <w:fldChar w:fldCharType="separate"/>
      </w:r>
      <w:r>
        <w:rPr>
          <w:noProof/>
        </w:rPr>
        <w:t>6</w:t>
      </w:r>
      <w:r>
        <w:fldChar w:fldCharType="end"/>
      </w:r>
      <w:r>
        <w:t xml:space="preserve">: </w:t>
      </w:r>
      <w:r w:rsidRPr="00714873">
        <w:t>Efficiency Ratios</w:t>
      </w:r>
    </w:p>
    <w:p w14:paraId="1DA17590" w14:textId="77777777" w:rsidR="00D64DB1" w:rsidRPr="00B90388" w:rsidRDefault="00000000" w:rsidP="00B90388">
      <w:pPr>
        <w:spacing w:before="240"/>
        <w:jc w:val="center"/>
      </w:pPr>
      <w:r w:rsidRPr="00B90388">
        <w:t>(Source: Self-developed)</w:t>
      </w:r>
    </w:p>
    <w:p w14:paraId="5627D42D" w14:textId="77777777" w:rsidR="00D64DB1" w:rsidRPr="00B90388" w:rsidRDefault="00000000" w:rsidP="00B90388">
      <w:pPr>
        <w:spacing w:before="240"/>
        <w:jc w:val="left"/>
        <w:rPr>
          <w:b/>
          <w:i/>
        </w:rPr>
      </w:pPr>
      <w:r w:rsidRPr="00B90388">
        <w:rPr>
          <w:b/>
          <w:i/>
        </w:rPr>
        <w:t xml:space="preserve">Gearing Ratios </w:t>
      </w:r>
    </w:p>
    <w:p w14:paraId="5103AB65" w14:textId="089CA406" w:rsidR="00D64DB1" w:rsidRPr="00B90388" w:rsidRDefault="00000000" w:rsidP="00B90388">
      <w:pPr>
        <w:spacing w:before="240"/>
      </w:pPr>
      <w:r w:rsidRPr="00B90388">
        <w:t xml:space="preserve">The company has increased its financial leverage. The </w:t>
      </w:r>
      <w:r w:rsidR="00E47284" w:rsidRPr="00B90388">
        <w:t>debt-to-equity</w:t>
      </w:r>
      <w:r w:rsidRPr="00B90388">
        <w:t xml:space="preserve"> ratio increased to 1.11 (2024) as compared to 0.63 (2020) which means an increasing reliance on debt financing and a decreasing equity. The equity ratio decreased (0.61 to 0.47), whereas the debt ratio increased (0.39 to 0.53) indicating the higher financial risk. </w:t>
      </w:r>
      <w:r w:rsidRPr="00B90388">
        <w:rPr>
          <w:noProof/>
        </w:rPr>
        <w:drawing>
          <wp:inline distT="114300" distB="114300" distL="114300" distR="114300" wp14:anchorId="770E536A" wp14:editId="7BA31399">
            <wp:extent cx="5943600" cy="876300"/>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5943600" cy="876300"/>
                    </a:xfrm>
                    <a:prstGeom prst="rect">
                      <a:avLst/>
                    </a:prstGeom>
                    <a:ln/>
                  </pic:spPr>
                </pic:pic>
              </a:graphicData>
            </a:graphic>
          </wp:inline>
        </w:drawing>
      </w:r>
    </w:p>
    <w:p w14:paraId="502657DE" w14:textId="01296D3B" w:rsidR="00E47284" w:rsidRDefault="00E47284" w:rsidP="00E47284">
      <w:pPr>
        <w:pStyle w:val="Caption"/>
        <w:jc w:val="center"/>
        <w:rPr>
          <w:b/>
        </w:rPr>
      </w:pPr>
      <w:r>
        <w:lastRenderedPageBreak/>
        <w:t xml:space="preserve">Table </w:t>
      </w:r>
      <w:r>
        <w:fldChar w:fldCharType="begin"/>
      </w:r>
      <w:r>
        <w:instrText xml:space="preserve"> SEQ Table \* ARABIC </w:instrText>
      </w:r>
      <w:r>
        <w:fldChar w:fldCharType="separate"/>
      </w:r>
      <w:r>
        <w:rPr>
          <w:noProof/>
        </w:rPr>
        <w:t>4</w:t>
      </w:r>
      <w:r>
        <w:fldChar w:fldCharType="end"/>
      </w:r>
      <w:r>
        <w:t xml:space="preserve">: </w:t>
      </w:r>
      <w:r w:rsidRPr="00983F0E">
        <w:t>Outcome of Gearing Ratios</w:t>
      </w:r>
    </w:p>
    <w:p w14:paraId="565861B3" w14:textId="77777777" w:rsidR="00D64DB1" w:rsidRPr="00B90388" w:rsidRDefault="00000000" w:rsidP="00B90388">
      <w:pPr>
        <w:spacing w:before="240"/>
      </w:pPr>
      <w:r w:rsidRPr="00B90388">
        <w:t>This drift implies that the cumulative losses and share buybacks have destroyed equity, compelling the firm to turn to external funds. The company can address the balance by lowering the level of debt, rearranging the financing, and reestablishing the retained earnings followed by the recommendation of Gautam and Purohit, (2024).</w:t>
      </w:r>
    </w:p>
    <w:p w14:paraId="17A8E9CB" w14:textId="77777777" w:rsidR="00D64DB1" w:rsidRPr="00B90388" w:rsidRDefault="00000000" w:rsidP="00B90388">
      <w:pPr>
        <w:spacing w:before="240"/>
        <w:jc w:val="left"/>
      </w:pPr>
      <w:r w:rsidRPr="00B90388">
        <w:rPr>
          <w:noProof/>
        </w:rPr>
        <w:drawing>
          <wp:inline distT="114300" distB="114300" distL="114300" distR="114300" wp14:anchorId="3A33CBCB" wp14:editId="701E0448">
            <wp:extent cx="5943600" cy="3581400"/>
            <wp:effectExtent l="0" t="0" r="0" b="0"/>
            <wp:docPr id="2"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9"/>
                    <a:srcRect/>
                    <a:stretch>
                      <a:fillRect/>
                    </a:stretch>
                  </pic:blipFill>
                  <pic:spPr>
                    <a:xfrm>
                      <a:off x="0" y="0"/>
                      <a:ext cx="5943600" cy="3581400"/>
                    </a:xfrm>
                    <a:prstGeom prst="rect">
                      <a:avLst/>
                    </a:prstGeom>
                    <a:ln/>
                  </pic:spPr>
                </pic:pic>
              </a:graphicData>
            </a:graphic>
          </wp:inline>
        </w:drawing>
      </w:r>
    </w:p>
    <w:p w14:paraId="39E526B4" w14:textId="0C1618C9" w:rsidR="00E47284" w:rsidRDefault="00E47284" w:rsidP="00E47284">
      <w:pPr>
        <w:pStyle w:val="Caption"/>
        <w:jc w:val="center"/>
        <w:rPr>
          <w:b/>
        </w:rPr>
      </w:pPr>
      <w:r>
        <w:t xml:space="preserve">Figure </w:t>
      </w:r>
      <w:r>
        <w:fldChar w:fldCharType="begin"/>
      </w:r>
      <w:r>
        <w:instrText xml:space="preserve"> SEQ Figure \* ARABIC </w:instrText>
      </w:r>
      <w:r>
        <w:fldChar w:fldCharType="separate"/>
      </w:r>
      <w:r>
        <w:rPr>
          <w:noProof/>
        </w:rPr>
        <w:t>7</w:t>
      </w:r>
      <w:r>
        <w:fldChar w:fldCharType="end"/>
      </w:r>
      <w:r>
        <w:t xml:space="preserve">: </w:t>
      </w:r>
      <w:r w:rsidRPr="007927BA">
        <w:t>Gearing Ratios</w:t>
      </w:r>
    </w:p>
    <w:p w14:paraId="0278A84B" w14:textId="77777777" w:rsidR="00D64DB1" w:rsidRPr="00B90388" w:rsidRDefault="00000000" w:rsidP="00B90388">
      <w:pPr>
        <w:spacing w:before="240"/>
        <w:jc w:val="center"/>
      </w:pPr>
      <w:r w:rsidRPr="00B90388">
        <w:t>(Source: Self-developed)</w:t>
      </w:r>
    </w:p>
    <w:p w14:paraId="69DCECBB" w14:textId="77777777" w:rsidR="00D64DB1" w:rsidRPr="00B90388" w:rsidRDefault="00000000" w:rsidP="00B90388">
      <w:pPr>
        <w:spacing w:before="240"/>
        <w:jc w:val="left"/>
        <w:rPr>
          <w:b/>
          <w:i/>
        </w:rPr>
      </w:pPr>
      <w:r w:rsidRPr="00B90388">
        <w:rPr>
          <w:b/>
          <w:i/>
        </w:rPr>
        <w:t xml:space="preserve">Investment Ratio </w:t>
      </w:r>
    </w:p>
    <w:p w14:paraId="5B72B792" w14:textId="77777777" w:rsidR="00D64DB1" w:rsidRPr="00B90388" w:rsidRDefault="00000000" w:rsidP="00B90388">
      <w:pPr>
        <w:spacing w:before="240"/>
      </w:pPr>
      <w:r w:rsidRPr="00B90388">
        <w:t xml:space="preserve">Earnings per Share (EPS) declined disastrously by £2.78 in 2020 to -£1.85 in 2024 in line with the acute decline in profitability and shareholder returns. The negative EPS in 2023 and 2024 is a sign of no investor confidence and poor market valuation. </w:t>
      </w:r>
    </w:p>
    <w:p w14:paraId="5AF953A0" w14:textId="77777777" w:rsidR="00D64DB1" w:rsidRPr="00B90388" w:rsidRDefault="00000000" w:rsidP="00B90388">
      <w:pPr>
        <w:spacing w:before="240"/>
        <w:jc w:val="left"/>
      </w:pPr>
      <w:r w:rsidRPr="00B90388">
        <w:rPr>
          <w:noProof/>
        </w:rPr>
        <w:drawing>
          <wp:inline distT="114300" distB="114300" distL="114300" distR="114300" wp14:anchorId="4A9740AE" wp14:editId="27993D3C">
            <wp:extent cx="5943600" cy="444500"/>
            <wp:effectExtent l="0" t="0" r="0" b="0"/>
            <wp:docPr id="31"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20"/>
                    <a:srcRect/>
                    <a:stretch>
                      <a:fillRect/>
                    </a:stretch>
                  </pic:blipFill>
                  <pic:spPr>
                    <a:xfrm>
                      <a:off x="0" y="0"/>
                      <a:ext cx="5943600" cy="444500"/>
                    </a:xfrm>
                    <a:prstGeom prst="rect">
                      <a:avLst/>
                    </a:prstGeom>
                    <a:ln/>
                  </pic:spPr>
                </pic:pic>
              </a:graphicData>
            </a:graphic>
          </wp:inline>
        </w:drawing>
      </w:r>
    </w:p>
    <w:p w14:paraId="212D8359" w14:textId="3A951163" w:rsidR="00E47284" w:rsidRDefault="00E47284" w:rsidP="00E47284">
      <w:pPr>
        <w:pStyle w:val="Caption"/>
        <w:jc w:val="center"/>
        <w:rPr>
          <w:b/>
        </w:rPr>
      </w:pPr>
      <w:r>
        <w:lastRenderedPageBreak/>
        <w:t xml:space="preserve">Table </w:t>
      </w:r>
      <w:r>
        <w:fldChar w:fldCharType="begin"/>
      </w:r>
      <w:r>
        <w:instrText xml:space="preserve"> SEQ Table \* ARABIC </w:instrText>
      </w:r>
      <w:r>
        <w:fldChar w:fldCharType="separate"/>
      </w:r>
      <w:r>
        <w:rPr>
          <w:noProof/>
        </w:rPr>
        <w:t>5</w:t>
      </w:r>
      <w:r>
        <w:fldChar w:fldCharType="end"/>
      </w:r>
      <w:r>
        <w:t xml:space="preserve">: </w:t>
      </w:r>
      <w:r w:rsidRPr="00CE35AB">
        <w:t>Outcome of Investment Ratio</w:t>
      </w:r>
    </w:p>
    <w:p w14:paraId="60EE717E" w14:textId="77777777" w:rsidR="00D64DB1" w:rsidRPr="00B90388" w:rsidRDefault="00000000" w:rsidP="00B90388">
      <w:pPr>
        <w:spacing w:before="240"/>
      </w:pPr>
      <w:r w:rsidRPr="00B90388">
        <w:t>Declining earning ability is an indicator of underlying structural inefficiencies and strategic re-positioning is necessary. To regain investor confidence, diversification, cost containment and sustainable product development would help the company to regain back the lost profitability, in line with the global consumer trends according to Parsaei et al. (2024).</w:t>
      </w:r>
    </w:p>
    <w:p w14:paraId="3684CFE2" w14:textId="77777777" w:rsidR="00D64DB1" w:rsidRPr="00B90388" w:rsidRDefault="00000000" w:rsidP="00B90388">
      <w:pPr>
        <w:spacing w:before="240"/>
        <w:jc w:val="left"/>
      </w:pPr>
      <w:r w:rsidRPr="00B90388">
        <w:rPr>
          <w:noProof/>
        </w:rPr>
        <w:drawing>
          <wp:inline distT="114300" distB="114300" distL="114300" distR="114300" wp14:anchorId="3CCF0176" wp14:editId="6C77DD76">
            <wp:extent cx="5943600" cy="3048000"/>
            <wp:effectExtent l="0" t="0" r="0" b="0"/>
            <wp:docPr id="6"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1"/>
                    <a:srcRect/>
                    <a:stretch>
                      <a:fillRect/>
                    </a:stretch>
                  </pic:blipFill>
                  <pic:spPr>
                    <a:xfrm>
                      <a:off x="0" y="0"/>
                      <a:ext cx="5943600" cy="3048000"/>
                    </a:xfrm>
                    <a:prstGeom prst="rect">
                      <a:avLst/>
                    </a:prstGeom>
                    <a:ln/>
                  </pic:spPr>
                </pic:pic>
              </a:graphicData>
            </a:graphic>
          </wp:inline>
        </w:drawing>
      </w:r>
    </w:p>
    <w:p w14:paraId="178607C9" w14:textId="2BE80AE2" w:rsidR="00E47284" w:rsidRDefault="00E47284" w:rsidP="00E47284">
      <w:pPr>
        <w:pStyle w:val="Caption"/>
        <w:jc w:val="center"/>
        <w:rPr>
          <w:b/>
        </w:rPr>
      </w:pPr>
      <w:r>
        <w:t xml:space="preserve">Figure </w:t>
      </w:r>
      <w:r>
        <w:fldChar w:fldCharType="begin"/>
      </w:r>
      <w:r>
        <w:instrText xml:space="preserve"> SEQ Figure \* ARABIC </w:instrText>
      </w:r>
      <w:r>
        <w:fldChar w:fldCharType="separate"/>
      </w:r>
      <w:r>
        <w:rPr>
          <w:noProof/>
        </w:rPr>
        <w:t>8</w:t>
      </w:r>
      <w:r>
        <w:fldChar w:fldCharType="end"/>
      </w:r>
      <w:r>
        <w:t xml:space="preserve">: </w:t>
      </w:r>
      <w:r w:rsidRPr="001262CD">
        <w:t>Investment Ratio</w:t>
      </w:r>
    </w:p>
    <w:p w14:paraId="3303188A" w14:textId="77777777" w:rsidR="00D64DB1" w:rsidRPr="00B90388" w:rsidRDefault="00000000" w:rsidP="00B90388">
      <w:pPr>
        <w:spacing w:before="240"/>
        <w:jc w:val="center"/>
      </w:pPr>
      <w:r w:rsidRPr="00B90388">
        <w:t>(Source: Self-developed)</w:t>
      </w:r>
    </w:p>
    <w:p w14:paraId="18D13256" w14:textId="77777777" w:rsidR="00D64DB1" w:rsidRPr="00B90388" w:rsidRDefault="00000000" w:rsidP="00B90388">
      <w:pPr>
        <w:spacing w:before="240"/>
        <w:jc w:val="left"/>
        <w:rPr>
          <w:b/>
          <w:i/>
        </w:rPr>
      </w:pPr>
      <w:r w:rsidRPr="00B90388">
        <w:rPr>
          <w:b/>
          <w:i/>
        </w:rPr>
        <w:t xml:space="preserve">Cash flow Ratio </w:t>
      </w:r>
    </w:p>
    <w:p w14:paraId="2C84DCAB" w14:textId="77777777" w:rsidR="00D64DB1" w:rsidRPr="00B90388" w:rsidRDefault="00000000" w:rsidP="00B90388">
      <w:pPr>
        <w:spacing w:before="240"/>
      </w:pPr>
      <w:r w:rsidRPr="00B90388">
        <w:t xml:space="preserve">The operating cash flow ratio dropped to 0.09 (2024) after being 0.41 in 2020, as this ratio shows that the company is less able to produce enough cash through operations to settle short term liabilities. </w:t>
      </w:r>
    </w:p>
    <w:p w14:paraId="00125448" w14:textId="77777777" w:rsidR="00D64DB1" w:rsidRPr="00B90388" w:rsidRDefault="00000000" w:rsidP="00B90388">
      <w:pPr>
        <w:spacing w:before="240"/>
        <w:jc w:val="left"/>
      </w:pPr>
      <w:r w:rsidRPr="00B90388">
        <w:rPr>
          <w:noProof/>
        </w:rPr>
        <w:drawing>
          <wp:inline distT="114300" distB="114300" distL="114300" distR="114300" wp14:anchorId="4D77F0A7" wp14:editId="0D580905">
            <wp:extent cx="5943600" cy="431800"/>
            <wp:effectExtent l="0" t="0" r="0" b="0"/>
            <wp:docPr id="2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2"/>
                    <a:srcRect/>
                    <a:stretch>
                      <a:fillRect/>
                    </a:stretch>
                  </pic:blipFill>
                  <pic:spPr>
                    <a:xfrm>
                      <a:off x="0" y="0"/>
                      <a:ext cx="5943600" cy="431800"/>
                    </a:xfrm>
                    <a:prstGeom prst="rect">
                      <a:avLst/>
                    </a:prstGeom>
                    <a:ln/>
                  </pic:spPr>
                </pic:pic>
              </a:graphicData>
            </a:graphic>
          </wp:inline>
        </w:drawing>
      </w:r>
    </w:p>
    <w:p w14:paraId="0D27CB49" w14:textId="16BDA67C" w:rsidR="00E47284" w:rsidRDefault="00E47284" w:rsidP="00E47284">
      <w:pPr>
        <w:pStyle w:val="Caption"/>
        <w:jc w:val="center"/>
        <w:rPr>
          <w:b/>
        </w:rPr>
      </w:pPr>
      <w:r>
        <w:t xml:space="preserve">Table </w:t>
      </w:r>
      <w:r>
        <w:fldChar w:fldCharType="begin"/>
      </w:r>
      <w:r>
        <w:instrText xml:space="preserve"> SEQ Table \* ARABIC </w:instrText>
      </w:r>
      <w:r>
        <w:fldChar w:fldCharType="separate"/>
      </w:r>
      <w:r>
        <w:rPr>
          <w:noProof/>
        </w:rPr>
        <w:t>6</w:t>
      </w:r>
      <w:r>
        <w:fldChar w:fldCharType="end"/>
      </w:r>
      <w:r>
        <w:t xml:space="preserve">: </w:t>
      </w:r>
      <w:r w:rsidRPr="002E6984">
        <w:t>Outcome of Investment Ratio</w:t>
      </w:r>
    </w:p>
    <w:p w14:paraId="3D998730" w14:textId="77777777" w:rsidR="00D64DB1" w:rsidRPr="00B90388" w:rsidRDefault="00000000" w:rsidP="00B90388">
      <w:pPr>
        <w:spacing w:before="240"/>
      </w:pPr>
      <w:r w:rsidRPr="00B90388">
        <w:lastRenderedPageBreak/>
        <w:t xml:space="preserve">This decrease underscores the inefficiency of cash conversion as it is weak, which is in line with lower profitability and poor management of working capital as mentioned by Akbar et al. (2021). The reliance of the company on the use of external funds and selling of assets to finance the operations indicates liquidity weakness. To improve the cash flow performance, it is necessary to tighten the credit control, minimize the operating costs and ensure that the priority is given to the high-return investment as per </w:t>
      </w:r>
      <w:proofErr w:type="spellStart"/>
      <w:r w:rsidRPr="00B90388">
        <w:t>Yoganandham</w:t>
      </w:r>
      <w:proofErr w:type="spellEnd"/>
      <w:r w:rsidRPr="00B90388">
        <w:t>, (2025).</w:t>
      </w:r>
    </w:p>
    <w:p w14:paraId="45E423EA" w14:textId="77777777" w:rsidR="00D64DB1" w:rsidRPr="00B90388" w:rsidRDefault="00000000" w:rsidP="00B90388">
      <w:pPr>
        <w:spacing w:before="240"/>
        <w:jc w:val="center"/>
      </w:pPr>
      <w:r w:rsidRPr="00B90388">
        <w:rPr>
          <w:noProof/>
        </w:rPr>
        <w:drawing>
          <wp:inline distT="114300" distB="114300" distL="114300" distR="114300" wp14:anchorId="055EA9D6" wp14:editId="5849C955">
            <wp:extent cx="4815840" cy="2575560"/>
            <wp:effectExtent l="0" t="0" r="3810" b="0"/>
            <wp:docPr id="27"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3"/>
                    <a:srcRect/>
                    <a:stretch>
                      <a:fillRect/>
                    </a:stretch>
                  </pic:blipFill>
                  <pic:spPr>
                    <a:xfrm>
                      <a:off x="0" y="0"/>
                      <a:ext cx="4815840" cy="2575560"/>
                    </a:xfrm>
                    <a:prstGeom prst="rect">
                      <a:avLst/>
                    </a:prstGeom>
                    <a:ln/>
                  </pic:spPr>
                </pic:pic>
              </a:graphicData>
            </a:graphic>
          </wp:inline>
        </w:drawing>
      </w:r>
    </w:p>
    <w:p w14:paraId="6095B636" w14:textId="3F4235A3" w:rsidR="00E47284" w:rsidRDefault="00E47284" w:rsidP="00E47284">
      <w:pPr>
        <w:pStyle w:val="Caption"/>
        <w:jc w:val="center"/>
        <w:rPr>
          <w:b/>
        </w:rPr>
      </w:pPr>
      <w:r>
        <w:t xml:space="preserve">Figure </w:t>
      </w:r>
      <w:r>
        <w:fldChar w:fldCharType="begin"/>
      </w:r>
      <w:r>
        <w:instrText xml:space="preserve"> SEQ Figure \* ARABIC </w:instrText>
      </w:r>
      <w:r>
        <w:fldChar w:fldCharType="separate"/>
      </w:r>
      <w:r>
        <w:rPr>
          <w:noProof/>
        </w:rPr>
        <w:t>9</w:t>
      </w:r>
      <w:r>
        <w:fldChar w:fldCharType="end"/>
      </w:r>
      <w:r>
        <w:t xml:space="preserve">: </w:t>
      </w:r>
      <w:r w:rsidRPr="0024230C">
        <w:t>Cash Flow Ratio</w:t>
      </w:r>
    </w:p>
    <w:p w14:paraId="0264BDBA" w14:textId="77777777" w:rsidR="00D64DB1" w:rsidRPr="00B90388" w:rsidRDefault="00000000" w:rsidP="00B90388">
      <w:pPr>
        <w:spacing w:before="240"/>
        <w:jc w:val="center"/>
      </w:pPr>
      <w:r w:rsidRPr="00B90388">
        <w:t>(Source: Self-developed)</w:t>
      </w:r>
    </w:p>
    <w:p w14:paraId="6DCF27E3" w14:textId="77777777" w:rsidR="00D64DB1" w:rsidRPr="00B90388" w:rsidRDefault="00000000" w:rsidP="00B90388">
      <w:pPr>
        <w:pStyle w:val="Heading2"/>
        <w:spacing w:before="240"/>
      </w:pPr>
      <w:bookmarkStart w:id="6" w:name="_5s78d5kkys1" w:colFirst="0" w:colLast="0"/>
      <w:bookmarkStart w:id="7" w:name="_Toc213805382"/>
      <w:bookmarkEnd w:id="6"/>
      <w:r w:rsidRPr="00B90388">
        <w:t>1.3 Trends, Strengths and Threats</w:t>
      </w:r>
      <w:bookmarkEnd w:id="7"/>
    </w:p>
    <w:p w14:paraId="3F3A2CD3" w14:textId="77777777" w:rsidR="00D64DB1" w:rsidRPr="00B90388" w:rsidRDefault="00000000" w:rsidP="00B90388">
      <w:pPr>
        <w:spacing w:before="240"/>
      </w:pPr>
      <w:r w:rsidRPr="00B90388">
        <w:t xml:space="preserve">General Electronics shows a worrying negative trend of 2020 2024 in terms of profitability, liquidity, as well as solvency ratios. ROCE and profit margins have become negative, which are indicative of a lack of efficiency in operation and poor cost management. Liquidity ratios, which are slightly above 1, demonstrate a weakening short-term solvency, whereas gearing ratios demonstrate increasing financial leverage and increasing credit risk. The </w:t>
      </w:r>
      <w:r w:rsidRPr="00B90388">
        <w:rPr>
          <w:b/>
          <w:i/>
        </w:rPr>
        <w:t xml:space="preserve">strengths </w:t>
      </w:r>
      <w:r w:rsidRPr="00B90388">
        <w:t xml:space="preserve">have similar gross margins and positive operating cash flows that have continued to run which shows that there is a possibility of recovery by ensuring that expenses are tamed. Nevertheless, it also includes </w:t>
      </w:r>
      <w:r w:rsidRPr="00B90388">
        <w:rPr>
          <w:b/>
          <w:i/>
        </w:rPr>
        <w:t xml:space="preserve">threats </w:t>
      </w:r>
      <w:r w:rsidRPr="00B90388">
        <w:t xml:space="preserve">in the form of shrinking equity, rising dependence on </w:t>
      </w:r>
      <w:r w:rsidRPr="00B90388">
        <w:lastRenderedPageBreak/>
        <w:t>debt, and a reduction in investor confidence. In the absence of a strategic restructuring, the company will face the risk of insolvency and reduction of shareholders value.</w:t>
      </w:r>
    </w:p>
    <w:p w14:paraId="35D660B6" w14:textId="77777777" w:rsidR="00D64DB1" w:rsidRPr="00B90388" w:rsidRDefault="00000000" w:rsidP="00B90388">
      <w:pPr>
        <w:pStyle w:val="Heading2"/>
        <w:spacing w:before="240"/>
      </w:pPr>
      <w:bookmarkStart w:id="8" w:name="_kz922qia0sv9" w:colFirst="0" w:colLast="0"/>
      <w:bookmarkStart w:id="9" w:name="_Toc213805383"/>
      <w:bookmarkEnd w:id="8"/>
      <w:r w:rsidRPr="00B90388">
        <w:t>1.4 Altman Z-Score Application as Corporate Failure Prediction Model</w:t>
      </w:r>
      <w:bookmarkEnd w:id="9"/>
    </w:p>
    <w:p w14:paraId="7C48F995" w14:textId="77777777" w:rsidR="00D64DB1" w:rsidRPr="00B90388" w:rsidRDefault="00000000" w:rsidP="00B90388">
      <w:pPr>
        <w:spacing w:before="240"/>
      </w:pPr>
      <w:r w:rsidRPr="00B90388">
        <w:t xml:space="preserve">According to the Altman Z-Score analysis, General Electronics had a relatively high position of solvency, as it scored above the critical distress threshold of 2.99, and reached the maximum of 6.13 in 2020 and 5.84 in 2024. </w:t>
      </w:r>
    </w:p>
    <w:p w14:paraId="169BD6AC" w14:textId="77777777" w:rsidR="00D64DB1" w:rsidRPr="00B90388" w:rsidRDefault="00000000" w:rsidP="00B90388">
      <w:pPr>
        <w:spacing w:before="240"/>
      </w:pPr>
      <w:r w:rsidRPr="00B90388">
        <w:rPr>
          <w:noProof/>
        </w:rPr>
        <w:drawing>
          <wp:inline distT="114300" distB="114300" distL="114300" distR="114300" wp14:anchorId="4F21C9DD" wp14:editId="5E49F5EE">
            <wp:extent cx="5943600" cy="3937000"/>
            <wp:effectExtent l="0" t="0" r="0" b="0"/>
            <wp:docPr id="32"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4"/>
                    <a:srcRect/>
                    <a:stretch>
                      <a:fillRect/>
                    </a:stretch>
                  </pic:blipFill>
                  <pic:spPr>
                    <a:xfrm>
                      <a:off x="0" y="0"/>
                      <a:ext cx="5943600" cy="3937000"/>
                    </a:xfrm>
                    <a:prstGeom prst="rect">
                      <a:avLst/>
                    </a:prstGeom>
                    <a:ln/>
                  </pic:spPr>
                </pic:pic>
              </a:graphicData>
            </a:graphic>
          </wp:inline>
        </w:drawing>
      </w:r>
    </w:p>
    <w:p w14:paraId="7DA0EA28" w14:textId="11F8D5BB" w:rsidR="00E47284" w:rsidRDefault="00E47284" w:rsidP="00E47284">
      <w:pPr>
        <w:pStyle w:val="Caption"/>
        <w:jc w:val="center"/>
        <w:rPr>
          <w:b/>
        </w:rPr>
      </w:pPr>
      <w:r>
        <w:t xml:space="preserve">Table </w:t>
      </w:r>
      <w:r>
        <w:fldChar w:fldCharType="begin"/>
      </w:r>
      <w:r>
        <w:instrText xml:space="preserve"> SEQ Table \* ARABIC </w:instrText>
      </w:r>
      <w:r>
        <w:fldChar w:fldCharType="separate"/>
      </w:r>
      <w:r>
        <w:rPr>
          <w:noProof/>
        </w:rPr>
        <w:t>7</w:t>
      </w:r>
      <w:r>
        <w:fldChar w:fldCharType="end"/>
      </w:r>
      <w:r>
        <w:t xml:space="preserve">: </w:t>
      </w:r>
      <w:r w:rsidRPr="00042C6A">
        <w:t>Calculated Altman Z-Score</w:t>
      </w:r>
    </w:p>
    <w:p w14:paraId="262CE206" w14:textId="77777777" w:rsidR="00D64DB1" w:rsidRPr="00B90388" w:rsidRDefault="00000000" w:rsidP="00B90388">
      <w:pPr>
        <w:spacing w:before="240"/>
        <w:jc w:val="center"/>
      </w:pPr>
      <w:r w:rsidRPr="00B90388">
        <w:t>(Source: Self-calculated)</w:t>
      </w:r>
    </w:p>
    <w:p w14:paraId="22E7C03F" w14:textId="77777777" w:rsidR="00D64DB1" w:rsidRPr="00B90388" w:rsidRDefault="00000000" w:rsidP="00B90388">
      <w:pPr>
        <w:spacing w:before="240"/>
      </w:pPr>
      <w:r w:rsidRPr="00B90388">
        <w:t>Although the profitability has diminished (negative EBIT and retained earnings), the market equity in comparison to liabilities is high leading to its financial strength. Nevertheless, the poorest performance in terms of incurred losses and decreased working capital is a mid-term default risk. It is necessary to restructure proactively to avoid the further worsening.</w:t>
      </w:r>
      <w:r w:rsidRPr="00B90388">
        <w:br w:type="page"/>
      </w:r>
    </w:p>
    <w:p w14:paraId="2FC6EFFA" w14:textId="77777777" w:rsidR="00D64DB1" w:rsidRPr="00B90388" w:rsidRDefault="00000000" w:rsidP="00B90388">
      <w:pPr>
        <w:pStyle w:val="Heading1"/>
        <w:spacing w:before="240"/>
      </w:pPr>
      <w:bookmarkStart w:id="10" w:name="_fpagjy9brti8" w:colFirst="0" w:colLast="0"/>
      <w:bookmarkStart w:id="11" w:name="_Toc213805384"/>
      <w:bookmarkEnd w:id="10"/>
      <w:r w:rsidRPr="00B90388">
        <w:lastRenderedPageBreak/>
        <w:t>2. Working Capital Management Analysis</w:t>
      </w:r>
      <w:bookmarkEnd w:id="11"/>
      <w:r w:rsidRPr="00B90388">
        <w:t xml:space="preserve"> </w:t>
      </w:r>
    </w:p>
    <w:p w14:paraId="7DF12168" w14:textId="77777777" w:rsidR="00D64DB1" w:rsidRPr="00B90388" w:rsidRDefault="00000000" w:rsidP="00B90388">
      <w:pPr>
        <w:pStyle w:val="Heading2"/>
        <w:spacing w:before="240"/>
      </w:pPr>
      <w:bookmarkStart w:id="12" w:name="_7nolq0vxuley" w:colFirst="0" w:colLast="0"/>
      <w:bookmarkStart w:id="13" w:name="_Toc213805385"/>
      <w:bookmarkEnd w:id="12"/>
      <w:r w:rsidRPr="00B90388">
        <w:t>2.1 Cash Operating Cycle Assessment</w:t>
      </w:r>
      <w:bookmarkEnd w:id="13"/>
    </w:p>
    <w:p w14:paraId="269B9FF3" w14:textId="77777777" w:rsidR="00D64DB1" w:rsidRPr="00B90388" w:rsidRDefault="00000000" w:rsidP="00B90388">
      <w:pPr>
        <w:spacing w:before="240"/>
      </w:pPr>
      <w:r w:rsidRPr="00B90388">
        <w:t>The working capital management of General Electronics is weak as it is observed that the cash operating cycle (COC) of this company is quite dynamic and lacks efficiency during the period between 2020 and 2024. The COC had gone up to 162 days in 2023 before it had slightly declined to 121 days in 2024 upon increasing to 108 days in 2020. This means that the company is taking a long time to turn its investments in inventory and receivables into cash and hence liquidity inflows are postponed. The increasing number of inventory days with the highest level of 129 in 2023 is an indicator of overstocking or slow demand, both resulting in increased holding costs and risk of obsolescence. Similarly, the current account receivable days rose to 106 in the year 2024. It is an indicator of poor credit collection practices and potential vulnerability to customer default (</w:t>
      </w:r>
      <w:proofErr w:type="spellStart"/>
      <w:r w:rsidRPr="00B90388">
        <w:t>Hanb</w:t>
      </w:r>
      <w:proofErr w:type="spellEnd"/>
      <w:r w:rsidRPr="00B90388">
        <w:t xml:space="preserve"> and </w:t>
      </w:r>
      <w:proofErr w:type="spellStart"/>
      <w:r w:rsidRPr="00B90388">
        <w:t>Liuc</w:t>
      </w:r>
      <w:proofErr w:type="spellEnd"/>
      <w:r w:rsidRPr="00B90388">
        <w:t>, 2024). Even though the accounts payable days increased to 94 in 2024 which is shown as the effort of the firm to postpone the payment made to the suppliers, this can affect the supplier relations and negatively affect the terms of credit.</w:t>
      </w:r>
    </w:p>
    <w:p w14:paraId="3B53E8D9" w14:textId="77777777" w:rsidR="00D64DB1" w:rsidRPr="00B90388" w:rsidRDefault="00000000" w:rsidP="00B90388">
      <w:pPr>
        <w:spacing w:before="240"/>
      </w:pPr>
      <w:r w:rsidRPr="00B90388">
        <w:rPr>
          <w:noProof/>
        </w:rPr>
        <w:drawing>
          <wp:inline distT="114300" distB="114300" distL="114300" distR="114300" wp14:anchorId="566C92B6" wp14:editId="1E45357F">
            <wp:extent cx="5943600" cy="1879600"/>
            <wp:effectExtent l="0" t="0" r="0" b="0"/>
            <wp:docPr id="2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5"/>
                    <a:srcRect/>
                    <a:stretch>
                      <a:fillRect/>
                    </a:stretch>
                  </pic:blipFill>
                  <pic:spPr>
                    <a:xfrm>
                      <a:off x="0" y="0"/>
                      <a:ext cx="5943600" cy="1879600"/>
                    </a:xfrm>
                    <a:prstGeom prst="rect">
                      <a:avLst/>
                    </a:prstGeom>
                    <a:ln/>
                  </pic:spPr>
                </pic:pic>
              </a:graphicData>
            </a:graphic>
          </wp:inline>
        </w:drawing>
      </w:r>
    </w:p>
    <w:p w14:paraId="05CF8FA2" w14:textId="194242DD" w:rsidR="00E47284" w:rsidRDefault="00E47284" w:rsidP="00E47284">
      <w:pPr>
        <w:pStyle w:val="Caption"/>
        <w:jc w:val="center"/>
        <w:rPr>
          <w:b/>
        </w:rPr>
      </w:pPr>
      <w:r>
        <w:t xml:space="preserve">Table </w:t>
      </w:r>
      <w:r>
        <w:fldChar w:fldCharType="begin"/>
      </w:r>
      <w:r>
        <w:instrText xml:space="preserve"> SEQ Table \* ARABIC </w:instrText>
      </w:r>
      <w:r>
        <w:fldChar w:fldCharType="separate"/>
      </w:r>
      <w:r>
        <w:rPr>
          <w:noProof/>
        </w:rPr>
        <w:t>8</w:t>
      </w:r>
      <w:r>
        <w:fldChar w:fldCharType="end"/>
      </w:r>
      <w:r>
        <w:t xml:space="preserve">: </w:t>
      </w:r>
      <w:r w:rsidRPr="00E560C6">
        <w:t>Calculated Cash Operating Cycle</w:t>
      </w:r>
    </w:p>
    <w:p w14:paraId="52522D9A" w14:textId="77777777" w:rsidR="00D64DB1" w:rsidRPr="00B90388" w:rsidRDefault="00000000" w:rsidP="00B90388">
      <w:pPr>
        <w:spacing w:before="240"/>
        <w:jc w:val="center"/>
      </w:pPr>
      <w:r w:rsidRPr="00B90388">
        <w:t>(Source: Self-calculated)</w:t>
      </w:r>
    </w:p>
    <w:p w14:paraId="35AC3D45" w14:textId="77777777" w:rsidR="00D64DB1" w:rsidRPr="00B90388" w:rsidRDefault="00000000" w:rsidP="00B90388">
      <w:pPr>
        <w:spacing w:before="240"/>
      </w:pPr>
      <w:r w:rsidRPr="00B90388">
        <w:t xml:space="preserve">Extended cash operating cycles will utilize significant funds as current assets, which will decrease operations and investments in cash. This inefficiency is directly proportional to the decreasing liquidity ratios as the current ratio reduced with the years, going down to 1.53 in </w:t>
      </w:r>
      <w:r w:rsidRPr="00B90388">
        <w:lastRenderedPageBreak/>
        <w:t xml:space="preserve">2024 and the decreasing trend of the operating cash flow ratio (0.09 in 2024). A long cash cycle thus increases liquidity risks and dependency on short term funding. In a bid to improve efficiency, the company will need to </w:t>
      </w:r>
      <w:r w:rsidRPr="00B90388">
        <w:rPr>
          <w:b/>
          <w:i/>
        </w:rPr>
        <w:t xml:space="preserve">use just-in-time (JIT) inventory management, tight credit control, and negotiate with suppliers </w:t>
      </w:r>
      <w:r w:rsidRPr="00B90388">
        <w:t xml:space="preserve">on more </w:t>
      </w:r>
      <w:proofErr w:type="spellStart"/>
      <w:r w:rsidRPr="00B90388">
        <w:t>favorable</w:t>
      </w:r>
      <w:proofErr w:type="spellEnd"/>
      <w:r w:rsidRPr="00B90388">
        <w:t xml:space="preserve"> payment terms as recommended by John, (2024). Enhancements in the cash operating cycle would lead to a reduction in the cash conversion period, an improvement in efficiency in the operations of the entity, and the capacity to self-fund its activities (</w:t>
      </w:r>
      <w:proofErr w:type="spellStart"/>
      <w:r w:rsidRPr="00B90388">
        <w:t>Akpadaka</w:t>
      </w:r>
      <w:proofErr w:type="spellEnd"/>
      <w:r w:rsidRPr="00B90388">
        <w:t xml:space="preserve"> and Edeh, 2024).</w:t>
      </w:r>
    </w:p>
    <w:p w14:paraId="2BB74F1E" w14:textId="77777777" w:rsidR="00D64DB1" w:rsidRPr="00B90388" w:rsidRDefault="00000000" w:rsidP="00B90388">
      <w:pPr>
        <w:spacing w:before="240"/>
        <w:jc w:val="center"/>
      </w:pPr>
      <w:r w:rsidRPr="00B90388">
        <w:rPr>
          <w:noProof/>
        </w:rPr>
        <w:drawing>
          <wp:inline distT="114300" distB="114300" distL="114300" distR="114300" wp14:anchorId="602219C2" wp14:editId="17431267">
            <wp:extent cx="4105275" cy="3562350"/>
            <wp:effectExtent l="12700" t="12700" r="12700" b="12700"/>
            <wp:docPr id="23"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6"/>
                    <a:srcRect/>
                    <a:stretch>
                      <a:fillRect/>
                    </a:stretch>
                  </pic:blipFill>
                  <pic:spPr>
                    <a:xfrm>
                      <a:off x="0" y="0"/>
                      <a:ext cx="4105275" cy="3562350"/>
                    </a:xfrm>
                    <a:prstGeom prst="rect">
                      <a:avLst/>
                    </a:prstGeom>
                    <a:ln w="12700">
                      <a:solidFill>
                        <a:srgbClr val="000000"/>
                      </a:solidFill>
                      <a:prstDash val="solid"/>
                    </a:ln>
                  </pic:spPr>
                </pic:pic>
              </a:graphicData>
            </a:graphic>
          </wp:inline>
        </w:drawing>
      </w:r>
    </w:p>
    <w:p w14:paraId="5D7CFC82" w14:textId="388C1CD5" w:rsidR="00E47284" w:rsidRDefault="00E47284" w:rsidP="00E47284">
      <w:pPr>
        <w:pStyle w:val="Caption"/>
        <w:jc w:val="center"/>
        <w:rPr>
          <w:b/>
        </w:rPr>
      </w:pPr>
      <w:r>
        <w:t xml:space="preserve">Figure </w:t>
      </w:r>
      <w:r>
        <w:fldChar w:fldCharType="begin"/>
      </w:r>
      <w:r>
        <w:instrText xml:space="preserve"> SEQ Figure \* ARABIC </w:instrText>
      </w:r>
      <w:r>
        <w:fldChar w:fldCharType="separate"/>
      </w:r>
      <w:r>
        <w:rPr>
          <w:noProof/>
        </w:rPr>
        <w:t>10</w:t>
      </w:r>
      <w:r>
        <w:fldChar w:fldCharType="end"/>
      </w:r>
      <w:r>
        <w:rPr>
          <w:noProof/>
        </w:rPr>
        <w:t xml:space="preserve">: </w:t>
      </w:r>
      <w:r w:rsidRPr="005D46F5">
        <w:rPr>
          <w:noProof/>
        </w:rPr>
        <w:t>Cash Operating Cycle</w:t>
      </w:r>
    </w:p>
    <w:p w14:paraId="1AA6DBC7" w14:textId="77777777" w:rsidR="00D64DB1" w:rsidRPr="00B90388" w:rsidRDefault="00000000" w:rsidP="00B90388">
      <w:pPr>
        <w:spacing w:before="240"/>
        <w:jc w:val="center"/>
      </w:pPr>
      <w:r w:rsidRPr="00B90388">
        <w:t>(Source: Yanney, 2021)</w:t>
      </w:r>
    </w:p>
    <w:p w14:paraId="0E4A1FF0" w14:textId="77777777" w:rsidR="00D64DB1" w:rsidRPr="00B90388" w:rsidRDefault="00000000" w:rsidP="00B90388">
      <w:pPr>
        <w:pStyle w:val="Heading2"/>
        <w:spacing w:before="240"/>
      </w:pPr>
      <w:bookmarkStart w:id="14" w:name="_ic2nl4q74lr1" w:colFirst="0" w:colLast="0"/>
      <w:bookmarkStart w:id="15" w:name="_Toc213805386"/>
      <w:bookmarkEnd w:id="14"/>
      <w:r w:rsidRPr="00B90388">
        <w:t>2.2 Recommendation of Liquidity Improvement Strategies using working capital reformation</w:t>
      </w:r>
      <w:bookmarkEnd w:id="15"/>
      <w:r w:rsidRPr="00B90388">
        <w:t xml:space="preserve"> </w:t>
      </w:r>
    </w:p>
    <w:p w14:paraId="4CB7E7F8" w14:textId="77777777" w:rsidR="00D64DB1" w:rsidRPr="00B90388" w:rsidRDefault="00000000" w:rsidP="00B90388">
      <w:pPr>
        <w:spacing w:before="240"/>
      </w:pPr>
      <w:proofErr w:type="gramStart"/>
      <w:r w:rsidRPr="00B90388">
        <w:t>In order to</w:t>
      </w:r>
      <w:proofErr w:type="gramEnd"/>
      <w:r w:rsidRPr="00B90388">
        <w:t xml:space="preserve"> improve the liquidity, General Electronics should pay more attention to the</w:t>
      </w:r>
      <w:r w:rsidRPr="00B90388">
        <w:rPr>
          <w:b/>
          <w:i/>
        </w:rPr>
        <w:t xml:space="preserve"> working capital management improvement</w:t>
      </w:r>
      <w:r w:rsidRPr="00B90388">
        <w:t xml:space="preserve">, paying attention to the </w:t>
      </w:r>
      <w:r w:rsidRPr="00B90388">
        <w:rPr>
          <w:b/>
          <w:i/>
        </w:rPr>
        <w:t>inventory, receivables, and payable management</w:t>
      </w:r>
      <w:r w:rsidRPr="00B90388">
        <w:t>. Firstly, it is suggested to implement</w:t>
      </w:r>
      <w:r w:rsidRPr="00B90388">
        <w:rPr>
          <w:b/>
          <w:i/>
        </w:rPr>
        <w:t xml:space="preserve"> lean </w:t>
      </w:r>
      <w:r w:rsidRPr="00B90388">
        <w:rPr>
          <w:b/>
          <w:i/>
        </w:rPr>
        <w:lastRenderedPageBreak/>
        <w:t xml:space="preserve">inventory solutions to lower storage costs </w:t>
      </w:r>
      <w:r w:rsidRPr="00B90388">
        <w:t xml:space="preserve">and release cash, which can be </w:t>
      </w:r>
      <w:r w:rsidRPr="00B90388">
        <w:rPr>
          <w:b/>
          <w:i/>
        </w:rPr>
        <w:t>Just-in-Time (JIT) systems</w:t>
      </w:r>
      <w:r w:rsidRPr="00B90388">
        <w:t xml:space="preserve"> and demand forecasting as studied by Jean, (2024). Through the introduction of </w:t>
      </w:r>
      <w:r w:rsidRPr="00B90388">
        <w:rPr>
          <w:b/>
          <w:i/>
        </w:rPr>
        <w:t>digital tracking of inventory</w:t>
      </w:r>
      <w:r w:rsidRPr="00B90388">
        <w:t xml:space="preserve"> and </w:t>
      </w:r>
      <w:r w:rsidRPr="00B90388">
        <w:rPr>
          <w:b/>
          <w:i/>
        </w:rPr>
        <w:t>integration of suppliers via ERP</w:t>
      </w:r>
      <w:r w:rsidRPr="00B90388">
        <w:t xml:space="preserve"> systems, the company will be able to attain real-time stock visibility which will </w:t>
      </w:r>
      <w:r w:rsidRPr="00B90388">
        <w:rPr>
          <w:b/>
          <w:i/>
        </w:rPr>
        <w:t>reduce overproduction and stockouts</w:t>
      </w:r>
      <w:r w:rsidRPr="00B90388">
        <w:t>.</w:t>
      </w:r>
    </w:p>
    <w:p w14:paraId="464AEE42" w14:textId="77777777" w:rsidR="00D64DB1" w:rsidRPr="00B90388" w:rsidRDefault="00000000" w:rsidP="00B90388">
      <w:pPr>
        <w:spacing w:before="240"/>
        <w:jc w:val="center"/>
        <w:rPr>
          <w:b/>
        </w:rPr>
      </w:pPr>
      <w:r w:rsidRPr="00B90388">
        <w:rPr>
          <w:b/>
          <w:noProof/>
        </w:rPr>
        <w:drawing>
          <wp:inline distT="114300" distB="114300" distL="114300" distR="114300" wp14:anchorId="0325B49E" wp14:editId="588EB18B">
            <wp:extent cx="3529013" cy="3362325"/>
            <wp:effectExtent l="12700" t="12700" r="12700" b="12700"/>
            <wp:docPr id="34"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27"/>
                    <a:srcRect/>
                    <a:stretch>
                      <a:fillRect/>
                    </a:stretch>
                  </pic:blipFill>
                  <pic:spPr>
                    <a:xfrm>
                      <a:off x="0" y="0"/>
                      <a:ext cx="3529013" cy="3362325"/>
                    </a:xfrm>
                    <a:prstGeom prst="rect">
                      <a:avLst/>
                    </a:prstGeom>
                    <a:ln w="12700">
                      <a:solidFill>
                        <a:srgbClr val="000000"/>
                      </a:solidFill>
                      <a:prstDash val="solid"/>
                    </a:ln>
                  </pic:spPr>
                </pic:pic>
              </a:graphicData>
            </a:graphic>
          </wp:inline>
        </w:drawing>
      </w:r>
    </w:p>
    <w:p w14:paraId="1A051068" w14:textId="26A61B06" w:rsidR="00E47284" w:rsidRDefault="00E47284" w:rsidP="00E47284">
      <w:pPr>
        <w:pStyle w:val="Caption"/>
        <w:jc w:val="center"/>
        <w:rPr>
          <w:b/>
        </w:rPr>
      </w:pPr>
      <w:r>
        <w:t xml:space="preserve">Figure </w:t>
      </w:r>
      <w:r>
        <w:fldChar w:fldCharType="begin"/>
      </w:r>
      <w:r>
        <w:instrText xml:space="preserve"> SEQ Figure \* ARABIC </w:instrText>
      </w:r>
      <w:r>
        <w:fldChar w:fldCharType="separate"/>
      </w:r>
      <w:r>
        <w:rPr>
          <w:noProof/>
        </w:rPr>
        <w:t>11</w:t>
      </w:r>
      <w:r>
        <w:fldChar w:fldCharType="end"/>
      </w:r>
      <w:r>
        <w:t xml:space="preserve">: </w:t>
      </w:r>
      <w:r w:rsidRPr="00C645DB">
        <w:t>Inventory Optimization with technological integration</w:t>
      </w:r>
    </w:p>
    <w:p w14:paraId="67E7E082" w14:textId="77777777" w:rsidR="00D64DB1" w:rsidRPr="00B90388" w:rsidRDefault="00000000" w:rsidP="00B90388">
      <w:pPr>
        <w:spacing w:before="240"/>
        <w:jc w:val="center"/>
      </w:pPr>
      <w:r w:rsidRPr="00B90388">
        <w:t>(Source: Yanney, 2021)</w:t>
      </w:r>
    </w:p>
    <w:p w14:paraId="459CCC71" w14:textId="77777777" w:rsidR="00D64DB1" w:rsidRPr="00B90388" w:rsidRDefault="00000000" w:rsidP="00B90388">
      <w:pPr>
        <w:spacing w:before="240"/>
      </w:pPr>
      <w:r w:rsidRPr="00B90388">
        <w:t xml:space="preserve">Second, it is important to </w:t>
      </w:r>
      <w:r w:rsidRPr="00B90388">
        <w:rPr>
          <w:b/>
          <w:i/>
        </w:rPr>
        <w:t>enhance accounts receivables management</w:t>
      </w:r>
      <w:r w:rsidRPr="00B90388">
        <w:t xml:space="preserve">. The company ought to </w:t>
      </w:r>
      <w:r w:rsidRPr="00B90388">
        <w:rPr>
          <w:b/>
          <w:i/>
        </w:rPr>
        <w:t>increase credit requirements, perform stringent credit checks and provide incentives</w:t>
      </w:r>
      <w:r w:rsidRPr="00B90388">
        <w:t xml:space="preserve"> in terms of early credit payment to consumers. </w:t>
      </w:r>
      <w:r w:rsidRPr="00B90388">
        <w:rPr>
          <w:b/>
          <w:i/>
        </w:rPr>
        <w:t>Automated invoicing systems</w:t>
      </w:r>
      <w:r w:rsidRPr="00B90388">
        <w:t xml:space="preserve"> can be used to shorten the billing cycles and dynamic discounting can be used to prompt payments according to </w:t>
      </w:r>
      <w:proofErr w:type="spellStart"/>
      <w:r w:rsidRPr="00B90388">
        <w:t>Milosheski</w:t>
      </w:r>
      <w:proofErr w:type="spellEnd"/>
      <w:r w:rsidRPr="00B90388">
        <w:t xml:space="preserve"> and </w:t>
      </w:r>
      <w:proofErr w:type="spellStart"/>
      <w:r w:rsidRPr="00B90388">
        <w:t>Karadimce</w:t>
      </w:r>
      <w:proofErr w:type="spellEnd"/>
      <w:r w:rsidRPr="00B90388">
        <w:t xml:space="preserve">, (2025). The study also discusses that it is possible to significantly </w:t>
      </w:r>
      <w:r w:rsidRPr="00B90388">
        <w:rPr>
          <w:b/>
          <w:i/>
        </w:rPr>
        <w:t>enhance liquidity</w:t>
      </w:r>
      <w:r w:rsidRPr="00B90388">
        <w:t xml:space="preserve"> without financing through a reduction of the number of days of receivables.</w:t>
      </w:r>
    </w:p>
    <w:p w14:paraId="2B5BF680" w14:textId="77777777" w:rsidR="00D64DB1" w:rsidRPr="00B90388" w:rsidRDefault="00000000" w:rsidP="00B90388">
      <w:pPr>
        <w:spacing w:before="240"/>
      </w:pPr>
      <w:r w:rsidRPr="00B90388">
        <w:lastRenderedPageBreak/>
        <w:t>Third, the company will be able to</w:t>
      </w:r>
      <w:r w:rsidRPr="00B90388">
        <w:rPr>
          <w:b/>
          <w:i/>
        </w:rPr>
        <w:t xml:space="preserve"> increase its accounts payable period </w:t>
      </w:r>
      <w:r w:rsidRPr="00B90388">
        <w:t xml:space="preserve">by </w:t>
      </w:r>
      <w:r w:rsidRPr="00B90388">
        <w:rPr>
          <w:b/>
          <w:i/>
        </w:rPr>
        <w:t xml:space="preserve">collaborating with suppliers, negotiating good credit conditions, and </w:t>
      </w:r>
      <w:r w:rsidRPr="00B90388">
        <w:t xml:space="preserve">using </w:t>
      </w:r>
      <w:r w:rsidRPr="00B90388">
        <w:rPr>
          <w:b/>
          <w:i/>
        </w:rPr>
        <w:t>supply chain financing</w:t>
      </w:r>
      <w:r w:rsidRPr="00B90388">
        <w:t xml:space="preserve">. Moreover, it should be done strategically </w:t>
      </w:r>
      <w:proofErr w:type="gramStart"/>
      <w:r w:rsidRPr="00B90388">
        <w:t>so as to</w:t>
      </w:r>
      <w:proofErr w:type="gramEnd"/>
      <w:r w:rsidRPr="00B90388">
        <w:t xml:space="preserve"> not lose the trust of suppliers and suffer penalties. Besides, </w:t>
      </w:r>
      <w:r w:rsidRPr="00B90388">
        <w:rPr>
          <w:b/>
          <w:i/>
        </w:rPr>
        <w:t xml:space="preserve">cash flow forecasting </w:t>
      </w:r>
      <w:r w:rsidRPr="00B90388">
        <w:t xml:space="preserve">will enable the firm to forecast cash shortfalls and maximize the use of short-term financing as disclosed by </w:t>
      </w:r>
      <w:proofErr w:type="spellStart"/>
      <w:r w:rsidRPr="00B90388">
        <w:t>Bondina</w:t>
      </w:r>
      <w:proofErr w:type="spellEnd"/>
      <w:r w:rsidRPr="00B90388">
        <w:t>, Bondin, and Pavlova, (2021).</w:t>
      </w:r>
    </w:p>
    <w:p w14:paraId="020C521D" w14:textId="77777777" w:rsidR="00D64DB1" w:rsidRPr="00B90388" w:rsidRDefault="00000000" w:rsidP="00B90388">
      <w:pPr>
        <w:spacing w:before="240"/>
        <w:jc w:val="center"/>
        <w:rPr>
          <w:b/>
        </w:rPr>
      </w:pPr>
      <w:r w:rsidRPr="00B90388">
        <w:rPr>
          <w:b/>
          <w:noProof/>
        </w:rPr>
        <w:drawing>
          <wp:inline distT="114300" distB="114300" distL="114300" distR="114300" wp14:anchorId="753DF86A" wp14:editId="656FDFF5">
            <wp:extent cx="2900363" cy="2962960"/>
            <wp:effectExtent l="0" t="0" r="0" b="0"/>
            <wp:docPr id="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8"/>
                    <a:srcRect/>
                    <a:stretch>
                      <a:fillRect/>
                    </a:stretch>
                  </pic:blipFill>
                  <pic:spPr>
                    <a:xfrm>
                      <a:off x="0" y="0"/>
                      <a:ext cx="2900363" cy="2962960"/>
                    </a:xfrm>
                    <a:prstGeom prst="rect">
                      <a:avLst/>
                    </a:prstGeom>
                    <a:ln/>
                  </pic:spPr>
                </pic:pic>
              </a:graphicData>
            </a:graphic>
          </wp:inline>
        </w:drawing>
      </w:r>
    </w:p>
    <w:p w14:paraId="6AB620D5" w14:textId="009FF1DF" w:rsidR="00E47284" w:rsidRDefault="00E47284" w:rsidP="00E47284">
      <w:pPr>
        <w:pStyle w:val="Caption"/>
        <w:jc w:val="center"/>
        <w:rPr>
          <w:b/>
        </w:rPr>
      </w:pPr>
      <w:r>
        <w:t xml:space="preserve">Figure </w:t>
      </w:r>
      <w:r>
        <w:fldChar w:fldCharType="begin"/>
      </w:r>
      <w:r>
        <w:instrText xml:space="preserve"> SEQ Figure \* ARABIC </w:instrText>
      </w:r>
      <w:r>
        <w:fldChar w:fldCharType="separate"/>
      </w:r>
      <w:r>
        <w:rPr>
          <w:noProof/>
        </w:rPr>
        <w:t>12</w:t>
      </w:r>
      <w:r>
        <w:fldChar w:fldCharType="end"/>
      </w:r>
      <w:r>
        <w:t xml:space="preserve">: </w:t>
      </w:r>
      <w:r w:rsidRPr="00860F73">
        <w:t>Impact of Inventory Optimisation on Cash Operating Cycle</w:t>
      </w:r>
    </w:p>
    <w:p w14:paraId="58C473B4" w14:textId="77777777" w:rsidR="00D64DB1" w:rsidRPr="00B90388" w:rsidRDefault="00000000" w:rsidP="00B90388">
      <w:pPr>
        <w:spacing w:before="240"/>
        <w:jc w:val="center"/>
      </w:pPr>
      <w:r w:rsidRPr="00B90388">
        <w:t>(Source: Yanney, 2021)</w:t>
      </w:r>
    </w:p>
    <w:p w14:paraId="0397B38F" w14:textId="77777777" w:rsidR="00D64DB1" w:rsidRPr="00B90388" w:rsidRDefault="00000000" w:rsidP="00B90388">
      <w:pPr>
        <w:spacing w:before="240"/>
      </w:pPr>
      <w:r w:rsidRPr="00B90388">
        <w:t>Finally, the management of treasuries should be centralized, which will enhance the visibility of cash in the global subsidiaries to control the liquidity effectively. General Electronics is also advised to consider its commitments on capital expenditure and liquidate non-core assets to free trapped funds.</w:t>
      </w:r>
      <w:r w:rsidRPr="00B90388">
        <w:rPr>
          <w:b/>
          <w:i/>
        </w:rPr>
        <w:t xml:space="preserve"> Tightening credit policies, balancing and management of payables, inventory optimization </w:t>
      </w:r>
      <w:r w:rsidRPr="00B90388">
        <w:t xml:space="preserve">and </w:t>
      </w:r>
      <w:r w:rsidRPr="00B90388">
        <w:rPr>
          <w:b/>
          <w:i/>
        </w:rPr>
        <w:t xml:space="preserve">balancing </w:t>
      </w:r>
      <w:r w:rsidRPr="00B90388">
        <w:t>will enhance liquidity and reduce cash operating cycle (Yanney, 2021). These reforms provide financial stability, but also operational resilience and investor confidence.</w:t>
      </w:r>
    </w:p>
    <w:p w14:paraId="6DD02F64" w14:textId="77777777" w:rsidR="00D64DB1" w:rsidRPr="00B90388" w:rsidRDefault="00000000" w:rsidP="00B90388">
      <w:pPr>
        <w:pStyle w:val="Heading2"/>
        <w:spacing w:before="240"/>
      </w:pPr>
      <w:bookmarkStart w:id="16" w:name="_edgdrg3c05o0" w:colFirst="0" w:colLast="0"/>
      <w:bookmarkStart w:id="17" w:name="_Toc213805387"/>
      <w:bookmarkEnd w:id="16"/>
      <w:r w:rsidRPr="00B90388">
        <w:lastRenderedPageBreak/>
        <w:t>2.3 Comparison between short-term and long-term financing options</w:t>
      </w:r>
      <w:bookmarkEnd w:id="17"/>
    </w:p>
    <w:p w14:paraId="66B7033D" w14:textId="6C6BECE5" w:rsidR="00D64DB1" w:rsidRPr="00B90388" w:rsidRDefault="00000000" w:rsidP="00B90388">
      <w:pPr>
        <w:spacing w:before="240"/>
      </w:pPr>
      <w:r w:rsidRPr="00B90388">
        <w:t xml:space="preserve">To facilitate the enhancement of liquidity and the stability of operations, General Electronics will have to ensure a close balance between the short-term and long-term funding. The immediate capital finance sources can be the </w:t>
      </w:r>
      <w:r w:rsidRPr="00B90388">
        <w:rPr>
          <w:b/>
          <w:i/>
        </w:rPr>
        <w:t xml:space="preserve">bank overdrafts, trade credit, and commercial papers </w:t>
      </w:r>
      <w:r w:rsidRPr="00B90388">
        <w:t xml:space="preserve">to provide the working capital needs within a very </w:t>
      </w:r>
      <w:r w:rsidRPr="00B90388">
        <w:rPr>
          <w:b/>
          <w:i/>
        </w:rPr>
        <w:t xml:space="preserve">short </w:t>
      </w:r>
      <w:proofErr w:type="gramStart"/>
      <w:r w:rsidRPr="00B90388">
        <w:rPr>
          <w:b/>
          <w:i/>
        </w:rPr>
        <w:t>period of time</w:t>
      </w:r>
      <w:proofErr w:type="gramEnd"/>
      <w:r w:rsidRPr="00B90388">
        <w:t xml:space="preserve">. They are very flexible, cheaper, and are perfect sources in case of a temporary cash crunch as reported in the study of </w:t>
      </w:r>
      <w:proofErr w:type="spellStart"/>
      <w:r w:rsidRPr="00B90388">
        <w:t>Ojeme</w:t>
      </w:r>
      <w:proofErr w:type="spellEnd"/>
      <w:r w:rsidRPr="00B90388">
        <w:t xml:space="preserve">, Tanko, and </w:t>
      </w:r>
      <w:proofErr w:type="spellStart"/>
      <w:r w:rsidRPr="00B90388">
        <w:t>Otame</w:t>
      </w:r>
      <w:proofErr w:type="spellEnd"/>
      <w:r w:rsidRPr="00B90388">
        <w:t xml:space="preserve">, (2021). As an example, a supplier can be negotiated to provide a trade credit without generating interest charges to enhance liquidity. </w:t>
      </w:r>
      <w:r w:rsidR="00E47284" w:rsidRPr="00B90388">
        <w:t>Nevertheless,</w:t>
      </w:r>
      <w:r w:rsidRPr="00B90388">
        <w:t xml:space="preserve"> excessive dependence on short term debt exaggerates rollover risk and leaves the company vulnerable to interest rate fluctuations, which is a matter of concern especially since the gearing ratio of the company has been increasing.</w:t>
      </w:r>
    </w:p>
    <w:p w14:paraId="16043B5E" w14:textId="77777777" w:rsidR="00D64DB1" w:rsidRPr="00B90388" w:rsidRDefault="00000000" w:rsidP="00B90388">
      <w:pPr>
        <w:spacing w:before="240"/>
      </w:pPr>
      <w:r w:rsidRPr="00B90388">
        <w:rPr>
          <w:b/>
          <w:i/>
        </w:rPr>
        <w:t xml:space="preserve">Long term funding, such as equity issue, corporate bonds, and term loans </w:t>
      </w:r>
      <w:r w:rsidRPr="00B90388">
        <w:t>on the other hand offer stability in terms of financing fixed assets and restructuring projects. Although long-term debt is more expensive, this form of debt is distributed over a long period, which relieves the short-term liquidity of the debtor. Besides, equity capital increase can enhance the capital base of the firm enhancing solvency and decreasing financial risk according to Çam and Özer, (2022). Moreover, new shares can be used to dilute the current ownership and lower earnings per share.</w:t>
      </w:r>
    </w:p>
    <w:p w14:paraId="3B663075" w14:textId="77777777" w:rsidR="00D64DB1" w:rsidRPr="00B90388" w:rsidRDefault="00000000" w:rsidP="00B90388">
      <w:pPr>
        <w:spacing w:before="240"/>
      </w:pPr>
      <w:r w:rsidRPr="00B90388">
        <w:t xml:space="preserve">In the present situation, it will be risky to rely heavily on short-term borrowing due to the negative profitability of the firm and declining retained earnings. It is thus recommendable to </w:t>
      </w:r>
      <w:r w:rsidRPr="00B90388">
        <w:rPr>
          <w:b/>
          <w:i/>
        </w:rPr>
        <w:t>use a hybrid form of financing strategy</w:t>
      </w:r>
      <w:r w:rsidRPr="00B90388">
        <w:t xml:space="preserve"> where long-term debt is used to restructure the capital and short-term credit facilities are used to finance the working capital requirements.</w:t>
      </w:r>
    </w:p>
    <w:p w14:paraId="5C4A0C6A" w14:textId="77777777" w:rsidR="00D64DB1" w:rsidRPr="00B90388" w:rsidRDefault="00000000" w:rsidP="00B90388">
      <w:pPr>
        <w:pStyle w:val="Heading1"/>
        <w:spacing w:before="240"/>
      </w:pPr>
      <w:bookmarkStart w:id="18" w:name="_f3grmnv4qw9k" w:colFirst="0" w:colLast="0"/>
      <w:bookmarkStart w:id="19" w:name="_Toc213805388"/>
      <w:bookmarkEnd w:id="18"/>
      <w:r w:rsidRPr="00B90388">
        <w:t>3. Strategic Financial Restructuring Plan</w:t>
      </w:r>
      <w:bookmarkEnd w:id="19"/>
    </w:p>
    <w:p w14:paraId="1FCB30A0" w14:textId="77777777" w:rsidR="00D64DB1" w:rsidRPr="00B90388" w:rsidRDefault="00000000" w:rsidP="00B90388">
      <w:pPr>
        <w:pStyle w:val="Heading2"/>
        <w:spacing w:before="240"/>
      </w:pPr>
      <w:bookmarkStart w:id="20" w:name="_vfrrjk6i0btz" w:colFirst="0" w:colLast="0"/>
      <w:bookmarkStart w:id="21" w:name="_Toc213805389"/>
      <w:bookmarkEnd w:id="20"/>
      <w:r w:rsidRPr="00B90388">
        <w:t>3.1 Financial Restructuring Options</w:t>
      </w:r>
      <w:bookmarkEnd w:id="21"/>
      <w:r w:rsidRPr="00B90388">
        <w:t xml:space="preserve"> </w:t>
      </w:r>
    </w:p>
    <w:p w14:paraId="5115361A" w14:textId="77777777" w:rsidR="00D64DB1" w:rsidRPr="00B90388" w:rsidRDefault="00000000" w:rsidP="00B90388">
      <w:pPr>
        <w:spacing w:before="240"/>
      </w:pPr>
      <w:r w:rsidRPr="00B90388">
        <w:t xml:space="preserve">General Electronics ought to implement a multi-pronged financial restructuring plan and strategy which includes </w:t>
      </w:r>
      <w:r w:rsidRPr="00B90388">
        <w:rPr>
          <w:b/>
          <w:i/>
        </w:rPr>
        <w:t xml:space="preserve">divestiture, equity injection, </w:t>
      </w:r>
      <w:r w:rsidRPr="00B90388">
        <w:t xml:space="preserve">and possible strategic </w:t>
      </w:r>
      <w:r w:rsidRPr="00B90388">
        <w:rPr>
          <w:b/>
          <w:i/>
        </w:rPr>
        <w:t>mergers or alliances</w:t>
      </w:r>
      <w:r w:rsidRPr="00B90388">
        <w:t xml:space="preserve"> to achieve financial stability and stimulate long-term growth.</w:t>
      </w:r>
    </w:p>
    <w:p w14:paraId="35C96454" w14:textId="77777777" w:rsidR="00D64DB1" w:rsidRPr="00B90388" w:rsidRDefault="00000000" w:rsidP="00B90388">
      <w:pPr>
        <w:spacing w:before="240"/>
      </w:pPr>
      <w:r w:rsidRPr="00B90388">
        <w:lastRenderedPageBreak/>
        <w:t xml:space="preserve">To begin with </w:t>
      </w:r>
      <w:r w:rsidRPr="00B90388">
        <w:rPr>
          <w:b/>
          <w:i/>
        </w:rPr>
        <w:t>divestiture</w:t>
      </w:r>
      <w:r w:rsidRPr="00B90388">
        <w:t xml:space="preserve">, the liquidity and debt could be enhanced at once by selling the non-core or poorly performing assets. </w:t>
      </w:r>
      <w:r w:rsidRPr="00B90388">
        <w:rPr>
          <w:b/>
          <w:i/>
        </w:rPr>
        <w:t xml:space="preserve">Disposing of subsidiaries </w:t>
      </w:r>
      <w:r w:rsidRPr="00B90388">
        <w:t>or unwanted product lines is a way to enable the company to concentrate on the most lucrative lines of products as well as to release cash that can be reinvested in the business. Kemppainen, (2022) reveal that divestitures lead to better capital efficiency and allow companies to achieve the best resource allocation through the exit of low-margin markets.</w:t>
      </w:r>
    </w:p>
    <w:p w14:paraId="0A1ABF0A" w14:textId="77777777" w:rsidR="00D64DB1" w:rsidRPr="00B90388" w:rsidRDefault="00000000" w:rsidP="00B90388">
      <w:pPr>
        <w:spacing w:before="240"/>
      </w:pPr>
      <w:r w:rsidRPr="00B90388">
        <w:t>Secondly, an e</w:t>
      </w:r>
      <w:r w:rsidRPr="00B90388">
        <w:rPr>
          <w:b/>
          <w:i/>
        </w:rPr>
        <w:t>quity injection</w:t>
      </w:r>
      <w:r w:rsidRPr="00B90388">
        <w:t xml:space="preserve">, whether by a </w:t>
      </w:r>
      <w:r w:rsidRPr="00B90388">
        <w:rPr>
          <w:b/>
          <w:i/>
        </w:rPr>
        <w:t>rights issue</w:t>
      </w:r>
      <w:r w:rsidRPr="00B90388">
        <w:t xml:space="preserve"> or the attraction of </w:t>
      </w:r>
      <w:r w:rsidRPr="00B90388">
        <w:rPr>
          <w:b/>
          <w:i/>
        </w:rPr>
        <w:t xml:space="preserve">institutional investors </w:t>
      </w:r>
      <w:r w:rsidRPr="00B90388">
        <w:t xml:space="preserve">can be a great booster to the balance sheet. Alternatively, the strategic investors </w:t>
      </w:r>
      <w:proofErr w:type="gramStart"/>
      <w:r w:rsidRPr="00B90388">
        <w:t>are able to</w:t>
      </w:r>
      <w:proofErr w:type="gramEnd"/>
      <w:r w:rsidRPr="00B90388">
        <w:t xml:space="preserve"> contribute not only funds but also management skills, supply chain relationships and access to the market. The infusion of equity would decrease the reliance on the debt and would enhance gearing ratios and regain the confidence of the investors as per Saranya et al. (2024).</w:t>
      </w:r>
    </w:p>
    <w:p w14:paraId="3F1F91EA" w14:textId="77777777" w:rsidR="00D64DB1" w:rsidRPr="00B90388" w:rsidRDefault="00000000" w:rsidP="00B90388">
      <w:pPr>
        <w:spacing w:before="240"/>
      </w:pPr>
      <w:r w:rsidRPr="00B90388">
        <w:t xml:space="preserve">Thirdly, </w:t>
      </w:r>
      <w:r w:rsidRPr="00B90388">
        <w:rPr>
          <w:b/>
          <w:i/>
        </w:rPr>
        <w:t>acquisitions or strategic mergers (M&amp;A)</w:t>
      </w:r>
      <w:r w:rsidRPr="00B90388">
        <w:t xml:space="preserve"> with complementary technology partners or global distributors can increase economies of scale, revenue streams, and operational synergies according to the research of AYODEJI et al. (2025). As an example, merger with a local electronics producer may increase distribution channels and decrease the cost of production due to shared logistics and research and development. Also, they need due diligence to verify cultural and strategic fit.</w:t>
      </w:r>
    </w:p>
    <w:p w14:paraId="392D8916" w14:textId="32696B2F" w:rsidR="00D64DB1" w:rsidRPr="00B90388" w:rsidRDefault="00000000" w:rsidP="00B90388">
      <w:pPr>
        <w:spacing w:before="240"/>
      </w:pPr>
      <w:r w:rsidRPr="00B90388">
        <w:t xml:space="preserve">Finally, short-term cash pressures can be mitigated with </w:t>
      </w:r>
      <w:r w:rsidRPr="00B90388">
        <w:rPr>
          <w:b/>
          <w:i/>
        </w:rPr>
        <w:t xml:space="preserve">debt restructuring </w:t>
      </w:r>
      <w:r w:rsidRPr="00B90388">
        <w:t xml:space="preserve">via </w:t>
      </w:r>
      <w:r w:rsidRPr="00B90388">
        <w:rPr>
          <w:b/>
          <w:i/>
        </w:rPr>
        <w:t>re-negotiating of interest rates, debt-for-equity swaps or dealing with longer payback periods</w:t>
      </w:r>
      <w:r w:rsidRPr="00B90388">
        <w:t xml:space="preserve">. This method is </w:t>
      </w:r>
      <w:proofErr w:type="gramStart"/>
      <w:r w:rsidRPr="00B90388">
        <w:t>similar to</w:t>
      </w:r>
      <w:proofErr w:type="gramEnd"/>
      <w:r w:rsidRPr="00B90388">
        <w:t xml:space="preserve"> the </w:t>
      </w:r>
      <w:r w:rsidRPr="00B90388">
        <w:rPr>
          <w:b/>
          <w:i/>
        </w:rPr>
        <w:t xml:space="preserve">pecking order theory </w:t>
      </w:r>
      <w:r w:rsidRPr="00B90388">
        <w:t xml:space="preserve">that focuses on reducing financial distress and then </w:t>
      </w:r>
      <w:proofErr w:type="gramStart"/>
      <w:r w:rsidRPr="00B90388">
        <w:t>looks into</w:t>
      </w:r>
      <w:proofErr w:type="gramEnd"/>
      <w:r w:rsidRPr="00B90388">
        <w:t xml:space="preserve"> new equity as mentioned by Basiru et al. (2023). All these financial restructuring plans will see General Electronics in a position of sustainable recovery and an improvement in solvency and </w:t>
      </w:r>
      <w:r w:rsidR="00CA5A09" w:rsidRPr="00B90388">
        <w:t>long-term</w:t>
      </w:r>
      <w:r w:rsidRPr="00B90388">
        <w:t xml:space="preserve"> competitiveness in the global electronics industry.</w:t>
      </w:r>
    </w:p>
    <w:p w14:paraId="22F0EAFC" w14:textId="77777777" w:rsidR="00D64DB1" w:rsidRPr="00B90388" w:rsidRDefault="00000000" w:rsidP="00B90388">
      <w:pPr>
        <w:pStyle w:val="Heading2"/>
        <w:spacing w:before="240"/>
      </w:pPr>
      <w:bookmarkStart w:id="22" w:name="_9gnrhwaammtc" w:colFirst="0" w:colLast="0"/>
      <w:bookmarkStart w:id="23" w:name="_Toc213805390"/>
      <w:bookmarkEnd w:id="22"/>
      <w:r w:rsidRPr="00B90388">
        <w:t>3.2 Impact on Shareholder Value, Debt Structure, and Operational Flexibility</w:t>
      </w:r>
      <w:bookmarkEnd w:id="23"/>
    </w:p>
    <w:p w14:paraId="0F737ECC" w14:textId="77777777" w:rsidR="00D64DB1" w:rsidRPr="00B90388" w:rsidRDefault="00000000" w:rsidP="00B90388">
      <w:pPr>
        <w:spacing w:before="240"/>
      </w:pPr>
      <w:r w:rsidRPr="00B90388">
        <w:t xml:space="preserve">A </w:t>
      </w:r>
      <w:r w:rsidRPr="00B90388">
        <w:rPr>
          <w:b/>
          <w:i/>
        </w:rPr>
        <w:t xml:space="preserve">dilution of ownership </w:t>
      </w:r>
      <w:r w:rsidRPr="00B90388">
        <w:t xml:space="preserve">on the part of existing shareholders is the first possible effect through an </w:t>
      </w:r>
      <w:r w:rsidRPr="00B90388">
        <w:rPr>
          <w:b/>
          <w:i/>
        </w:rPr>
        <w:t xml:space="preserve">equity injection </w:t>
      </w:r>
      <w:r w:rsidRPr="00B90388">
        <w:t xml:space="preserve">of the company whether it is by way of a rights or external </w:t>
      </w:r>
      <w:r w:rsidRPr="00B90388">
        <w:lastRenderedPageBreak/>
        <w:t>investment as per Goyal et al. (2024). Additionally, in case the capital is optimally invested to increase profitability and leverage, the long-term shareholder value will increase due to increased earnings per share and better dividend prospects. The market valuation of the firm is also going to increase due to increased solvency, which will indicate the low risk of financial distress.</w:t>
      </w:r>
    </w:p>
    <w:p w14:paraId="5CD402E4" w14:textId="0754A3BF" w:rsidR="00D64DB1" w:rsidRPr="00B90388" w:rsidRDefault="00000000" w:rsidP="00B90388">
      <w:pPr>
        <w:spacing w:before="240"/>
      </w:pPr>
      <w:r w:rsidRPr="00B90388">
        <w:rPr>
          <w:b/>
          <w:i/>
        </w:rPr>
        <w:t xml:space="preserve">Divestiture </w:t>
      </w:r>
      <w:r w:rsidRPr="00B90388">
        <w:t xml:space="preserve">however has a positive effect on shareholder value as it allows the company to focus on business operations that are associated with a higher potential of returns. Debt is </w:t>
      </w:r>
      <w:r w:rsidR="00CA5A09" w:rsidRPr="00B90388">
        <w:t>retriable</w:t>
      </w:r>
      <w:r w:rsidRPr="00B90388">
        <w:t xml:space="preserve"> with proceeds of asset sales enhancing the debt-to-equity ratio and reducing the interest cost. As Majka</w:t>
      </w:r>
      <w:r w:rsidR="00CA5A09">
        <w:t xml:space="preserve"> </w:t>
      </w:r>
      <w:r w:rsidRPr="00B90388">
        <w:t>(2024) points out, high-margin activities bring effectiveness to operations and improve the return on invested capital (ROIC) which eventually boosts the stock performance of the firm.</w:t>
      </w:r>
    </w:p>
    <w:p w14:paraId="4C7FDA2A" w14:textId="62F1915F" w:rsidR="00D64DB1" w:rsidRPr="00B90388" w:rsidRDefault="00000000" w:rsidP="00B90388">
      <w:pPr>
        <w:spacing w:before="240"/>
      </w:pPr>
      <w:r w:rsidRPr="00B90388">
        <w:t xml:space="preserve">In </w:t>
      </w:r>
      <w:r w:rsidRPr="00B90388">
        <w:rPr>
          <w:b/>
          <w:i/>
        </w:rPr>
        <w:t xml:space="preserve">Debt </w:t>
      </w:r>
      <w:r w:rsidRPr="00B90388">
        <w:t xml:space="preserve">structure, restructuring of loans, by renegotiating interest or increasing the maturity period, lessens the liquidity strain in a short period. A debt-to-equity swap can also enhance solvency by reducing </w:t>
      </w:r>
      <w:r w:rsidR="00E47284" w:rsidRPr="00B90388">
        <w:t>leverage but</w:t>
      </w:r>
      <w:r w:rsidRPr="00B90388">
        <w:t xml:space="preserve"> comes at the cost of dilution of ownership according to </w:t>
      </w:r>
      <w:proofErr w:type="spellStart"/>
      <w:r w:rsidRPr="00B90388">
        <w:t>Qifeng</w:t>
      </w:r>
      <w:proofErr w:type="spellEnd"/>
      <w:r w:rsidRPr="00B90388">
        <w:t xml:space="preserve"> (2023). The outcome is a longer-term and more sustainable debt, which has a lower default risk and a higher credit rating, which lowers the cost of capital.</w:t>
      </w:r>
    </w:p>
    <w:p w14:paraId="5FE16854" w14:textId="77777777" w:rsidR="00D64DB1" w:rsidRPr="00B90388" w:rsidRDefault="00000000" w:rsidP="00B90388">
      <w:pPr>
        <w:spacing w:before="240"/>
      </w:pPr>
      <w:r w:rsidRPr="00B90388">
        <w:t>The flexibility of operations would also rise since the lower financial commitments would enable the management to redirect cash flows to innovation, digital transformation and marketing. It is extremely critical in the electronics sector where technological obsolescence is achieved very quickly. Besides, possible mergers might increase the R&amp;D power of the company allowing it to develop products quicker and respond to changes in the global market.</w:t>
      </w:r>
    </w:p>
    <w:p w14:paraId="656C4E02" w14:textId="77777777" w:rsidR="00D64DB1" w:rsidRPr="00B90388" w:rsidRDefault="00000000" w:rsidP="00B90388">
      <w:pPr>
        <w:pStyle w:val="Heading2"/>
        <w:spacing w:before="240"/>
      </w:pPr>
      <w:bookmarkStart w:id="24" w:name="_t1zn37vh057c" w:colFirst="0" w:colLast="0"/>
      <w:bookmarkStart w:id="25" w:name="_Toc213805391"/>
      <w:bookmarkEnd w:id="24"/>
      <w:r w:rsidRPr="00B90388">
        <w:t>3.3 International and Ethical Considerations</w:t>
      </w:r>
      <w:bookmarkEnd w:id="25"/>
      <w:r w:rsidRPr="00B90388">
        <w:t xml:space="preserve"> </w:t>
      </w:r>
    </w:p>
    <w:p w14:paraId="06F9875C" w14:textId="77777777" w:rsidR="00D64DB1" w:rsidRPr="00B90388" w:rsidRDefault="00000000" w:rsidP="00B90388">
      <w:pPr>
        <w:spacing w:before="240"/>
      </w:pPr>
      <w:r w:rsidRPr="00B90388">
        <w:t xml:space="preserve">The financial restructuring would have to be conducted with due consideration of the </w:t>
      </w:r>
      <w:r w:rsidRPr="00B90388">
        <w:rPr>
          <w:b/>
          <w:i/>
        </w:rPr>
        <w:t>international and ethical issues</w:t>
      </w:r>
      <w:r w:rsidRPr="00B90388">
        <w:t xml:space="preserve"> especially on </w:t>
      </w:r>
      <w:r w:rsidRPr="00B90388">
        <w:rPr>
          <w:b/>
          <w:i/>
        </w:rPr>
        <w:t>taxation, currency risk, inflation and corporate social responsibility (CSR)</w:t>
      </w:r>
      <w:r w:rsidRPr="00B90388">
        <w:t>.</w:t>
      </w:r>
    </w:p>
    <w:p w14:paraId="2DCA85BA" w14:textId="77A603C1" w:rsidR="00D64DB1" w:rsidRPr="00B90388" w:rsidRDefault="00000000" w:rsidP="00B90388">
      <w:pPr>
        <w:spacing w:before="240"/>
      </w:pPr>
      <w:r w:rsidRPr="00B90388">
        <w:lastRenderedPageBreak/>
        <w:t xml:space="preserve">Taxation wise, divestitures and mergers could generate capital gains tax and cross-border transactions might be subject to the </w:t>
      </w:r>
      <w:r w:rsidRPr="00B90388">
        <w:rPr>
          <w:b/>
          <w:i/>
        </w:rPr>
        <w:t>double taxation risk</w:t>
      </w:r>
      <w:r w:rsidRPr="00B90388">
        <w:t>. To avoid them, General electronics ought to take advantage of tax treaties and use global transfer pricing techniques, which are in line with OECD principles (Korol et al.</w:t>
      </w:r>
      <w:r w:rsidR="00CA5A09">
        <w:t>,</w:t>
      </w:r>
      <w:r w:rsidRPr="00B90388">
        <w:t xml:space="preserve"> 2022). Also, foreign investors will need to inject equity into companies </w:t>
      </w:r>
      <w:proofErr w:type="gramStart"/>
      <w:r w:rsidRPr="00B90388">
        <w:t>taking into account</w:t>
      </w:r>
      <w:proofErr w:type="gramEnd"/>
      <w:r w:rsidRPr="00B90388">
        <w:t xml:space="preserve"> withholding taxes on dividends and possible regulatory limitations imposed by host-country laws.</w:t>
      </w:r>
    </w:p>
    <w:p w14:paraId="4D78F7FA" w14:textId="77777777" w:rsidR="00D64DB1" w:rsidRPr="00B90388" w:rsidRDefault="00000000" w:rsidP="00B90388">
      <w:pPr>
        <w:spacing w:before="240"/>
      </w:pPr>
      <w:r w:rsidRPr="00B90388">
        <w:t xml:space="preserve">Another important issue is </w:t>
      </w:r>
      <w:r w:rsidRPr="00B90388">
        <w:rPr>
          <w:b/>
          <w:i/>
        </w:rPr>
        <w:t>currency risk</w:t>
      </w:r>
      <w:r w:rsidRPr="00B90388">
        <w:t xml:space="preserve"> because the exchange rates may decrease the worth of foreign revenues and debts. </w:t>
      </w:r>
      <w:r w:rsidRPr="00B90388">
        <w:rPr>
          <w:i/>
        </w:rPr>
        <w:t xml:space="preserve">Hedging practices </w:t>
      </w:r>
      <w:r w:rsidRPr="00B90388">
        <w:t xml:space="preserve">that should be implemented in the firm include </w:t>
      </w:r>
      <w:r w:rsidRPr="00B90388">
        <w:rPr>
          <w:i/>
        </w:rPr>
        <w:t>forward contracts and currency swaps</w:t>
      </w:r>
      <w:r w:rsidRPr="00B90388">
        <w:t xml:space="preserve"> to make the cash flows stable as highlighted by Majka (2024). Exposure to single-currency dependency can also be minimized by diversification of supplier and customer base in various regions.</w:t>
      </w:r>
    </w:p>
    <w:p w14:paraId="34CE0FA2" w14:textId="77777777" w:rsidR="00D64DB1" w:rsidRPr="00B90388" w:rsidRDefault="00000000" w:rsidP="00B90388">
      <w:pPr>
        <w:spacing w:before="240"/>
      </w:pPr>
      <w:r w:rsidRPr="00B90388">
        <w:rPr>
          <w:b/>
          <w:i/>
        </w:rPr>
        <w:t>Inflation</w:t>
      </w:r>
      <w:r w:rsidRPr="00B90388">
        <w:t xml:space="preserve">, particularly in the emerging markets is an issue as it </w:t>
      </w:r>
      <w:r w:rsidRPr="00B90388">
        <w:rPr>
          <w:b/>
          <w:i/>
        </w:rPr>
        <w:t>raises production and financing expenses</w:t>
      </w:r>
      <w:r w:rsidRPr="00B90388">
        <w:t>. The company will need to counter the inflationary pressures by repricing, renewing contracts with its suppliers in non-inflationary currencies, and using inflation-linked financing instruments. Profit margins can be also secured by automation and lean manufacturing.</w:t>
      </w:r>
    </w:p>
    <w:p w14:paraId="603A7D36" w14:textId="36EAF7DA" w:rsidR="00D64DB1" w:rsidRPr="00B90388" w:rsidRDefault="00000000" w:rsidP="00B90388">
      <w:pPr>
        <w:spacing w:before="240"/>
      </w:pPr>
      <w:r w:rsidRPr="00B90388">
        <w:t xml:space="preserve">The restructuring process should also support the principles of </w:t>
      </w:r>
      <w:r w:rsidRPr="00B90388">
        <w:rPr>
          <w:b/>
          <w:i/>
        </w:rPr>
        <w:t xml:space="preserve">corporate social responsibility (CSR) </w:t>
      </w:r>
      <w:r w:rsidRPr="00B90388">
        <w:t xml:space="preserve">in terms of ethics. </w:t>
      </w:r>
      <w:r w:rsidRPr="00B90388">
        <w:rPr>
          <w:b/>
          <w:i/>
        </w:rPr>
        <w:t xml:space="preserve">Divestiture </w:t>
      </w:r>
      <w:r w:rsidRPr="00B90388">
        <w:t xml:space="preserve">downsizing of the workforce or </w:t>
      </w:r>
      <w:proofErr w:type="gramStart"/>
      <w:r w:rsidRPr="00B90388">
        <w:t>closing down</w:t>
      </w:r>
      <w:proofErr w:type="gramEnd"/>
      <w:r w:rsidRPr="00B90388">
        <w:t xml:space="preserve"> of a plant should be in line with </w:t>
      </w:r>
      <w:r w:rsidRPr="00B90388">
        <w:rPr>
          <w:b/>
          <w:i/>
        </w:rPr>
        <w:t xml:space="preserve">fair </w:t>
      </w:r>
      <w:proofErr w:type="spellStart"/>
      <w:r w:rsidRPr="00B90388">
        <w:rPr>
          <w:b/>
          <w:i/>
        </w:rPr>
        <w:t>labor</w:t>
      </w:r>
      <w:proofErr w:type="spellEnd"/>
      <w:r w:rsidRPr="00B90388">
        <w:rPr>
          <w:b/>
          <w:i/>
        </w:rPr>
        <w:t xml:space="preserve"> practices </w:t>
      </w:r>
      <w:r w:rsidRPr="00B90388">
        <w:t xml:space="preserve">and sufficient employee support programs. On the environmental aspect, the company must consider meeting the sustainable production check and reduce the wastes. </w:t>
      </w:r>
      <w:r w:rsidRPr="00B90388">
        <w:rPr>
          <w:b/>
          <w:i/>
        </w:rPr>
        <w:t xml:space="preserve">Acquisitions or Mergers </w:t>
      </w:r>
      <w:r w:rsidRPr="00B90388">
        <w:t>are supposed to go in line with</w:t>
      </w:r>
      <w:r w:rsidRPr="00B90388">
        <w:rPr>
          <w:b/>
          <w:i/>
        </w:rPr>
        <w:t xml:space="preserve"> ethical governance </w:t>
      </w:r>
      <w:r w:rsidRPr="00B90388">
        <w:t>systems with transparency and accountability of all cross-border transactions (García-Nieto et al.</w:t>
      </w:r>
      <w:r w:rsidR="00CA5A09">
        <w:t>,</w:t>
      </w:r>
      <w:r w:rsidRPr="00B90388">
        <w:t xml:space="preserve"> 2024).</w:t>
      </w:r>
    </w:p>
    <w:p w14:paraId="3EE265C5" w14:textId="77777777" w:rsidR="00D64DB1" w:rsidRPr="00B90388" w:rsidRDefault="00000000" w:rsidP="00B90388">
      <w:pPr>
        <w:spacing w:before="240"/>
      </w:pPr>
      <w:r w:rsidRPr="00B90388">
        <w:t xml:space="preserve">Moreover, investors are </w:t>
      </w:r>
      <w:proofErr w:type="gramStart"/>
      <w:r w:rsidRPr="00B90388">
        <w:t>more and more</w:t>
      </w:r>
      <w:proofErr w:type="gramEnd"/>
      <w:r w:rsidRPr="00B90388">
        <w:t xml:space="preserve"> considering the principle of firms in terms of Environmental, Social, and Governance (ESG). The ethical conduct of the decision-making process in restructuring choices can also help the company increase its image around the world and attract socially responsible investors. In this way, </w:t>
      </w:r>
      <w:r w:rsidRPr="00B90388">
        <w:rPr>
          <w:b/>
          <w:i/>
        </w:rPr>
        <w:t xml:space="preserve">financial restructuring with </w:t>
      </w:r>
      <w:r w:rsidRPr="00B90388">
        <w:rPr>
          <w:b/>
          <w:i/>
        </w:rPr>
        <w:lastRenderedPageBreak/>
        <w:t xml:space="preserve">ethical and sustainable practices </w:t>
      </w:r>
      <w:r w:rsidRPr="00B90388">
        <w:t>will help to strike the balance between profitability and long-term trust and legitimacy of stakeholders (Emma, 2024).</w:t>
      </w:r>
    </w:p>
    <w:p w14:paraId="0E6718A7" w14:textId="77777777" w:rsidR="00D64DB1" w:rsidRPr="00B90388" w:rsidRDefault="00000000" w:rsidP="00B90388">
      <w:pPr>
        <w:spacing w:before="240"/>
      </w:pPr>
      <w:r w:rsidRPr="00B90388">
        <w:t xml:space="preserve">Finally, </w:t>
      </w:r>
      <w:r w:rsidRPr="00B90388">
        <w:rPr>
          <w:b/>
          <w:i/>
        </w:rPr>
        <w:t xml:space="preserve">restructuring </w:t>
      </w:r>
      <w:r w:rsidRPr="00B90388">
        <w:t xml:space="preserve">would lead to </w:t>
      </w:r>
      <w:r w:rsidRPr="00B90388">
        <w:rPr>
          <w:b/>
          <w:i/>
        </w:rPr>
        <w:t>long-term shareholder value and competitiveness</w:t>
      </w:r>
      <w:r w:rsidRPr="00B90388">
        <w:t xml:space="preserve"> in the market because, although the restructuring may have short-term negative consequences, namely, on ownership and short-term returns, it would ultimately increase the financial base, decreasing capital costs, and resilience of the General Electronics.</w:t>
      </w:r>
    </w:p>
    <w:p w14:paraId="2429693B" w14:textId="77777777" w:rsidR="00D64DB1" w:rsidRPr="00B90388" w:rsidRDefault="00000000" w:rsidP="00B90388">
      <w:pPr>
        <w:pStyle w:val="Heading1"/>
        <w:spacing w:before="240"/>
      </w:pPr>
      <w:bookmarkStart w:id="26" w:name="_befmlxndrbhk" w:colFirst="0" w:colLast="0"/>
      <w:bookmarkStart w:id="27" w:name="_Toc213805392"/>
      <w:bookmarkEnd w:id="26"/>
      <w:r w:rsidRPr="00B90388">
        <w:t>4. Investment Appraisal and Capital Budgeting</w:t>
      </w:r>
      <w:bookmarkEnd w:id="27"/>
      <w:r w:rsidRPr="00B90388">
        <w:t xml:space="preserve"> </w:t>
      </w:r>
    </w:p>
    <w:p w14:paraId="63B6B680" w14:textId="77777777" w:rsidR="00D64DB1" w:rsidRPr="00B90388" w:rsidRDefault="00000000" w:rsidP="00B90388">
      <w:pPr>
        <w:pStyle w:val="Heading2"/>
        <w:spacing w:before="240"/>
      </w:pPr>
      <w:bookmarkStart w:id="28" w:name="_c7c4wzjrhlnk" w:colFirst="0" w:colLast="0"/>
      <w:bookmarkStart w:id="29" w:name="_Toc213805393"/>
      <w:bookmarkEnd w:id="28"/>
      <w:r w:rsidRPr="00B90388">
        <w:t>4.1 Selection of Investment Projects</w:t>
      </w:r>
      <w:bookmarkEnd w:id="29"/>
      <w:r w:rsidRPr="00B90388">
        <w:t xml:space="preserve"> </w:t>
      </w:r>
    </w:p>
    <w:p w14:paraId="738443EF" w14:textId="77777777" w:rsidR="00D64DB1" w:rsidRPr="00B90388" w:rsidRDefault="00000000" w:rsidP="00B90388">
      <w:pPr>
        <w:spacing w:before="240"/>
        <w:rPr>
          <w:b/>
          <w:i/>
        </w:rPr>
      </w:pPr>
      <w:r w:rsidRPr="00B90388">
        <w:rPr>
          <w:b/>
          <w:i/>
        </w:rPr>
        <w:t>Payback Period (PBP)</w:t>
      </w:r>
    </w:p>
    <w:p w14:paraId="342F1632" w14:textId="6F334008" w:rsidR="00D64DB1" w:rsidRPr="00B90388" w:rsidRDefault="00000000" w:rsidP="00B90388">
      <w:pPr>
        <w:spacing w:before="240"/>
      </w:pPr>
      <w:r w:rsidRPr="00B90388">
        <w:rPr>
          <w:i/>
        </w:rPr>
        <w:t>Payback Period (PBP)</w:t>
      </w:r>
      <w:r w:rsidRPr="00B90388">
        <w:t xml:space="preserve"> is an estimate of the </w:t>
      </w:r>
      <w:proofErr w:type="gramStart"/>
      <w:r w:rsidRPr="00B90388">
        <w:t>period of time</w:t>
      </w:r>
      <w:proofErr w:type="gramEnd"/>
      <w:r w:rsidRPr="00B90388">
        <w:t xml:space="preserve"> it takes a project to pay back its initial capital through accruing cash inflows as outlined by Rout (2024). Project A and project C are almost similar in terms of payback period 4 years 5 months and 4 years 7 months respectively whereas project B has payback period of zero years which is an unrealistic assumption implying a computational or structural discontinuity. In general, shorter payback periods are desirable because they indicate quicker capital recovers and reduce the liquidity risk. The approach, however, does not </w:t>
      </w:r>
      <w:proofErr w:type="gramStart"/>
      <w:r w:rsidRPr="00B90388">
        <w:t>take into account</w:t>
      </w:r>
      <w:proofErr w:type="gramEnd"/>
      <w:r w:rsidRPr="00B90388">
        <w:t xml:space="preserve"> the time value of money and cash flows that occur after pay back, and therefore, it cannot be relied on to provide a long-term view of the capital budget. Among the feasible alternatives, Project A shows a higher liquidity prospective than C, and this is in line with sound investment choices.</w:t>
      </w:r>
    </w:p>
    <w:p w14:paraId="0D734513" w14:textId="77777777" w:rsidR="00D64DB1" w:rsidRPr="00B90388" w:rsidRDefault="00000000" w:rsidP="00B90388">
      <w:pPr>
        <w:spacing w:before="240"/>
      </w:pPr>
      <w:r w:rsidRPr="00B90388">
        <w:rPr>
          <w:noProof/>
        </w:rPr>
        <w:drawing>
          <wp:inline distT="114300" distB="114300" distL="114300" distR="114300" wp14:anchorId="0FEFB81D" wp14:editId="7A76D88B">
            <wp:extent cx="5943600" cy="1320800"/>
            <wp:effectExtent l="0" t="0" r="0" b="0"/>
            <wp:docPr id="4"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9"/>
                    <a:srcRect/>
                    <a:stretch>
                      <a:fillRect/>
                    </a:stretch>
                  </pic:blipFill>
                  <pic:spPr>
                    <a:xfrm>
                      <a:off x="0" y="0"/>
                      <a:ext cx="5943600" cy="1320800"/>
                    </a:xfrm>
                    <a:prstGeom prst="rect">
                      <a:avLst/>
                    </a:prstGeom>
                    <a:ln/>
                  </pic:spPr>
                </pic:pic>
              </a:graphicData>
            </a:graphic>
          </wp:inline>
        </w:drawing>
      </w:r>
    </w:p>
    <w:p w14:paraId="56382265" w14:textId="1715FC91" w:rsidR="00E47284" w:rsidRDefault="00E47284" w:rsidP="00E47284">
      <w:pPr>
        <w:pStyle w:val="Caption"/>
        <w:jc w:val="center"/>
        <w:rPr>
          <w:b/>
        </w:rPr>
      </w:pPr>
      <w:r>
        <w:t xml:space="preserve">Table </w:t>
      </w:r>
      <w:r>
        <w:fldChar w:fldCharType="begin"/>
      </w:r>
      <w:r>
        <w:instrText xml:space="preserve"> SEQ Table \* ARABIC </w:instrText>
      </w:r>
      <w:r>
        <w:fldChar w:fldCharType="separate"/>
      </w:r>
      <w:r>
        <w:rPr>
          <w:noProof/>
        </w:rPr>
        <w:t>9</w:t>
      </w:r>
      <w:r>
        <w:fldChar w:fldCharType="end"/>
      </w:r>
      <w:r>
        <w:t xml:space="preserve">: </w:t>
      </w:r>
      <w:r w:rsidRPr="000B30C9">
        <w:t>Payback Period (PBP) of the Investment Projects</w:t>
      </w:r>
    </w:p>
    <w:p w14:paraId="6177555E" w14:textId="77777777" w:rsidR="00D64DB1" w:rsidRPr="00B90388" w:rsidRDefault="00000000" w:rsidP="00B90388">
      <w:pPr>
        <w:spacing w:before="240"/>
        <w:jc w:val="center"/>
      </w:pPr>
      <w:r w:rsidRPr="00B90388">
        <w:t>(Source: Self-calculated)</w:t>
      </w:r>
    </w:p>
    <w:p w14:paraId="3A12E3CC" w14:textId="77777777" w:rsidR="00D64DB1" w:rsidRPr="00B90388" w:rsidRDefault="00000000" w:rsidP="00B90388">
      <w:pPr>
        <w:spacing w:before="240"/>
        <w:jc w:val="left"/>
        <w:rPr>
          <w:b/>
          <w:i/>
        </w:rPr>
      </w:pPr>
      <w:r w:rsidRPr="00B90388">
        <w:rPr>
          <w:b/>
          <w:i/>
        </w:rPr>
        <w:lastRenderedPageBreak/>
        <w:t xml:space="preserve">Accounting Rate of Return (ARR) </w:t>
      </w:r>
    </w:p>
    <w:p w14:paraId="01B9CB20" w14:textId="3A54A7A8" w:rsidR="00D64DB1" w:rsidRPr="00B90388" w:rsidRDefault="00000000" w:rsidP="00B90388">
      <w:pPr>
        <w:spacing w:before="240"/>
      </w:pPr>
      <w:r w:rsidRPr="00B90388">
        <w:t>According to Adhikari, (2021), the</w:t>
      </w:r>
      <w:r w:rsidRPr="00B90388">
        <w:rPr>
          <w:i/>
        </w:rPr>
        <w:t xml:space="preserve"> Accounting Rate of Return (ARR) </w:t>
      </w:r>
      <w:r w:rsidRPr="00B90388">
        <w:t xml:space="preserve">is a measure of profitability in terms of the average accounting income in relation to the initial investment in the form of a percentage. Project A generates an ARR of 14, Project B has recorded 0 and Project C generates the highest of 20. This means that Projects A and C would yield accounting returns </w:t>
      </w:r>
      <w:proofErr w:type="gramStart"/>
      <w:r w:rsidRPr="00B90388">
        <w:t>in excess of</w:t>
      </w:r>
      <w:proofErr w:type="gramEnd"/>
      <w:r w:rsidRPr="00B90388">
        <w:t xml:space="preserve"> the cost of capital with C giving better returns. The ease of ARR makes it easy to compare the projects but does not consider the timing of the cash flows and the time value of money (Chaudhary, 2023). Therefore, Project C will look most appealing in terms of </w:t>
      </w:r>
      <w:r w:rsidR="00E47284" w:rsidRPr="00B90388">
        <w:t>ARR,</w:t>
      </w:r>
      <w:r w:rsidRPr="00B90388">
        <w:t xml:space="preserve"> but this approach cannot specify the investment viability. ARR chooses Project C as the most effective in terms of creating accounting returns, which proves its profitability advantage over A and B.</w:t>
      </w:r>
    </w:p>
    <w:p w14:paraId="4FB23F13" w14:textId="77777777" w:rsidR="00D64DB1" w:rsidRPr="00B90388" w:rsidRDefault="00000000" w:rsidP="00B90388">
      <w:pPr>
        <w:spacing w:before="240"/>
        <w:jc w:val="center"/>
      </w:pPr>
      <w:r w:rsidRPr="00B90388">
        <w:rPr>
          <w:noProof/>
        </w:rPr>
        <w:drawing>
          <wp:inline distT="114300" distB="114300" distL="114300" distR="114300" wp14:anchorId="3C5E4C8D" wp14:editId="08AB8109">
            <wp:extent cx="5943600" cy="1308100"/>
            <wp:effectExtent l="0" t="0" r="0" b="0"/>
            <wp:docPr id="18"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30"/>
                    <a:srcRect/>
                    <a:stretch>
                      <a:fillRect/>
                    </a:stretch>
                  </pic:blipFill>
                  <pic:spPr>
                    <a:xfrm>
                      <a:off x="0" y="0"/>
                      <a:ext cx="5943600" cy="1308100"/>
                    </a:xfrm>
                    <a:prstGeom prst="rect">
                      <a:avLst/>
                    </a:prstGeom>
                    <a:ln/>
                  </pic:spPr>
                </pic:pic>
              </a:graphicData>
            </a:graphic>
          </wp:inline>
        </w:drawing>
      </w:r>
    </w:p>
    <w:p w14:paraId="3AE8F06F" w14:textId="43E5A03E" w:rsidR="00E47284" w:rsidRDefault="00E47284" w:rsidP="00E47284">
      <w:pPr>
        <w:pStyle w:val="Caption"/>
        <w:jc w:val="center"/>
        <w:rPr>
          <w:b/>
        </w:rPr>
      </w:pPr>
      <w:r>
        <w:t xml:space="preserve">Table </w:t>
      </w:r>
      <w:r>
        <w:fldChar w:fldCharType="begin"/>
      </w:r>
      <w:r>
        <w:instrText xml:space="preserve"> SEQ Table \* ARABIC </w:instrText>
      </w:r>
      <w:r>
        <w:fldChar w:fldCharType="separate"/>
      </w:r>
      <w:r>
        <w:rPr>
          <w:noProof/>
        </w:rPr>
        <w:t>10</w:t>
      </w:r>
      <w:r>
        <w:fldChar w:fldCharType="end"/>
      </w:r>
      <w:r>
        <w:t xml:space="preserve">: </w:t>
      </w:r>
      <w:r w:rsidRPr="004E65E1">
        <w:t>ARR of the of Investment Projects</w:t>
      </w:r>
    </w:p>
    <w:p w14:paraId="7199F8DE" w14:textId="77777777" w:rsidR="00D64DB1" w:rsidRPr="00B90388" w:rsidRDefault="00000000" w:rsidP="00B90388">
      <w:pPr>
        <w:spacing w:before="240"/>
        <w:jc w:val="center"/>
      </w:pPr>
      <w:r w:rsidRPr="00B90388">
        <w:t>(Source: Self-calculated)</w:t>
      </w:r>
    </w:p>
    <w:p w14:paraId="3AED4D0B" w14:textId="77777777" w:rsidR="00D64DB1" w:rsidRPr="00B90388" w:rsidRDefault="00000000" w:rsidP="00B90388">
      <w:pPr>
        <w:spacing w:before="240"/>
        <w:jc w:val="left"/>
        <w:rPr>
          <w:b/>
          <w:i/>
        </w:rPr>
      </w:pPr>
      <w:r w:rsidRPr="00B90388">
        <w:rPr>
          <w:b/>
          <w:i/>
        </w:rPr>
        <w:t xml:space="preserve">Net Present Value (NPV) </w:t>
      </w:r>
    </w:p>
    <w:p w14:paraId="3CB16428" w14:textId="6E64A375" w:rsidR="00D64DB1" w:rsidRPr="00B90388" w:rsidRDefault="00000000" w:rsidP="00B90388">
      <w:pPr>
        <w:spacing w:before="240"/>
      </w:pPr>
      <w:r w:rsidRPr="00B90388">
        <w:t xml:space="preserve">The </w:t>
      </w:r>
      <w:r w:rsidRPr="00B90388">
        <w:rPr>
          <w:i/>
        </w:rPr>
        <w:t xml:space="preserve">Net Present Value (NPV) </w:t>
      </w:r>
      <w:r w:rsidRPr="00B90388">
        <w:t xml:space="preserve">uses the time value of </w:t>
      </w:r>
      <w:r w:rsidR="00E47284" w:rsidRPr="00B90388">
        <w:t>money,</w:t>
      </w:r>
      <w:r w:rsidRPr="00B90388">
        <w:t xml:space="preserve"> and it is the present value of the net cash inflows with a discount of 10%. According to Project A, the NPV is £1.32m, Project B is negative, that is, -£7.26m and Project C has the best NPV of £4.23m. Sinaga et al. (2023) explains that a positive NPV means wealth creation and consistency with maximizing shareholder wealth. Projects A and C are therefore financially sound, whereas Project B is to be put on hold because it will annihilate value. However, with NPV of project C being higher than A because C is greater than the hurdle rate, it implies that project C will be more profitable and risk-adjusted returns. Therefore, according to the NPV, Project C will present the best investment of choice, on the </w:t>
      </w:r>
      <w:r w:rsidR="00E47284" w:rsidRPr="00B90388">
        <w:t>long-term</w:t>
      </w:r>
      <w:r w:rsidRPr="00B90388">
        <w:t xml:space="preserve"> financial performance of the firm.</w:t>
      </w:r>
    </w:p>
    <w:p w14:paraId="7C5C1F1B" w14:textId="77777777" w:rsidR="00D64DB1" w:rsidRPr="00B90388" w:rsidRDefault="00000000" w:rsidP="00B90388">
      <w:pPr>
        <w:spacing w:before="240"/>
        <w:jc w:val="center"/>
      </w:pPr>
      <w:r w:rsidRPr="00B90388">
        <w:rPr>
          <w:noProof/>
        </w:rPr>
        <w:lastRenderedPageBreak/>
        <w:drawing>
          <wp:inline distT="114300" distB="114300" distL="114300" distR="114300" wp14:anchorId="3681F882" wp14:editId="33275C95">
            <wp:extent cx="5943600" cy="1320800"/>
            <wp:effectExtent l="0" t="0" r="0" b="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1"/>
                    <a:srcRect/>
                    <a:stretch>
                      <a:fillRect/>
                    </a:stretch>
                  </pic:blipFill>
                  <pic:spPr>
                    <a:xfrm>
                      <a:off x="0" y="0"/>
                      <a:ext cx="5943600" cy="1320800"/>
                    </a:xfrm>
                    <a:prstGeom prst="rect">
                      <a:avLst/>
                    </a:prstGeom>
                    <a:ln/>
                  </pic:spPr>
                </pic:pic>
              </a:graphicData>
            </a:graphic>
          </wp:inline>
        </w:drawing>
      </w:r>
    </w:p>
    <w:p w14:paraId="3789113D" w14:textId="749F7321" w:rsidR="00E47284" w:rsidRDefault="00E47284" w:rsidP="00E47284">
      <w:pPr>
        <w:pStyle w:val="Caption"/>
        <w:jc w:val="center"/>
        <w:rPr>
          <w:b/>
        </w:rPr>
      </w:pPr>
      <w:r>
        <w:t xml:space="preserve">Table </w:t>
      </w:r>
      <w:r>
        <w:fldChar w:fldCharType="begin"/>
      </w:r>
      <w:r>
        <w:instrText xml:space="preserve"> SEQ Table \* ARABIC </w:instrText>
      </w:r>
      <w:r>
        <w:fldChar w:fldCharType="separate"/>
      </w:r>
      <w:r>
        <w:rPr>
          <w:noProof/>
        </w:rPr>
        <w:t>11</w:t>
      </w:r>
      <w:r>
        <w:fldChar w:fldCharType="end"/>
      </w:r>
      <w:r>
        <w:t xml:space="preserve">: </w:t>
      </w:r>
      <w:r w:rsidRPr="00404A61">
        <w:t>NPV of the of Investment Projects</w:t>
      </w:r>
    </w:p>
    <w:p w14:paraId="3E274FE4" w14:textId="77777777" w:rsidR="00D64DB1" w:rsidRPr="00B90388" w:rsidRDefault="00000000" w:rsidP="00B90388">
      <w:pPr>
        <w:spacing w:before="240"/>
        <w:jc w:val="center"/>
      </w:pPr>
      <w:r w:rsidRPr="00B90388">
        <w:t>(Source: Self-calculated)</w:t>
      </w:r>
    </w:p>
    <w:p w14:paraId="0530BD84" w14:textId="77777777" w:rsidR="00D64DB1" w:rsidRPr="00B90388" w:rsidRDefault="00000000" w:rsidP="00B90388">
      <w:pPr>
        <w:spacing w:before="240"/>
        <w:jc w:val="left"/>
        <w:rPr>
          <w:b/>
          <w:i/>
        </w:rPr>
      </w:pPr>
      <w:r w:rsidRPr="00B90388">
        <w:rPr>
          <w:b/>
          <w:i/>
        </w:rPr>
        <w:t>Profitability Index (PI)</w:t>
      </w:r>
    </w:p>
    <w:p w14:paraId="39E322B5" w14:textId="77777777" w:rsidR="00D64DB1" w:rsidRPr="00B90388" w:rsidRDefault="00000000" w:rsidP="00B90388">
      <w:pPr>
        <w:spacing w:before="240"/>
      </w:pPr>
      <w:r w:rsidRPr="00B90388">
        <w:rPr>
          <w:i/>
        </w:rPr>
        <w:t>Profitability Index (PI)</w:t>
      </w:r>
      <w:r w:rsidRPr="00B90388">
        <w:t xml:space="preserve"> measures the ratio of present value of future cash inflows to original investment and is used to measure relative efficiency of a project (BULAMA and MUSA, 2023). A project A gives a PI of 1.0331, B 0.7582 and C 1.0845. The PI of over 1 means that it generates values, which means that B should not be an investment, while A and C can be acceptable. Project C has better PI highlights the fact that it shows the high returns per pound invested, and it is better in capital rationing cases. It is especially useful where the amount of funds available to invest is scarce because the value created by each unit of capital invested is maximized (</w:t>
      </w:r>
      <w:proofErr w:type="spellStart"/>
      <w:r w:rsidRPr="00B90388">
        <w:t>Awodire</w:t>
      </w:r>
      <w:proofErr w:type="spellEnd"/>
      <w:r w:rsidRPr="00B90388">
        <w:t xml:space="preserve"> et al. 2023). Project C is thus the most efficient and most attractive to investment as compared to the other two options.</w:t>
      </w:r>
    </w:p>
    <w:p w14:paraId="59B7449B" w14:textId="77777777" w:rsidR="00D64DB1" w:rsidRPr="00B90388" w:rsidRDefault="00000000" w:rsidP="00B90388">
      <w:pPr>
        <w:spacing w:before="240"/>
        <w:jc w:val="left"/>
      </w:pPr>
      <w:r w:rsidRPr="00B90388">
        <w:rPr>
          <w:noProof/>
        </w:rPr>
        <w:drawing>
          <wp:inline distT="114300" distB="114300" distL="114300" distR="114300" wp14:anchorId="0817934E" wp14:editId="0B7ABC47">
            <wp:extent cx="5943600" cy="1308100"/>
            <wp:effectExtent l="0" t="0" r="0" b="0"/>
            <wp:docPr id="35"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32"/>
                    <a:srcRect/>
                    <a:stretch>
                      <a:fillRect/>
                    </a:stretch>
                  </pic:blipFill>
                  <pic:spPr>
                    <a:xfrm>
                      <a:off x="0" y="0"/>
                      <a:ext cx="5943600" cy="1308100"/>
                    </a:xfrm>
                    <a:prstGeom prst="rect">
                      <a:avLst/>
                    </a:prstGeom>
                    <a:ln/>
                  </pic:spPr>
                </pic:pic>
              </a:graphicData>
            </a:graphic>
          </wp:inline>
        </w:drawing>
      </w:r>
    </w:p>
    <w:p w14:paraId="16939CC4" w14:textId="133F77CB" w:rsidR="00E47284" w:rsidRDefault="00E47284" w:rsidP="00E47284">
      <w:pPr>
        <w:pStyle w:val="Caption"/>
        <w:jc w:val="center"/>
        <w:rPr>
          <w:b/>
        </w:rPr>
      </w:pPr>
      <w:r>
        <w:t xml:space="preserve">Table </w:t>
      </w:r>
      <w:r>
        <w:fldChar w:fldCharType="begin"/>
      </w:r>
      <w:r>
        <w:instrText xml:space="preserve"> SEQ Table \* ARABIC </w:instrText>
      </w:r>
      <w:r>
        <w:fldChar w:fldCharType="separate"/>
      </w:r>
      <w:r>
        <w:rPr>
          <w:noProof/>
        </w:rPr>
        <w:t>12</w:t>
      </w:r>
      <w:r>
        <w:fldChar w:fldCharType="end"/>
      </w:r>
      <w:r>
        <w:t xml:space="preserve">: </w:t>
      </w:r>
      <w:r w:rsidRPr="00907BDA">
        <w:t>PBI of the of Investment Projects</w:t>
      </w:r>
    </w:p>
    <w:p w14:paraId="4EE1AD16" w14:textId="77777777" w:rsidR="00D64DB1" w:rsidRPr="00B90388" w:rsidRDefault="00000000" w:rsidP="00B90388">
      <w:pPr>
        <w:spacing w:before="240"/>
        <w:jc w:val="center"/>
      </w:pPr>
      <w:r w:rsidRPr="00B90388">
        <w:t>(Source: Self-calculated)</w:t>
      </w:r>
    </w:p>
    <w:p w14:paraId="42B9F504" w14:textId="77777777" w:rsidR="00D64DB1" w:rsidRPr="00B90388" w:rsidRDefault="00000000" w:rsidP="00B90388">
      <w:pPr>
        <w:spacing w:before="240"/>
        <w:jc w:val="left"/>
        <w:rPr>
          <w:b/>
          <w:i/>
        </w:rPr>
      </w:pPr>
      <w:r w:rsidRPr="00B90388">
        <w:rPr>
          <w:b/>
          <w:i/>
        </w:rPr>
        <w:t>Internal Rate of Return (IRR)</w:t>
      </w:r>
    </w:p>
    <w:p w14:paraId="72F973FD" w14:textId="77777777" w:rsidR="00D64DB1" w:rsidRPr="00B90388" w:rsidRDefault="00000000" w:rsidP="00B90388">
      <w:pPr>
        <w:spacing w:before="240"/>
      </w:pPr>
      <w:r w:rsidRPr="00B90388">
        <w:rPr>
          <w:i/>
        </w:rPr>
        <w:lastRenderedPageBreak/>
        <w:t xml:space="preserve">Internal Rate of Return (IRR) </w:t>
      </w:r>
      <w:r w:rsidRPr="00B90388">
        <w:t xml:space="preserve">is the discount rate, at which project NPV is zero indicating the expected project returns as per </w:t>
      </w:r>
      <w:proofErr w:type="spellStart"/>
      <w:r w:rsidRPr="00B90388">
        <w:t>EjekwuTobechi</w:t>
      </w:r>
      <w:proofErr w:type="spellEnd"/>
      <w:r w:rsidRPr="00B90388">
        <w:t>, Chioma, and Victor, (2021). The IRR of project A is 13, B 10 and C 12. Project A and C have a rate of return that is higher than the required rate of 10% of the firm indicating acceptable profitability whereas Project B only just breaks even. According to Lu and Yin, (2021), IRR can be useful in comparing the projects of different sizes, at the same time, it may not be reliable when dealing with unconventional cash flows. Project A offers the best IRR, but the combination of good NPV and PI of Project C demonstrates that the value of the projects is more significant. Thus, IRR helps in the choice of Project C, which is a balanced and high-return project.</w:t>
      </w:r>
    </w:p>
    <w:p w14:paraId="66E3B36F" w14:textId="77777777" w:rsidR="00D64DB1" w:rsidRPr="00B90388" w:rsidRDefault="00000000" w:rsidP="00B90388">
      <w:pPr>
        <w:spacing w:before="240"/>
        <w:jc w:val="left"/>
      </w:pPr>
      <w:r w:rsidRPr="00B90388">
        <w:rPr>
          <w:noProof/>
        </w:rPr>
        <w:drawing>
          <wp:inline distT="114300" distB="114300" distL="114300" distR="114300" wp14:anchorId="7E95B852" wp14:editId="50CD1B66">
            <wp:extent cx="5943600" cy="1295400"/>
            <wp:effectExtent l="0" t="0" r="0" b="0"/>
            <wp:docPr id="36"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33"/>
                    <a:srcRect/>
                    <a:stretch>
                      <a:fillRect/>
                    </a:stretch>
                  </pic:blipFill>
                  <pic:spPr>
                    <a:xfrm>
                      <a:off x="0" y="0"/>
                      <a:ext cx="5943600" cy="1295400"/>
                    </a:xfrm>
                    <a:prstGeom prst="rect">
                      <a:avLst/>
                    </a:prstGeom>
                    <a:ln/>
                  </pic:spPr>
                </pic:pic>
              </a:graphicData>
            </a:graphic>
          </wp:inline>
        </w:drawing>
      </w:r>
    </w:p>
    <w:p w14:paraId="32E0D65C" w14:textId="0EB175BD" w:rsidR="00E47284" w:rsidRDefault="00E47284" w:rsidP="00E47284">
      <w:pPr>
        <w:pStyle w:val="Caption"/>
        <w:jc w:val="center"/>
        <w:rPr>
          <w:b/>
        </w:rPr>
      </w:pPr>
      <w:r>
        <w:t xml:space="preserve">Table </w:t>
      </w:r>
      <w:r>
        <w:fldChar w:fldCharType="begin"/>
      </w:r>
      <w:r>
        <w:instrText xml:space="preserve"> SEQ Table \* ARABIC </w:instrText>
      </w:r>
      <w:r>
        <w:fldChar w:fldCharType="separate"/>
      </w:r>
      <w:r>
        <w:rPr>
          <w:noProof/>
        </w:rPr>
        <w:t>13</w:t>
      </w:r>
      <w:r>
        <w:fldChar w:fldCharType="end"/>
      </w:r>
      <w:r>
        <w:t xml:space="preserve">: </w:t>
      </w:r>
      <w:r w:rsidRPr="0026720E">
        <w:t>IRR of the of Investment Projects</w:t>
      </w:r>
    </w:p>
    <w:p w14:paraId="488C97FF" w14:textId="77777777" w:rsidR="00D64DB1" w:rsidRPr="00B90388" w:rsidRDefault="00000000" w:rsidP="00B90388">
      <w:pPr>
        <w:spacing w:before="240"/>
        <w:jc w:val="center"/>
      </w:pPr>
      <w:r w:rsidRPr="00B90388">
        <w:t>(Source: Self-calculated)</w:t>
      </w:r>
    </w:p>
    <w:p w14:paraId="54AFE33C" w14:textId="77777777" w:rsidR="00D64DB1" w:rsidRPr="00B90388" w:rsidRDefault="00000000" w:rsidP="00B90388">
      <w:pPr>
        <w:pStyle w:val="Heading2"/>
        <w:spacing w:before="240"/>
      </w:pPr>
      <w:bookmarkStart w:id="30" w:name="_10sbs25b0qyn" w:colFirst="0" w:colLast="0"/>
      <w:bookmarkStart w:id="31" w:name="_Toc213805394"/>
      <w:bookmarkEnd w:id="30"/>
      <w:r w:rsidRPr="00B90388">
        <w:t>4.2 Final Investment Recommendation</w:t>
      </w:r>
      <w:bookmarkEnd w:id="31"/>
      <w:r w:rsidRPr="00B90388">
        <w:t xml:space="preserve"> </w:t>
      </w:r>
    </w:p>
    <w:p w14:paraId="7AAD4737" w14:textId="77777777" w:rsidR="00D64DB1" w:rsidRPr="00B90388" w:rsidRDefault="00000000" w:rsidP="00B90388">
      <w:pPr>
        <w:spacing w:before="240"/>
      </w:pPr>
      <w:r w:rsidRPr="00B90388">
        <w:t xml:space="preserve">The investment decision, under a capital rationing limit of £60 million, should be based on projects, which are best in maximizing shareholders value, generating positive returns, and remaining financially efficient. According to the comparative analysis, the most appealing project is Project C that has an NPV of £4.23 million, ARR of 20%, PI of 1.0845, and IRR of 12%. These signs indicate that Project C is superior in the generation of value and profitability compared with Project A and B since it has robust mid- and long-term cash inflows, especially after the first three years, which justify sustainable earnings and strategy development. </w:t>
      </w:r>
      <w:proofErr w:type="spellStart"/>
      <w:r w:rsidRPr="00B90388">
        <w:t>Its</w:t>
      </w:r>
      <w:proofErr w:type="spellEnd"/>
      <w:r w:rsidRPr="00B90388">
        <w:t xml:space="preserve"> payback period (4 years 7 months) is a bit longer than Project A (4 years 5 months), but its NPV and PI are higher, which means that it is more efficient in capital use and represents a greater contribution to the shareholders. </w:t>
      </w:r>
    </w:p>
    <w:p w14:paraId="649201B0" w14:textId="77777777" w:rsidR="00D64DB1" w:rsidRPr="00B90388" w:rsidRDefault="00000000" w:rsidP="00B90388">
      <w:pPr>
        <w:spacing w:before="240"/>
      </w:pPr>
      <w:r w:rsidRPr="00B90388">
        <w:lastRenderedPageBreak/>
        <w:t>Project A, although financially viable with a positive NPV (£1.32m) and IRR of 13%, ranks second for total value creation. The combined value created from Projects A (£40m) and C (£50m) exceeds the £60m constraint. As a result, prioritization is required for either Project A or C. Project B (NPV -£7.26m; ARR 0%; PI 0.7582) is financially unviable and represents a value destroyer and should be excluded from consideration.</w:t>
      </w:r>
    </w:p>
    <w:p w14:paraId="5057AEC1" w14:textId="77777777" w:rsidR="00D64DB1" w:rsidRPr="00B90388" w:rsidRDefault="00000000" w:rsidP="00B90388">
      <w:pPr>
        <w:spacing w:before="240"/>
      </w:pPr>
      <w:r w:rsidRPr="00B90388">
        <w:t>Based on these conclusions,</w:t>
      </w:r>
      <w:r w:rsidRPr="00B90388">
        <w:rPr>
          <w:b/>
          <w:i/>
        </w:rPr>
        <w:t xml:space="preserve"> Project C should be chosen </w:t>
      </w:r>
      <w:r w:rsidRPr="00B90388">
        <w:t>as the final investment option, given the financial constraints of capital rationing. It has the greatest return per £1 invested, has a positive NPV, and offers sustainable growth in performance. C is situated to be able to maximize the long-term wealth of shareholders in a growing and efficient capital structure, with moderate risk levels.</w:t>
      </w:r>
    </w:p>
    <w:p w14:paraId="4ED7F894" w14:textId="77777777" w:rsidR="00D64DB1" w:rsidRPr="00B90388" w:rsidRDefault="00000000" w:rsidP="00B90388">
      <w:pPr>
        <w:pStyle w:val="Heading2"/>
        <w:spacing w:before="240"/>
      </w:pPr>
      <w:bookmarkStart w:id="32" w:name="_r7w521igszp3" w:colFirst="0" w:colLast="0"/>
      <w:bookmarkStart w:id="33" w:name="_Toc213805395"/>
      <w:bookmarkEnd w:id="32"/>
      <w:r w:rsidRPr="00B90388">
        <w:t>4.3 Justification of the Recommendation</w:t>
      </w:r>
      <w:bookmarkEnd w:id="33"/>
      <w:r w:rsidRPr="00B90388">
        <w:t xml:space="preserve"> </w:t>
      </w:r>
    </w:p>
    <w:p w14:paraId="4E683722" w14:textId="77777777" w:rsidR="00D64DB1" w:rsidRPr="00B90388" w:rsidRDefault="00000000" w:rsidP="00B90388">
      <w:pPr>
        <w:spacing w:before="240"/>
      </w:pPr>
      <w:r w:rsidRPr="00B90388">
        <w:t xml:space="preserve">The rationale for the selection of Project C as the best investment according to General Electronics' current financial condition and project options, is based on Project C's superior value creation potential. General Electronics' recent financial performance suggests a declining profitability and ROCE reduced from 11.27% in 2020 down to -9.27% by 2024 with a negative net profit margin since 2023, suggesting increased operational inefficiency with cost management issues. The liquidity ratios, although above 1.0 suggest a tightening working capital position and limited short-term solvency. Under this situation, an investment project </w:t>
      </w:r>
      <w:proofErr w:type="gramStart"/>
      <w:r w:rsidRPr="00B90388">
        <w:t>has to</w:t>
      </w:r>
      <w:proofErr w:type="gramEnd"/>
      <w:r w:rsidRPr="00B90388">
        <w:t xml:space="preserve"> deliver a consistent cash inflow over the period and should not put excessive strain on capital, therefore </w:t>
      </w:r>
      <w:r w:rsidRPr="00B90388">
        <w:rPr>
          <w:b/>
          <w:i/>
        </w:rPr>
        <w:t>Project C</w:t>
      </w:r>
      <w:r w:rsidRPr="00B90388">
        <w:t xml:space="preserve"> </w:t>
      </w:r>
      <w:proofErr w:type="gramStart"/>
      <w:r w:rsidRPr="00B90388">
        <w:t>is considered to be</w:t>
      </w:r>
      <w:proofErr w:type="gramEnd"/>
      <w:r w:rsidRPr="00B90388">
        <w:t xml:space="preserve"> the best overall choice.</w:t>
      </w:r>
    </w:p>
    <w:p w14:paraId="0F17E660" w14:textId="77777777" w:rsidR="00D64DB1" w:rsidRPr="00B90388" w:rsidRDefault="00000000" w:rsidP="00B90388">
      <w:pPr>
        <w:spacing w:before="240"/>
      </w:pPr>
      <w:r w:rsidRPr="00B90388">
        <w:t xml:space="preserve">Project C reflects strong profitability indicators like NPV at £4.23m, ARR of 20%, and PI of 1.0845 indicate a better return from a pound invested relative to Project A with £1.32m of NPV, and 14% of ARR. Project C also consistently climbs from £5m to £25m in annual cash inflows, which adds to its long-term contribution to earnings recovery. Furthermore, the computed IRR of 12% is above the 10% discount rate of the entity, thereby demonstrating Project C can generate value </w:t>
      </w:r>
      <w:proofErr w:type="gramStart"/>
      <w:r w:rsidRPr="00B90388">
        <w:t>in excess of</w:t>
      </w:r>
      <w:proofErr w:type="gramEnd"/>
      <w:r w:rsidRPr="00B90388">
        <w:t xml:space="preserve"> the cost of capital.</w:t>
      </w:r>
    </w:p>
    <w:p w14:paraId="22EDAE3E" w14:textId="77777777" w:rsidR="00D64DB1" w:rsidRPr="00B90388" w:rsidRDefault="00000000" w:rsidP="00B90388">
      <w:pPr>
        <w:spacing w:before="240"/>
      </w:pPr>
      <w:r w:rsidRPr="00B90388">
        <w:t xml:space="preserve">In terms of risk, Project C provides a diversified cash flow profile from a moderate amount in early cash flows and then strong growth from Year 3 onwards. As a result, Project C minimizes </w:t>
      </w:r>
      <w:r w:rsidRPr="00B90388">
        <w:lastRenderedPageBreak/>
        <w:t>risk exposure through reduced risk in the short term, along with being able to support future reinvestment. In comparison, Project A offers front-loaded returns in the earlier years, and Project B generates consistent inflows but at a low total dollar cash amount, both of which introduce either variability or risk of underperformance. While it has potential for profitability, Project C fits with the company turnaround and minimizes cash flow risks associated with Project A and Project B. Hence, Project C offers shareholders a more significant value, creates long-term stable liquidity for the business, and fits within the corporate turnaround approach of profitability and stability.</w:t>
      </w:r>
      <w:r w:rsidRPr="00B90388">
        <w:br w:type="page"/>
      </w:r>
    </w:p>
    <w:p w14:paraId="1342514D" w14:textId="48FE9DB0" w:rsidR="00D64DB1" w:rsidRPr="00B90388" w:rsidRDefault="00B90388" w:rsidP="00B90388">
      <w:pPr>
        <w:pStyle w:val="Heading1"/>
        <w:spacing w:before="240"/>
      </w:pPr>
      <w:bookmarkStart w:id="34" w:name="_7eg1jfqaj1im" w:colFirst="0" w:colLast="0"/>
      <w:bookmarkStart w:id="35" w:name="_Toc213805396"/>
      <w:bookmarkEnd w:id="34"/>
      <w:r>
        <w:lastRenderedPageBreak/>
        <w:t xml:space="preserve">5. </w:t>
      </w:r>
      <w:r w:rsidRPr="00B90388">
        <w:t>Reference List</w:t>
      </w:r>
      <w:bookmarkEnd w:id="35"/>
    </w:p>
    <w:p w14:paraId="2D5D5FFD" w14:textId="77777777" w:rsidR="00CA5A09" w:rsidRPr="00B90388" w:rsidRDefault="00CA5A09" w:rsidP="00B90388">
      <w:r w:rsidRPr="00B90388">
        <w:t xml:space="preserve">Adhikari, D. (2021). Capital Budgeting Practices in Nepalese Manufacturing Companies (Doctoral dissertation, Doctoral dissertation, Department of Management). </w:t>
      </w:r>
      <w:hyperlink r:id="rId34">
        <w:r w:rsidRPr="00B90388">
          <w:rPr>
            <w:color w:val="1155CC"/>
            <w:u w:val="single"/>
          </w:rPr>
          <w:t>https://elibrary.tucl.edu.np/JQ99OgQIizUxyjI9nB0on9OyLkqsGIf4/api/core/bitstreams/edc51bf8-d614-45e7-a5ad-3b07a301762e/content</w:t>
        </w:r>
      </w:hyperlink>
      <w:r w:rsidRPr="00B90388">
        <w:t xml:space="preserve"> </w:t>
      </w:r>
    </w:p>
    <w:p w14:paraId="72382A20" w14:textId="77777777" w:rsidR="00CA5A09" w:rsidRPr="00B90388" w:rsidRDefault="00CA5A09" w:rsidP="00B90388">
      <w:r w:rsidRPr="00B90388">
        <w:t xml:space="preserve">Akbar, A., Akbar, M., Nazir, M., Poulova, P., and Ray, S. (2021). Does working capital management influence operating and market risk of </w:t>
      </w:r>
      <w:proofErr w:type="gramStart"/>
      <w:r w:rsidRPr="00B90388">
        <w:t>firms?.</w:t>
      </w:r>
      <w:proofErr w:type="gramEnd"/>
      <w:r w:rsidRPr="00B90388">
        <w:t xml:space="preserve"> Risks, 9(11), 201. </w:t>
      </w:r>
      <w:hyperlink r:id="rId35">
        <w:r w:rsidRPr="00B90388">
          <w:rPr>
            <w:color w:val="1155CC"/>
            <w:u w:val="single"/>
          </w:rPr>
          <w:t>https://www.mdpi.com/2227-9091/9/11/201</w:t>
        </w:r>
      </w:hyperlink>
      <w:r w:rsidRPr="00B90388">
        <w:t xml:space="preserve"> </w:t>
      </w:r>
    </w:p>
    <w:p w14:paraId="6FB4F6D2" w14:textId="77777777" w:rsidR="00CA5A09" w:rsidRPr="00B90388" w:rsidRDefault="00CA5A09" w:rsidP="00B90388">
      <w:proofErr w:type="spellStart"/>
      <w:r w:rsidRPr="00B90388">
        <w:t>Akpadaka</w:t>
      </w:r>
      <w:proofErr w:type="spellEnd"/>
      <w:r w:rsidRPr="00B90388">
        <w:t xml:space="preserve">, O., and Edeh, P. O. (2024). Impact of Cash Conversion Cycle and Financial Stability on Firm Value. Journal Of Accounting AND Financial Management, 10, 123-141. </w:t>
      </w:r>
      <w:hyperlink r:id="rId36">
        <w:r w:rsidRPr="00B90388">
          <w:rPr>
            <w:color w:val="1155CC"/>
            <w:u w:val="single"/>
          </w:rPr>
          <w:t>https://www.researchgate.net/profile/Ovbe-Akpadaka/publication/383262033_Impact_of_Cash_Conversion_Cycle_and_Financial_Stability_on_Firm_Value/links/66c4c856ccd355055fe1342b/Impact-of-Cash-Conversion-Cycle-and-Financial-Stability-on-Firm-Value.pdf</w:t>
        </w:r>
      </w:hyperlink>
      <w:r w:rsidRPr="00B90388">
        <w:t xml:space="preserve"> </w:t>
      </w:r>
    </w:p>
    <w:p w14:paraId="0C6DD765" w14:textId="77777777" w:rsidR="00CA5A09" w:rsidRPr="00B90388" w:rsidRDefault="00CA5A09" w:rsidP="00B90388">
      <w:r w:rsidRPr="00B90388">
        <w:t xml:space="preserve">Arimany Serrat, N., </w:t>
      </w:r>
      <w:proofErr w:type="spellStart"/>
      <w:r w:rsidRPr="00B90388">
        <w:t>Farreras</w:t>
      </w:r>
      <w:proofErr w:type="spellEnd"/>
      <w:r w:rsidRPr="00B90388">
        <w:t xml:space="preserve"> Noguer, M., and </w:t>
      </w:r>
      <w:proofErr w:type="spellStart"/>
      <w:r w:rsidRPr="00B90388">
        <w:t>Coenders</w:t>
      </w:r>
      <w:proofErr w:type="spellEnd"/>
      <w:r w:rsidRPr="00B90388">
        <w:t xml:space="preserve">, G. (2022). New developments in financial statement analysis: liquidity in the winery sector. Accounting, 2022, vol. 8, </w:t>
      </w:r>
      <w:proofErr w:type="spellStart"/>
      <w:r w:rsidRPr="00B90388">
        <w:t>núm</w:t>
      </w:r>
      <w:proofErr w:type="spellEnd"/>
      <w:r w:rsidRPr="00B90388">
        <w:t xml:space="preserve">. 3, p. 355-366. </w:t>
      </w:r>
      <w:hyperlink r:id="rId37">
        <w:r w:rsidRPr="00B90388">
          <w:rPr>
            <w:color w:val="1155CC"/>
            <w:u w:val="single"/>
          </w:rPr>
          <w:t>https://drive.google.com/file/d/1XZqxcbGfQkMy97iZwkPpWbr7LAmqUG1L/view</w:t>
        </w:r>
      </w:hyperlink>
      <w:r w:rsidRPr="00B90388">
        <w:t xml:space="preserve"> </w:t>
      </w:r>
    </w:p>
    <w:p w14:paraId="6CECEFF7" w14:textId="77777777" w:rsidR="00CA5A09" w:rsidRPr="00B90388" w:rsidRDefault="00CA5A09" w:rsidP="00B90388">
      <w:proofErr w:type="spellStart"/>
      <w:r w:rsidRPr="00B90388">
        <w:t>Awodire</w:t>
      </w:r>
      <w:proofErr w:type="spellEnd"/>
      <w:r w:rsidRPr="00B90388">
        <w:t xml:space="preserve">, M., Agboola, O., </w:t>
      </w:r>
      <w:proofErr w:type="spellStart"/>
      <w:r w:rsidRPr="00B90388">
        <w:t>Ogundojutimi</w:t>
      </w:r>
      <w:proofErr w:type="spellEnd"/>
      <w:r w:rsidRPr="00B90388">
        <w:t xml:space="preserve">, O., and </w:t>
      </w:r>
      <w:proofErr w:type="spellStart"/>
      <w:r w:rsidRPr="00B90388">
        <w:t>Odumuwagun</w:t>
      </w:r>
      <w:proofErr w:type="spellEnd"/>
      <w:r w:rsidRPr="00B90388">
        <w:t xml:space="preserve">, O. (2023). Capital Budgeting and Financial Investment Appraisal: A Review of Archival Literature. American Journal of Multidisciplinary Research in Africa, 3(10.58314). </w:t>
      </w:r>
      <w:hyperlink r:id="rId38">
        <w:r w:rsidRPr="00B90388">
          <w:rPr>
            <w:color w:val="1155CC"/>
            <w:u w:val="single"/>
          </w:rPr>
          <w:t>https://www.academia.edu/download/115377930/Capital_Budgeting_and_Financial_Investme.pdf</w:t>
        </w:r>
      </w:hyperlink>
      <w:r w:rsidRPr="00B90388">
        <w:t xml:space="preserve"> </w:t>
      </w:r>
    </w:p>
    <w:p w14:paraId="58BED25C" w14:textId="77777777" w:rsidR="00CA5A09" w:rsidRPr="00B90388" w:rsidRDefault="00CA5A09" w:rsidP="00B90388">
      <w:r w:rsidRPr="00B90388">
        <w:t xml:space="preserve">AYODEJI, D. C., OYEYIPO, I., ATTIPOE, V., ONWUZULIKE, O. C., NWAOZOMUDOH, M. O., JOAN, N., ... &amp; AHMADU, J. (2025). A Strategic Framework for Optimizing Mergers &amp; Acquisitions: Valuation, Due Diligence, Integration, and Financial Stability. </w:t>
      </w:r>
      <w:hyperlink r:id="rId39">
        <w:r w:rsidRPr="00B90388">
          <w:rPr>
            <w:color w:val="1155CC"/>
            <w:u w:val="single"/>
          </w:rPr>
          <w:t>https://www.researchgate.net/profile/Jumai_Ahmadu/publication/392585718_A_Strategic_Framework_for_Optimizing_Mergers_Acquisitions_Valuation_Due_Diligence_Integration_and_Financial_Stability/links/684954a62516274e420e375d/A-Strategic-Framework-for-</w:t>
        </w:r>
        <w:r w:rsidRPr="00B90388">
          <w:rPr>
            <w:color w:val="1155CC"/>
            <w:u w:val="single"/>
          </w:rPr>
          <w:lastRenderedPageBreak/>
          <w:t>Optimizing-Mergers-Acquisitions-Valuation-Due-Diligence-Integration-and-Financial-Stability.pdf</w:t>
        </w:r>
      </w:hyperlink>
      <w:r w:rsidRPr="00B90388">
        <w:t xml:space="preserve"> </w:t>
      </w:r>
    </w:p>
    <w:p w14:paraId="2B990889" w14:textId="77777777" w:rsidR="00CA5A09" w:rsidRPr="00B90388" w:rsidRDefault="00CA5A09" w:rsidP="00B90388">
      <w:r w:rsidRPr="00B90388">
        <w:t xml:space="preserve">Basiru, J. O., Ejiofor, C. L., </w:t>
      </w:r>
      <w:proofErr w:type="spellStart"/>
      <w:r w:rsidRPr="00B90388">
        <w:t>Onukwulu</w:t>
      </w:r>
      <w:proofErr w:type="spellEnd"/>
      <w:r w:rsidRPr="00B90388">
        <w:t xml:space="preserve">, E. C., and Attah, R. U. (2023). Financial management strategies in emerging markets: A review of theoretical models and practical applications. Magna Scientia Advanced Research and Reviews, 7(2), 123-140. </w:t>
      </w:r>
      <w:hyperlink r:id="rId40">
        <w:r w:rsidRPr="00B90388">
          <w:rPr>
            <w:color w:val="1155CC"/>
            <w:u w:val="single"/>
          </w:rPr>
          <w:t>https://www.researchgate.net/profile/Rita-Attah/publication/388430387_Financial_management_strategies_in_emerging_markets_A_review_of_theoretical_models_and_practical_applications/links/67998740207c0c20fa642878/Financial-management-strategies-in-emerging-markets-A-review-of-theoretical-models-and-practical-applications.pdf</w:t>
        </w:r>
      </w:hyperlink>
      <w:r w:rsidRPr="00B90388">
        <w:t xml:space="preserve"> </w:t>
      </w:r>
    </w:p>
    <w:p w14:paraId="28E945F0" w14:textId="77777777" w:rsidR="00CA5A09" w:rsidRPr="00B90388" w:rsidRDefault="00CA5A09" w:rsidP="00B90388">
      <w:proofErr w:type="spellStart"/>
      <w:r w:rsidRPr="00B90388">
        <w:t>Bondina</w:t>
      </w:r>
      <w:proofErr w:type="spellEnd"/>
      <w:r w:rsidRPr="00B90388">
        <w:t xml:space="preserve">, N., Bondin, I., and Pavlova, I. (2021). Methodological justification and analytical support for cash flow forecasting. </w:t>
      </w:r>
      <w:hyperlink r:id="rId41">
        <w:r w:rsidRPr="00B90388">
          <w:rPr>
            <w:color w:val="1155CC"/>
            <w:u w:val="single"/>
          </w:rPr>
          <w:t>https://managementjournal.usamv.ro/pdf/vol.21_2/Art13.pdf</w:t>
        </w:r>
      </w:hyperlink>
      <w:r w:rsidRPr="00B90388">
        <w:t xml:space="preserve"> </w:t>
      </w:r>
    </w:p>
    <w:p w14:paraId="182CDDAF" w14:textId="77777777" w:rsidR="00CA5A09" w:rsidRPr="00B90388" w:rsidRDefault="00CA5A09" w:rsidP="00B90388">
      <w:r w:rsidRPr="00B90388">
        <w:t xml:space="preserve">BULAMA, M., and MUSA, D. I. (2023). THE ROLE OF INVESTMENT APPRAISAL/CAPITAL BUDGETTING TECHNIQUES IN EVALUATING THE PROFITABILITY OF PROJECTS: A REVIEW OF LITERATURE. </w:t>
      </w:r>
      <w:hyperlink r:id="rId42">
        <w:r w:rsidRPr="00B90388">
          <w:rPr>
            <w:color w:val="1155CC"/>
            <w:u w:val="single"/>
          </w:rPr>
          <w:t>https://www.cambridgenigeriapub.com/wp-content/uploads/2023/07/CJMSBA.VOL_.28.NO_.7-10.pdf</w:t>
        </w:r>
      </w:hyperlink>
      <w:r w:rsidRPr="00B90388">
        <w:t xml:space="preserve"> </w:t>
      </w:r>
    </w:p>
    <w:p w14:paraId="0C413FB8" w14:textId="77777777" w:rsidR="00CA5A09" w:rsidRPr="002518E5" w:rsidRDefault="00CA5A09" w:rsidP="00B90388">
      <w:pPr>
        <w:rPr>
          <w:lang w:val="it-IT"/>
        </w:rPr>
      </w:pPr>
      <w:r w:rsidRPr="00B90388">
        <w:t xml:space="preserve">Çam, İ., and Özer, G. (2022). The influence of country governance on the capital structure and investment financing decisions of firms: An international investigation. </w:t>
      </w:r>
      <w:r w:rsidRPr="002518E5">
        <w:rPr>
          <w:lang w:val="it-IT"/>
        </w:rPr>
        <w:t xml:space="preserve">Borsa Istanbul Review, 22(2), 257-271. </w:t>
      </w:r>
      <w:r>
        <w:fldChar w:fldCharType="begin"/>
      </w:r>
      <w:r>
        <w:instrText>HYPERLINK "https://www.sciencedirect.com/science/article/pii/S2214845021000399" \h</w:instrText>
      </w:r>
      <w:r>
        <w:fldChar w:fldCharType="separate"/>
      </w:r>
      <w:r w:rsidRPr="002518E5">
        <w:rPr>
          <w:color w:val="1155CC"/>
          <w:u w:val="single"/>
          <w:lang w:val="it-IT"/>
        </w:rPr>
        <w:t>https://www.sciencedirect.com/science/article/pii/S2214845021000399</w:t>
      </w:r>
      <w:r>
        <w:fldChar w:fldCharType="end"/>
      </w:r>
      <w:r w:rsidRPr="002518E5">
        <w:rPr>
          <w:lang w:val="it-IT"/>
        </w:rPr>
        <w:t xml:space="preserve"> </w:t>
      </w:r>
    </w:p>
    <w:p w14:paraId="3E3631B6" w14:textId="77777777" w:rsidR="00CA5A09" w:rsidRPr="00B90388" w:rsidRDefault="00CA5A09" w:rsidP="00B90388">
      <w:r w:rsidRPr="00B90388">
        <w:t xml:space="preserve">Chaudhary, S. (2023). A review of evaluation methodologies and techniques in construction engineering projects. International Journal of Construction Engineering and Management, 12(2), 35-42. </w:t>
      </w:r>
      <w:hyperlink r:id="rId43">
        <w:r w:rsidRPr="00B90388">
          <w:rPr>
            <w:color w:val="1155CC"/>
            <w:u w:val="single"/>
          </w:rPr>
          <w:t>https://www.researchgate.net/profile/Suresh-Chaudhary-4/publication/369438141_A_Review_of_Evaluation_Methodologies_and_Techniques_in_Construction_Engineering_Projects/links/6561ccf6b1398a779db4a31b/A-Review-of-Evaluation-Methodologies-and-Techniques-in-Construction-Engineering-Projects.pdf</w:t>
        </w:r>
      </w:hyperlink>
      <w:r w:rsidRPr="00B90388">
        <w:t xml:space="preserve"> </w:t>
      </w:r>
    </w:p>
    <w:p w14:paraId="401DF1FA" w14:textId="77777777" w:rsidR="00CA5A09" w:rsidRPr="00B90388" w:rsidRDefault="00CA5A09" w:rsidP="00B90388">
      <w:proofErr w:type="spellStart"/>
      <w:r w:rsidRPr="00B90388">
        <w:lastRenderedPageBreak/>
        <w:t>EjekwuTobechi</w:t>
      </w:r>
      <w:proofErr w:type="spellEnd"/>
      <w:r w:rsidRPr="00B90388">
        <w:t xml:space="preserve">, B., Chioma, P., and Victor, O. (2021). AN APPRAISAL OF INTERNAL RATE OF RETURN ON CASH FLOWS OF PRIVATE CAPITAL INVESTMENT IN NIGERIA. </w:t>
      </w:r>
      <w:hyperlink r:id="rId44">
        <w:r w:rsidRPr="00B90388">
          <w:rPr>
            <w:color w:val="1155CC"/>
            <w:u w:val="single"/>
          </w:rPr>
          <w:t>https://www.researchgate.net/profile/Ejekwu-Tobechi/publication/365608516_AN_APPRAISAL_OF_INTERNAL_RATE_OF_RETURN_ON_CASH_FLOWS_OF_PRIVATE_CAPITAL_INVESTMENT_IN_NIGERIA/links/637a565337878b3e87c8cb60/AN-APPRAISAL-OF-INTERNAL-RATE-OF-RETURN-ON-CASH-FLOWS-OF-PRIVATE-CAPITAL-INVESTMENT-IN-NIGERIA.pdf</w:t>
        </w:r>
      </w:hyperlink>
      <w:r w:rsidRPr="00B90388">
        <w:t xml:space="preserve"> </w:t>
      </w:r>
    </w:p>
    <w:p w14:paraId="57D8DC03" w14:textId="77777777" w:rsidR="00CA5A09" w:rsidRPr="00B90388" w:rsidRDefault="00CA5A09" w:rsidP="00B90388">
      <w:r w:rsidRPr="00B90388">
        <w:t xml:space="preserve">Emma, L. (2024). Integrating Sustainable Financial Strategies for Long-Term Corporate Growth and Stakeholder Value. </w:t>
      </w:r>
      <w:hyperlink r:id="rId45">
        <w:r w:rsidRPr="00B90388">
          <w:rPr>
            <w:color w:val="1155CC"/>
            <w:u w:val="single"/>
          </w:rPr>
          <w:t>https://www.researchgate.net/profile/Lawrence-Emma/publication/388625506_Integrating_Sustainable_Financial_Strategies_for_Long-Term_Corporate_Growth_and_Stakeholder_Value/links/679f57ab645ef274a45eb698/Integrating-Sustainable-Financial-Strategies-for-Long-Term-Corporate-Growth-and-Stakeholder-Value.pdf</w:t>
        </w:r>
      </w:hyperlink>
      <w:r w:rsidRPr="00B90388">
        <w:t xml:space="preserve"> </w:t>
      </w:r>
    </w:p>
    <w:p w14:paraId="357D30EA" w14:textId="77777777" w:rsidR="00CA5A09" w:rsidRPr="00B90388" w:rsidRDefault="00CA5A09" w:rsidP="00B90388">
      <w:r w:rsidRPr="00B90388">
        <w:t xml:space="preserve">García-Nieto, M., Bueno-Rodríguez, V., Ramón-Jerónimo, J. M., and Flórez-López, R. (2024). Trends and Risks in Mergers and Acquisitions: A Review. Risks, 12(9), 143. </w:t>
      </w:r>
      <w:hyperlink r:id="rId46">
        <w:r w:rsidRPr="00B90388">
          <w:rPr>
            <w:color w:val="1155CC"/>
            <w:u w:val="single"/>
          </w:rPr>
          <w:t>https://www.mdpi.com/2227-9091/12/9/143</w:t>
        </w:r>
      </w:hyperlink>
      <w:r w:rsidRPr="00B90388">
        <w:t xml:space="preserve"> </w:t>
      </w:r>
    </w:p>
    <w:p w14:paraId="1ECA41F9" w14:textId="77777777" w:rsidR="00CA5A09" w:rsidRPr="00B90388" w:rsidRDefault="00CA5A09" w:rsidP="00B90388">
      <w:r w:rsidRPr="00B90388">
        <w:t xml:space="preserve">Gautam, S., and Purohit, A. (2024). DEBT OR RETAINED EARNINGS: WHICHEVER IS OPTIMUM FOR THE GROWTH OF THE FIRM. Russian Law Journal, 12(1), 125-129. </w:t>
      </w:r>
      <w:hyperlink r:id="rId47">
        <w:r w:rsidRPr="00B90388">
          <w:rPr>
            <w:color w:val="1155CC"/>
            <w:u w:val="single"/>
          </w:rPr>
          <w:t>https://cyberleninka.ru/article/n/debt-or-retained-earnings-whichever-is-optimum-for-the-growth-of-the-firm</w:t>
        </w:r>
      </w:hyperlink>
      <w:r w:rsidRPr="00B90388">
        <w:t xml:space="preserve"> </w:t>
      </w:r>
    </w:p>
    <w:p w14:paraId="5051B370" w14:textId="77777777" w:rsidR="00CA5A09" w:rsidRPr="00B90388" w:rsidRDefault="00CA5A09" w:rsidP="00B90388">
      <w:r w:rsidRPr="00B90388">
        <w:t xml:space="preserve">Goyal, V. K., </w:t>
      </w:r>
      <w:proofErr w:type="spellStart"/>
      <w:r w:rsidRPr="00B90388">
        <w:t>Okat</w:t>
      </w:r>
      <w:proofErr w:type="spellEnd"/>
      <w:r w:rsidRPr="00B90388">
        <w:t xml:space="preserve">, D., Onal, B., and Xiong, N. (2024). Creating Value by Diluting Managerial Ownership. </w:t>
      </w:r>
      <w:hyperlink r:id="rId48">
        <w:r w:rsidRPr="00B90388">
          <w:rPr>
            <w:color w:val="1155CC"/>
            <w:u w:val="single"/>
          </w:rPr>
          <w:t>https://denizokat.com/wp-content/uploads/2024/04/convertible-copy.pdf</w:t>
        </w:r>
      </w:hyperlink>
      <w:r w:rsidRPr="00B90388">
        <w:t xml:space="preserve"> </w:t>
      </w:r>
    </w:p>
    <w:p w14:paraId="695DC28D" w14:textId="77777777" w:rsidR="00CA5A09" w:rsidRPr="00B90388" w:rsidRDefault="00CA5A09" w:rsidP="00B90388">
      <w:proofErr w:type="spellStart"/>
      <w:r w:rsidRPr="00B90388">
        <w:rPr>
          <w:rFonts w:ascii="Gungsuh" w:eastAsia="Gungsuh" w:hAnsi="Gungsuh" w:cs="Gungsuh"/>
        </w:rPr>
        <w:t>Hanb</w:t>
      </w:r>
      <w:proofErr w:type="spellEnd"/>
      <w:r w:rsidRPr="00B90388">
        <w:rPr>
          <w:rFonts w:ascii="Gungsuh" w:eastAsia="Gungsuh" w:hAnsi="Gungsuh" w:cs="Gungsuh"/>
        </w:rPr>
        <w:t xml:space="preserve">, Y. L. S., and </w:t>
      </w:r>
      <w:proofErr w:type="spellStart"/>
      <w:r w:rsidRPr="00B90388">
        <w:rPr>
          <w:rFonts w:ascii="Gungsuh" w:eastAsia="Gungsuh" w:hAnsi="Gungsuh" w:cs="Gungsuh"/>
        </w:rPr>
        <w:t>Liuc</w:t>
      </w:r>
      <w:proofErr w:type="spellEnd"/>
      <w:r w:rsidRPr="00B90388">
        <w:rPr>
          <w:rFonts w:ascii="Gungsuh" w:eastAsia="Gungsuh" w:hAnsi="Gungsuh" w:cs="Gungsuh"/>
        </w:rPr>
        <w:t xml:space="preserve">, J. (2024). The Impact </w:t>
      </w:r>
      <w:proofErr w:type="gramStart"/>
      <w:r w:rsidRPr="00B90388">
        <w:rPr>
          <w:rFonts w:ascii="Gungsuh" w:eastAsia="Gungsuh" w:hAnsi="Gungsuh" w:cs="Gungsuh"/>
        </w:rPr>
        <w:t>Of</w:t>
      </w:r>
      <w:proofErr w:type="gramEnd"/>
      <w:r w:rsidRPr="00B90388">
        <w:rPr>
          <w:rFonts w:ascii="Gungsuh" w:eastAsia="Gungsuh" w:hAnsi="Gungsuh" w:cs="Gungsuh"/>
        </w:rPr>
        <w:t xml:space="preserve"> Accounts Receivable </w:t>
      </w:r>
      <w:proofErr w:type="gramStart"/>
      <w:r w:rsidRPr="00B90388">
        <w:rPr>
          <w:rFonts w:ascii="Gungsuh" w:eastAsia="Gungsuh" w:hAnsi="Gungsuh" w:cs="Gungsuh"/>
        </w:rPr>
        <w:t>On</w:t>
      </w:r>
      <w:proofErr w:type="gramEnd"/>
      <w:r w:rsidRPr="00B90388">
        <w:rPr>
          <w:rFonts w:ascii="Gungsuh" w:eastAsia="Gungsuh" w:hAnsi="Gungsuh" w:cs="Gungsuh"/>
        </w:rPr>
        <w:t xml:space="preserve"> Corporate Financial Risk Management. Journal of Advanced Academic Research and Studies </w:t>
      </w:r>
      <w:proofErr w:type="spellStart"/>
      <w:r w:rsidRPr="00B90388">
        <w:rPr>
          <w:rFonts w:ascii="Gungsuh" w:eastAsia="Gungsuh" w:hAnsi="Gungsuh" w:cs="Gungsuh"/>
        </w:rPr>
        <w:t>高等</w:t>
      </w:r>
      <w:r w:rsidRPr="00B90388">
        <w:rPr>
          <w:rFonts w:ascii="MS Mincho" w:eastAsia="MS Mincho" w:hAnsi="MS Mincho" w:cs="MS Mincho" w:hint="eastAsia"/>
        </w:rPr>
        <w:t>学</w:t>
      </w:r>
      <w:r w:rsidRPr="00B90388">
        <w:rPr>
          <w:rFonts w:ascii="SimSun" w:eastAsia="SimSun" w:hAnsi="SimSun" w:cs="SimSun" w:hint="eastAsia"/>
        </w:rPr>
        <w:t>术研</w:t>
      </w:r>
      <w:r w:rsidRPr="00B90388">
        <w:rPr>
          <w:rFonts w:ascii="Gungsuh" w:eastAsia="Gungsuh" w:hAnsi="Gungsuh" w:cs="Gungsuh" w:hint="eastAsia"/>
        </w:rPr>
        <w:t>究期刊</w:t>
      </w:r>
      <w:proofErr w:type="spellEnd"/>
      <w:r w:rsidRPr="00B90388">
        <w:rPr>
          <w:rFonts w:ascii="Gungsuh" w:eastAsia="Gungsuh" w:hAnsi="Gungsuh" w:cs="Gungsuh"/>
        </w:rPr>
        <w:t xml:space="preserve">, 1(10), 1-27. </w:t>
      </w:r>
      <w:hyperlink r:id="rId49" w:anchor="page=5">
        <w:r w:rsidRPr="00B90388">
          <w:rPr>
            <w:color w:val="1155CC"/>
            <w:u w:val="single"/>
          </w:rPr>
          <w:t>http://www.nlbaeai.org/static/upload/file/20250416/1744774749637497.pdf#page=5</w:t>
        </w:r>
      </w:hyperlink>
      <w:r w:rsidRPr="00B90388">
        <w:t xml:space="preserve"> </w:t>
      </w:r>
    </w:p>
    <w:p w14:paraId="4CFD8685" w14:textId="77777777" w:rsidR="00CA5A09" w:rsidRPr="00B90388" w:rsidRDefault="00CA5A09" w:rsidP="00B90388">
      <w:r w:rsidRPr="00B90388">
        <w:lastRenderedPageBreak/>
        <w:t xml:space="preserve">Income, T. O. (2020). Statement of Profit or Loss and Other Comprehensive Income. Respected for Goodness, 2019, 178. </w:t>
      </w:r>
      <w:hyperlink r:id="rId50">
        <w:r w:rsidRPr="00B90388">
          <w:rPr>
            <w:color w:val="1155CC"/>
            <w:u w:val="single"/>
          </w:rPr>
          <w:t>https://fintrexfinance.com/pdf/2022.pdf</w:t>
        </w:r>
      </w:hyperlink>
      <w:r w:rsidRPr="00B90388">
        <w:t xml:space="preserve"> </w:t>
      </w:r>
    </w:p>
    <w:p w14:paraId="351E7A5A" w14:textId="77777777" w:rsidR="00CA5A09" w:rsidRPr="00B90388" w:rsidRDefault="00CA5A09" w:rsidP="00B90388">
      <w:r w:rsidRPr="00B90388">
        <w:t xml:space="preserve">Jean, G. (2024). Inventory Management Strategies: Balancing Cost, Efficiency, and Customer Satisfaction. </w:t>
      </w:r>
      <w:hyperlink r:id="rId51">
        <w:r w:rsidRPr="00B90388">
          <w:rPr>
            <w:color w:val="1155CC"/>
            <w:u w:val="single"/>
          </w:rPr>
          <w:t>https://www.researchgate.net/profile/Guillaume-Jean-6/publication/386106872_Inventory_Management_Strategies_Balancing_Cost_Efficiency_and_Customer_Satisfaction/links/6744d201b5bd9d17d606f213/Inventory-Management-Strategies-Balancing-Cost-Efficiency-and-Customer-Satisfaction.pdf</w:t>
        </w:r>
      </w:hyperlink>
      <w:r w:rsidRPr="00B90388">
        <w:t xml:space="preserve"> </w:t>
      </w:r>
    </w:p>
    <w:p w14:paraId="6D48A6F5" w14:textId="77777777" w:rsidR="00CA5A09" w:rsidRPr="00B90388" w:rsidRDefault="00CA5A09" w:rsidP="00B90388">
      <w:r w:rsidRPr="00B90388">
        <w:t xml:space="preserve">John, B. (2024). Financial Implications of Just-In-Time vs. Just-In-Case Strategies in Uncertain Times. </w:t>
      </w:r>
      <w:hyperlink r:id="rId52">
        <w:r w:rsidRPr="00B90388">
          <w:rPr>
            <w:color w:val="1155CC"/>
            <w:u w:val="single"/>
          </w:rPr>
          <w:t>https://www.researchgate.net/profile/Beauden-John/publication/392693368_Financial_Implications_of_Just-In-Time_vs_Just-In-Case_Strategies_in_Uncertain_Times/links/684d7d42474abd185bd8be7d/Financial-Implications-of-Just-In-Time-vs-Just-In-Case-Strategies-in-Uncertain-Times.pdf</w:t>
        </w:r>
      </w:hyperlink>
      <w:r w:rsidRPr="00B90388">
        <w:t xml:space="preserve"> </w:t>
      </w:r>
    </w:p>
    <w:p w14:paraId="173A0429" w14:textId="77777777" w:rsidR="00CA5A09" w:rsidRPr="00B90388" w:rsidRDefault="00CA5A09" w:rsidP="00B90388">
      <w:r w:rsidRPr="00B90388">
        <w:t xml:space="preserve">Kemppainen, M. (2022). Strategic business portfolio realignment through asset sell-offs: Impact on technology. </w:t>
      </w:r>
      <w:hyperlink r:id="rId53">
        <w:r w:rsidRPr="00B90388">
          <w:rPr>
            <w:color w:val="1155CC"/>
            <w:u w:val="single"/>
          </w:rPr>
          <w:t>https://www.utupub.fi/bitstream/handle/10024/153591/Pro_gradu_tutkielma_Kemppainen_Mikael_517057.pdf?sequence=1</w:t>
        </w:r>
      </w:hyperlink>
      <w:r w:rsidRPr="00B90388">
        <w:t xml:space="preserve"> </w:t>
      </w:r>
    </w:p>
    <w:p w14:paraId="27BE55D0" w14:textId="77777777" w:rsidR="00CA5A09" w:rsidRPr="00B90388" w:rsidRDefault="00CA5A09" w:rsidP="00B90388">
      <w:r w:rsidRPr="00B90388">
        <w:t xml:space="preserve">Korol, S. Y., </w:t>
      </w:r>
      <w:proofErr w:type="spellStart"/>
      <w:r w:rsidRPr="00B90388">
        <w:t>Nykyforuk</w:t>
      </w:r>
      <w:proofErr w:type="spellEnd"/>
      <w:r w:rsidRPr="00B90388">
        <w:t xml:space="preserve">, O. I., </w:t>
      </w:r>
      <w:proofErr w:type="spellStart"/>
      <w:r w:rsidRPr="00B90388">
        <w:t>Pelekh</w:t>
      </w:r>
      <w:proofErr w:type="spellEnd"/>
      <w:r w:rsidRPr="00B90388">
        <w:t xml:space="preserve">, U. V., Barabash, N. S., and Romashko, O. M. (2022). Transfer pricing documentation: Globalization and regional optimization. Universal Journal of Accounting and Finance, 10(1), 219-230. </w:t>
      </w:r>
      <w:hyperlink r:id="rId54">
        <w:r w:rsidRPr="00B90388">
          <w:rPr>
            <w:color w:val="1155CC"/>
            <w:u w:val="single"/>
          </w:rPr>
          <w:t>https://www.academia.edu/download/80554100/UJAF23_12225466.pdf</w:t>
        </w:r>
      </w:hyperlink>
      <w:r w:rsidRPr="00B90388">
        <w:t xml:space="preserve"> </w:t>
      </w:r>
    </w:p>
    <w:p w14:paraId="4BEED9E3" w14:textId="77777777" w:rsidR="00CA5A09" w:rsidRPr="00B90388" w:rsidRDefault="00CA5A09" w:rsidP="00B90388">
      <w:r w:rsidRPr="00B90388">
        <w:t xml:space="preserve">Lu, J., and Yin, S. (2021, April). Application of net present value method and internal rate of return method in investment decision. In Proceedings of the 4th International Conference on Global Economy, Finance and Humanities Research, Chongqing, China (pp. 10-11). </w:t>
      </w:r>
      <w:hyperlink r:id="rId55">
        <w:r w:rsidRPr="00B90388">
          <w:rPr>
            <w:color w:val="1155CC"/>
            <w:u w:val="single"/>
          </w:rPr>
          <w:t>http://166.62.7.99/conferences/LNEMSS/GEFHR%202021/Y0248.pdf</w:t>
        </w:r>
      </w:hyperlink>
      <w:r w:rsidRPr="00B90388">
        <w:t xml:space="preserve"> </w:t>
      </w:r>
    </w:p>
    <w:p w14:paraId="2529C4B0" w14:textId="77777777" w:rsidR="00CA5A09" w:rsidRPr="00B90388" w:rsidRDefault="00CA5A09" w:rsidP="00B90388">
      <w:r w:rsidRPr="00B90388">
        <w:t xml:space="preserve">Majka, M. (2024). Understanding Hedging: Strategies, Benefits, and Risks. </w:t>
      </w:r>
      <w:hyperlink r:id="rId56">
        <w:r w:rsidRPr="00B90388">
          <w:rPr>
            <w:color w:val="1155CC"/>
            <w:u w:val="single"/>
          </w:rPr>
          <w:t>https://www.researchgate.net/profile/Marcin-Majka-2/publication/383786278_Understanding_Hedging_Strategies_Benefits_and_Risks/links/66d9d25bf84dd1716c97ebe7/Understanding-Hedging-Strategies-Benefits-and-Risks.pdf</w:t>
        </w:r>
      </w:hyperlink>
      <w:r w:rsidRPr="00B90388">
        <w:t xml:space="preserve"> </w:t>
      </w:r>
    </w:p>
    <w:p w14:paraId="4E6B6B01" w14:textId="77777777" w:rsidR="00CA5A09" w:rsidRPr="00B90388" w:rsidRDefault="00CA5A09" w:rsidP="00B90388">
      <w:r w:rsidRPr="00B90388">
        <w:lastRenderedPageBreak/>
        <w:t xml:space="preserve">Majka, M. (2024). Understanding Profit Margin. </w:t>
      </w:r>
      <w:hyperlink r:id="rId57">
        <w:r w:rsidRPr="00B90388">
          <w:rPr>
            <w:color w:val="1155CC"/>
            <w:u w:val="single"/>
          </w:rPr>
          <w:t>https://www.researchgate.net/profile/Marcin-Majka-2/publication/381402426_Understanding_Profit_Margin/links/666b659685a4ee7261c0e00d/Understanding-Profit-Margin.pdf</w:t>
        </w:r>
      </w:hyperlink>
      <w:r w:rsidRPr="00B90388">
        <w:t xml:space="preserve"> </w:t>
      </w:r>
    </w:p>
    <w:p w14:paraId="09F4E1C1" w14:textId="77777777" w:rsidR="00CA5A09" w:rsidRPr="00B90388" w:rsidRDefault="00CA5A09" w:rsidP="00B90388">
      <w:proofErr w:type="spellStart"/>
      <w:r w:rsidRPr="00B90388">
        <w:t>Mavlutova</w:t>
      </w:r>
      <w:proofErr w:type="spellEnd"/>
      <w:r w:rsidRPr="00B90388">
        <w:t xml:space="preserve">, I., Babenko, V., Dykan, V., Prokopenko, N., </w:t>
      </w:r>
      <w:proofErr w:type="spellStart"/>
      <w:r w:rsidRPr="00B90388">
        <w:t>Kalinichenko</w:t>
      </w:r>
      <w:proofErr w:type="spellEnd"/>
      <w:r w:rsidRPr="00B90388">
        <w:t xml:space="preserve">, S., and </w:t>
      </w:r>
      <w:proofErr w:type="spellStart"/>
      <w:r w:rsidRPr="00B90388">
        <w:t>Tokmakova</w:t>
      </w:r>
      <w:proofErr w:type="spellEnd"/>
      <w:r w:rsidRPr="00B90388">
        <w:t xml:space="preserve">, I. (2021). Business restructuring as a method of </w:t>
      </w:r>
      <w:proofErr w:type="spellStart"/>
      <w:r w:rsidRPr="00B90388">
        <w:t>strengtening</w:t>
      </w:r>
      <w:proofErr w:type="spellEnd"/>
      <w:r w:rsidRPr="00B90388">
        <w:t xml:space="preserve"> company’s financial position. Journal of Optimization in Industrial Engineering, 14(1), 129-139. </w:t>
      </w:r>
      <w:hyperlink r:id="rId58">
        <w:r w:rsidRPr="00B90388">
          <w:rPr>
            <w:color w:val="1155CC"/>
            <w:u w:val="single"/>
          </w:rPr>
          <w:t>https://www.academia.edu/download/81063588/article_677839_cd06f5c50b09f28acf4802268302e8ba.pdf</w:t>
        </w:r>
      </w:hyperlink>
      <w:r w:rsidRPr="00B90388">
        <w:t xml:space="preserve"> </w:t>
      </w:r>
    </w:p>
    <w:p w14:paraId="12855B2B" w14:textId="77777777" w:rsidR="00CA5A09" w:rsidRPr="00B90388" w:rsidRDefault="00CA5A09" w:rsidP="00B90388">
      <w:r w:rsidRPr="00B90388">
        <w:t xml:space="preserve">Milosheski, F., and </w:t>
      </w:r>
      <w:proofErr w:type="spellStart"/>
      <w:r w:rsidRPr="00B90388">
        <w:t>Karadimce</w:t>
      </w:r>
      <w:proofErr w:type="spellEnd"/>
      <w:r w:rsidRPr="00B90388">
        <w:t xml:space="preserve">, A. (2025). Improving Operational Efficiency with an Automated Invoicing System. Financial Engineering, 3, 221-230. </w:t>
      </w:r>
      <w:hyperlink r:id="rId59">
        <w:r w:rsidRPr="00B90388">
          <w:rPr>
            <w:color w:val="1155CC"/>
            <w:u w:val="single"/>
          </w:rPr>
          <w:t>https://www.wseas.com/journals/fe/2025/a36fe-017(2025).pdf</w:t>
        </w:r>
      </w:hyperlink>
      <w:r w:rsidRPr="00B90388">
        <w:t xml:space="preserve"> </w:t>
      </w:r>
    </w:p>
    <w:p w14:paraId="210740FD" w14:textId="77777777" w:rsidR="00CA5A09" w:rsidRPr="00B90388" w:rsidRDefault="00CA5A09" w:rsidP="00B90388">
      <w:proofErr w:type="spellStart"/>
      <w:r w:rsidRPr="00B90388">
        <w:t>Ojeme</w:t>
      </w:r>
      <w:proofErr w:type="spellEnd"/>
      <w:r w:rsidRPr="00B90388">
        <w:t xml:space="preserve">, J. O., Tanko, A., and </w:t>
      </w:r>
      <w:proofErr w:type="spellStart"/>
      <w:r w:rsidRPr="00B90388">
        <w:t>Otame</w:t>
      </w:r>
      <w:proofErr w:type="spellEnd"/>
      <w:r w:rsidRPr="00B90388">
        <w:t xml:space="preserve">, L. (2021). An Assessment of Hidden Charges on Bank Credit as Source of Short-Term Finance for Firm’s Sustainability. </w:t>
      </w:r>
      <w:hyperlink r:id="rId60">
        <w:r w:rsidRPr="00B90388">
          <w:rPr>
            <w:color w:val="1155CC"/>
            <w:u w:val="single"/>
          </w:rPr>
          <w:t>https://www.iiardjournals.org/get/IJBFR/VOL.%207%20NO.%201%202021/AN%20ASSESSMENT%20OF%20HIDDEN.pdf</w:t>
        </w:r>
      </w:hyperlink>
      <w:r w:rsidRPr="00B90388">
        <w:t xml:space="preserve"> </w:t>
      </w:r>
    </w:p>
    <w:p w14:paraId="2E54DE83" w14:textId="77777777" w:rsidR="00CA5A09" w:rsidRPr="00B90388" w:rsidRDefault="00CA5A09" w:rsidP="00B90388">
      <w:r w:rsidRPr="00B90388">
        <w:t xml:space="preserve">Olayinka, A. A. (2022). Financial statement analysis as a tool for investment decisions and assessment of companies’ performance. International Journal of Financial, Accounting, and Management, 4(1), 49-66. </w:t>
      </w:r>
      <w:hyperlink r:id="rId61">
        <w:r w:rsidRPr="00B90388">
          <w:rPr>
            <w:color w:val="1155CC"/>
            <w:u w:val="single"/>
          </w:rPr>
          <w:t>https://www.researchgate.net/profile/Aminu-Olayinka/publication/361292771_Financial_statement_analysis_as_a_tool_for_investment_decisions_and_assessment_of_companies'_performance/links/62a90366a3fe3e3df8778ac8/Financial-statement-analysis-as-a-tool-for-investment-decisions-and-assessment-of-companies-performance.pdf</w:t>
        </w:r>
      </w:hyperlink>
      <w:r w:rsidRPr="00B90388">
        <w:t xml:space="preserve"> </w:t>
      </w:r>
    </w:p>
    <w:p w14:paraId="08E90EB3" w14:textId="77777777" w:rsidR="00CA5A09" w:rsidRPr="00B90388" w:rsidRDefault="00CA5A09" w:rsidP="00B90388">
      <w:r w:rsidRPr="00B90388">
        <w:t xml:space="preserve">Oloo, R. O. (2021). Working Capital Management and Financial Sustainability of Commercial State Corporations in Kenya. </w:t>
      </w:r>
      <w:hyperlink r:id="rId62">
        <w:r w:rsidRPr="00B90388">
          <w:rPr>
            <w:color w:val="1155CC"/>
            <w:u w:val="single"/>
          </w:rPr>
          <w:t>https://ijsser.org/2025files/ijsser_10__233.pdf</w:t>
        </w:r>
      </w:hyperlink>
      <w:r w:rsidRPr="00B90388">
        <w:t xml:space="preserve"> </w:t>
      </w:r>
    </w:p>
    <w:p w14:paraId="6FE5AAF6" w14:textId="77777777" w:rsidR="00CA5A09" w:rsidRPr="00B90388" w:rsidRDefault="00CA5A09" w:rsidP="00B90388">
      <w:r w:rsidRPr="00B90388">
        <w:t xml:space="preserve">Ombui, J., Monari, D., Kamau, C., </w:t>
      </w:r>
      <w:proofErr w:type="spellStart"/>
      <w:r w:rsidRPr="00B90388">
        <w:t>Kibiti</w:t>
      </w:r>
      <w:proofErr w:type="spellEnd"/>
      <w:r w:rsidRPr="00B90388">
        <w:t xml:space="preserve">, C., and Muhoro, G. (2024). Working Capital Management and its Effect on Financial Performance of Public Universities in Coastal Region </w:t>
      </w:r>
      <w:r w:rsidRPr="00B90388">
        <w:lastRenderedPageBreak/>
        <w:t xml:space="preserve">Kenya. International Journal of Religion, 5(9), 977-994. </w:t>
      </w:r>
      <w:hyperlink r:id="rId63">
        <w:r w:rsidRPr="00B90388">
          <w:rPr>
            <w:color w:val="1155CC"/>
            <w:u w:val="single"/>
          </w:rPr>
          <w:t>https://www.academia.edu/download/117453607/2607.pdf</w:t>
        </w:r>
      </w:hyperlink>
      <w:r w:rsidRPr="00B90388">
        <w:t xml:space="preserve"> </w:t>
      </w:r>
    </w:p>
    <w:p w14:paraId="58DC9993" w14:textId="77777777" w:rsidR="00CA5A09" w:rsidRPr="00B90388" w:rsidRDefault="00CA5A09" w:rsidP="00B90388">
      <w:r w:rsidRPr="00B90388">
        <w:t xml:space="preserve">Parsaei, M., </w:t>
      </w:r>
      <w:proofErr w:type="spellStart"/>
      <w:r w:rsidRPr="00B90388">
        <w:t>Askarany</w:t>
      </w:r>
      <w:proofErr w:type="spellEnd"/>
      <w:r w:rsidRPr="00B90388">
        <w:t xml:space="preserve">, D., Maleki, M., and Rahmani, A. (2024). Risk management in product diversification: the role of managerial overconfidence in cost stickiness—evidence from Iran. Risks, 12(10), 150. </w:t>
      </w:r>
      <w:hyperlink r:id="rId64">
        <w:r w:rsidRPr="00B90388">
          <w:rPr>
            <w:color w:val="1155CC"/>
            <w:u w:val="single"/>
          </w:rPr>
          <w:t>https://www.mdpi.com/2071-1050/14/7/3749</w:t>
        </w:r>
      </w:hyperlink>
      <w:r w:rsidRPr="00B90388">
        <w:t xml:space="preserve"> </w:t>
      </w:r>
    </w:p>
    <w:p w14:paraId="21FC8022" w14:textId="77777777" w:rsidR="00CA5A09" w:rsidRPr="00B90388" w:rsidRDefault="00CA5A09" w:rsidP="00B90388">
      <w:proofErr w:type="spellStart"/>
      <w:r w:rsidRPr="00B90388">
        <w:t>Qifeng</w:t>
      </w:r>
      <w:proofErr w:type="spellEnd"/>
      <w:r w:rsidRPr="00B90388">
        <w:t xml:space="preserve">, C. U. I. (2023). Debt Restructure and Value Creation: Evidence from Chinese Debt-to-Equity Swap. </w:t>
      </w:r>
      <w:hyperlink r:id="rId65">
        <w:r w:rsidRPr="00B90388">
          <w:rPr>
            <w:color w:val="1155CC"/>
            <w:u w:val="single"/>
          </w:rPr>
          <w:t>https://access.archive-ouverte.unige.ch/access/metadata/51741863-a6f1-40fd-b7e6-76350048967a/download</w:t>
        </w:r>
      </w:hyperlink>
      <w:r w:rsidRPr="00B90388">
        <w:t xml:space="preserve"> </w:t>
      </w:r>
    </w:p>
    <w:p w14:paraId="6ECC691F" w14:textId="77777777" w:rsidR="00CA5A09" w:rsidRPr="002518E5" w:rsidRDefault="00CA5A09" w:rsidP="00B90388">
      <w:pPr>
        <w:rPr>
          <w:lang w:val="it-IT"/>
        </w:rPr>
      </w:pPr>
      <w:r w:rsidRPr="00B90388">
        <w:t xml:space="preserve">Rout, C. K. (2024). Project Appraisal and Financing. </w:t>
      </w:r>
      <w:hyperlink r:id="rId66">
        <w:r w:rsidRPr="002518E5">
          <w:rPr>
            <w:color w:val="1155CC"/>
            <w:u w:val="single"/>
            <w:lang w:val="it-IT"/>
          </w:rPr>
          <w:t>http://biitm.dspaces.org/bitstream/123456789/1241/1/Project%20Appraisal%20%26%20Financing-2024.pdf</w:t>
        </w:r>
      </w:hyperlink>
      <w:r w:rsidRPr="002518E5">
        <w:rPr>
          <w:lang w:val="it-IT"/>
        </w:rPr>
        <w:t xml:space="preserve"> </w:t>
      </w:r>
    </w:p>
    <w:p w14:paraId="32E9C31F" w14:textId="77777777" w:rsidR="00CA5A09" w:rsidRPr="00B90388" w:rsidRDefault="00CA5A09" w:rsidP="00B90388">
      <w:r w:rsidRPr="00B90388">
        <w:t xml:space="preserve">Saranya, S., Anusha, N., Tarannum, N., and Anaga, K. (2024). Assessing Corporate Financial Stability: A Comparative Analysis Using the Altman Z-Score Model for Strategic Risk Management. </w:t>
      </w:r>
      <w:hyperlink r:id="rId67">
        <w:r w:rsidRPr="00B90388">
          <w:rPr>
            <w:color w:val="1155CC"/>
            <w:u w:val="single"/>
          </w:rPr>
          <w:t>https://www.sdmimd.ac.in/conferenceproceedings/ifc2024papers/IFC2423.pdf</w:t>
        </w:r>
      </w:hyperlink>
      <w:r w:rsidRPr="00B90388">
        <w:t xml:space="preserve"> </w:t>
      </w:r>
    </w:p>
    <w:p w14:paraId="4CEF55A7" w14:textId="77777777" w:rsidR="00CA5A09" w:rsidRPr="00B90388" w:rsidRDefault="00CA5A09" w:rsidP="00B90388">
      <w:r w:rsidRPr="00B90388">
        <w:t xml:space="preserve">Shem, A. M., and </w:t>
      </w:r>
      <w:proofErr w:type="spellStart"/>
      <w:r w:rsidRPr="00B90388">
        <w:t>Mupa</w:t>
      </w:r>
      <w:proofErr w:type="spellEnd"/>
      <w:r w:rsidRPr="00B90388">
        <w:t xml:space="preserve">, M. N. (2024, October). Turnaround Financing: Legal and Financial Considerations for Distressed Companies. </w:t>
      </w:r>
      <w:hyperlink r:id="rId68">
        <w:r w:rsidRPr="00B90388">
          <w:rPr>
            <w:color w:val="1155CC"/>
            <w:u w:val="single"/>
          </w:rPr>
          <w:t>https://www.researchgate.net/profile/Munashe-Naphtali-Mupa/publication/384735379_Turnaround_Financing_Legal_and_Financial_Considerations_for_Distressed_Companies/links/6705d4e34cb01e6ec78177c2/Turnaround-Financing-Legal-and-Financial-Considerations-for-Distressed-Companies.pdf</w:t>
        </w:r>
      </w:hyperlink>
      <w:r w:rsidRPr="00B90388">
        <w:t xml:space="preserve"> </w:t>
      </w:r>
    </w:p>
    <w:p w14:paraId="14B5B5E5" w14:textId="77777777" w:rsidR="00CA5A09" w:rsidRPr="00B90388" w:rsidRDefault="00CA5A09" w:rsidP="00B90388">
      <w:r w:rsidRPr="002518E5">
        <w:rPr>
          <w:lang w:val="it-IT"/>
        </w:rPr>
        <w:t xml:space="preserve">Sinaga, A. S., Sari, M. M., Hutasuhut, A. A., Zahara, S. T., Amanda, A., Fitri, A., and Caesario, M. A. (2023). </w:t>
      </w:r>
      <w:r w:rsidRPr="00B90388">
        <w:t xml:space="preserve">Comparison of capital budgeting methods: NPV, IRR, PAYBACK period. World Journal of Advanced Research and Reviews, 19(2), 1078-1081. </w:t>
      </w:r>
      <w:hyperlink r:id="rId69">
        <w:r w:rsidRPr="00B90388">
          <w:rPr>
            <w:color w:val="1155CC"/>
            <w:u w:val="single"/>
          </w:rPr>
          <w:t>https://pdfs.semanticscholar.org/35f5/923a958b071288b38d4e960e8268477ec19a.pdf</w:t>
        </w:r>
      </w:hyperlink>
      <w:r w:rsidRPr="00B90388">
        <w:t xml:space="preserve"> </w:t>
      </w:r>
    </w:p>
    <w:p w14:paraId="1A0FDDF2" w14:textId="77777777" w:rsidR="00CA5A09" w:rsidRPr="00B90388" w:rsidRDefault="00CA5A09" w:rsidP="00B90388">
      <w:r w:rsidRPr="00B90388">
        <w:t xml:space="preserve">Vítek, B. J. (2021). Cash flow management. </w:t>
      </w:r>
      <w:hyperlink r:id="rId70">
        <w:r w:rsidRPr="00B90388">
          <w:rPr>
            <w:color w:val="1155CC"/>
            <w:u w:val="single"/>
          </w:rPr>
          <w:t>https://is.vsfs.cz/th/r5e3h/Diploma_Thesis_-_Jakub_Vitek.pdf</w:t>
        </w:r>
      </w:hyperlink>
      <w:r w:rsidRPr="00B90388">
        <w:t xml:space="preserve"> </w:t>
      </w:r>
    </w:p>
    <w:p w14:paraId="6DC258E4" w14:textId="77777777" w:rsidR="00CA5A09" w:rsidRPr="00B90388" w:rsidRDefault="00CA5A09" w:rsidP="00B90388">
      <w:r w:rsidRPr="00B90388">
        <w:lastRenderedPageBreak/>
        <w:t xml:space="preserve">Yanney, A. S. (2021). Optimizing Working Capital Through Dynamic Cash Flow Analysis and Inventory Management in Manufacturing Firms. </w:t>
      </w:r>
      <w:hyperlink r:id="rId71">
        <w:r w:rsidRPr="00B90388">
          <w:rPr>
            <w:color w:val="1155CC"/>
            <w:u w:val="single"/>
          </w:rPr>
          <w:t>https://www.researchgate.net/profile/Anita-Yanney-2/publication/392073090_Optimizing_Working_Capital_Through_Dynamic_Cash_Flow_Analysis_and_Inventory_Management_in_Manufacturing_Firms/links/68327470d1054b0207f2a457/Optimizing-Working-Capital-Through-Dynamic-Cash-Flow-Analysis-and-Inventory-Management-in-Manufacturing-Firms.pdf</w:t>
        </w:r>
      </w:hyperlink>
      <w:r w:rsidRPr="00B90388">
        <w:t xml:space="preserve"> </w:t>
      </w:r>
    </w:p>
    <w:p w14:paraId="53D903B6" w14:textId="77777777" w:rsidR="00CA5A09" w:rsidRPr="00B90388" w:rsidRDefault="00CA5A09" w:rsidP="00B90388">
      <w:proofErr w:type="spellStart"/>
      <w:r w:rsidRPr="00B90388">
        <w:t>Yoganandham</w:t>
      </w:r>
      <w:proofErr w:type="spellEnd"/>
      <w:r w:rsidRPr="00B90388">
        <w:t xml:space="preserve">, G. (2025). Mastering Economic </w:t>
      </w:r>
      <w:proofErr w:type="gramStart"/>
      <w:r w:rsidRPr="00B90388">
        <w:t>And</w:t>
      </w:r>
      <w:proofErr w:type="gramEnd"/>
      <w:r w:rsidRPr="00B90388">
        <w:t xml:space="preserve"> Financial Sources </w:t>
      </w:r>
      <w:proofErr w:type="gramStart"/>
      <w:r w:rsidRPr="00B90388">
        <w:t>With</w:t>
      </w:r>
      <w:proofErr w:type="gramEnd"/>
      <w:r w:rsidRPr="00B90388">
        <w:t xml:space="preserve"> Reference </w:t>
      </w:r>
      <w:proofErr w:type="gramStart"/>
      <w:r w:rsidRPr="00B90388">
        <w:t>To</w:t>
      </w:r>
      <w:proofErr w:type="gramEnd"/>
      <w:r w:rsidRPr="00B90388">
        <w:t xml:space="preserve"> Budgeting, Savings, Early Investing, Debt Management </w:t>
      </w:r>
      <w:proofErr w:type="gramStart"/>
      <w:r w:rsidRPr="00B90388">
        <w:t>And</w:t>
      </w:r>
      <w:proofErr w:type="gramEnd"/>
      <w:r w:rsidRPr="00B90388">
        <w:t xml:space="preserve"> </w:t>
      </w:r>
      <w:proofErr w:type="gramStart"/>
      <w:r w:rsidRPr="00B90388">
        <w:t>The</w:t>
      </w:r>
      <w:proofErr w:type="gramEnd"/>
      <w:r w:rsidRPr="00B90388">
        <w:t xml:space="preserve"> Power </w:t>
      </w:r>
      <w:proofErr w:type="gramStart"/>
      <w:r w:rsidRPr="00B90388">
        <w:t>Of</w:t>
      </w:r>
      <w:proofErr w:type="gramEnd"/>
      <w:r w:rsidRPr="00B90388">
        <w:t xml:space="preserve"> Financial Planning-A Comprehensive Analysis. Degres Journal, 10(1), 19-33. </w:t>
      </w:r>
      <w:hyperlink r:id="rId72">
        <w:r w:rsidRPr="00B90388">
          <w:rPr>
            <w:color w:val="1155CC"/>
            <w:u w:val="single"/>
          </w:rPr>
          <w:t>https://degres.eu/wp-content/uploads/2-DEJ1457.pdf</w:t>
        </w:r>
      </w:hyperlink>
      <w:r w:rsidRPr="00B90388">
        <w:t xml:space="preserve"> </w:t>
      </w:r>
    </w:p>
    <w:p w14:paraId="76667EEF" w14:textId="77777777" w:rsidR="00D64DB1" w:rsidRPr="00B90388" w:rsidRDefault="00000000" w:rsidP="00B90388">
      <w:pPr>
        <w:spacing w:before="240"/>
      </w:pPr>
      <w:r w:rsidRPr="00B90388">
        <w:br w:type="page"/>
      </w:r>
    </w:p>
    <w:p w14:paraId="552087F7" w14:textId="40ED5A25" w:rsidR="00D64DB1" w:rsidRPr="00B90388" w:rsidRDefault="00B90388" w:rsidP="00B90388">
      <w:pPr>
        <w:pStyle w:val="Heading1"/>
        <w:spacing w:before="240"/>
      </w:pPr>
      <w:bookmarkStart w:id="36" w:name="_e7f5mo9nggzl" w:colFirst="0" w:colLast="0"/>
      <w:bookmarkStart w:id="37" w:name="_Toc213805397"/>
      <w:bookmarkEnd w:id="36"/>
      <w:r>
        <w:lastRenderedPageBreak/>
        <w:t>6</w:t>
      </w:r>
      <w:r w:rsidRPr="00B90388">
        <w:t>. Appendices</w:t>
      </w:r>
      <w:bookmarkEnd w:id="37"/>
    </w:p>
    <w:p w14:paraId="5C0CF35C" w14:textId="19B487F6" w:rsidR="00D64DB1" w:rsidRPr="00B90388" w:rsidRDefault="00CA5A09" w:rsidP="00B90388">
      <w:pPr>
        <w:pStyle w:val="Heading2"/>
        <w:spacing w:before="240"/>
      </w:pPr>
      <w:bookmarkStart w:id="38" w:name="_y2lj0t4bxu1d" w:colFirst="0" w:colLast="0"/>
      <w:bookmarkStart w:id="39" w:name="_Toc213805398"/>
      <w:bookmarkEnd w:id="38"/>
      <w:r>
        <w:t xml:space="preserve">Appendix 1: </w:t>
      </w:r>
      <w:r w:rsidRPr="00B90388">
        <w:t>Computation of Ratios</w:t>
      </w:r>
      <w:bookmarkEnd w:id="39"/>
    </w:p>
    <w:p w14:paraId="77E0E816" w14:textId="77777777" w:rsidR="00D64DB1" w:rsidRPr="00B90388" w:rsidRDefault="00000000" w:rsidP="00B90388">
      <w:pPr>
        <w:spacing w:before="240"/>
      </w:pPr>
      <w:r w:rsidRPr="00B90388">
        <w:rPr>
          <w:noProof/>
        </w:rPr>
        <w:drawing>
          <wp:inline distT="114300" distB="114300" distL="114300" distR="114300" wp14:anchorId="67A0EA66" wp14:editId="234D3CCC">
            <wp:extent cx="5943600" cy="1778000"/>
            <wp:effectExtent l="0" t="0" r="0" b="0"/>
            <wp:docPr id="2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73"/>
                    <a:srcRect/>
                    <a:stretch>
                      <a:fillRect/>
                    </a:stretch>
                  </pic:blipFill>
                  <pic:spPr>
                    <a:xfrm>
                      <a:off x="0" y="0"/>
                      <a:ext cx="5943600" cy="1778000"/>
                    </a:xfrm>
                    <a:prstGeom prst="rect">
                      <a:avLst/>
                    </a:prstGeom>
                    <a:ln/>
                  </pic:spPr>
                </pic:pic>
              </a:graphicData>
            </a:graphic>
          </wp:inline>
        </w:drawing>
      </w:r>
    </w:p>
    <w:p w14:paraId="0A3481C4" w14:textId="77777777" w:rsidR="00D64DB1" w:rsidRPr="00B90388" w:rsidRDefault="00000000" w:rsidP="00B90388">
      <w:pPr>
        <w:spacing w:before="240"/>
      </w:pPr>
      <w:r w:rsidRPr="00B90388">
        <w:rPr>
          <w:noProof/>
        </w:rPr>
        <w:drawing>
          <wp:inline distT="114300" distB="114300" distL="114300" distR="114300" wp14:anchorId="65222D9B" wp14:editId="6B3C88CB">
            <wp:extent cx="5943600" cy="1003300"/>
            <wp:effectExtent l="0" t="0" r="0" b="0"/>
            <wp:docPr id="33"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74"/>
                    <a:srcRect/>
                    <a:stretch>
                      <a:fillRect/>
                    </a:stretch>
                  </pic:blipFill>
                  <pic:spPr>
                    <a:xfrm>
                      <a:off x="0" y="0"/>
                      <a:ext cx="5943600" cy="1003300"/>
                    </a:xfrm>
                    <a:prstGeom prst="rect">
                      <a:avLst/>
                    </a:prstGeom>
                    <a:ln/>
                  </pic:spPr>
                </pic:pic>
              </a:graphicData>
            </a:graphic>
          </wp:inline>
        </w:drawing>
      </w:r>
    </w:p>
    <w:p w14:paraId="1B62F3BA" w14:textId="77777777" w:rsidR="00D64DB1" w:rsidRPr="00B90388" w:rsidRDefault="00000000" w:rsidP="00B90388">
      <w:pPr>
        <w:spacing w:before="240"/>
      </w:pPr>
      <w:r w:rsidRPr="00B90388">
        <w:rPr>
          <w:noProof/>
        </w:rPr>
        <w:drawing>
          <wp:inline distT="114300" distB="114300" distL="114300" distR="114300" wp14:anchorId="0C58CCC2" wp14:editId="45B3EF70">
            <wp:extent cx="5943600" cy="111760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5"/>
                    <a:srcRect/>
                    <a:stretch>
                      <a:fillRect/>
                    </a:stretch>
                  </pic:blipFill>
                  <pic:spPr>
                    <a:xfrm>
                      <a:off x="0" y="0"/>
                      <a:ext cx="5943600" cy="1117600"/>
                    </a:xfrm>
                    <a:prstGeom prst="rect">
                      <a:avLst/>
                    </a:prstGeom>
                    <a:ln/>
                  </pic:spPr>
                </pic:pic>
              </a:graphicData>
            </a:graphic>
          </wp:inline>
        </w:drawing>
      </w:r>
    </w:p>
    <w:p w14:paraId="3E2CF0E6" w14:textId="77777777" w:rsidR="00D64DB1" w:rsidRPr="00B90388" w:rsidRDefault="00000000" w:rsidP="00B90388">
      <w:pPr>
        <w:spacing w:before="240"/>
      </w:pPr>
      <w:r w:rsidRPr="00B90388">
        <w:rPr>
          <w:noProof/>
        </w:rPr>
        <w:drawing>
          <wp:inline distT="114300" distB="114300" distL="114300" distR="114300" wp14:anchorId="22F58809" wp14:editId="40708DC6">
            <wp:extent cx="5943600" cy="1117600"/>
            <wp:effectExtent l="0" t="0" r="0" b="0"/>
            <wp:docPr id="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6"/>
                    <a:srcRect/>
                    <a:stretch>
                      <a:fillRect/>
                    </a:stretch>
                  </pic:blipFill>
                  <pic:spPr>
                    <a:xfrm>
                      <a:off x="0" y="0"/>
                      <a:ext cx="5943600" cy="1117600"/>
                    </a:xfrm>
                    <a:prstGeom prst="rect">
                      <a:avLst/>
                    </a:prstGeom>
                    <a:ln/>
                  </pic:spPr>
                </pic:pic>
              </a:graphicData>
            </a:graphic>
          </wp:inline>
        </w:drawing>
      </w:r>
    </w:p>
    <w:p w14:paraId="5D228896" w14:textId="77777777" w:rsidR="00D64DB1" w:rsidRPr="00B90388" w:rsidRDefault="00000000" w:rsidP="00B90388">
      <w:pPr>
        <w:spacing w:before="240"/>
      </w:pPr>
      <w:r w:rsidRPr="00B90388">
        <w:rPr>
          <w:noProof/>
        </w:rPr>
        <w:drawing>
          <wp:inline distT="114300" distB="114300" distL="114300" distR="114300" wp14:anchorId="38FBA9DD" wp14:editId="29B06152">
            <wp:extent cx="5943600" cy="889000"/>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7"/>
                    <a:srcRect/>
                    <a:stretch>
                      <a:fillRect/>
                    </a:stretch>
                  </pic:blipFill>
                  <pic:spPr>
                    <a:xfrm>
                      <a:off x="0" y="0"/>
                      <a:ext cx="5943600" cy="889000"/>
                    </a:xfrm>
                    <a:prstGeom prst="rect">
                      <a:avLst/>
                    </a:prstGeom>
                    <a:ln/>
                  </pic:spPr>
                </pic:pic>
              </a:graphicData>
            </a:graphic>
          </wp:inline>
        </w:drawing>
      </w:r>
    </w:p>
    <w:p w14:paraId="10DEC4F3" w14:textId="16ED799B" w:rsidR="00D64DB1" w:rsidRPr="00B90388" w:rsidRDefault="00CA5A09" w:rsidP="00B90388">
      <w:pPr>
        <w:pStyle w:val="Heading2"/>
        <w:spacing w:before="240"/>
      </w:pPr>
      <w:bookmarkStart w:id="40" w:name="_8fnyr2r9990f" w:colFirst="0" w:colLast="0"/>
      <w:bookmarkStart w:id="41" w:name="_Toc213805399"/>
      <w:bookmarkEnd w:id="40"/>
      <w:r>
        <w:lastRenderedPageBreak/>
        <w:t xml:space="preserve">Appendix 2: </w:t>
      </w:r>
      <w:r w:rsidRPr="00B90388">
        <w:t xml:space="preserve">Calculations </w:t>
      </w:r>
      <w:r>
        <w:t xml:space="preserve">of </w:t>
      </w:r>
      <w:r w:rsidRPr="00B90388">
        <w:t>Project Investment Appraisals</w:t>
      </w:r>
      <w:bookmarkEnd w:id="41"/>
      <w:r w:rsidRPr="00B90388">
        <w:t xml:space="preserve"> </w:t>
      </w:r>
    </w:p>
    <w:p w14:paraId="4D366BAE" w14:textId="77777777" w:rsidR="00D64DB1" w:rsidRPr="00B90388" w:rsidRDefault="00000000" w:rsidP="00B90388">
      <w:pPr>
        <w:spacing w:before="240"/>
        <w:jc w:val="center"/>
      </w:pPr>
      <w:r w:rsidRPr="00B90388">
        <w:rPr>
          <w:noProof/>
        </w:rPr>
        <w:drawing>
          <wp:inline distT="114300" distB="114300" distL="114300" distR="114300" wp14:anchorId="6E925F0D" wp14:editId="005574E1">
            <wp:extent cx="4443413" cy="5059840"/>
            <wp:effectExtent l="0" t="0" r="0" b="0"/>
            <wp:docPr id="26"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78"/>
                    <a:srcRect/>
                    <a:stretch>
                      <a:fillRect/>
                    </a:stretch>
                  </pic:blipFill>
                  <pic:spPr>
                    <a:xfrm>
                      <a:off x="0" y="0"/>
                      <a:ext cx="4443413" cy="5059840"/>
                    </a:xfrm>
                    <a:prstGeom prst="rect">
                      <a:avLst/>
                    </a:prstGeom>
                    <a:ln/>
                  </pic:spPr>
                </pic:pic>
              </a:graphicData>
            </a:graphic>
          </wp:inline>
        </w:drawing>
      </w:r>
    </w:p>
    <w:p w14:paraId="3BCDBE0A" w14:textId="77777777" w:rsidR="00D64DB1" w:rsidRPr="00B90388" w:rsidRDefault="00D64DB1" w:rsidP="00B90388">
      <w:pPr>
        <w:spacing w:before="240"/>
      </w:pPr>
    </w:p>
    <w:p w14:paraId="5F005894" w14:textId="77777777" w:rsidR="00D64DB1" w:rsidRPr="00B90388" w:rsidRDefault="00000000" w:rsidP="00B90388">
      <w:pPr>
        <w:spacing w:before="240"/>
        <w:jc w:val="center"/>
      </w:pPr>
      <w:r w:rsidRPr="00B90388">
        <w:rPr>
          <w:noProof/>
        </w:rPr>
        <w:lastRenderedPageBreak/>
        <w:drawing>
          <wp:inline distT="114300" distB="114300" distL="114300" distR="114300" wp14:anchorId="697198A7" wp14:editId="45FA325C">
            <wp:extent cx="4502858" cy="4986338"/>
            <wp:effectExtent l="0" t="0" r="0" b="0"/>
            <wp:docPr id="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79"/>
                    <a:srcRect/>
                    <a:stretch>
                      <a:fillRect/>
                    </a:stretch>
                  </pic:blipFill>
                  <pic:spPr>
                    <a:xfrm>
                      <a:off x="0" y="0"/>
                      <a:ext cx="4502858" cy="4986338"/>
                    </a:xfrm>
                    <a:prstGeom prst="rect">
                      <a:avLst/>
                    </a:prstGeom>
                    <a:ln/>
                  </pic:spPr>
                </pic:pic>
              </a:graphicData>
            </a:graphic>
          </wp:inline>
        </w:drawing>
      </w:r>
    </w:p>
    <w:p w14:paraId="2B530287" w14:textId="77777777" w:rsidR="00D64DB1" w:rsidRPr="00B90388" w:rsidRDefault="00000000" w:rsidP="00B90388">
      <w:pPr>
        <w:spacing w:before="240"/>
        <w:jc w:val="center"/>
      </w:pPr>
      <w:r w:rsidRPr="00B90388">
        <w:rPr>
          <w:noProof/>
        </w:rPr>
        <w:lastRenderedPageBreak/>
        <w:drawing>
          <wp:inline distT="114300" distB="114300" distL="114300" distR="114300" wp14:anchorId="2A6AC6AB" wp14:editId="5D546064">
            <wp:extent cx="5943600" cy="4368800"/>
            <wp:effectExtent l="0" t="0" r="0" b="0"/>
            <wp:docPr id="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0"/>
                    <a:srcRect/>
                    <a:stretch>
                      <a:fillRect/>
                    </a:stretch>
                  </pic:blipFill>
                  <pic:spPr>
                    <a:xfrm>
                      <a:off x="0" y="0"/>
                      <a:ext cx="5943600" cy="4368800"/>
                    </a:xfrm>
                    <a:prstGeom prst="rect">
                      <a:avLst/>
                    </a:prstGeom>
                    <a:ln/>
                  </pic:spPr>
                </pic:pic>
              </a:graphicData>
            </a:graphic>
          </wp:inline>
        </w:drawing>
      </w:r>
    </w:p>
    <w:p w14:paraId="2A94C9F0" w14:textId="77777777" w:rsidR="00D64DB1" w:rsidRPr="00B90388" w:rsidRDefault="00000000" w:rsidP="00B90388">
      <w:pPr>
        <w:spacing w:before="240"/>
        <w:jc w:val="center"/>
      </w:pPr>
      <w:r w:rsidRPr="00B90388">
        <w:rPr>
          <w:noProof/>
        </w:rPr>
        <w:drawing>
          <wp:inline distT="114300" distB="114300" distL="114300" distR="114300" wp14:anchorId="0902C71B" wp14:editId="4A9D0411">
            <wp:extent cx="5943600" cy="331470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1"/>
                    <a:srcRect/>
                    <a:stretch>
                      <a:fillRect/>
                    </a:stretch>
                  </pic:blipFill>
                  <pic:spPr>
                    <a:xfrm>
                      <a:off x="0" y="0"/>
                      <a:ext cx="5943600" cy="3314700"/>
                    </a:xfrm>
                    <a:prstGeom prst="rect">
                      <a:avLst/>
                    </a:prstGeom>
                    <a:ln/>
                  </pic:spPr>
                </pic:pic>
              </a:graphicData>
            </a:graphic>
          </wp:inline>
        </w:drawing>
      </w:r>
    </w:p>
    <w:p w14:paraId="2913CE50" w14:textId="77777777" w:rsidR="00D64DB1" w:rsidRPr="00B90388" w:rsidRDefault="00000000" w:rsidP="00B90388">
      <w:pPr>
        <w:spacing w:before="240"/>
        <w:jc w:val="center"/>
      </w:pPr>
      <w:r w:rsidRPr="00B90388">
        <w:rPr>
          <w:noProof/>
        </w:rPr>
        <w:lastRenderedPageBreak/>
        <w:drawing>
          <wp:inline distT="114300" distB="114300" distL="114300" distR="114300" wp14:anchorId="04B1CEEE" wp14:editId="345C3044">
            <wp:extent cx="5943600" cy="2654300"/>
            <wp:effectExtent l="0" t="0" r="0" b="0"/>
            <wp:docPr id="1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82"/>
                    <a:srcRect/>
                    <a:stretch>
                      <a:fillRect/>
                    </a:stretch>
                  </pic:blipFill>
                  <pic:spPr>
                    <a:xfrm>
                      <a:off x="0" y="0"/>
                      <a:ext cx="5943600" cy="2654300"/>
                    </a:xfrm>
                    <a:prstGeom prst="rect">
                      <a:avLst/>
                    </a:prstGeom>
                    <a:ln/>
                  </pic:spPr>
                </pic:pic>
              </a:graphicData>
            </a:graphic>
          </wp:inline>
        </w:drawing>
      </w:r>
    </w:p>
    <w:p w14:paraId="77DE8988" w14:textId="77777777" w:rsidR="00D64DB1" w:rsidRPr="00B90388" w:rsidRDefault="00D64DB1" w:rsidP="00B90388">
      <w:pPr>
        <w:spacing w:before="240"/>
        <w:jc w:val="center"/>
      </w:pPr>
    </w:p>
    <w:p w14:paraId="2F4F28A2" w14:textId="77777777" w:rsidR="00D64DB1" w:rsidRDefault="00D64DB1" w:rsidP="00B90388">
      <w:pPr>
        <w:spacing w:before="240"/>
      </w:pPr>
    </w:p>
    <w:sectPr w:rsidR="00D64DB1" w:rsidSect="00CA5A09">
      <w:footerReference w:type="default" r:id="rId8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0ECBD" w14:textId="77777777" w:rsidR="00913B8D" w:rsidRPr="00B90388" w:rsidRDefault="00913B8D">
      <w:pPr>
        <w:spacing w:after="0" w:line="240" w:lineRule="auto"/>
      </w:pPr>
      <w:r w:rsidRPr="00B90388">
        <w:separator/>
      </w:r>
    </w:p>
  </w:endnote>
  <w:endnote w:type="continuationSeparator" w:id="0">
    <w:p w14:paraId="23F8F645" w14:textId="77777777" w:rsidR="00913B8D" w:rsidRPr="00B90388" w:rsidRDefault="00913B8D">
      <w:pPr>
        <w:spacing w:after="0" w:line="240" w:lineRule="auto"/>
      </w:pPr>
      <w:r w:rsidRPr="00B9038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auto"/>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287D137-4F30-456B-B169-3709222EC306}"/>
  </w:font>
  <w:font w:name="Mangal">
    <w:panose1 w:val="02040503050203030202"/>
    <w:charset w:val="01"/>
    <w:family w:val="auto"/>
    <w:pitch w:val="variable"/>
    <w:sig w:usb0="00008003" w:usb1="00000000" w:usb2="00000000" w:usb3="00000000" w:csb0="00000001" w:csb1="00000000"/>
    <w:embedRegular r:id="rId2" w:fontKey="{506136C1-16C0-45A3-AC91-5598356F4F96}"/>
  </w:font>
  <w:font w:name="Cambria">
    <w:panose1 w:val="02040503050406030204"/>
    <w:charset w:val="00"/>
    <w:family w:val="roman"/>
    <w:pitch w:val="variable"/>
    <w:sig w:usb0="E00006FF" w:usb1="420024FF" w:usb2="02000000" w:usb3="00000000" w:csb0="0000019F" w:csb1="00000000"/>
    <w:embedRegular r:id="rId3" w:fontKey="{F9F55637-B7CF-480A-878C-3B87C9A76C55}"/>
  </w:font>
  <w:font w:name="Gungsuh">
    <w:charset w:val="81"/>
    <w:family w:val="roman"/>
    <w:pitch w:val="variable"/>
    <w:sig w:usb0="B00002AF" w:usb1="69D77CFB" w:usb2="00000030" w:usb3="00000000" w:csb0="0008009F" w:csb1="00000000"/>
    <w:embedRegular r:id="rId4" w:subsetted="1" w:fontKey="{FA13F610-AE27-44D0-BB34-34B0ABB8B606}"/>
  </w:font>
  <w:font w:name="MS Mincho">
    <w:altName w:val="ＭＳ 明朝"/>
    <w:panose1 w:val="02020609040205080304"/>
    <w:charset w:val="80"/>
    <w:family w:val="modern"/>
    <w:pitch w:val="fixed"/>
    <w:sig w:usb0="E00002FF" w:usb1="6AC7FDFB" w:usb2="08000012" w:usb3="00000000" w:csb0="0002009F" w:csb1="00000000"/>
    <w:embedRegular r:id="rId5" w:subsetted="1" w:fontKey="{039283A0-DFEE-4A1B-8428-37FD679F36D1}"/>
  </w:font>
  <w:font w:name="SimSun">
    <w:altName w:val="宋体"/>
    <w:panose1 w:val="02010600030101010101"/>
    <w:charset w:val="86"/>
    <w:family w:val="auto"/>
    <w:pitch w:val="variable"/>
    <w:sig w:usb0="00000203" w:usb1="288F0000" w:usb2="00000016" w:usb3="00000000" w:csb0="00040001" w:csb1="00000000"/>
    <w:embedRegular r:id="rId6" w:subsetted="1" w:fontKey="{C919F3EA-1673-487C-8C75-0FF3D8B513A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2648342"/>
      <w:docPartObj>
        <w:docPartGallery w:val="Page Numbers (Bottom of Page)"/>
        <w:docPartUnique/>
      </w:docPartObj>
    </w:sdtPr>
    <w:sdtContent>
      <w:p w14:paraId="5B1FE875" w14:textId="7A4DCD40" w:rsidR="00564C4D" w:rsidRDefault="00564C4D">
        <w:pPr>
          <w:pStyle w:val="Footer"/>
          <w:jc w:val="right"/>
        </w:pPr>
        <w:r>
          <w:fldChar w:fldCharType="begin"/>
        </w:r>
        <w:r>
          <w:instrText>PAGE   \* MERGEFORMAT</w:instrText>
        </w:r>
        <w:r>
          <w:fldChar w:fldCharType="separate"/>
        </w:r>
        <w:r>
          <w:t>2</w:t>
        </w:r>
        <w:r>
          <w:fldChar w:fldCharType="end"/>
        </w:r>
      </w:p>
    </w:sdtContent>
  </w:sdt>
  <w:p w14:paraId="2E733E0A" w14:textId="77777777" w:rsidR="00D64DB1" w:rsidRPr="00B90388" w:rsidRDefault="00D64DB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EFE7F7" w14:textId="77777777" w:rsidR="00913B8D" w:rsidRPr="00B90388" w:rsidRDefault="00913B8D">
      <w:pPr>
        <w:spacing w:after="0" w:line="240" w:lineRule="auto"/>
      </w:pPr>
      <w:r w:rsidRPr="00B90388">
        <w:separator/>
      </w:r>
    </w:p>
  </w:footnote>
  <w:footnote w:type="continuationSeparator" w:id="0">
    <w:p w14:paraId="0B4E76B5" w14:textId="77777777" w:rsidR="00913B8D" w:rsidRPr="00B90388" w:rsidRDefault="00913B8D">
      <w:pPr>
        <w:spacing w:after="0" w:line="240" w:lineRule="auto"/>
      </w:pPr>
      <w:r w:rsidRPr="00B9038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E15E7C"/>
    <w:multiLevelType w:val="multilevel"/>
    <w:tmpl w:val="9258A3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62247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4DB1"/>
    <w:rsid w:val="000479B4"/>
    <w:rsid w:val="001008F9"/>
    <w:rsid w:val="0022007C"/>
    <w:rsid w:val="00220CFA"/>
    <w:rsid w:val="002518E5"/>
    <w:rsid w:val="002B3DAE"/>
    <w:rsid w:val="00387A8D"/>
    <w:rsid w:val="004E5EA8"/>
    <w:rsid w:val="00546E7B"/>
    <w:rsid w:val="00564C4D"/>
    <w:rsid w:val="007007FD"/>
    <w:rsid w:val="007E1AC4"/>
    <w:rsid w:val="0090178B"/>
    <w:rsid w:val="00913B8D"/>
    <w:rsid w:val="009513A6"/>
    <w:rsid w:val="00B83818"/>
    <w:rsid w:val="00B90388"/>
    <w:rsid w:val="00CA5A09"/>
    <w:rsid w:val="00CB579C"/>
    <w:rsid w:val="00D64DB1"/>
    <w:rsid w:val="00DC7AAB"/>
    <w:rsid w:val="00E31701"/>
    <w:rsid w:val="00E47284"/>
    <w:rsid w:val="00ED5F79"/>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1BE20"/>
  <w15:docId w15:val="{6573D2F9-542F-414A-8167-2C9DC66F0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222222"/>
        <w:sz w:val="24"/>
        <w:szCs w:val="24"/>
        <w:highlight w:val="white"/>
        <w:lang w:val="en" w:eastAsia="en-US"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3818"/>
    <w:rPr>
      <w:rFonts w:ascii="Arial" w:hAnsi="Arial"/>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b/>
      <w:sz w:val="32"/>
      <w:szCs w:val="3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TOCHeading">
    <w:name w:val="TOC Heading"/>
    <w:basedOn w:val="Heading1"/>
    <w:next w:val="Normal"/>
    <w:uiPriority w:val="39"/>
    <w:unhideWhenUsed/>
    <w:qFormat/>
    <w:rsid w:val="00B9038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rPr>
  </w:style>
  <w:style w:type="paragraph" w:styleId="TOC1">
    <w:name w:val="toc 1"/>
    <w:basedOn w:val="Normal"/>
    <w:next w:val="Normal"/>
    <w:autoRedefine/>
    <w:uiPriority w:val="39"/>
    <w:unhideWhenUsed/>
    <w:rsid w:val="00B90388"/>
    <w:pPr>
      <w:spacing w:after="100"/>
    </w:pPr>
  </w:style>
  <w:style w:type="paragraph" w:styleId="TOC2">
    <w:name w:val="toc 2"/>
    <w:basedOn w:val="Normal"/>
    <w:next w:val="Normal"/>
    <w:autoRedefine/>
    <w:uiPriority w:val="39"/>
    <w:unhideWhenUsed/>
    <w:rsid w:val="00B90388"/>
    <w:pPr>
      <w:spacing w:after="100"/>
      <w:ind w:left="240"/>
    </w:pPr>
  </w:style>
  <w:style w:type="character" w:styleId="Hyperlink">
    <w:name w:val="Hyperlink"/>
    <w:basedOn w:val="DefaultParagraphFont"/>
    <w:uiPriority w:val="99"/>
    <w:unhideWhenUsed/>
    <w:rsid w:val="00B90388"/>
    <w:rPr>
      <w:color w:val="0000FF" w:themeColor="hyperlink"/>
      <w:u w:val="single"/>
    </w:rPr>
  </w:style>
  <w:style w:type="paragraph" w:styleId="Caption">
    <w:name w:val="caption"/>
    <w:basedOn w:val="Normal"/>
    <w:next w:val="Normal"/>
    <w:uiPriority w:val="35"/>
    <w:unhideWhenUsed/>
    <w:qFormat/>
    <w:rsid w:val="00E47284"/>
    <w:pPr>
      <w:spacing w:after="200" w:line="240" w:lineRule="auto"/>
    </w:pPr>
    <w:rPr>
      <w:i/>
      <w:iCs/>
      <w:color w:val="1F497D" w:themeColor="text2"/>
      <w:sz w:val="18"/>
      <w:szCs w:val="18"/>
    </w:rPr>
  </w:style>
  <w:style w:type="paragraph" w:styleId="Header">
    <w:name w:val="header"/>
    <w:basedOn w:val="Normal"/>
    <w:link w:val="HeaderChar"/>
    <w:uiPriority w:val="99"/>
    <w:unhideWhenUsed/>
    <w:rsid w:val="00564C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C4D"/>
    <w:rPr>
      <w:rFonts w:ascii="Arial" w:hAnsi="Arial"/>
      <w:lang w:val="en-GB"/>
    </w:rPr>
  </w:style>
  <w:style w:type="paragraph" w:styleId="Footer">
    <w:name w:val="footer"/>
    <w:basedOn w:val="Normal"/>
    <w:link w:val="FooterChar"/>
    <w:uiPriority w:val="99"/>
    <w:unhideWhenUsed/>
    <w:rsid w:val="00564C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C4D"/>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www.cambridgenigeriapub.com/wp-content/uploads/2023/07/CJMSBA.VOL_.28.NO_.7-10.pdf" TargetMode="External"/><Relationship Id="rId47" Type="http://schemas.openxmlformats.org/officeDocument/2006/relationships/hyperlink" Target="https://cyberleninka.ru/article/n/debt-or-retained-earnings-whichever-is-optimum-for-the-growth-of-the-firm" TargetMode="External"/><Relationship Id="rId63" Type="http://schemas.openxmlformats.org/officeDocument/2006/relationships/hyperlink" Target="https://www.academia.edu/download/117453607/2607.pdf" TargetMode="External"/><Relationship Id="rId68" Type="http://schemas.openxmlformats.org/officeDocument/2006/relationships/hyperlink" Target="https://www.researchgate.net/profile/Munashe-Naphtali-Mupa/publication/384735379_Turnaround_Financing_Legal_and_Financial_Considerations_for_Distressed_Companies/links/6705d4e34cb01e6ec78177c2/Turnaround-Financing-Legal-and-Financial-Considerations-for-Distressed-Companies.pdf" TargetMode="External"/><Relationship Id="rId84" Type="http://schemas.openxmlformats.org/officeDocument/2006/relationships/fontTable" Target="fontTable.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hyperlink" Target="https://drive.google.com/file/d/1XZqxcbGfQkMy97iZwkPpWbr7LAmqUG1L/view" TargetMode="External"/><Relationship Id="rId53" Type="http://schemas.openxmlformats.org/officeDocument/2006/relationships/hyperlink" Target="https://www.utupub.fi/bitstream/handle/10024/153591/Pro_gradu_tutkielma_Kemppainen_Mikael_517057.pdf?sequence=1" TargetMode="External"/><Relationship Id="rId58" Type="http://schemas.openxmlformats.org/officeDocument/2006/relationships/hyperlink" Target="https://www.academia.edu/download/81063588/article_677839_cd06f5c50b09f28acf4802268302e8ba.pdf" TargetMode="External"/><Relationship Id="rId74" Type="http://schemas.openxmlformats.org/officeDocument/2006/relationships/image" Target="media/image28.png"/><Relationship Id="rId79" Type="http://schemas.openxmlformats.org/officeDocument/2006/relationships/image" Target="media/image33.png"/><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mdpi.com/2227-9091/9/11/201" TargetMode="External"/><Relationship Id="rId43" Type="http://schemas.openxmlformats.org/officeDocument/2006/relationships/hyperlink" Target="https://www.researchgate.net/profile/Suresh-Chaudhary-4/publication/369438141_A_Review_of_Evaluation_Methodologies_and_Techniques_in_Construction_Engineering_Projects/links/6561ccf6b1398a779db4a31b/A-Review-of-Evaluation-Methodologies-and-Techniques-in-Construction-Engineering-Projects.pdf" TargetMode="External"/><Relationship Id="rId48" Type="http://schemas.openxmlformats.org/officeDocument/2006/relationships/hyperlink" Target="https://denizokat.com/wp-content/uploads/2024/04/convertible-copy.pdf" TargetMode="External"/><Relationship Id="rId56" Type="http://schemas.openxmlformats.org/officeDocument/2006/relationships/hyperlink" Target="https://www.researchgate.net/profile/Marcin-Majka-2/publication/383786278_Understanding_Hedging_Strategies_Benefits_and_Risks/links/66d9d25bf84dd1716c97ebe7/Understanding-Hedging-Strategies-Benefits-and-Risks.pdf" TargetMode="External"/><Relationship Id="rId64" Type="http://schemas.openxmlformats.org/officeDocument/2006/relationships/hyperlink" Target="https://www.mdpi.com/2071-1050/14/7/3749" TargetMode="External"/><Relationship Id="rId69" Type="http://schemas.openxmlformats.org/officeDocument/2006/relationships/hyperlink" Target="https://pdfs.semanticscholar.org/35f5/923a958b071288b38d4e960e8268477ec19a.pdf" TargetMode="External"/><Relationship Id="rId77" Type="http://schemas.openxmlformats.org/officeDocument/2006/relationships/image" Target="media/image31.png"/><Relationship Id="rId8" Type="http://schemas.openxmlformats.org/officeDocument/2006/relationships/image" Target="media/image1.png"/><Relationship Id="rId51" Type="http://schemas.openxmlformats.org/officeDocument/2006/relationships/hyperlink" Target="https://www.researchgate.net/profile/Guillaume-Jean-6/publication/386106872_Inventory_Management_Strategies_Balancing_Cost_Efficiency_and_Customer_Satisfaction/links/6744d201b5bd9d17d606f213/Inventory-Management-Strategies-Balancing-Cost-Efficiency-and-Customer-Satisfaction.pdf" TargetMode="External"/><Relationship Id="rId72" Type="http://schemas.openxmlformats.org/officeDocument/2006/relationships/hyperlink" Target="https://degres.eu/wp-content/uploads/2-DEJ1457.pdf" TargetMode="External"/><Relationship Id="rId80" Type="http://schemas.openxmlformats.org/officeDocument/2006/relationships/image" Target="media/image34.png"/><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academia.edu/download/115377930/Capital_Budgeting_and_Financial_Investme.pdf" TargetMode="External"/><Relationship Id="rId46" Type="http://schemas.openxmlformats.org/officeDocument/2006/relationships/hyperlink" Target="https://www.mdpi.com/2227-9091/12/9/143" TargetMode="External"/><Relationship Id="rId59" Type="http://schemas.openxmlformats.org/officeDocument/2006/relationships/hyperlink" Target="https://www.wseas.com/journals/fe/2025/a36fe-017(2025).pdf" TargetMode="External"/><Relationship Id="rId67" Type="http://schemas.openxmlformats.org/officeDocument/2006/relationships/hyperlink" Target="https://www.sdmimd.ac.in/conferenceproceedings/ifc2024papers/IFC2423.pdf" TargetMode="External"/><Relationship Id="rId20" Type="http://schemas.openxmlformats.org/officeDocument/2006/relationships/image" Target="media/image13.png"/><Relationship Id="rId41" Type="http://schemas.openxmlformats.org/officeDocument/2006/relationships/hyperlink" Target="https://managementjournal.usamv.ro/pdf/vol.21_2/Art13.pdf" TargetMode="External"/><Relationship Id="rId54" Type="http://schemas.openxmlformats.org/officeDocument/2006/relationships/hyperlink" Target="https://www.academia.edu/download/80554100/UJAF23_12225466.pdf" TargetMode="External"/><Relationship Id="rId62" Type="http://schemas.openxmlformats.org/officeDocument/2006/relationships/hyperlink" Target="https://ijsser.org/2025files/ijsser_10__233.pdf" TargetMode="External"/><Relationship Id="rId70" Type="http://schemas.openxmlformats.org/officeDocument/2006/relationships/hyperlink" Target="https://is.vsfs.cz/th/r5e3h/Diploma_Thesis_-_Jakub_Vitek.pdf" TargetMode="External"/><Relationship Id="rId75" Type="http://schemas.openxmlformats.org/officeDocument/2006/relationships/image" Target="media/image29.png"/><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researchgate.net/profile/Ovbe-Akpadaka/publication/383262033_Impact_of_Cash_Conversion_Cycle_and_Financial_Stability_on_Firm_Value/links/66c4c856ccd355055fe1342b/Impact-of-Cash-Conversion-Cycle-and-Financial-Stability-on-Firm-Value.pdf" TargetMode="External"/><Relationship Id="rId49" Type="http://schemas.openxmlformats.org/officeDocument/2006/relationships/hyperlink" Target="http://www.nlbaeai.org/static/upload/file/20250416/1744774749637497.pdf" TargetMode="External"/><Relationship Id="rId57" Type="http://schemas.openxmlformats.org/officeDocument/2006/relationships/hyperlink" Target="https://www.researchgate.net/profile/Marcin-Majka-2/publication/381402426_Understanding_Profit_Margin/links/666b659685a4ee7261c0e00d/Understanding-Profit-Margin.pdf"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researchgate.net/profile/Ejekwu-Tobechi/publication/365608516_AN_APPRAISAL_OF_INTERNAL_RATE_OF_RETURN_ON_CASH_FLOWS_OF_PRIVATE_CAPITAL_INVESTMENT_IN_NIGERIA/links/637a565337878b3e87c8cb60/AN-APPRAISAL-OF-INTERNAL-RATE-OF-RETURN-ON-CASH-FLOWS-OF-PRIVATE-CAPITAL-INVESTMENT-IN-NIGERIA.pdf" TargetMode="External"/><Relationship Id="rId52" Type="http://schemas.openxmlformats.org/officeDocument/2006/relationships/hyperlink" Target="https://www.researchgate.net/profile/Beauden-John/publication/392693368_Financial_Implications_of_Just-In-Time_vs_Just-In-Case_Strategies_in_Uncertain_Times/links/684d7d42474abd185bd8be7d/Financial-Implications-of-Just-In-Time-vs-Just-In-Case-Strategies-in-Uncertain-Times.pdf" TargetMode="External"/><Relationship Id="rId60" Type="http://schemas.openxmlformats.org/officeDocument/2006/relationships/hyperlink" Target="https://www.iiardjournals.org/get/IJBFR/VOL.%207%20NO.%201%202021/AN%20ASSESSMENT%20OF%20HIDDEN.pdf" TargetMode="External"/><Relationship Id="rId65" Type="http://schemas.openxmlformats.org/officeDocument/2006/relationships/hyperlink" Target="https://access.archive-ouverte.unige.ch/access/metadata/51741863-a6f1-40fd-b7e6-76350048967a/download" TargetMode="External"/><Relationship Id="rId73" Type="http://schemas.openxmlformats.org/officeDocument/2006/relationships/image" Target="media/image27.png"/><Relationship Id="rId78" Type="http://schemas.openxmlformats.org/officeDocument/2006/relationships/image" Target="media/image32.png"/><Relationship Id="rId81"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researchgate.net/profile/Jumai_Ahmadu/publication/392585718_A_Strategic_Framework_for_Optimizing_Mergers_Acquisitions_Valuation_Due_Diligence_Integration_and_Financial_Stability/links/684954a62516274e420e375d/A-Strategic-Framework-for-Optimizing-Mergers-Acquisitions-Valuation-Due-Diligence-Integration-and-Financial-Stability.pdf" TargetMode="External"/><Relationship Id="rId34" Type="http://schemas.openxmlformats.org/officeDocument/2006/relationships/hyperlink" Target="https://elibrary.tucl.edu.np/JQ99OgQIizUxyjI9nB0on9OyLkqsGIf4/api/core/bitstreams/edc51bf8-d614-45e7-a5ad-3b07a301762e/content" TargetMode="External"/><Relationship Id="rId50" Type="http://schemas.openxmlformats.org/officeDocument/2006/relationships/hyperlink" Target="https://fintrexfinance.com/pdf/2022.pdf" TargetMode="External"/><Relationship Id="rId55" Type="http://schemas.openxmlformats.org/officeDocument/2006/relationships/hyperlink" Target="http://166.62.7.99/conferences/LNEMSS/GEFHR%202021/Y0248.pdf" TargetMode="External"/><Relationship Id="rId76" Type="http://schemas.openxmlformats.org/officeDocument/2006/relationships/image" Target="media/image30.png"/><Relationship Id="rId7" Type="http://schemas.openxmlformats.org/officeDocument/2006/relationships/endnotes" Target="endnotes.xml"/><Relationship Id="rId71" Type="http://schemas.openxmlformats.org/officeDocument/2006/relationships/hyperlink" Target="https://www.researchgate.net/profile/Anita-Yanney-2/publication/392073090_Optimizing_Working_Capital_Through_Dynamic_Cash_Flow_Analysis_and_Inventory_Management_in_Manufacturing_Firms/links/68327470d1054b0207f2a457/Optimizing-Working-Capital-Through-Dynamic-Cash-Flow-Analysis-and-Inventory-Management-in-Manufacturing-Firms.pdf"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www.researchgate.net/profile/Rita-Attah/publication/388430387_Financial_management_strategies_in_emerging_markets_A_review_of_theoretical_models_and_practical_applications/links/67998740207c0c20fa642878/Financial-management-strategies-in-emerging-markets-A-review-of-theoretical-models-and-practical-applications.pdf" TargetMode="External"/><Relationship Id="rId45" Type="http://schemas.openxmlformats.org/officeDocument/2006/relationships/hyperlink" Target="https://www.researchgate.net/profile/Lawrence-Emma/publication/388625506_Integrating_Sustainable_Financial_Strategies_for_Long-Term_Corporate_Growth_and_Stakeholder_Value/links/679f57ab645ef274a45eb698/Integrating-Sustainable-Financial-Strategies-for-Long-Term-Corporate-Growth-and-Stakeholder-Value.pdf" TargetMode="External"/><Relationship Id="rId66" Type="http://schemas.openxmlformats.org/officeDocument/2006/relationships/hyperlink" Target="http://biitm.dspaces.org/bitstream/123456789/1241/1/Project%20Appraisal%20%26%20Financing-2024.pdf" TargetMode="External"/><Relationship Id="rId61" Type="http://schemas.openxmlformats.org/officeDocument/2006/relationships/hyperlink" Target="https://www.researchgate.net/profile/Aminu-Olayinka/publication/361292771_Financial_statement_analysis_as_a_tool_for_investment_decisions_and_assessment_of_companies'_performance/links/62a90366a3fe3e3df8778ac8/Financial-statement-analysis-as-a-tool-for-investment-decisions-and-assessment-of-companies-performance.pdf" TargetMode="External"/><Relationship Id="rId82" Type="http://schemas.openxmlformats.org/officeDocument/2006/relationships/image" Target="media/image36.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9AFCD6-4C3C-48E3-857F-ACBC7414A2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41</Pages>
  <Words>8335</Words>
  <Characters>47515</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55739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yagnikbhakhar@outlook.com</cp:lastModifiedBy>
  <cp:revision>18</cp:revision>
  <dcterms:created xsi:type="dcterms:W3CDTF">2025-11-03T10:11:00Z</dcterms:created>
  <dcterms:modified xsi:type="dcterms:W3CDTF">2025-12-22T00:56:00Z</dcterms:modified>
  <cp:category/>
</cp:coreProperties>
</file>