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B9AA8" w14:textId="77777777" w:rsidR="008A01B2" w:rsidRDefault="008A01B2" w:rsidP="008A01B2">
      <w:pPr>
        <w:rPr>
          <w:b/>
          <w:bCs/>
          <w:sz w:val="28"/>
          <w:szCs w:val="28"/>
        </w:rPr>
      </w:pPr>
      <w:bookmarkStart w:id="0" w:name="_Hlk60477539"/>
      <w:r>
        <w:rPr>
          <w:b/>
          <w:bCs/>
          <w:sz w:val="28"/>
          <w:szCs w:val="28"/>
        </w:rPr>
        <w:t>Student name: ANDREI DUMITRASCU</w:t>
      </w:r>
    </w:p>
    <w:p w14:paraId="67C8FB1E" w14:textId="77777777" w:rsidR="008A01B2" w:rsidRDefault="008A01B2" w:rsidP="008A01B2">
      <w:pPr>
        <w:rPr>
          <w:b/>
          <w:bCs/>
          <w:sz w:val="28"/>
          <w:szCs w:val="28"/>
        </w:rPr>
      </w:pPr>
      <w:r>
        <w:rPr>
          <w:b/>
          <w:bCs/>
          <w:sz w:val="28"/>
          <w:szCs w:val="28"/>
        </w:rPr>
        <w:t>Student number: 1921558</w:t>
      </w:r>
    </w:p>
    <w:p w14:paraId="2456A7CF" w14:textId="77777777" w:rsidR="008A01B2" w:rsidRDefault="008A01B2" w:rsidP="008A01B2">
      <w:pPr>
        <w:rPr>
          <w:b/>
          <w:bCs/>
          <w:sz w:val="28"/>
          <w:szCs w:val="28"/>
        </w:rPr>
      </w:pPr>
      <w:r>
        <w:rPr>
          <w:b/>
          <w:bCs/>
          <w:sz w:val="28"/>
          <w:szCs w:val="28"/>
        </w:rPr>
        <w:t>Module title: INTERNATIONAL FINANCIAL MANAGEMENT</w:t>
      </w:r>
    </w:p>
    <w:p w14:paraId="2B7077FB" w14:textId="77777777" w:rsidR="008A01B2" w:rsidRDefault="008A01B2" w:rsidP="008A01B2">
      <w:pPr>
        <w:rPr>
          <w:b/>
          <w:bCs/>
          <w:sz w:val="28"/>
          <w:szCs w:val="28"/>
        </w:rPr>
      </w:pPr>
      <w:r>
        <w:rPr>
          <w:b/>
          <w:bCs/>
          <w:sz w:val="28"/>
          <w:szCs w:val="28"/>
        </w:rPr>
        <w:t>Module code: LCBB6002</w:t>
      </w:r>
    </w:p>
    <w:p w14:paraId="14B7B27A" w14:textId="77777777" w:rsidR="008A01B2" w:rsidRDefault="008A01B2" w:rsidP="008A01B2">
      <w:pPr>
        <w:rPr>
          <w:rFonts w:ascii="Calibri" w:hAnsi="Calibri"/>
          <w:b/>
          <w:bCs/>
          <w:sz w:val="28"/>
          <w:szCs w:val="28"/>
        </w:rPr>
      </w:pPr>
      <w:r>
        <w:rPr>
          <w:b/>
          <w:bCs/>
          <w:sz w:val="28"/>
          <w:szCs w:val="28"/>
        </w:rPr>
        <w:t>Assignment title: Assessment 1</w:t>
      </w:r>
    </w:p>
    <w:p w14:paraId="6646A113" w14:textId="77777777" w:rsidR="008A01B2" w:rsidRDefault="008A01B2" w:rsidP="008A01B2">
      <w:pPr>
        <w:pStyle w:val="Default"/>
        <w:rPr>
          <w:b/>
          <w:bCs/>
          <w:sz w:val="28"/>
          <w:szCs w:val="28"/>
        </w:rPr>
      </w:pPr>
      <w:r>
        <w:rPr>
          <w:rFonts w:ascii="Times New Roman" w:hAnsi="Times New Roman" w:cs="Times New Roman"/>
          <w:b/>
          <w:bCs/>
          <w:sz w:val="28"/>
          <w:szCs w:val="28"/>
        </w:rPr>
        <w:t>Lecturer:</w:t>
      </w:r>
      <w:bookmarkEnd w:id="0"/>
      <w:r>
        <w:rPr>
          <w:rFonts w:ascii="Times New Roman" w:hAnsi="Times New Roman" w:cs="Times New Roman"/>
          <w:b/>
          <w:bCs/>
          <w:sz w:val="28"/>
          <w:szCs w:val="28"/>
        </w:rPr>
        <w:t xml:space="preserve">  </w:t>
      </w:r>
      <w:r>
        <w:rPr>
          <w:b/>
          <w:bCs/>
          <w:sz w:val="28"/>
          <w:szCs w:val="28"/>
        </w:rPr>
        <w:t>Isaiah Oino</w:t>
      </w:r>
    </w:p>
    <w:p w14:paraId="3E9E3CEE" w14:textId="77777777" w:rsidR="008A01B2" w:rsidRDefault="008A01B2" w:rsidP="008A01B2">
      <w:pPr>
        <w:pStyle w:val="Default"/>
        <w:rPr>
          <w:b/>
          <w:bCs/>
          <w:sz w:val="28"/>
          <w:szCs w:val="28"/>
        </w:rPr>
      </w:pPr>
    </w:p>
    <w:p w14:paraId="579446EF" w14:textId="77777777" w:rsidR="008A01B2" w:rsidRDefault="008A01B2" w:rsidP="008A01B2">
      <w:pPr>
        <w:pStyle w:val="Default"/>
        <w:rPr>
          <w:rFonts w:ascii="Times New Roman" w:hAnsi="Times New Roman" w:cs="Times New Roman"/>
          <w:b/>
          <w:bCs/>
          <w:sz w:val="28"/>
          <w:szCs w:val="28"/>
        </w:rPr>
      </w:pPr>
      <w:r>
        <w:rPr>
          <w:b/>
          <w:bCs/>
          <w:sz w:val="28"/>
          <w:szCs w:val="28"/>
        </w:rPr>
        <w:t>Internal verifier: Zainab Atta</w:t>
      </w:r>
    </w:p>
    <w:p w14:paraId="780DE2A8" w14:textId="77777777" w:rsidR="008A01B2" w:rsidRDefault="008A01B2" w:rsidP="00F33A85">
      <w:pPr>
        <w:pStyle w:val="NoSpacing"/>
        <w:jc w:val="center"/>
        <w:rPr>
          <w:rFonts w:ascii="Times New Roman" w:hAnsi="Times New Roman" w:cs="Times New Roman"/>
          <w:b/>
          <w:bCs/>
          <w:i/>
          <w:iCs/>
          <w:color w:val="333333"/>
          <w:sz w:val="96"/>
          <w:szCs w:val="96"/>
        </w:rPr>
      </w:pPr>
    </w:p>
    <w:p w14:paraId="40E47741" w14:textId="77777777" w:rsidR="008A01B2" w:rsidRDefault="008A01B2" w:rsidP="00F33A85">
      <w:pPr>
        <w:pStyle w:val="NoSpacing"/>
        <w:jc w:val="center"/>
        <w:rPr>
          <w:rFonts w:ascii="Times New Roman" w:hAnsi="Times New Roman" w:cs="Times New Roman"/>
          <w:b/>
          <w:bCs/>
          <w:i/>
          <w:iCs/>
          <w:color w:val="333333"/>
          <w:sz w:val="96"/>
          <w:szCs w:val="96"/>
        </w:rPr>
      </w:pPr>
    </w:p>
    <w:p w14:paraId="35135CA6" w14:textId="77777777" w:rsidR="008A01B2" w:rsidRDefault="008A01B2" w:rsidP="00F33A85">
      <w:pPr>
        <w:pStyle w:val="NoSpacing"/>
        <w:jc w:val="center"/>
        <w:rPr>
          <w:rFonts w:ascii="Times New Roman" w:hAnsi="Times New Roman" w:cs="Times New Roman"/>
          <w:b/>
          <w:bCs/>
          <w:i/>
          <w:iCs/>
          <w:color w:val="333333"/>
          <w:sz w:val="96"/>
          <w:szCs w:val="96"/>
        </w:rPr>
      </w:pPr>
    </w:p>
    <w:p w14:paraId="2CA1C9B1" w14:textId="77777777" w:rsidR="008A01B2" w:rsidRDefault="008A01B2" w:rsidP="00F33A85">
      <w:pPr>
        <w:pStyle w:val="NoSpacing"/>
        <w:jc w:val="center"/>
        <w:rPr>
          <w:rFonts w:ascii="Times New Roman" w:hAnsi="Times New Roman" w:cs="Times New Roman"/>
          <w:b/>
          <w:bCs/>
          <w:i/>
          <w:iCs/>
          <w:color w:val="333333"/>
          <w:sz w:val="96"/>
          <w:szCs w:val="96"/>
        </w:rPr>
      </w:pPr>
    </w:p>
    <w:p w14:paraId="42EF548E" w14:textId="77777777" w:rsidR="008A01B2" w:rsidRDefault="008A01B2" w:rsidP="00F33A85">
      <w:pPr>
        <w:pStyle w:val="NoSpacing"/>
        <w:jc w:val="center"/>
        <w:rPr>
          <w:rFonts w:ascii="Times New Roman" w:hAnsi="Times New Roman" w:cs="Times New Roman"/>
          <w:b/>
          <w:bCs/>
          <w:i/>
          <w:iCs/>
          <w:color w:val="333333"/>
          <w:sz w:val="96"/>
          <w:szCs w:val="96"/>
        </w:rPr>
      </w:pPr>
    </w:p>
    <w:p w14:paraId="157C2C69" w14:textId="55C35DB9" w:rsidR="00F33A85" w:rsidRDefault="00F33A85" w:rsidP="00F33A85">
      <w:pPr>
        <w:pStyle w:val="NoSpacing"/>
        <w:jc w:val="center"/>
        <w:rPr>
          <w:rFonts w:ascii="Times New Roman" w:hAnsi="Times New Roman" w:cs="Times New Roman"/>
          <w:b/>
          <w:bCs/>
          <w:i/>
          <w:iCs/>
          <w:color w:val="333333"/>
          <w:sz w:val="96"/>
          <w:szCs w:val="96"/>
        </w:rPr>
      </w:pPr>
      <w:r>
        <w:rPr>
          <w:rFonts w:ascii="Times New Roman" w:hAnsi="Times New Roman" w:cs="Times New Roman"/>
          <w:b/>
          <w:bCs/>
          <w:i/>
          <w:iCs/>
          <w:color w:val="333333"/>
          <w:sz w:val="96"/>
          <w:szCs w:val="96"/>
        </w:rPr>
        <w:t>International Financial Management Assessment 1</w:t>
      </w:r>
    </w:p>
    <w:p w14:paraId="57C07C07" w14:textId="77777777" w:rsidR="00F33A85" w:rsidRDefault="00F33A85" w:rsidP="00F33A85">
      <w:pPr>
        <w:pStyle w:val="NoSpacing"/>
        <w:jc w:val="center"/>
        <w:rPr>
          <w:rFonts w:ascii="Times New Roman" w:hAnsi="Times New Roman" w:cs="Times New Roman"/>
          <w:b/>
          <w:bCs/>
          <w:i/>
          <w:iCs/>
          <w:color w:val="333333"/>
          <w:sz w:val="96"/>
          <w:szCs w:val="96"/>
        </w:rPr>
      </w:pPr>
    </w:p>
    <w:p w14:paraId="0E63081D" w14:textId="77777777" w:rsidR="00F33A85" w:rsidRDefault="00F33A85" w:rsidP="00F33A85">
      <w:pPr>
        <w:pStyle w:val="NoSpacing"/>
        <w:jc w:val="center"/>
        <w:rPr>
          <w:rFonts w:ascii="Times New Roman" w:hAnsi="Times New Roman" w:cs="Times New Roman"/>
          <w:b/>
          <w:bCs/>
          <w:i/>
          <w:iCs/>
          <w:color w:val="333333"/>
          <w:sz w:val="96"/>
          <w:szCs w:val="96"/>
        </w:rPr>
      </w:pPr>
    </w:p>
    <w:p w14:paraId="083B05C6" w14:textId="77777777" w:rsidR="00F33A85" w:rsidRDefault="00F33A85" w:rsidP="00F33A85">
      <w:pPr>
        <w:pStyle w:val="NoSpacing"/>
        <w:jc w:val="center"/>
        <w:rPr>
          <w:rFonts w:ascii="Times New Roman" w:hAnsi="Times New Roman" w:cs="Times New Roman"/>
          <w:b/>
          <w:bCs/>
          <w:i/>
          <w:iCs/>
          <w:color w:val="333333"/>
          <w:sz w:val="96"/>
          <w:szCs w:val="96"/>
        </w:rPr>
      </w:pPr>
    </w:p>
    <w:p w14:paraId="5B592A1C" w14:textId="77777777" w:rsidR="00F33A85" w:rsidRDefault="00F33A85" w:rsidP="00F33A85">
      <w:pPr>
        <w:pStyle w:val="NoSpacing"/>
        <w:jc w:val="center"/>
        <w:rPr>
          <w:rFonts w:ascii="Times New Roman" w:hAnsi="Times New Roman" w:cs="Times New Roman"/>
          <w:color w:val="000000"/>
          <w:sz w:val="96"/>
          <w:szCs w:val="96"/>
        </w:rPr>
      </w:pPr>
    </w:p>
    <w:p w14:paraId="06B16252" w14:textId="77777777" w:rsidR="00F33A85" w:rsidRDefault="00F33A85" w:rsidP="00F33A85">
      <w:pPr>
        <w:pStyle w:val="ContentsHeading"/>
      </w:pPr>
    </w:p>
    <w:p w14:paraId="5E1597B6" w14:textId="77777777" w:rsidR="00F33A85" w:rsidRDefault="00F33A85" w:rsidP="00F33A85">
      <w:pPr>
        <w:pStyle w:val="ContentsHeading"/>
      </w:pPr>
      <w:r>
        <w:t>Table of Contents</w:t>
      </w:r>
    </w:p>
    <w:p w14:paraId="7D6A1C98" w14:textId="77777777" w:rsidR="00F33A85" w:rsidRDefault="00F33A85" w:rsidP="00F33A85">
      <w:pPr>
        <w:pStyle w:val="TOC1"/>
      </w:pPr>
      <w:r>
        <w:fldChar w:fldCharType="begin"/>
      </w:r>
      <w:r>
        <w:instrText xml:space="preserve"> TOC \f \o "1-9" \o "1-9" </w:instrText>
      </w:r>
      <w:r>
        <w:fldChar w:fldCharType="separate"/>
      </w:r>
      <w:r>
        <w:t xml:space="preserve">INTRODUCTION </w:t>
      </w:r>
      <w:r>
        <w:tab/>
      </w:r>
      <w:hyperlink r:id="rId5" w:anchor="__RefHeading__31791_688109257" w:history="1">
        <w:r>
          <w:rPr>
            <w:rStyle w:val="IndexLink"/>
          </w:rPr>
          <w:t>3</w:t>
        </w:r>
      </w:hyperlink>
    </w:p>
    <w:p w14:paraId="6AD8009B" w14:textId="77777777" w:rsidR="00F33A85" w:rsidRDefault="00F33A85" w:rsidP="00F33A85">
      <w:pPr>
        <w:pStyle w:val="TOC1"/>
      </w:pPr>
      <w:r>
        <w:t>MAIN BODY</w:t>
      </w:r>
      <w:r>
        <w:tab/>
      </w:r>
      <w:hyperlink r:id="rId6" w:anchor="__RefHeading__31793_688109257" w:history="1">
        <w:r>
          <w:rPr>
            <w:rStyle w:val="IndexLink"/>
          </w:rPr>
          <w:t>3</w:t>
        </w:r>
      </w:hyperlink>
    </w:p>
    <w:p w14:paraId="7B9C3137" w14:textId="77777777" w:rsidR="00F33A85" w:rsidRDefault="00F33A85" w:rsidP="00F33A85">
      <w:pPr>
        <w:pStyle w:val="TOC2"/>
        <w:tabs>
          <w:tab w:val="right" w:leader="dot" w:pos="9360"/>
        </w:tabs>
      </w:pPr>
      <w:r>
        <w:t xml:space="preserve">Importance of international financial management in Bosch </w:t>
      </w:r>
      <w:r>
        <w:tab/>
      </w:r>
      <w:hyperlink r:id="rId7" w:anchor="__RefHeading__31795_688109257" w:history="1">
        <w:r>
          <w:rPr>
            <w:rStyle w:val="IndexLink"/>
          </w:rPr>
          <w:t>3</w:t>
        </w:r>
      </w:hyperlink>
    </w:p>
    <w:p w14:paraId="32191560" w14:textId="77777777" w:rsidR="00F33A85" w:rsidRDefault="00F33A85" w:rsidP="00F33A85">
      <w:pPr>
        <w:pStyle w:val="TOC2"/>
        <w:tabs>
          <w:tab w:val="right" w:leader="dot" w:pos="9360"/>
        </w:tabs>
      </w:pPr>
      <w:r>
        <w:t>Challenges faced by Bosch in different international financial markets</w:t>
      </w:r>
      <w:r>
        <w:tab/>
      </w:r>
      <w:hyperlink r:id="rId8" w:anchor="__RefHeading__31797_688109257" w:history="1">
        <w:r>
          <w:rPr>
            <w:rStyle w:val="IndexLink"/>
          </w:rPr>
          <w:t>3</w:t>
        </w:r>
      </w:hyperlink>
    </w:p>
    <w:p w14:paraId="0755CA3D" w14:textId="77777777" w:rsidR="00F33A85" w:rsidRDefault="00F33A85" w:rsidP="00F33A85">
      <w:pPr>
        <w:pStyle w:val="TOC2"/>
        <w:tabs>
          <w:tab w:val="right" w:leader="dot" w:pos="9360"/>
        </w:tabs>
      </w:pPr>
      <w:r>
        <w:t>Dividend Distribution Policy</w:t>
      </w:r>
      <w:r>
        <w:tab/>
      </w:r>
      <w:hyperlink r:id="rId9" w:anchor="__RefHeading__31799_688109257" w:history="1">
        <w:r>
          <w:rPr>
            <w:rStyle w:val="IndexLink"/>
          </w:rPr>
          <w:t>4</w:t>
        </w:r>
      </w:hyperlink>
    </w:p>
    <w:p w14:paraId="013C28C8" w14:textId="77777777" w:rsidR="00F33A85" w:rsidRDefault="00F33A85" w:rsidP="00F33A85">
      <w:pPr>
        <w:pStyle w:val="TOC2"/>
        <w:tabs>
          <w:tab w:val="right" w:leader="dot" w:pos="9360"/>
        </w:tabs>
      </w:pPr>
      <w:r>
        <w:t xml:space="preserve">Efficient Market Hypothesis theory of Bosch </w:t>
      </w:r>
      <w:r>
        <w:tab/>
      </w:r>
      <w:hyperlink r:id="rId10" w:anchor="__RefHeading__31801_688109257" w:history="1">
        <w:r>
          <w:rPr>
            <w:rStyle w:val="IndexLink"/>
          </w:rPr>
          <w:t>5</w:t>
        </w:r>
      </w:hyperlink>
    </w:p>
    <w:p w14:paraId="7BF530FB" w14:textId="77777777" w:rsidR="00F33A85" w:rsidRDefault="00F33A85" w:rsidP="00F33A85">
      <w:pPr>
        <w:pStyle w:val="TOC2"/>
        <w:tabs>
          <w:tab w:val="right" w:leader="dot" w:pos="9360"/>
        </w:tabs>
      </w:pPr>
      <w:r>
        <w:t>Methods of Appraising projects in Bosch</w:t>
      </w:r>
      <w:r>
        <w:tab/>
      </w:r>
      <w:hyperlink r:id="rId11" w:anchor="__RefHeading__31803_688109257" w:history="1">
        <w:r>
          <w:rPr>
            <w:rStyle w:val="IndexLink"/>
          </w:rPr>
          <w:t>5</w:t>
        </w:r>
      </w:hyperlink>
    </w:p>
    <w:p w14:paraId="08651376" w14:textId="77777777" w:rsidR="00F33A85" w:rsidRDefault="00F33A85" w:rsidP="00F33A85">
      <w:pPr>
        <w:pStyle w:val="TOC1"/>
      </w:pPr>
      <w:r>
        <w:t xml:space="preserve">CONCLUSION </w:t>
      </w:r>
      <w:r>
        <w:tab/>
      </w:r>
      <w:hyperlink r:id="rId12" w:anchor="__RefHeading__31805_688109257" w:history="1">
        <w:r>
          <w:rPr>
            <w:rStyle w:val="IndexLink"/>
          </w:rPr>
          <w:t>6</w:t>
        </w:r>
      </w:hyperlink>
    </w:p>
    <w:p w14:paraId="28A841B4" w14:textId="77777777" w:rsidR="00F33A85" w:rsidRDefault="00F33A85" w:rsidP="00F33A85">
      <w:pPr>
        <w:pStyle w:val="TOC1"/>
      </w:pPr>
      <w:r>
        <w:t>REFERENCES</w:t>
      </w:r>
      <w:r>
        <w:tab/>
      </w:r>
      <w:hyperlink r:id="rId13" w:anchor="__RefHeading__31807_688109257" w:history="1">
        <w:r>
          <w:rPr>
            <w:rStyle w:val="IndexLink"/>
          </w:rPr>
          <w:t>7</w:t>
        </w:r>
      </w:hyperlink>
    </w:p>
    <w:p w14:paraId="59ED53D5" w14:textId="77777777" w:rsidR="00F33A85" w:rsidRDefault="00F33A85" w:rsidP="00F33A85">
      <w:pPr>
        <w:pStyle w:val="NoSpacing"/>
        <w:jc w:val="right"/>
        <w:rPr>
          <w:rFonts w:ascii="Times New Roman" w:hAnsi="Times New Roman" w:cs="Times New Roman"/>
          <w:color w:val="000000"/>
          <w:sz w:val="96"/>
          <w:szCs w:val="96"/>
        </w:rPr>
      </w:pPr>
      <w:r>
        <w:fldChar w:fldCharType="end"/>
      </w:r>
    </w:p>
    <w:p w14:paraId="00B5EA20" w14:textId="77777777" w:rsidR="00F33A85" w:rsidRDefault="00F33A85" w:rsidP="00F33A85">
      <w:pPr>
        <w:jc w:val="center"/>
        <w:rPr>
          <w:b/>
          <w:bCs/>
          <w:sz w:val="72"/>
          <w:szCs w:val="72"/>
        </w:rPr>
      </w:pPr>
    </w:p>
    <w:p w14:paraId="5DE375A3" w14:textId="77777777" w:rsidR="00F33A85" w:rsidRDefault="00F33A85" w:rsidP="00F33A85">
      <w:pPr>
        <w:pStyle w:val="Heading1"/>
        <w:pageBreakBefore/>
        <w:numPr>
          <w:ilvl w:val="0"/>
          <w:numId w:val="1"/>
        </w:numPr>
        <w:rPr>
          <w:color w:val="auto"/>
        </w:rPr>
      </w:pPr>
      <w:bookmarkStart w:id="1" w:name="__RefHeading__31791_688109257"/>
      <w:bookmarkEnd w:id="1"/>
      <w:r>
        <w:rPr>
          <w:shd w:val="clear" w:color="auto" w:fill="FFFFFF"/>
        </w:rPr>
        <w:lastRenderedPageBreak/>
        <w:t xml:space="preserve">INTRODUCTION </w:t>
      </w:r>
    </w:p>
    <w:p w14:paraId="7A24C7E7" w14:textId="77777777" w:rsidR="00F33A85" w:rsidRDefault="00F33A85" w:rsidP="00F33A85">
      <w:pPr>
        <w:rPr>
          <w:color w:val="auto"/>
          <w:shd w:val="clear" w:color="auto" w:fill="FFFFFF"/>
        </w:rPr>
      </w:pPr>
      <w:r>
        <w:rPr>
          <w:color w:val="auto"/>
        </w:rPr>
        <w:tab/>
        <w:t>International financial management regarded as “international finance” is the set of relations for the creation and the use of funds, needed for foreign economic activity of worldwide firms and countries. Financial management is primarily concerned about how to optimally make numerous company monetary decisions, which consists of the one pertaining to investment, capital structure, dividend policy, and working capital management, with the intention to accomplishing a set of given corporate objectives. The chosen organisation for this report is Bosch. It is a main international provider of technology and services. This report is briefly analysing and evaluating the dividend distribution policy, efficient market hypothesis theories and the methods of appraising projects in the context of Bosch.</w:t>
      </w:r>
    </w:p>
    <w:p w14:paraId="7015DE7A" w14:textId="77777777" w:rsidR="00F33A85" w:rsidRDefault="00F33A85" w:rsidP="00F33A85">
      <w:pPr>
        <w:pStyle w:val="Heading1"/>
        <w:numPr>
          <w:ilvl w:val="0"/>
          <w:numId w:val="1"/>
        </w:numPr>
        <w:rPr>
          <w:color w:val="auto"/>
        </w:rPr>
      </w:pPr>
      <w:bookmarkStart w:id="2" w:name="__RefHeading__31793_688109257"/>
      <w:bookmarkEnd w:id="2"/>
      <w:r>
        <w:rPr>
          <w:shd w:val="clear" w:color="auto" w:fill="FFFFFF"/>
        </w:rPr>
        <w:t>MAIN BODY</w:t>
      </w:r>
    </w:p>
    <w:p w14:paraId="1204EE60" w14:textId="77777777" w:rsidR="00F33A85" w:rsidRDefault="00F33A85" w:rsidP="00F33A85">
      <w:pPr>
        <w:pStyle w:val="Heading2"/>
        <w:numPr>
          <w:ilvl w:val="1"/>
          <w:numId w:val="1"/>
        </w:numPr>
        <w:rPr>
          <w:color w:val="auto"/>
        </w:rPr>
      </w:pPr>
      <w:bookmarkStart w:id="3" w:name="__RefHeading__31795_688109257"/>
      <w:bookmarkEnd w:id="3"/>
      <w:r>
        <w:rPr>
          <w:color w:val="auto"/>
        </w:rPr>
        <w:t xml:space="preserve">Importance of international financial management in Bosch </w:t>
      </w:r>
    </w:p>
    <w:p w14:paraId="62399CAF" w14:textId="77777777" w:rsidR="00F33A85" w:rsidRDefault="00F33A85" w:rsidP="00F33A85">
      <w:pPr>
        <w:rPr>
          <w:color w:val="auto"/>
        </w:rPr>
      </w:pPr>
      <w:r>
        <w:rPr>
          <w:color w:val="auto"/>
        </w:rPr>
        <w:tab/>
        <w:t>All the fundamental monetary functions- consumption, manufacturing and investment are relatively globalized. Hence, it's essential for financial managers to apprehend necessary international dimensions of financial management. Proper administration of international finances can help the organisation in attaining identical overall performance and effectiveness in all markets. Hence, sustaining in the market can be challenging (</w:t>
      </w:r>
      <w:r>
        <w:rPr>
          <w:shd w:val="clear" w:color="auto" w:fill="FFFFFF"/>
        </w:rPr>
        <w:t>Plaskova and Reshetov, 2020)</w:t>
      </w:r>
      <w:r>
        <w:rPr>
          <w:color w:val="auto"/>
        </w:rPr>
        <w:t>. These are the six elements that suggests the significance of international financial management in Bosch:</w:t>
      </w:r>
    </w:p>
    <w:p w14:paraId="573CCE2C" w14:textId="77777777" w:rsidR="00F33A85" w:rsidRDefault="00F33A85" w:rsidP="00F33A85">
      <w:pPr>
        <w:numPr>
          <w:ilvl w:val="0"/>
          <w:numId w:val="2"/>
        </w:numPr>
        <w:rPr>
          <w:color w:val="auto"/>
        </w:rPr>
      </w:pPr>
      <w:r>
        <w:rPr>
          <w:color w:val="auto"/>
        </w:rPr>
        <w:t xml:space="preserve">Specialisation of some products and services </w:t>
      </w:r>
    </w:p>
    <w:p w14:paraId="52BE5DB4" w14:textId="77777777" w:rsidR="00F33A85" w:rsidRDefault="00F33A85" w:rsidP="00F33A85">
      <w:pPr>
        <w:numPr>
          <w:ilvl w:val="0"/>
          <w:numId w:val="2"/>
        </w:numPr>
        <w:rPr>
          <w:color w:val="auto"/>
        </w:rPr>
      </w:pPr>
      <w:r>
        <w:rPr>
          <w:color w:val="auto"/>
        </w:rPr>
        <w:t>Opening of latest economies</w:t>
      </w:r>
    </w:p>
    <w:p w14:paraId="6C1D958F" w14:textId="77777777" w:rsidR="00F33A85" w:rsidRDefault="00F33A85" w:rsidP="00F33A85">
      <w:pPr>
        <w:numPr>
          <w:ilvl w:val="0"/>
          <w:numId w:val="2"/>
        </w:numPr>
        <w:rPr>
          <w:color w:val="auto"/>
        </w:rPr>
      </w:pPr>
      <w:r>
        <w:rPr>
          <w:color w:val="auto"/>
        </w:rPr>
        <w:t>Globalization of the organisation</w:t>
      </w:r>
    </w:p>
    <w:p w14:paraId="45FF809E" w14:textId="77777777" w:rsidR="00F33A85" w:rsidRDefault="00F33A85" w:rsidP="00F33A85">
      <w:pPr>
        <w:numPr>
          <w:ilvl w:val="0"/>
          <w:numId w:val="2"/>
        </w:numPr>
        <w:rPr>
          <w:color w:val="auto"/>
        </w:rPr>
      </w:pPr>
      <w:r>
        <w:rPr>
          <w:color w:val="auto"/>
        </w:rPr>
        <w:t>Emergence of new structure of business</w:t>
      </w:r>
    </w:p>
    <w:p w14:paraId="75F5F600" w14:textId="77777777" w:rsidR="00F33A85" w:rsidRDefault="00F33A85" w:rsidP="00F33A85">
      <w:pPr>
        <w:numPr>
          <w:ilvl w:val="0"/>
          <w:numId w:val="2"/>
        </w:numPr>
        <w:rPr>
          <w:color w:val="auto"/>
        </w:rPr>
      </w:pPr>
      <w:r>
        <w:rPr>
          <w:color w:val="auto"/>
        </w:rPr>
        <w:t>World trade growth</w:t>
      </w:r>
    </w:p>
    <w:p w14:paraId="77EB5E93" w14:textId="77777777" w:rsidR="00F33A85" w:rsidRDefault="00F33A85" w:rsidP="00F33A85">
      <w:pPr>
        <w:numPr>
          <w:ilvl w:val="0"/>
          <w:numId w:val="2"/>
        </w:numPr>
        <w:rPr>
          <w:color w:val="auto"/>
        </w:rPr>
      </w:pPr>
      <w:r>
        <w:rPr>
          <w:color w:val="auto"/>
        </w:rPr>
        <w:t>Development procedure of nations</w:t>
      </w:r>
    </w:p>
    <w:p w14:paraId="1B9821EB" w14:textId="77777777" w:rsidR="00F33A85" w:rsidRDefault="00F33A85" w:rsidP="00F33A85">
      <w:pPr>
        <w:rPr>
          <w:color w:val="auto"/>
        </w:rPr>
      </w:pPr>
    </w:p>
    <w:p w14:paraId="3659F93B" w14:textId="77777777" w:rsidR="00F33A85" w:rsidRDefault="00F33A85" w:rsidP="00F33A85">
      <w:pPr>
        <w:pStyle w:val="Heading2"/>
        <w:numPr>
          <w:ilvl w:val="1"/>
          <w:numId w:val="1"/>
        </w:numPr>
        <w:rPr>
          <w:color w:val="auto"/>
        </w:rPr>
      </w:pPr>
      <w:bookmarkStart w:id="4" w:name="__RefHeading__31797_688109257"/>
      <w:bookmarkEnd w:id="4"/>
      <w:r>
        <w:rPr>
          <w:color w:val="auto"/>
        </w:rPr>
        <w:t>Challenges faced by Bosch in different international financial markets</w:t>
      </w:r>
    </w:p>
    <w:p w14:paraId="34BB2380" w14:textId="77777777" w:rsidR="00F33A85" w:rsidRDefault="00F33A85" w:rsidP="00F33A85">
      <w:pPr>
        <w:rPr>
          <w:color w:val="auto"/>
        </w:rPr>
      </w:pPr>
      <w:r>
        <w:rPr>
          <w:color w:val="auto"/>
        </w:rPr>
        <w:tab/>
        <w:t xml:space="preserve">Bosch's automotive aftermarket business division registered giant growth in the middle east in 2021. Bosch's capability to fill voids in the after sales market, following logistics challenges confronted through automotive spare parts companies, enabled the Mobility Solutions Automotive aftermarket division at Bosch to perform successfully during the year. Moreover, despite worldwide supply issues, Bosch's power tools business division </w:t>
      </w:r>
      <w:r>
        <w:rPr>
          <w:color w:val="auto"/>
        </w:rPr>
        <w:lastRenderedPageBreak/>
        <w:t>outperformed the market, with sturdy double-digit increase in the region as compared to the previous year (</w:t>
      </w:r>
      <w:r>
        <w:rPr>
          <w:shd w:val="clear" w:color="auto" w:fill="FFFFFF"/>
        </w:rPr>
        <w:t>Lizares and Bautista, 2021)</w:t>
      </w:r>
      <w:r>
        <w:rPr>
          <w:color w:val="auto"/>
        </w:rPr>
        <w:t>.</w:t>
      </w:r>
    </w:p>
    <w:p w14:paraId="0A4DC1E4" w14:textId="77777777" w:rsidR="00F33A85" w:rsidRDefault="00F33A85" w:rsidP="00F33A85">
      <w:pPr>
        <w:rPr>
          <w:color w:val="auto"/>
        </w:rPr>
      </w:pPr>
      <w:r>
        <w:rPr>
          <w:color w:val="auto"/>
        </w:rPr>
        <w:tab/>
        <w:t>Furthermore, Bosch Building technologies division also grew by double digits in the middle east in 2021, attributing its success to a rebound in nearly all international locations that Bosch is operating in across the region. This was further supported by the division focus on several key industries including governmental, hospitality, finance and banking.</w:t>
      </w:r>
    </w:p>
    <w:p w14:paraId="6413F9E1" w14:textId="77777777" w:rsidR="00F33A85" w:rsidRDefault="00F33A85" w:rsidP="00F33A85">
      <w:pPr>
        <w:rPr>
          <w:color w:val="auto"/>
        </w:rPr>
      </w:pPr>
      <w:r>
        <w:rPr>
          <w:color w:val="auto"/>
        </w:rPr>
        <w:tab/>
        <w:t xml:space="preserve">The thermotechnology division, part of Bosch's energy </w:t>
      </w:r>
      <w:proofErr w:type="gramStart"/>
      <w:r>
        <w:rPr>
          <w:color w:val="auto"/>
        </w:rPr>
        <w:t>an</w:t>
      </w:r>
      <w:proofErr w:type="gramEnd"/>
      <w:r>
        <w:rPr>
          <w:color w:val="auto"/>
        </w:rPr>
        <w:t xml:space="preserve"> building technology business sector additionally registered high quality expansion in the middle east during the prior year. Therefore, Bosch strengthened its foothold in Jordan by participating in key tasks across diverse sectors including pharmaceutical, construction, commercial, food, education, hospitality, textile and packaging ensuring sustainable growth despite market volatilit</w:t>
      </w:r>
      <w:r>
        <w:rPr>
          <w:shd w:val="clear" w:color="auto" w:fill="FFFFFF"/>
        </w:rPr>
        <w:t>y.</w:t>
      </w:r>
    </w:p>
    <w:p w14:paraId="6D661376" w14:textId="77777777" w:rsidR="00F33A85" w:rsidRDefault="00F33A85" w:rsidP="00F33A85">
      <w:pPr>
        <w:pStyle w:val="Heading2"/>
        <w:numPr>
          <w:ilvl w:val="1"/>
          <w:numId w:val="1"/>
        </w:numPr>
        <w:rPr>
          <w:color w:val="auto"/>
        </w:rPr>
      </w:pPr>
    </w:p>
    <w:p w14:paraId="00059733" w14:textId="77777777" w:rsidR="00F33A85" w:rsidRDefault="00F33A85" w:rsidP="00F33A85">
      <w:pPr>
        <w:pStyle w:val="Heading2"/>
        <w:numPr>
          <w:ilvl w:val="1"/>
          <w:numId w:val="1"/>
        </w:numPr>
        <w:rPr>
          <w:color w:val="auto"/>
        </w:rPr>
      </w:pPr>
      <w:bookmarkStart w:id="5" w:name="__RefHeading__31799_688109257"/>
      <w:bookmarkEnd w:id="5"/>
      <w:r>
        <w:rPr>
          <w:color w:val="auto"/>
        </w:rPr>
        <w:t>Dividend Distribution Policy</w:t>
      </w:r>
    </w:p>
    <w:p w14:paraId="7186206B" w14:textId="77777777" w:rsidR="00F33A85" w:rsidRDefault="00F33A85" w:rsidP="00F33A85">
      <w:pPr>
        <w:rPr>
          <w:color w:val="auto"/>
        </w:rPr>
      </w:pPr>
      <w:r>
        <w:rPr>
          <w:color w:val="auto"/>
        </w:rPr>
        <w:tab/>
        <w:t xml:space="preserve">Dividend Policies represent a vital role of financial management. While owners are fascinated in obtaining the best dividend from </w:t>
      </w:r>
      <w:proofErr w:type="gramStart"/>
      <w:r>
        <w:rPr>
          <w:color w:val="auto"/>
        </w:rPr>
        <w:t>a</w:t>
      </w:r>
      <w:proofErr w:type="gramEnd"/>
      <w:r>
        <w:rPr>
          <w:color w:val="auto"/>
        </w:rPr>
        <w:t xml:space="preserve"> enterprise, the board of directors may be involves in keeping its financial health </w:t>
      </w:r>
      <w:r>
        <w:rPr>
          <w:shd w:val="clear" w:color="auto" w:fill="FFFFFF"/>
        </w:rPr>
        <w:t xml:space="preserve">by means of holding </w:t>
      </w:r>
      <w:r>
        <w:rPr>
          <w:color w:val="auto"/>
        </w:rPr>
        <w:t>the surplus to be used once contingencies arise. A firm could attempt to improve its internal financing so that it may avail itself of advantages of future expansion. The interests of the firm and its stockholders are complementary, for the financial management is interested in increasing the worth of the firm, and the real interest of stockholders always lies within the maximisation of this value and this is often the goal of financial management. The dividend policy of a firm depends on a variety of monetary issues, the foremost critical among them being profitability. Thus, there are different dividend policy strategies which a firm choose to adopt, depending upon their suitability for the firm and its stockholders (</w:t>
      </w:r>
      <w:r>
        <w:rPr>
          <w:shd w:val="clear" w:color="auto" w:fill="FFFFFF"/>
        </w:rPr>
        <w:t>Atanassov and Mandell, 2018)</w:t>
      </w:r>
      <w:r>
        <w:rPr>
          <w:color w:val="auto"/>
        </w:rPr>
        <w:t xml:space="preserve">. </w:t>
      </w:r>
    </w:p>
    <w:p w14:paraId="41969F1C" w14:textId="77777777" w:rsidR="00F33A85" w:rsidRDefault="00F33A85" w:rsidP="00F33A85">
      <w:pPr>
        <w:rPr>
          <w:color w:val="auto"/>
        </w:rPr>
      </w:pPr>
      <w:r>
        <w:rPr>
          <w:color w:val="auto"/>
        </w:rPr>
        <w:t>Bosch Limited- Dividend distribution policy</w:t>
      </w:r>
    </w:p>
    <w:p w14:paraId="4A62CEB6" w14:textId="3991A6F8" w:rsidR="00F33A85" w:rsidRDefault="00F33A85" w:rsidP="00F33A85">
      <w:pPr>
        <w:rPr>
          <w:color w:val="auto"/>
        </w:rPr>
      </w:pPr>
      <w:r>
        <w:rPr>
          <w:color w:val="auto"/>
        </w:rPr>
        <w:tab/>
        <w:t xml:space="preserve">The quantum of dividend is </w:t>
      </w:r>
      <w:r w:rsidR="00014893">
        <w:rPr>
          <w:color w:val="auto"/>
        </w:rPr>
        <w:t>a</w:t>
      </w:r>
      <w:r>
        <w:rPr>
          <w:color w:val="auto"/>
        </w:rPr>
        <w:t xml:space="preserve"> result of due deliberation by the Board considering varied internal and external factors like business forecast, stability of earnings, retained earnings, statutory provisions, legal requirements, regulatory conditions laid down under applicable laws.</w:t>
      </w:r>
    </w:p>
    <w:p w14:paraId="4BA0F847" w14:textId="77777777" w:rsidR="00F33A85" w:rsidRDefault="00F33A85" w:rsidP="00F33A85">
      <w:pPr>
        <w:rPr>
          <w:color w:val="auto"/>
        </w:rPr>
      </w:pPr>
      <w:r>
        <w:rPr>
          <w:color w:val="auto"/>
        </w:rPr>
        <w:t xml:space="preserve">As per the company's annual report, dividend will commonly be declared once a year, after the approval of the Audited Financial Statement and the approval of shareholders at the annual general meeting is required for the declaration. In certain years and for special occasions, the board may additionally think about declaring special dividend for its shareholders. Considering </w:t>
      </w:r>
      <w:r>
        <w:rPr>
          <w:color w:val="auto"/>
        </w:rPr>
        <w:lastRenderedPageBreak/>
        <w:t>the above factors, the organisation would endeavor to declare a dividend as may be decided by the board of directors from time to time.</w:t>
      </w:r>
    </w:p>
    <w:p w14:paraId="7961A5AA" w14:textId="77777777" w:rsidR="00F33A85" w:rsidRDefault="00F33A85" w:rsidP="00F33A85">
      <w:pPr>
        <w:rPr>
          <w:color w:val="auto"/>
        </w:rPr>
      </w:pPr>
    </w:p>
    <w:p w14:paraId="321D5DD9" w14:textId="77777777" w:rsidR="00F33A85" w:rsidRDefault="00F33A85" w:rsidP="00F33A85">
      <w:pPr>
        <w:pStyle w:val="Heading2"/>
        <w:numPr>
          <w:ilvl w:val="1"/>
          <w:numId w:val="1"/>
        </w:numPr>
        <w:rPr>
          <w:color w:val="auto"/>
        </w:rPr>
      </w:pPr>
      <w:bookmarkStart w:id="6" w:name="__RefHeading__31801_688109257"/>
      <w:bookmarkEnd w:id="6"/>
      <w:r>
        <w:rPr>
          <w:color w:val="auto"/>
        </w:rPr>
        <w:t xml:space="preserve">Efficient Market Hypothesis theory of Bosch </w:t>
      </w:r>
    </w:p>
    <w:p w14:paraId="2BA627AC" w14:textId="48DEB5BB" w:rsidR="00F33A85" w:rsidRDefault="00F33A85" w:rsidP="00F33A85">
      <w:pPr>
        <w:rPr>
          <w:color w:val="auto"/>
        </w:rPr>
      </w:pPr>
      <w:r>
        <w:rPr>
          <w:color w:val="auto"/>
        </w:rPr>
        <w:tab/>
        <w:t xml:space="preserve">The efficient market hypothesis dictates that prices must replicate all available statistics. It is a standard exercise to distinguish data in terms of fundamental and </w:t>
      </w:r>
      <w:r w:rsidR="00014893">
        <w:rPr>
          <w:color w:val="auto"/>
        </w:rPr>
        <w:t>non-fundamental</w:t>
      </w:r>
      <w:r>
        <w:rPr>
          <w:color w:val="auto"/>
        </w:rPr>
        <w:t xml:space="preserve"> statistics (</w:t>
      </w:r>
      <w:r>
        <w:rPr>
          <w:shd w:val="clear" w:color="auto" w:fill="FFFFFF"/>
        </w:rPr>
        <w:t xml:space="preserve">Dinga and Ionescu, 2022). </w:t>
      </w:r>
      <w:r>
        <w:rPr>
          <w:color w:val="auto"/>
        </w:rPr>
        <w:t xml:space="preserve">The efficient market is a market whereby market individuals are assumed to showcase rational profit maximisation behaviour and prices always fully reflect available information. In this market, competition will mean that opportunities for excessive risk adjusted returns will not persist. </w:t>
      </w:r>
      <w:r w:rsidR="00014893">
        <w:rPr>
          <w:color w:val="auto"/>
        </w:rPr>
        <w:t>But</w:t>
      </w:r>
      <w:r>
        <w:rPr>
          <w:color w:val="auto"/>
        </w:rPr>
        <w:t xml:space="preserve"> this does not mean that the efficient market hypothesis mean market prices will always be correct and all market participants will constantly exhibit rational profit maximisation behaviour (</w:t>
      </w:r>
      <w:r>
        <w:rPr>
          <w:shd w:val="clear" w:color="auto" w:fill="FFFFFF"/>
        </w:rPr>
        <w:t>Aminimehr and Aminimehr, 2022).</w:t>
      </w:r>
    </w:p>
    <w:p w14:paraId="204CC329" w14:textId="77777777" w:rsidR="00F33A85" w:rsidRDefault="00F33A85" w:rsidP="00F33A85">
      <w:pPr>
        <w:pStyle w:val="Heading2"/>
        <w:numPr>
          <w:ilvl w:val="1"/>
          <w:numId w:val="1"/>
        </w:numPr>
        <w:rPr>
          <w:color w:val="auto"/>
        </w:rPr>
      </w:pPr>
    </w:p>
    <w:p w14:paraId="3BE7AEEC" w14:textId="77777777" w:rsidR="00F33A85" w:rsidRDefault="00F33A85" w:rsidP="00F33A85">
      <w:pPr>
        <w:pStyle w:val="Heading2"/>
        <w:numPr>
          <w:ilvl w:val="1"/>
          <w:numId w:val="1"/>
        </w:numPr>
        <w:rPr>
          <w:color w:val="auto"/>
        </w:rPr>
      </w:pPr>
      <w:bookmarkStart w:id="7" w:name="__RefHeading__31803_688109257"/>
      <w:bookmarkEnd w:id="7"/>
      <w:r>
        <w:rPr>
          <w:color w:val="auto"/>
        </w:rPr>
        <w:t>Methods of Appraising projects in Bosch</w:t>
      </w:r>
    </w:p>
    <w:p w14:paraId="422E61F6" w14:textId="77777777" w:rsidR="00F33A85" w:rsidRDefault="00F33A85" w:rsidP="00F33A85">
      <w:pPr>
        <w:numPr>
          <w:ilvl w:val="0"/>
          <w:numId w:val="3"/>
        </w:numPr>
        <w:rPr>
          <w:color w:val="auto"/>
        </w:rPr>
      </w:pPr>
      <w:r>
        <w:rPr>
          <w:color w:val="auto"/>
        </w:rPr>
        <w:t>Economic Analysis: Project aspects like level of capacity utilisation, requirements of raw material, expected costs and sales and plausible profits are taken into account under economic analysis. The Bosch is required to anticipate the targeted sales which is needed to achieve the forecasted profits. The sales depend on the demand for the product. So, the demand is an essential factor for ascertaining the project feasibility. The location for the setting up of enterprise is also an important attribute of economic analysis.</w:t>
      </w:r>
    </w:p>
    <w:p w14:paraId="0870E620" w14:textId="77777777" w:rsidR="00F33A85" w:rsidRDefault="00F33A85" w:rsidP="00F33A85">
      <w:pPr>
        <w:numPr>
          <w:ilvl w:val="0"/>
          <w:numId w:val="3"/>
        </w:numPr>
        <w:rPr>
          <w:color w:val="auto"/>
        </w:rPr>
      </w:pPr>
      <w:r>
        <w:rPr>
          <w:color w:val="auto"/>
        </w:rPr>
        <w:t>Financial Analysis: Ascertaining the financial viability of the business involves assessing the fixed capital and working capital requirements. The requirement of the fixed capital in the Bosch will vary depending upon the type and scale of operation, and the time of investment. Various factors should be considered like the cost of asset, installation charges, while examining the requirement of fixed capital. The working capital assists as a lubricant for the smooth transition of the business. Its insufficiency may adversely impact the working of a business (</w:t>
      </w:r>
      <w:r>
        <w:rPr>
          <w:color w:val="auto"/>
          <w:shd w:val="clear" w:color="auto" w:fill="FFFFFF"/>
        </w:rPr>
        <w:t>Orlova, 2020).</w:t>
      </w:r>
    </w:p>
    <w:p w14:paraId="6E38FF3D" w14:textId="77777777" w:rsidR="00F33A85" w:rsidRDefault="00F33A85" w:rsidP="00F33A85">
      <w:pPr>
        <w:numPr>
          <w:ilvl w:val="0"/>
          <w:numId w:val="3"/>
        </w:numPr>
        <w:rPr>
          <w:color w:val="auto"/>
          <w:shd w:val="clear" w:color="auto" w:fill="FFFFFF"/>
        </w:rPr>
      </w:pPr>
      <w:r>
        <w:rPr>
          <w:color w:val="auto"/>
        </w:rPr>
        <w:t xml:space="preserve">Technical Feasibility: </w:t>
      </w:r>
      <w:r>
        <w:rPr>
          <w:color w:val="auto"/>
          <w:shd w:val="clear" w:color="auto" w:fill="FFFFFF"/>
        </w:rPr>
        <w:t xml:space="preserve">It refers to assessing and evaluating the adequacy of the proposed plant and equipment to produce the given product within the prescribed terms. It evaluates whether the business has the sufficient know-how to be procured from somewhere else. The right sources are researched if the arrangement is to be made. The </w:t>
      </w:r>
      <w:r>
        <w:rPr>
          <w:color w:val="auto"/>
          <w:shd w:val="clear" w:color="auto" w:fill="FFFFFF"/>
        </w:rPr>
        <w:lastRenderedPageBreak/>
        <w:t>factors like availability of land and site, raw materials, servicing facilities, adequate licenses, other inputs should be duly considered while assessing the technical feasibility of a project.</w:t>
      </w:r>
    </w:p>
    <w:p w14:paraId="1BA4A80C" w14:textId="77777777" w:rsidR="00F33A85" w:rsidRDefault="00F33A85" w:rsidP="00F33A85">
      <w:pPr>
        <w:pStyle w:val="Heading1"/>
        <w:numPr>
          <w:ilvl w:val="0"/>
          <w:numId w:val="1"/>
        </w:numPr>
        <w:rPr>
          <w:color w:val="auto"/>
          <w:shd w:val="clear" w:color="auto" w:fill="FFFFFF"/>
        </w:rPr>
      </w:pPr>
    </w:p>
    <w:p w14:paraId="16CF8298" w14:textId="77777777" w:rsidR="00F33A85" w:rsidRDefault="00F33A85" w:rsidP="00F33A85">
      <w:pPr>
        <w:pStyle w:val="Heading1"/>
        <w:numPr>
          <w:ilvl w:val="0"/>
          <w:numId w:val="1"/>
        </w:numPr>
        <w:rPr>
          <w:color w:val="auto"/>
        </w:rPr>
      </w:pPr>
      <w:bookmarkStart w:id="8" w:name="__RefHeading__31805_688109257"/>
      <w:bookmarkEnd w:id="8"/>
      <w:r>
        <w:rPr>
          <w:shd w:val="clear" w:color="auto" w:fill="FFFFFF"/>
        </w:rPr>
        <w:t xml:space="preserve">CONCLUSION </w:t>
      </w:r>
    </w:p>
    <w:p w14:paraId="31D1B778" w14:textId="77777777" w:rsidR="00F33A85" w:rsidRDefault="00F33A85" w:rsidP="00F33A85">
      <w:pPr>
        <w:rPr>
          <w:color w:val="auto"/>
        </w:rPr>
      </w:pPr>
      <w:r>
        <w:rPr>
          <w:color w:val="auto"/>
        </w:rPr>
        <w:tab/>
        <w:t xml:space="preserve">Financial management is a managerial endeavor which is concerned with planning and controlling of the firm's financial resources. Details about the dividend distribution policy, significance and challenges of international financial management, efficient hypothesis theory and methods of appraising projects are briefly analysed in this report. The efficient market hypothesis has been the mainstream of finance for 50 years. However, there are many issues with this principle and it does throw up a basic improper idea. Globalisation of the financial </w:t>
      </w:r>
      <w:proofErr w:type="gramStart"/>
      <w:r>
        <w:rPr>
          <w:color w:val="auto"/>
        </w:rPr>
        <w:t>markets</w:t>
      </w:r>
      <w:proofErr w:type="gramEnd"/>
      <w:r>
        <w:rPr>
          <w:color w:val="auto"/>
        </w:rPr>
        <w:t xml:space="preserve"> outcomes in improved opportunities and risks on account of foreign borrowing and investments by the firm. Multinational finance is multidisciplinary in nature. While an appreciation of financial theories and concepts is essential to estimate and model the financial decisions, financial accounting and management accounting assist in decision making in financial management at international level.</w:t>
      </w:r>
    </w:p>
    <w:p w14:paraId="55783D8D" w14:textId="77777777" w:rsidR="00F33A85" w:rsidRDefault="00F33A85" w:rsidP="00F33A85">
      <w:pPr>
        <w:pStyle w:val="Heading1"/>
        <w:pageBreakBefore/>
        <w:numPr>
          <w:ilvl w:val="0"/>
          <w:numId w:val="1"/>
        </w:numPr>
        <w:rPr>
          <w:u w:val="single"/>
        </w:rPr>
      </w:pPr>
      <w:bookmarkStart w:id="9" w:name="__RefHeading__31807_688109257"/>
      <w:bookmarkEnd w:id="9"/>
      <w:r>
        <w:lastRenderedPageBreak/>
        <w:t>REFERENCES</w:t>
      </w:r>
    </w:p>
    <w:p w14:paraId="00DE2497" w14:textId="77777777" w:rsidR="00F33A85" w:rsidRDefault="00F33A85" w:rsidP="00F33A85">
      <w:pPr>
        <w:rPr>
          <w:shd w:val="clear" w:color="auto" w:fill="FFFFFF"/>
        </w:rPr>
      </w:pPr>
      <w:r>
        <w:rPr>
          <w:u w:val="single"/>
        </w:rPr>
        <w:t>Books and Journals</w:t>
      </w:r>
    </w:p>
    <w:p w14:paraId="652E6A94" w14:textId="1D4871BA" w:rsidR="00F33A85" w:rsidRDefault="00F33A85" w:rsidP="00F33A85">
      <w:pPr>
        <w:shd w:val="clear" w:color="auto" w:fill="FFFFFF"/>
        <w:rPr>
          <w:shd w:val="clear" w:color="auto" w:fill="FFFFFF"/>
        </w:rPr>
      </w:pPr>
      <w:r>
        <w:rPr>
          <w:shd w:val="clear" w:color="auto" w:fill="FFFFFF"/>
        </w:rPr>
        <w:t xml:space="preserve">Aminimehr, A. and Aminimehr, A., </w:t>
      </w:r>
      <w:r w:rsidR="00C148AB">
        <w:rPr>
          <w:shd w:val="clear" w:color="auto" w:fill="FFFFFF"/>
        </w:rPr>
        <w:t>(</w:t>
      </w:r>
      <w:r>
        <w:rPr>
          <w:shd w:val="clear" w:color="auto" w:fill="FFFFFF"/>
        </w:rPr>
        <w:t>2022</w:t>
      </w:r>
      <w:r w:rsidR="00C148AB">
        <w:rPr>
          <w:shd w:val="clear" w:color="auto" w:fill="FFFFFF"/>
        </w:rPr>
        <w:t>)</w:t>
      </w:r>
      <w:r>
        <w:rPr>
          <w:shd w:val="clear" w:color="auto" w:fill="FFFFFF"/>
        </w:rPr>
        <w:t xml:space="preserve">. </w:t>
      </w:r>
      <w:r w:rsidRPr="00C148AB">
        <w:rPr>
          <w:i/>
          <w:iCs/>
          <w:shd w:val="clear" w:color="auto" w:fill="FFFFFF"/>
        </w:rPr>
        <w:t xml:space="preserve">A Comprehensive Study of Market Prediction </w:t>
      </w:r>
      <w:r w:rsidRPr="00C148AB">
        <w:rPr>
          <w:i/>
          <w:iCs/>
          <w:shd w:val="clear" w:color="auto" w:fill="FFFFFF"/>
        </w:rPr>
        <w:tab/>
        <w:t xml:space="preserve">from </w:t>
      </w:r>
      <w:r w:rsidRPr="00C148AB">
        <w:rPr>
          <w:i/>
          <w:iCs/>
          <w:shd w:val="clear" w:color="auto" w:fill="FFFFFF"/>
        </w:rPr>
        <w:tab/>
        <w:t xml:space="preserve">Efficient Market Hypothesis up to Late Intelligent Market Prediction </w:t>
      </w:r>
      <w:r w:rsidRPr="00C148AB">
        <w:rPr>
          <w:i/>
          <w:iCs/>
          <w:shd w:val="clear" w:color="auto" w:fill="FFFFFF"/>
        </w:rPr>
        <w:tab/>
        <w:t>Approaches. Computational Economics</w:t>
      </w:r>
      <w:r>
        <w:rPr>
          <w:shd w:val="clear" w:color="auto" w:fill="FFFFFF"/>
        </w:rPr>
        <w:t>, 60(2). pp.781-815.</w:t>
      </w:r>
    </w:p>
    <w:p w14:paraId="40BB92AC" w14:textId="47EB9285" w:rsidR="00F33A85" w:rsidRDefault="00F33A85" w:rsidP="00F33A85">
      <w:pPr>
        <w:shd w:val="clear" w:color="auto" w:fill="FFFFFF"/>
        <w:rPr>
          <w:shd w:val="clear" w:color="auto" w:fill="FFFFFF"/>
        </w:rPr>
      </w:pPr>
      <w:r>
        <w:rPr>
          <w:shd w:val="clear" w:color="auto" w:fill="FFFFFF"/>
        </w:rPr>
        <w:t xml:space="preserve">Atanassov, J. and Mandell, A.J., </w:t>
      </w:r>
      <w:r w:rsidR="00C148AB">
        <w:rPr>
          <w:shd w:val="clear" w:color="auto" w:fill="FFFFFF"/>
        </w:rPr>
        <w:t>(</w:t>
      </w:r>
      <w:r>
        <w:rPr>
          <w:shd w:val="clear" w:color="auto" w:fill="FFFFFF"/>
        </w:rPr>
        <w:t>2018</w:t>
      </w:r>
      <w:r w:rsidR="00C148AB">
        <w:rPr>
          <w:shd w:val="clear" w:color="auto" w:fill="FFFFFF"/>
        </w:rPr>
        <w:t>)</w:t>
      </w:r>
      <w:r>
        <w:rPr>
          <w:shd w:val="clear" w:color="auto" w:fill="FFFFFF"/>
        </w:rPr>
        <w:t xml:space="preserve">. </w:t>
      </w:r>
      <w:r w:rsidRPr="00C148AB">
        <w:rPr>
          <w:i/>
          <w:iCs/>
          <w:shd w:val="clear" w:color="auto" w:fill="FFFFFF"/>
        </w:rPr>
        <w:t xml:space="preserve">Corporate governance and dividend policy: Evidence of </w:t>
      </w:r>
      <w:r w:rsidRPr="00C148AB">
        <w:rPr>
          <w:i/>
          <w:iCs/>
          <w:shd w:val="clear" w:color="auto" w:fill="FFFFFF"/>
        </w:rPr>
        <w:tab/>
        <w:t>tunneling from master limited partnerships</w:t>
      </w:r>
      <w:r>
        <w:rPr>
          <w:shd w:val="clear" w:color="auto" w:fill="FFFFFF"/>
        </w:rPr>
        <w:t>. Journal of Corporate Finance, 53. pp.106-</w:t>
      </w:r>
      <w:r>
        <w:rPr>
          <w:shd w:val="clear" w:color="auto" w:fill="FFFFFF"/>
        </w:rPr>
        <w:tab/>
        <w:t>132.</w:t>
      </w:r>
    </w:p>
    <w:p w14:paraId="76F6ACCB" w14:textId="26E37DC1" w:rsidR="00F33A85" w:rsidRDefault="00F33A85" w:rsidP="00F33A85">
      <w:pPr>
        <w:shd w:val="clear" w:color="auto" w:fill="FFFFFF"/>
        <w:rPr>
          <w:shd w:val="clear" w:color="auto" w:fill="FFFFFF"/>
        </w:rPr>
      </w:pPr>
      <w:r>
        <w:rPr>
          <w:shd w:val="clear" w:color="auto" w:fill="FFFFFF"/>
        </w:rPr>
        <w:t xml:space="preserve">Dinga, E. and Ionescu, G.M., </w:t>
      </w:r>
      <w:r w:rsidR="00C148AB">
        <w:rPr>
          <w:shd w:val="clear" w:color="auto" w:fill="FFFFFF"/>
        </w:rPr>
        <w:t>(</w:t>
      </w:r>
      <w:r>
        <w:rPr>
          <w:shd w:val="clear" w:color="auto" w:fill="FFFFFF"/>
        </w:rPr>
        <w:t>2022</w:t>
      </w:r>
      <w:r w:rsidR="00C148AB">
        <w:rPr>
          <w:shd w:val="clear" w:color="auto" w:fill="FFFFFF"/>
        </w:rPr>
        <w:t>)</w:t>
      </w:r>
      <w:r>
        <w:rPr>
          <w:shd w:val="clear" w:color="auto" w:fill="FFFFFF"/>
        </w:rPr>
        <w:t>. </w:t>
      </w:r>
      <w:r w:rsidRPr="00C148AB">
        <w:rPr>
          <w:i/>
          <w:iCs/>
          <w:shd w:val="clear" w:color="auto" w:fill="FFFFFF"/>
        </w:rPr>
        <w:t xml:space="preserve">Financial Market Analysis and Behaviour: The Adaptive </w:t>
      </w:r>
      <w:r w:rsidRPr="00C148AB">
        <w:rPr>
          <w:i/>
          <w:iCs/>
          <w:shd w:val="clear" w:color="auto" w:fill="FFFFFF"/>
        </w:rPr>
        <w:tab/>
        <w:t>Preference Hypothesis.</w:t>
      </w:r>
      <w:r>
        <w:rPr>
          <w:shd w:val="clear" w:color="auto" w:fill="FFFFFF"/>
        </w:rPr>
        <w:t xml:space="preserve"> Taylor &amp; Francis.</w:t>
      </w:r>
    </w:p>
    <w:p w14:paraId="704FDF8E" w14:textId="67CD82FD" w:rsidR="00F33A85" w:rsidRDefault="00F33A85" w:rsidP="00F33A85">
      <w:pPr>
        <w:shd w:val="clear" w:color="auto" w:fill="FFFFFF"/>
        <w:rPr>
          <w:shd w:val="clear" w:color="auto" w:fill="FFFFFF"/>
        </w:rPr>
      </w:pPr>
      <w:r>
        <w:rPr>
          <w:shd w:val="clear" w:color="auto" w:fill="FFFFFF"/>
        </w:rPr>
        <w:t xml:space="preserve">Lizares, R.M. and Bautista, C.C., </w:t>
      </w:r>
      <w:r w:rsidR="00C148AB">
        <w:rPr>
          <w:shd w:val="clear" w:color="auto" w:fill="FFFFFF"/>
        </w:rPr>
        <w:t>(</w:t>
      </w:r>
      <w:r>
        <w:rPr>
          <w:shd w:val="clear" w:color="auto" w:fill="FFFFFF"/>
        </w:rPr>
        <w:t>2021</w:t>
      </w:r>
      <w:r w:rsidR="00C148AB" w:rsidRPr="00C148AB">
        <w:rPr>
          <w:i/>
          <w:iCs/>
          <w:shd w:val="clear" w:color="auto" w:fill="FFFFFF"/>
        </w:rPr>
        <w:t>)</w:t>
      </w:r>
      <w:r w:rsidRPr="00C148AB">
        <w:rPr>
          <w:i/>
          <w:iCs/>
          <w:shd w:val="clear" w:color="auto" w:fill="FFFFFF"/>
        </w:rPr>
        <w:t xml:space="preserve">. Corporate financial distress: The case of publicly listed </w:t>
      </w:r>
      <w:r w:rsidRPr="00C148AB">
        <w:rPr>
          <w:i/>
          <w:iCs/>
          <w:shd w:val="clear" w:color="auto" w:fill="FFFFFF"/>
        </w:rPr>
        <w:tab/>
        <w:t>firms in an emerging market economy</w:t>
      </w:r>
      <w:r>
        <w:rPr>
          <w:shd w:val="clear" w:color="auto" w:fill="FFFFFF"/>
        </w:rPr>
        <w:t xml:space="preserve">. Journal of International Financial Management &amp; </w:t>
      </w:r>
      <w:r>
        <w:rPr>
          <w:shd w:val="clear" w:color="auto" w:fill="FFFFFF"/>
        </w:rPr>
        <w:tab/>
        <w:t>Accounting, 32(1). pp.5-20.</w:t>
      </w:r>
    </w:p>
    <w:p w14:paraId="43403582" w14:textId="3F6571D7" w:rsidR="00F33A85" w:rsidRDefault="00F33A85" w:rsidP="00F33A85">
      <w:pPr>
        <w:shd w:val="clear" w:color="auto" w:fill="FFFFFF"/>
        <w:rPr>
          <w:shd w:val="clear" w:color="auto" w:fill="FFFFFF"/>
        </w:rPr>
      </w:pPr>
      <w:r>
        <w:rPr>
          <w:shd w:val="clear" w:color="auto" w:fill="FFFFFF"/>
        </w:rPr>
        <w:t xml:space="preserve">Mishra, S., </w:t>
      </w:r>
      <w:r w:rsidR="00C148AB">
        <w:rPr>
          <w:shd w:val="clear" w:color="auto" w:fill="FFFFFF"/>
        </w:rPr>
        <w:t>(</w:t>
      </w:r>
      <w:r>
        <w:rPr>
          <w:shd w:val="clear" w:color="auto" w:fill="FFFFFF"/>
        </w:rPr>
        <w:t>2018</w:t>
      </w:r>
      <w:r w:rsidR="00C148AB">
        <w:rPr>
          <w:shd w:val="clear" w:color="auto" w:fill="FFFFFF"/>
        </w:rPr>
        <w:t>)</w:t>
      </w:r>
      <w:r>
        <w:rPr>
          <w:shd w:val="clear" w:color="auto" w:fill="FFFFFF"/>
        </w:rPr>
        <w:t xml:space="preserve">. </w:t>
      </w:r>
      <w:r w:rsidRPr="00C148AB">
        <w:rPr>
          <w:i/>
          <w:iCs/>
          <w:shd w:val="clear" w:color="auto" w:fill="FFFFFF"/>
        </w:rPr>
        <w:t xml:space="preserve">Financial management and forecasting using business intelligence and big data </w:t>
      </w:r>
      <w:r w:rsidRPr="00C148AB">
        <w:rPr>
          <w:i/>
          <w:iCs/>
          <w:shd w:val="clear" w:color="auto" w:fill="FFFFFF"/>
        </w:rPr>
        <w:tab/>
        <w:t>analytic tools.</w:t>
      </w:r>
      <w:r>
        <w:rPr>
          <w:shd w:val="clear" w:color="auto" w:fill="FFFFFF"/>
        </w:rPr>
        <w:t> International Journal of Financial Engineering, 5(02). p.1850011.</w:t>
      </w:r>
    </w:p>
    <w:p w14:paraId="11519DDC" w14:textId="2403C8C7" w:rsidR="00F33A85" w:rsidRDefault="00F33A85" w:rsidP="00F33A85">
      <w:pPr>
        <w:shd w:val="clear" w:color="auto" w:fill="FFFFFF"/>
        <w:rPr>
          <w:shd w:val="clear" w:color="auto" w:fill="FFFFFF"/>
        </w:rPr>
      </w:pPr>
      <w:r>
        <w:rPr>
          <w:shd w:val="clear" w:color="auto" w:fill="FFFFFF"/>
        </w:rPr>
        <w:t xml:space="preserve">Orlova, S.V., </w:t>
      </w:r>
      <w:r w:rsidR="00C148AB">
        <w:rPr>
          <w:shd w:val="clear" w:color="auto" w:fill="FFFFFF"/>
        </w:rPr>
        <w:t>(</w:t>
      </w:r>
      <w:r>
        <w:rPr>
          <w:shd w:val="clear" w:color="auto" w:fill="FFFFFF"/>
        </w:rPr>
        <w:t>2020</w:t>
      </w:r>
      <w:r w:rsidR="00C148AB">
        <w:rPr>
          <w:shd w:val="clear" w:color="auto" w:fill="FFFFFF"/>
        </w:rPr>
        <w:t>)</w:t>
      </w:r>
      <w:r>
        <w:rPr>
          <w:shd w:val="clear" w:color="auto" w:fill="FFFFFF"/>
        </w:rPr>
        <w:t xml:space="preserve">. </w:t>
      </w:r>
      <w:r w:rsidRPr="00C148AB">
        <w:rPr>
          <w:i/>
          <w:iCs/>
          <w:shd w:val="clear" w:color="auto" w:fill="FFFFFF"/>
        </w:rPr>
        <w:t xml:space="preserve">Cultural and macroeconomic determinants of cash holdings </w:t>
      </w:r>
      <w:r w:rsidRPr="00C148AB">
        <w:rPr>
          <w:i/>
          <w:iCs/>
          <w:shd w:val="clear" w:color="auto" w:fill="FFFFFF"/>
        </w:rPr>
        <w:tab/>
        <w:t>management.</w:t>
      </w:r>
      <w:r>
        <w:rPr>
          <w:shd w:val="clear" w:color="auto" w:fill="FFFFFF"/>
        </w:rPr>
        <w:t xml:space="preserve"> Journal of International Financial Management &amp; Accounting, 31(3). </w:t>
      </w:r>
      <w:r>
        <w:rPr>
          <w:shd w:val="clear" w:color="auto" w:fill="FFFFFF"/>
        </w:rPr>
        <w:tab/>
        <w:t>pp.270-294.</w:t>
      </w:r>
    </w:p>
    <w:p w14:paraId="0321CE67" w14:textId="1869F1A6" w:rsidR="00F33A85" w:rsidRDefault="00F33A85" w:rsidP="00F33A85">
      <w:pPr>
        <w:shd w:val="clear" w:color="auto" w:fill="FFFFFF"/>
        <w:rPr>
          <w:shd w:val="clear" w:color="auto" w:fill="FFFFFF"/>
        </w:rPr>
      </w:pPr>
      <w:r>
        <w:rPr>
          <w:shd w:val="clear" w:color="auto" w:fill="FFFFFF"/>
        </w:rPr>
        <w:t xml:space="preserve">Plaskova, N.S. and Reshetov, K.Y. </w:t>
      </w:r>
      <w:r w:rsidR="00C148AB">
        <w:rPr>
          <w:shd w:val="clear" w:color="auto" w:fill="FFFFFF"/>
        </w:rPr>
        <w:t>(</w:t>
      </w:r>
      <w:r>
        <w:rPr>
          <w:shd w:val="clear" w:color="auto" w:fill="FFFFFF"/>
        </w:rPr>
        <w:t>2020</w:t>
      </w:r>
      <w:r w:rsidR="00C148AB" w:rsidRPr="00C148AB">
        <w:rPr>
          <w:i/>
          <w:iCs/>
          <w:shd w:val="clear" w:color="auto" w:fill="FFFFFF"/>
        </w:rPr>
        <w:t>)</w:t>
      </w:r>
      <w:r w:rsidRPr="00C148AB">
        <w:rPr>
          <w:i/>
          <w:iCs/>
          <w:shd w:val="clear" w:color="auto" w:fill="FFFFFF"/>
        </w:rPr>
        <w:t xml:space="preserve">. Dealing operations as a means of improving the </w:t>
      </w:r>
      <w:r w:rsidRPr="00C148AB">
        <w:rPr>
          <w:i/>
          <w:iCs/>
          <w:shd w:val="clear" w:color="auto" w:fill="FFFFFF"/>
        </w:rPr>
        <w:tab/>
        <w:t>efficiency of the financial management of a production company</w:t>
      </w:r>
      <w:r>
        <w:rPr>
          <w:shd w:val="clear" w:color="auto" w:fill="FFFFFF"/>
        </w:rPr>
        <w:t xml:space="preserve">. In Complex Systems: </w:t>
      </w:r>
      <w:r>
        <w:rPr>
          <w:shd w:val="clear" w:color="auto" w:fill="FFFFFF"/>
        </w:rPr>
        <w:tab/>
        <w:t>Innovation and Sustainability in the Digital Age (pp. 61-70). Springer, Cham.</w:t>
      </w:r>
    </w:p>
    <w:p w14:paraId="42F7F1DA" w14:textId="77777777" w:rsidR="00F33A85" w:rsidRDefault="00F33A85" w:rsidP="00F33A85">
      <w:pPr>
        <w:shd w:val="clear" w:color="auto" w:fill="FFFFFF"/>
        <w:rPr>
          <w:shd w:val="clear" w:color="auto" w:fill="FFFFFF"/>
        </w:rPr>
      </w:pPr>
    </w:p>
    <w:p w14:paraId="7572F49E" w14:textId="77777777" w:rsidR="00634FF8" w:rsidRDefault="00634FF8"/>
    <w:sectPr w:rsidR="00634F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00"/>
    <w:family w:val="auto"/>
    <w:pitch w:val="default"/>
  </w:font>
  <w:font w:name="Calibri">
    <w:panose1 w:val="020F0502020204030204"/>
    <w:charset w:val="00"/>
    <w:family w:val="swiss"/>
    <w:pitch w:val="variable"/>
    <w:sig w:usb0="E4002EFF" w:usb1="C000247B" w:usb2="00000009" w:usb3="00000000" w:csb0="000001FF" w:csb1="00000000"/>
  </w:font>
  <w:font w:name="DejaVu Sans">
    <w:altName w:val="Yu Gothic"/>
    <w:charset w:val="00"/>
    <w:family w:val="auto"/>
    <w:pitch w:val="variable"/>
  </w:font>
  <w:font w:name="Tinos">
    <w:altName w:val="Yu Gothic"/>
    <w:charset w:val="00"/>
    <w:family w:val="roman"/>
    <w:pitch w:val="variable"/>
  </w:font>
  <w:font w:name="Droid Sans">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pStyle w:val="Heading1"/>
      <w:lvlText w:val=""/>
      <w:lvlJc w:val="left"/>
      <w:pPr>
        <w:tabs>
          <w:tab w:val="num" w:pos="720"/>
        </w:tabs>
        <w:ind w:left="720" w:hanging="360"/>
      </w:pPr>
      <w:rPr>
        <w:rFonts w:ascii="Symbol" w:hAnsi="Symbol" w:cs="OpenSymbol"/>
        <w:b w:val="0"/>
        <w:bCs w:val="0"/>
        <w:i w:val="0"/>
        <w:iCs w:val="0"/>
        <w:caps w:val="0"/>
        <w:smallCaps w:val="0"/>
        <w:color w:val="000000"/>
        <w:spacing w:val="0"/>
        <w:sz w:val="24"/>
        <w:szCs w:val="24"/>
        <w:shd w:val="clear" w:color="auto" w:fill="FFFFFF"/>
      </w:rPr>
    </w:lvl>
    <w:lvl w:ilvl="1">
      <w:start w:val="1"/>
      <w:numFmt w:val="bullet"/>
      <w:pStyle w:val="Heading2"/>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iCs w:val="0"/>
        <w:caps w:val="0"/>
        <w:smallCaps w:val="0"/>
        <w:color w:val="000000"/>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iCs w:val="0"/>
        <w:caps w:val="0"/>
        <w:smallCaps w:val="0"/>
        <w:color w:val="000000"/>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decimal"/>
      <w:lvlText w:val="%1."/>
      <w:lvlJc w:val="left"/>
      <w:pPr>
        <w:tabs>
          <w:tab w:val="num" w:pos="720"/>
        </w:tabs>
        <w:ind w:left="720" w:hanging="360"/>
      </w:pPr>
      <w:rPr>
        <w:rFonts w:cs="Times New Roman"/>
        <w:caps w:val="0"/>
        <w:smallCaps w:val="0"/>
        <w:shd w:val="clear" w:color="auto" w:fill="FFFFFF"/>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9123479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7401667">
    <w:abstractNumId w:val="1"/>
  </w:num>
  <w:num w:numId="3" w16cid:durableId="84567654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A85"/>
    <w:rsid w:val="00014893"/>
    <w:rsid w:val="00634FF8"/>
    <w:rsid w:val="008A01B2"/>
    <w:rsid w:val="00C148AB"/>
    <w:rsid w:val="00F33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41CCD"/>
  <w15:chartTrackingRefBased/>
  <w15:docId w15:val="{16C82B30-5692-4A92-B7F3-C325DAE21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A85"/>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F33A85"/>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F33A85"/>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33A85"/>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F33A85"/>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F33A85"/>
    <w:pPr>
      <w:suppressLineNumbers/>
      <w:tabs>
        <w:tab w:val="right" w:leader="dot" w:pos="9360"/>
      </w:tabs>
    </w:pPr>
    <w:rPr>
      <w:rFonts w:cs="DejaVu Sans"/>
    </w:rPr>
  </w:style>
  <w:style w:type="paragraph" w:styleId="TOC2">
    <w:name w:val="toc 2"/>
    <w:basedOn w:val="Normal"/>
    <w:autoRedefine/>
    <w:semiHidden/>
    <w:unhideWhenUsed/>
    <w:rsid w:val="00F33A85"/>
    <w:pPr>
      <w:suppressLineNumbers/>
      <w:tabs>
        <w:tab w:val="right" w:leader="dot" w:pos="9077"/>
      </w:tabs>
      <w:ind w:left="283"/>
    </w:pPr>
    <w:rPr>
      <w:rFonts w:cs="DejaVu Sans"/>
    </w:rPr>
  </w:style>
  <w:style w:type="paragraph" w:styleId="NoSpacing">
    <w:name w:val="No Spacing"/>
    <w:qFormat/>
    <w:rsid w:val="00F33A85"/>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F33A85"/>
    <w:pPr>
      <w:keepNext/>
      <w:suppressLineNumbers/>
      <w:spacing w:before="240" w:after="120"/>
      <w:jc w:val="center"/>
    </w:pPr>
    <w:rPr>
      <w:rFonts w:eastAsia="Droid Sans"/>
      <w:b/>
      <w:bCs/>
      <w:sz w:val="28"/>
      <w:szCs w:val="32"/>
    </w:rPr>
  </w:style>
  <w:style w:type="character" w:customStyle="1" w:styleId="IndexLink">
    <w:name w:val="Index Link"/>
    <w:rsid w:val="00F33A85"/>
  </w:style>
  <w:style w:type="paragraph" w:customStyle="1" w:styleId="Default">
    <w:name w:val="Default"/>
    <w:rsid w:val="008A01B2"/>
    <w:pPr>
      <w:autoSpaceDE w:val="0"/>
      <w:autoSpaceDN w:val="0"/>
      <w:adjustRightInd w:val="0"/>
      <w:spacing w:after="0" w:line="240" w:lineRule="auto"/>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002899">
      <w:bodyDiv w:val="1"/>
      <w:marLeft w:val="0"/>
      <w:marRight w:val="0"/>
      <w:marTop w:val="0"/>
      <w:marBottom w:val="0"/>
      <w:divBdr>
        <w:top w:val="none" w:sz="0" w:space="0" w:color="auto"/>
        <w:left w:val="none" w:sz="0" w:space="0" w:color="auto"/>
        <w:bottom w:val="none" w:sz="0" w:space="0" w:color="auto"/>
        <w:right w:val="none" w:sz="0" w:space="0" w:color="auto"/>
      </w:divBdr>
    </w:div>
    <w:div w:id="1783039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drei\Desktop\andrei%20dumitrascu.doc" TargetMode="External"/><Relationship Id="rId13" Type="http://schemas.openxmlformats.org/officeDocument/2006/relationships/hyperlink" Target="file:///C:\Users\Andrei\Desktop\andrei%20dumitrascu.doc" TargetMode="External"/><Relationship Id="rId3" Type="http://schemas.openxmlformats.org/officeDocument/2006/relationships/settings" Target="settings.xml"/><Relationship Id="rId7" Type="http://schemas.openxmlformats.org/officeDocument/2006/relationships/hyperlink" Target="file:///C:\Users\Andrei\Desktop\andrei%20dumitrascu.doc" TargetMode="External"/><Relationship Id="rId12" Type="http://schemas.openxmlformats.org/officeDocument/2006/relationships/hyperlink" Target="file:///C:\Users\Andrei\Desktop\andrei%20dumitrascu.do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Andrei\Desktop\andrei%20dumitrascu.doc" TargetMode="External"/><Relationship Id="rId11" Type="http://schemas.openxmlformats.org/officeDocument/2006/relationships/hyperlink" Target="file:///C:\Users\Andrei\Desktop\andrei%20dumitrascu.doc" TargetMode="External"/><Relationship Id="rId5" Type="http://schemas.openxmlformats.org/officeDocument/2006/relationships/hyperlink" Target="file:///C:\Users\Andrei\Desktop\andrei%20dumitrascu.doc" TargetMode="External"/><Relationship Id="rId15" Type="http://schemas.openxmlformats.org/officeDocument/2006/relationships/theme" Target="theme/theme1.xml"/><Relationship Id="rId10" Type="http://schemas.openxmlformats.org/officeDocument/2006/relationships/hyperlink" Target="file:///C:\Users\Andrei\Desktop\andrei%20dumitrascu.doc" TargetMode="External"/><Relationship Id="rId4" Type="http://schemas.openxmlformats.org/officeDocument/2006/relationships/webSettings" Target="webSettings.xml"/><Relationship Id="rId9" Type="http://schemas.openxmlformats.org/officeDocument/2006/relationships/hyperlink" Target="file:///C:\Users\Andrei\Desktop\andrei%20dumitrascu.do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1706</Words>
  <Characters>9726</Characters>
  <Application>Microsoft Office Word</Application>
  <DocSecurity>0</DocSecurity>
  <Lines>81</Lines>
  <Paragraphs>22</Paragraphs>
  <ScaleCrop>false</ScaleCrop>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Dumitrascu</dc:creator>
  <cp:keywords/>
  <dc:description/>
  <cp:lastModifiedBy>Andrei Dumitrascu</cp:lastModifiedBy>
  <cp:revision>4</cp:revision>
  <dcterms:created xsi:type="dcterms:W3CDTF">2022-07-28T11:50:00Z</dcterms:created>
  <dcterms:modified xsi:type="dcterms:W3CDTF">2022-07-28T11:56:00Z</dcterms:modified>
</cp:coreProperties>
</file>