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7C1FB75" w:rsidR="008F2FE9" w:rsidRDefault="32ADAAF6" w:rsidP="021F216E">
      <w:pPr>
        <w:jc w:val="center"/>
      </w:pPr>
      <w:r>
        <w:rPr>
          <w:noProof/>
        </w:rPr>
        <w:drawing>
          <wp:inline distT="0" distB="0" distL="0" distR="0" wp14:anchorId="18E8561F" wp14:editId="3DFBCACC">
            <wp:extent cx="5022590" cy="2235574"/>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085896" cy="2263752"/>
                    </a:xfrm>
                    <a:prstGeom prst="rect">
                      <a:avLst/>
                    </a:prstGeom>
                  </pic:spPr>
                </pic:pic>
              </a:graphicData>
            </a:graphic>
          </wp:inline>
        </w:drawing>
      </w:r>
    </w:p>
    <w:p w14:paraId="3CC99A4D" w14:textId="47080C3E" w:rsidR="32ADAAF6" w:rsidRPr="0077447C" w:rsidRDefault="008516B9" w:rsidP="00DC4BEB">
      <w:pPr>
        <w:jc w:val="center"/>
        <w:rPr>
          <w:rFonts w:ascii="Arial Nova" w:eastAsia="Arial Nova" w:hAnsi="Arial Nova" w:cs="Arial Nova"/>
          <w:b/>
          <w:bCs/>
          <w:sz w:val="36"/>
          <w:szCs w:val="36"/>
        </w:rPr>
      </w:pPr>
      <w:r w:rsidRPr="0077447C">
        <w:rPr>
          <w:rFonts w:ascii="Arial Nova" w:eastAsia="Arial Nova" w:hAnsi="Arial Nova" w:cs="Arial Nova"/>
          <w:b/>
          <w:bCs/>
          <w:sz w:val="36"/>
          <w:szCs w:val="36"/>
        </w:rPr>
        <w:t>Name: Rayan</w:t>
      </w:r>
      <w:r w:rsidR="00A02A90" w:rsidRPr="0077447C">
        <w:rPr>
          <w:rFonts w:ascii="Arial Nova" w:eastAsia="Arial Nova" w:hAnsi="Arial Nova" w:cs="Arial Nova"/>
          <w:b/>
          <w:bCs/>
          <w:sz w:val="36"/>
          <w:szCs w:val="36"/>
        </w:rPr>
        <w:t xml:space="preserve"> Ata</w:t>
      </w:r>
    </w:p>
    <w:p w14:paraId="3ECA9F98" w14:textId="77777777" w:rsidR="0077447C" w:rsidRPr="0077447C" w:rsidRDefault="0077447C" w:rsidP="0077447C">
      <w:pPr>
        <w:pStyle w:val="Heading1"/>
        <w:jc w:val="center"/>
        <w:rPr>
          <w:rFonts w:ascii="Arial" w:hAnsi="Arial" w:cs="Arial"/>
          <w:b/>
          <w:bCs/>
          <w:color w:val="000000"/>
          <w:sz w:val="36"/>
          <w:szCs w:val="36"/>
        </w:rPr>
      </w:pPr>
      <w:r w:rsidRPr="0077447C">
        <w:rPr>
          <w:rFonts w:ascii="Arial" w:hAnsi="Arial" w:cs="Arial"/>
          <w:b/>
          <w:bCs/>
          <w:color w:val="000000"/>
          <w:sz w:val="36"/>
          <w:szCs w:val="36"/>
        </w:rPr>
        <w:t>BMHP5014 – Changemakers: Creativity and Value Creation</w:t>
      </w:r>
    </w:p>
    <w:p w14:paraId="7E597237" w14:textId="77777777" w:rsidR="0077447C" w:rsidRPr="0077447C" w:rsidRDefault="0077447C" w:rsidP="0077447C">
      <w:pPr>
        <w:pStyle w:val="Heading2"/>
        <w:jc w:val="center"/>
        <w:rPr>
          <w:rFonts w:ascii="Arial" w:hAnsi="Arial" w:cs="Arial"/>
          <w:b/>
          <w:bCs/>
          <w:color w:val="000000"/>
          <w:sz w:val="36"/>
          <w:szCs w:val="36"/>
        </w:rPr>
      </w:pPr>
      <w:r w:rsidRPr="0077447C">
        <w:rPr>
          <w:rFonts w:ascii="Arial" w:hAnsi="Arial" w:cs="Arial"/>
          <w:b/>
          <w:bCs/>
          <w:color w:val="000000"/>
          <w:sz w:val="36"/>
          <w:szCs w:val="36"/>
        </w:rPr>
        <w:t>Component 1: Online Portfolio of Set Exercises</w:t>
      </w:r>
    </w:p>
    <w:p w14:paraId="487FACAE" w14:textId="77777777"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Student Name: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Rayan Ata</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Student Number: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2324338</w:t>
      </w:r>
    </w:p>
    <w:p w14:paraId="65105D0F" w14:textId="77777777"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Programme: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BSc Health and Social Care</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Module: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Changemakers: Creativity and Value Creation</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Module Code: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BMHP5014</w:t>
      </w:r>
    </w:p>
    <w:p w14:paraId="3FCEFE16" w14:textId="123AFA54" w:rsidR="0077447C" w:rsidRPr="0077447C" w:rsidRDefault="0077447C" w:rsidP="0077447C">
      <w:pPr>
        <w:pStyle w:val="isselectedend"/>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Lecturer: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Zar</w:t>
      </w:r>
      <w:r>
        <w:rPr>
          <w:rFonts w:ascii="Arial" w:hAnsi="Arial" w:cs="Arial"/>
          <w:b/>
          <w:bCs/>
          <w:color w:val="000000"/>
          <w:sz w:val="36"/>
          <w:szCs w:val="36"/>
        </w:rPr>
        <w:t>a Ahmed</w:t>
      </w:r>
      <w:r w:rsidRPr="0077447C">
        <w:rPr>
          <w:rFonts w:ascii="Arial" w:hAnsi="Arial" w:cs="Arial"/>
          <w:b/>
          <w:bCs/>
          <w:color w:val="000000"/>
          <w:sz w:val="36"/>
          <w:szCs w:val="36"/>
        </w:rPr>
        <w:br/>
      </w:r>
      <w:r w:rsidRPr="0077447C">
        <w:rPr>
          <w:rStyle w:val="Strong"/>
          <w:rFonts w:ascii="Arial" w:eastAsiaTheme="majorEastAsia" w:hAnsi="Arial" w:cs="Arial"/>
          <w:color w:val="000000"/>
          <w:sz w:val="36"/>
          <w:szCs w:val="36"/>
        </w:rPr>
        <w:t>Internal Verifier:</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Dr Eleni Koutsogeorgou-Andreou</w:t>
      </w:r>
    </w:p>
    <w:p w14:paraId="3DA9FCBB" w14:textId="2098A67E" w:rsidR="00DC4BEB" w:rsidRPr="0077447C" w:rsidRDefault="0077447C" w:rsidP="0077447C">
      <w:pPr>
        <w:pStyle w:val="NormalWeb"/>
        <w:jc w:val="center"/>
        <w:rPr>
          <w:rFonts w:ascii="Arial" w:hAnsi="Arial" w:cs="Arial"/>
          <w:b/>
          <w:bCs/>
          <w:color w:val="000000"/>
          <w:sz w:val="36"/>
          <w:szCs w:val="36"/>
        </w:rPr>
      </w:pPr>
      <w:r w:rsidRPr="0077447C">
        <w:rPr>
          <w:rStyle w:val="Strong"/>
          <w:rFonts w:ascii="Arial" w:eastAsiaTheme="majorEastAsia" w:hAnsi="Arial" w:cs="Arial"/>
          <w:color w:val="000000"/>
          <w:sz w:val="36"/>
          <w:szCs w:val="36"/>
        </w:rPr>
        <w:t>Assignment Title:</w:t>
      </w:r>
      <w:r w:rsidRPr="0077447C">
        <w:rPr>
          <w:rStyle w:val="apple-converted-space"/>
          <w:rFonts w:ascii="Arial" w:eastAsiaTheme="majorEastAsia" w:hAnsi="Arial" w:cs="Arial"/>
          <w:b/>
          <w:bCs/>
          <w:color w:val="000000"/>
          <w:sz w:val="36"/>
          <w:szCs w:val="36"/>
        </w:rPr>
        <w:t> </w:t>
      </w:r>
      <w:r w:rsidRPr="0077447C">
        <w:rPr>
          <w:rFonts w:ascii="Arial" w:hAnsi="Arial" w:cs="Arial"/>
          <w:b/>
          <w:bCs/>
          <w:color w:val="000000"/>
          <w:sz w:val="36"/>
          <w:szCs w:val="36"/>
        </w:rPr>
        <w:t>Component 1: Online Portfolio of Set Exercises</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FE2EC74" w14:textId="66CF6E22" w:rsidR="00337274" w:rsidRPr="00190243" w:rsidRDefault="00190243" w:rsidP="021F216E">
      <w:pPr>
        <w:rPr>
          <w:rFonts w:ascii="Arial" w:eastAsia="Arial Nova" w:hAnsi="Arial" w:cs="Arial"/>
          <w:b/>
          <w:bCs/>
          <w:sz w:val="160"/>
          <w:szCs w:val="160"/>
        </w:rPr>
      </w:pPr>
      <w:r w:rsidRPr="00190243">
        <w:rPr>
          <w:rFonts w:ascii="Arial" w:hAnsi="Arial" w:cs="Arial"/>
          <w:b/>
          <w:bCs/>
          <w:color w:val="000000"/>
          <w:sz w:val="36"/>
          <w:szCs w:val="36"/>
        </w:rPr>
        <w:t>Task 1: Concept Map Explanation – Creativity, Value Creation and Health &amp; Social Care Improvement</w:t>
      </w:r>
    </w:p>
    <w:p w14:paraId="0052A631" w14:textId="77777777" w:rsidR="00337274" w:rsidRDefault="00337274" w:rsidP="021F216E">
      <w:pPr>
        <w:rPr>
          <w:rFonts w:ascii="Arial Nova" w:eastAsia="Arial Nova" w:hAnsi="Arial Nova" w:cs="Arial Nova"/>
          <w:sz w:val="72"/>
          <w:szCs w:val="72"/>
        </w:rPr>
      </w:pPr>
    </w:p>
    <w:p w14:paraId="0BC7D9FC" w14:textId="5A690ACE" w:rsidR="021F216E" w:rsidRDefault="021F216E" w:rsidP="021F216E">
      <w:pPr>
        <w:rPr>
          <w:rFonts w:ascii="Arial Nova" w:eastAsia="Arial Nova" w:hAnsi="Arial Nova" w:cs="Arial Nova"/>
          <w:i/>
          <w:iCs/>
          <w:color w:val="000000" w:themeColor="text1"/>
        </w:rPr>
      </w:pPr>
    </w:p>
    <w:p w14:paraId="783924C5" w14:textId="582F2459" w:rsidR="021F216E" w:rsidRDefault="021F216E" w:rsidP="021F216E">
      <w:pPr>
        <w:rPr>
          <w:rFonts w:ascii="Arial Nova" w:eastAsia="Arial Nova" w:hAnsi="Arial Nova" w:cs="Arial Nova"/>
          <w:i/>
          <w:iCs/>
          <w:color w:val="000000" w:themeColor="text1"/>
        </w:rPr>
      </w:pPr>
    </w:p>
    <w:p w14:paraId="1603AB69" w14:textId="21C43A28" w:rsidR="021F216E" w:rsidRDefault="00190243"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7FF7C6B3" wp14:editId="69566B9D">
            <wp:extent cx="5943600" cy="3307080"/>
            <wp:effectExtent l="25400" t="0" r="12700" b="33020"/>
            <wp:docPr id="214136806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B48DB0" w14:textId="78D42648" w:rsidR="021F216E" w:rsidRDefault="021F216E" w:rsidP="021F216E">
      <w:pPr>
        <w:rPr>
          <w:rFonts w:ascii="Arial Nova" w:eastAsia="Arial Nova" w:hAnsi="Arial Nova" w:cs="Arial Nova"/>
          <w:i/>
          <w:iCs/>
          <w:color w:val="000000" w:themeColor="text1"/>
        </w:rPr>
      </w:pPr>
    </w:p>
    <w:p w14:paraId="5F79B14B" w14:textId="77777777" w:rsidR="00190243" w:rsidRDefault="00190243" w:rsidP="021F216E">
      <w:pPr>
        <w:rPr>
          <w:rFonts w:ascii="Arial Nova" w:eastAsia="Arial Nova" w:hAnsi="Arial Nova" w:cs="Arial Nova"/>
          <w:i/>
          <w:iCs/>
          <w:color w:val="000000" w:themeColor="text1"/>
        </w:rPr>
      </w:pPr>
    </w:p>
    <w:p w14:paraId="630ED630" w14:textId="77777777" w:rsidR="00190243" w:rsidRDefault="00190243" w:rsidP="021F216E">
      <w:pPr>
        <w:rPr>
          <w:rFonts w:ascii="Arial Nova" w:eastAsia="Arial Nova" w:hAnsi="Arial Nova" w:cs="Arial Nova"/>
          <w:i/>
          <w:iCs/>
          <w:color w:val="000000" w:themeColor="text1"/>
        </w:rPr>
      </w:pPr>
    </w:p>
    <w:p w14:paraId="53F268EF" w14:textId="77777777" w:rsidR="00190243" w:rsidRDefault="00190243" w:rsidP="021F216E">
      <w:pPr>
        <w:rPr>
          <w:rFonts w:ascii="Arial Nova" w:eastAsia="Arial Nova" w:hAnsi="Arial Nova" w:cs="Arial Nova"/>
          <w:i/>
          <w:iCs/>
          <w:color w:val="000000" w:themeColor="text1"/>
        </w:rPr>
      </w:pPr>
    </w:p>
    <w:p w14:paraId="2C489FA6" w14:textId="77777777" w:rsidR="00190243" w:rsidRDefault="00190243" w:rsidP="021F216E">
      <w:pPr>
        <w:rPr>
          <w:rFonts w:ascii="Arial Nova" w:eastAsia="Arial Nova" w:hAnsi="Arial Nova" w:cs="Arial Nova"/>
          <w:i/>
          <w:iCs/>
          <w:color w:val="000000" w:themeColor="text1"/>
        </w:rPr>
      </w:pPr>
    </w:p>
    <w:p w14:paraId="11C588E8" w14:textId="77777777" w:rsidR="00190243" w:rsidRDefault="00190243"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49C0672E" w14:textId="77777777" w:rsidR="00190243" w:rsidRDefault="00190243" w:rsidP="021F216E">
      <w:pPr>
        <w:rPr>
          <w:rFonts w:ascii="Arial Nova" w:eastAsia="Arial Nova" w:hAnsi="Arial Nova" w:cs="Arial Nova"/>
          <w:i/>
          <w:iCs/>
          <w:color w:val="000000" w:themeColor="text1"/>
        </w:rPr>
      </w:pPr>
    </w:p>
    <w:p w14:paraId="486D3F1C" w14:textId="6B505AAE" w:rsidR="00F73155" w:rsidRPr="00190243" w:rsidRDefault="00F73155" w:rsidP="00F73155">
      <w:pPr>
        <w:rPr>
          <w:rFonts w:ascii="Arial" w:hAnsi="Arial" w:cs="Arial"/>
          <w:color w:val="000000"/>
        </w:rPr>
      </w:pPr>
      <w:r w:rsidRPr="00190243">
        <w:rPr>
          <w:rFonts w:ascii="Arial" w:hAnsi="Arial" w:cs="Arial"/>
          <w:color w:val="000000"/>
        </w:rPr>
        <w:t xml:space="preserve">Creativity is vital in enhancing health and social care services, as it enables professionals to devise innovative solutions, enhance care, and address the needs of service users. In practice, creativity can be seen through </w:t>
      </w:r>
      <w:r w:rsidR="00190243" w:rsidRPr="00190243">
        <w:rPr>
          <w:rFonts w:ascii="Arial" w:hAnsi="Arial" w:cs="Arial"/>
          <w:color w:val="000000"/>
        </w:rPr>
        <w:t>personalized</w:t>
      </w:r>
      <w:r w:rsidRPr="00190243">
        <w:rPr>
          <w:rFonts w:ascii="Arial" w:hAnsi="Arial" w:cs="Arial"/>
          <w:color w:val="000000"/>
        </w:rPr>
        <w:t xml:space="preserve"> care plans, digital technologies, and different ways of communicating with individuals. These approaches can make services more effective and accessible while helping </w:t>
      </w:r>
      <w:r w:rsidR="00190243" w:rsidRPr="00190243">
        <w:rPr>
          <w:rFonts w:ascii="Arial" w:hAnsi="Arial" w:cs="Arial"/>
          <w:color w:val="000000"/>
        </w:rPr>
        <w:t>organizations</w:t>
      </w:r>
      <w:r w:rsidRPr="00190243">
        <w:rPr>
          <w:rFonts w:ascii="Arial" w:hAnsi="Arial" w:cs="Arial"/>
          <w:color w:val="000000"/>
        </w:rPr>
        <w:t xml:space="preserve"> use resources more efficiently (NHS England, 2023).When creative ideas have a positive impact on patients, service users, and staff, they create value. In health and social care, value can be measured through improved wellbeing, increased independence, and better experiences of care. Person-</w:t>
      </w:r>
      <w:r w:rsidR="00190243" w:rsidRPr="00190243">
        <w:rPr>
          <w:rFonts w:ascii="Arial" w:hAnsi="Arial" w:cs="Arial"/>
          <w:color w:val="000000"/>
        </w:rPr>
        <w:t>centered</w:t>
      </w:r>
      <w:r w:rsidRPr="00190243">
        <w:rPr>
          <w:rFonts w:ascii="Arial" w:hAnsi="Arial" w:cs="Arial"/>
          <w:color w:val="000000"/>
        </w:rPr>
        <w:t xml:space="preserve"> care is a good example of value creation because it focuses on the individual needs, preferences, and circumstances of each person receiving support.</w:t>
      </w:r>
    </w:p>
    <w:p w14:paraId="221AE4F9" w14:textId="77777777" w:rsidR="00F73155" w:rsidRPr="00190243" w:rsidRDefault="00F73155" w:rsidP="00F73155">
      <w:pPr>
        <w:rPr>
          <w:rFonts w:ascii="Arial" w:hAnsi="Arial" w:cs="Arial"/>
          <w:color w:val="000000"/>
        </w:rPr>
      </w:pPr>
    </w:p>
    <w:p w14:paraId="7BB43AE5" w14:textId="04B3A74C" w:rsidR="00190243" w:rsidRPr="00190243" w:rsidRDefault="00F73155" w:rsidP="00F73155">
      <w:pPr>
        <w:rPr>
          <w:rFonts w:ascii="Arial" w:hAnsi="Arial" w:cs="Arial"/>
          <w:color w:val="000000"/>
        </w:rPr>
      </w:pPr>
      <w:r w:rsidRPr="00190243">
        <w:rPr>
          <w:rFonts w:ascii="Arial" w:hAnsi="Arial" w:cs="Arial"/>
          <w:color w:val="000000"/>
        </w:rPr>
        <w:t xml:space="preserve">Creativity is particularly important in modern health and social care because services face increasing pressures, including rising demand, workforce shortages, and limited resources. By encouraging innovative thinking, </w:t>
      </w:r>
      <w:r w:rsidR="00190243" w:rsidRPr="00190243">
        <w:rPr>
          <w:rFonts w:ascii="Arial" w:hAnsi="Arial" w:cs="Arial"/>
          <w:color w:val="000000"/>
        </w:rPr>
        <w:t>organizations</w:t>
      </w:r>
      <w:r w:rsidRPr="00190243">
        <w:rPr>
          <w:rFonts w:ascii="Arial" w:hAnsi="Arial" w:cs="Arial"/>
          <w:color w:val="000000"/>
        </w:rPr>
        <w:t xml:space="preserve"> can identify new ways to improve care delivery and respond more effectively to the needs of diverse populations. This can help ensure services remain sustainable while maintaining high standards of care.By tailoring support to each person, professionals can build trust, promote dignity, and improve outcomes. Creativity helps generate new ideas, while value creation ensures those ideas benefit the people using the service. As a result, both concepts are essential for driving improvements in health and social care and helping </w:t>
      </w:r>
      <w:r w:rsidR="00190243" w:rsidRPr="00190243">
        <w:rPr>
          <w:rFonts w:ascii="Arial" w:hAnsi="Arial" w:cs="Arial"/>
          <w:color w:val="000000"/>
        </w:rPr>
        <w:t>organizations</w:t>
      </w:r>
      <w:r w:rsidRPr="00190243">
        <w:rPr>
          <w:rFonts w:ascii="Arial" w:hAnsi="Arial" w:cs="Arial"/>
          <w:color w:val="000000"/>
        </w:rPr>
        <w:t xml:space="preserve"> deliver high-quality, person-</w:t>
      </w:r>
      <w:r w:rsidR="00190243" w:rsidRPr="00190243">
        <w:rPr>
          <w:rFonts w:ascii="Arial" w:hAnsi="Arial" w:cs="Arial"/>
          <w:color w:val="000000"/>
        </w:rPr>
        <w:t>centered</w:t>
      </w:r>
      <w:r w:rsidRPr="00190243">
        <w:rPr>
          <w:rFonts w:ascii="Arial" w:hAnsi="Arial" w:cs="Arial"/>
          <w:color w:val="000000"/>
        </w:rPr>
        <w:t xml:space="preserve"> care (West and Chowla, 2017). </w:t>
      </w:r>
    </w:p>
    <w:p w14:paraId="3A21BB8A" w14:textId="509FD2B3" w:rsidR="021F216E" w:rsidRPr="00190243" w:rsidRDefault="021F216E" w:rsidP="021F216E">
      <w:pPr>
        <w:rPr>
          <w:rFonts w:ascii="Arial" w:eastAsia="Arial Nova" w:hAnsi="Arial" w:cs="Arial"/>
          <w:i/>
          <w:iCs/>
          <w:color w:val="000000" w:themeColor="text1"/>
        </w:rPr>
      </w:pPr>
    </w:p>
    <w:p w14:paraId="369F26C7" w14:textId="17F82B93" w:rsidR="021F216E" w:rsidRPr="00190243" w:rsidRDefault="021F216E" w:rsidP="021F216E">
      <w:pPr>
        <w:rPr>
          <w:rFonts w:ascii="Arial" w:eastAsia="Arial Nova" w:hAnsi="Arial" w:cs="Arial"/>
          <w:i/>
          <w:iCs/>
          <w:color w:val="000000" w:themeColor="text1"/>
        </w:rPr>
      </w:pPr>
    </w:p>
    <w:p w14:paraId="4461F1A2" w14:textId="1994D8FB" w:rsidR="021F216E" w:rsidRPr="00190243" w:rsidRDefault="021F216E" w:rsidP="021F216E">
      <w:pPr>
        <w:rPr>
          <w:rFonts w:ascii="Arial" w:eastAsia="Arial Nova" w:hAnsi="Arial" w:cs="Arial"/>
          <w:i/>
          <w:iCs/>
          <w:color w:val="000000" w:themeColor="text1"/>
        </w:rPr>
      </w:pPr>
    </w:p>
    <w:p w14:paraId="38E47A2C" w14:textId="1B278BDD" w:rsidR="021F216E" w:rsidRPr="00190243" w:rsidRDefault="021F216E" w:rsidP="021F216E">
      <w:pPr>
        <w:rPr>
          <w:rFonts w:ascii="Arial" w:eastAsia="Arial Nova" w:hAnsi="Arial" w:cs="Arial"/>
          <w:i/>
          <w:iCs/>
          <w:color w:val="000000" w:themeColor="text1"/>
        </w:rPr>
      </w:pPr>
    </w:p>
    <w:p w14:paraId="48B862CB" w14:textId="1C84FC47" w:rsidR="021F216E" w:rsidRPr="00190243" w:rsidRDefault="021F216E" w:rsidP="021F216E">
      <w:pPr>
        <w:rPr>
          <w:rFonts w:ascii="Arial" w:eastAsia="Arial Nova" w:hAnsi="Arial" w:cs="Arial"/>
          <w:i/>
          <w:iCs/>
          <w:color w:val="000000" w:themeColor="text1"/>
        </w:rPr>
      </w:pPr>
    </w:p>
    <w:p w14:paraId="190E81BF" w14:textId="070A9DAD" w:rsidR="021F216E" w:rsidRPr="00190243" w:rsidRDefault="021F216E" w:rsidP="021F216E">
      <w:pPr>
        <w:rPr>
          <w:rFonts w:ascii="Arial" w:eastAsia="Arial Nova" w:hAnsi="Arial" w:cs="Arial"/>
          <w:i/>
          <w:iCs/>
          <w:color w:val="000000" w:themeColor="text1"/>
        </w:rPr>
      </w:pPr>
    </w:p>
    <w:p w14:paraId="5E5B889B" w14:textId="766B075B" w:rsidR="021F216E" w:rsidRPr="00190243" w:rsidRDefault="021F216E" w:rsidP="021F216E">
      <w:pPr>
        <w:rPr>
          <w:rFonts w:ascii="Arial" w:eastAsia="Arial Nova" w:hAnsi="Arial" w:cs="Arial"/>
          <w:i/>
          <w:iCs/>
          <w:color w:val="000000" w:themeColor="text1"/>
        </w:rPr>
      </w:pPr>
    </w:p>
    <w:p w14:paraId="7CED6C82" w14:textId="095ECB42" w:rsidR="021F216E" w:rsidRPr="00190243" w:rsidRDefault="021F216E" w:rsidP="021F216E">
      <w:pPr>
        <w:rPr>
          <w:rFonts w:ascii="Arial" w:eastAsia="Arial Nova" w:hAnsi="Arial" w:cs="Arial"/>
          <w:i/>
          <w:iCs/>
          <w:color w:val="000000" w:themeColor="text1"/>
        </w:rPr>
      </w:pPr>
    </w:p>
    <w:p w14:paraId="155C6035" w14:textId="7917E2A4" w:rsidR="021F216E" w:rsidRPr="00190243" w:rsidRDefault="021F216E" w:rsidP="021F216E">
      <w:pPr>
        <w:rPr>
          <w:rFonts w:ascii="Arial" w:eastAsia="Arial Nova" w:hAnsi="Arial" w:cs="Arial"/>
          <w:i/>
          <w:iCs/>
          <w:color w:val="000000" w:themeColor="text1"/>
        </w:rPr>
      </w:pPr>
    </w:p>
    <w:p w14:paraId="5AF6E1E9" w14:textId="6A514DB2" w:rsidR="021F216E" w:rsidRPr="00190243" w:rsidRDefault="021F216E" w:rsidP="021F216E">
      <w:pPr>
        <w:rPr>
          <w:rFonts w:ascii="Arial" w:eastAsia="Arial Nova" w:hAnsi="Arial" w:cs="Arial"/>
          <w:i/>
          <w:iCs/>
          <w:color w:val="000000" w:themeColor="text1"/>
        </w:rPr>
      </w:pPr>
    </w:p>
    <w:p w14:paraId="7C247600" w14:textId="0E938AB9" w:rsidR="021F216E" w:rsidRPr="00190243" w:rsidRDefault="021F216E" w:rsidP="021F216E">
      <w:pPr>
        <w:rPr>
          <w:rFonts w:ascii="Arial" w:eastAsia="Arial Nova" w:hAnsi="Arial" w:cs="Arial"/>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2FDFC4D6" w14:textId="26F4ED92" w:rsidR="021F216E" w:rsidRPr="0006117C" w:rsidRDefault="00190243" w:rsidP="021F216E">
      <w:pPr>
        <w:rPr>
          <w:rFonts w:ascii="Arial" w:hAnsi="Arial" w:cs="Arial"/>
          <w:b/>
          <w:bCs/>
          <w:color w:val="000000"/>
          <w:sz w:val="36"/>
          <w:szCs w:val="36"/>
        </w:rPr>
      </w:pPr>
      <w:r w:rsidRPr="0006117C">
        <w:rPr>
          <w:rFonts w:ascii="Arial" w:hAnsi="Arial" w:cs="Arial"/>
          <w:b/>
          <w:bCs/>
          <w:color w:val="000000"/>
          <w:sz w:val="36"/>
          <w:szCs w:val="36"/>
        </w:rPr>
        <w:t>Task 2: Self-Reflection on the Convergent and Divergent Paperclip Thinking Activity</w:t>
      </w:r>
    </w:p>
    <w:p w14:paraId="64D68B06" w14:textId="77777777" w:rsidR="008516B9" w:rsidRPr="008516B9" w:rsidRDefault="008516B9" w:rsidP="021F216E">
      <w:pPr>
        <w:rPr>
          <w:rFonts w:ascii="Arial" w:hAnsi="Arial" w:cs="Arial"/>
          <w:color w:val="000000"/>
          <w:sz w:val="27"/>
          <w:szCs w:val="27"/>
        </w:rPr>
      </w:pPr>
    </w:p>
    <w:p w14:paraId="01FE9E33"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Using Gibbs' Reflective Cycle (1988), I reflected on my experience of the paperclip activity completed in class. The activity involved working in a group to think of as many different uses for a paperclip as possible before deciding which ideas were the most realistic and useful.</w:t>
      </w:r>
    </w:p>
    <w:p w14:paraId="2007CD24"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At the beginning, I found the activity harder than I expected because I could only think of the obvious uses for a paperclip. After listening to other members of my group, I started to think more creatively and came up with additional ideas. I enjoyed hearing different perspectives because it showed me that there is often more than one way to approach a problem.</w:t>
      </w:r>
    </w:p>
    <w:p w14:paraId="6655A3E9" w14:textId="77777777" w:rsidR="008516B9" w:rsidRPr="008516B9" w:rsidRDefault="008516B9" w:rsidP="008516B9">
      <w:pPr>
        <w:pStyle w:val="isselectedend"/>
        <w:rPr>
          <w:rFonts w:ascii="Arial" w:hAnsi="Arial" w:cs="Arial"/>
          <w:color w:val="000000"/>
          <w:sz w:val="22"/>
          <w:szCs w:val="22"/>
        </w:rPr>
      </w:pPr>
      <w:r w:rsidRPr="008516B9">
        <w:rPr>
          <w:rFonts w:ascii="Arial" w:hAnsi="Arial" w:cs="Arial"/>
          <w:color w:val="000000"/>
          <w:sz w:val="22"/>
          <w:szCs w:val="22"/>
        </w:rPr>
        <w:t>The first part of the activity focused on divergent thinking, where we were encouraged to generate as many ideas as possible. I found this part enjoyable because there were no right or wrong answers, which made me feel more comfortable sharing my thoughts. The second part focused on convergent thinking, where we had to look at the ideas we had generated and decide which ones were the most practical. This was more challenging because it required us to justify our choices and think critically.</w:t>
      </w:r>
    </w:p>
    <w:p w14:paraId="7E7E1D93" w14:textId="77777777" w:rsidR="008516B9" w:rsidRPr="008516B9" w:rsidRDefault="008516B9" w:rsidP="008516B9">
      <w:pPr>
        <w:pStyle w:val="NormalWeb"/>
        <w:rPr>
          <w:rFonts w:ascii="Arial" w:hAnsi="Arial" w:cs="Arial"/>
          <w:color w:val="000000"/>
          <w:sz w:val="22"/>
          <w:szCs w:val="22"/>
        </w:rPr>
      </w:pPr>
      <w:r w:rsidRPr="008516B9">
        <w:rPr>
          <w:rFonts w:ascii="Arial" w:hAnsi="Arial" w:cs="Arial"/>
          <w:color w:val="000000"/>
          <w:sz w:val="22"/>
          <w:szCs w:val="22"/>
        </w:rPr>
        <w:t>Overall, the activity helped me understand the difference between divergent and convergent thinking. It also showed me the value of teamwork and how sharing ideas can lead to better solutions. In health and social care, professionals often need to be creative when supporting individuals, but they also need to make realistic decisions. This activity helped me recognise the importance of balancing both approaches when solving problems (Gibbs, 1988).</w:t>
      </w:r>
    </w:p>
    <w:p w14:paraId="45023669" w14:textId="77777777" w:rsidR="008516B9" w:rsidRDefault="008516B9" w:rsidP="021F216E">
      <w:pPr>
        <w:rPr>
          <w:rFonts w:ascii="-webkit-standard" w:hAnsi="-webkit-standard" w:hint="eastAsia"/>
          <w:color w:val="000000"/>
          <w:sz w:val="27"/>
          <w:szCs w:val="27"/>
        </w:rPr>
      </w:pPr>
    </w:p>
    <w:p w14:paraId="0800AAD7" w14:textId="77777777" w:rsidR="00190243" w:rsidRDefault="00190243" w:rsidP="021F216E">
      <w:pPr>
        <w:rPr>
          <w:rFonts w:ascii="-webkit-standard" w:hAnsi="-webkit-standard" w:hint="eastAsia"/>
          <w:color w:val="000000"/>
          <w:sz w:val="27"/>
          <w:szCs w:val="27"/>
        </w:rPr>
      </w:pPr>
    </w:p>
    <w:p w14:paraId="425AF36C" w14:textId="77777777" w:rsidR="00190243" w:rsidRDefault="00190243" w:rsidP="021F216E">
      <w:pPr>
        <w:rPr>
          <w:rFonts w:ascii="Arial Nova" w:eastAsia="Arial Nova" w:hAnsi="Arial Nova" w:cs="Arial Nova"/>
          <w:i/>
          <w:iCs/>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06BD4C04" w14:textId="77777777" w:rsidR="00563EB8" w:rsidRDefault="00563EB8" w:rsidP="021F216E">
      <w:pPr>
        <w:rPr>
          <w:rFonts w:ascii="Arial Nova" w:eastAsia="Arial Nova" w:hAnsi="Arial Nova" w:cs="Arial Nova"/>
          <w:i/>
          <w:iCs/>
          <w:color w:val="000000" w:themeColor="text1"/>
        </w:rPr>
      </w:pPr>
    </w:p>
    <w:p w14:paraId="2912383D" w14:textId="77777777" w:rsidR="00563EB8" w:rsidRDefault="00563EB8" w:rsidP="021F216E">
      <w:pPr>
        <w:rPr>
          <w:rFonts w:ascii="Arial Nova" w:eastAsia="Arial Nova" w:hAnsi="Arial Nova" w:cs="Arial Nova"/>
          <w:i/>
          <w:iCs/>
          <w:color w:val="000000" w:themeColor="text1"/>
        </w:rPr>
      </w:pPr>
    </w:p>
    <w:p w14:paraId="2B3F8AE8" w14:textId="77777777" w:rsidR="00563EB8" w:rsidRDefault="00563EB8" w:rsidP="021F216E">
      <w:pPr>
        <w:rPr>
          <w:rFonts w:ascii="Arial Nova" w:eastAsia="Arial Nova" w:hAnsi="Arial Nova" w:cs="Arial Nova"/>
          <w:i/>
          <w:iCs/>
          <w:color w:val="000000" w:themeColor="text1"/>
        </w:rPr>
      </w:pPr>
    </w:p>
    <w:p w14:paraId="5BEB6CBB"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3D8E9ECA" w14:textId="33CA975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64E6B5E5" w14:textId="77777777" w:rsidR="00437A1B" w:rsidRPr="0077447C" w:rsidRDefault="00437A1B" w:rsidP="00437A1B">
      <w:pPr>
        <w:pStyle w:val="Heading3"/>
        <w:rPr>
          <w:rFonts w:ascii="Arial" w:hAnsi="Arial" w:cs="Arial"/>
          <w:color w:val="000000"/>
          <w:sz w:val="36"/>
          <w:szCs w:val="36"/>
        </w:rPr>
      </w:pPr>
      <w:r w:rsidRPr="0077447C">
        <w:rPr>
          <w:rFonts w:ascii="Arial" w:hAnsi="Arial" w:cs="Arial"/>
          <w:color w:val="000000"/>
          <w:sz w:val="36"/>
          <w:szCs w:val="36"/>
        </w:rPr>
        <w:t>Task 3: Case Study Analysis of NHS at Home</w:t>
      </w:r>
    </w:p>
    <w:p w14:paraId="01DD0BF4"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NHS at Home is an innovative healthcare initiative that uses remote monitoring technology to support patients in their own homes rather than requiring frequent hospital visits. The initiative was developed in response to increasing pressures on the NHS, including an ageing population, rising demand for healthcare services, and limited hospital capacity. Traditional healthcare models often rely on hospital-based care, which can be inconvenient for patients and place additional strain on healthcare resources. NHS at Home aims to provide a more flexible and person-centred approach by allowing patients to receive support while remaining in their own homes.</w:t>
      </w:r>
    </w:p>
    <w:p w14:paraId="1820497D"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Creativity played a significant role in the development of NHS at Home. Rather than continuing with traditional hospital-centred care, healthcare providers reimagined how services could be delivered by using digital technology and remote monitoring systems. Patients are provided with devices that allow them to record information such as blood pressure, oxygen saturation levels, heart rate, and symptoms. This information is then shared with healthcare professionals who can monitor the patient’s condition and respond if any concerns arise.</w:t>
      </w:r>
    </w:p>
    <w:p w14:paraId="29AFFC95"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This innovative approach transformed the way healthcare is delivered. Instead of waiting until a patient becomes unwell enough to require hospital treatment, professionals can identify changes in a patient’s condition much earlier. This allows for quicker intervention and helps prevent complications from developing. The initiative also encourages patients to become more involved in managing their own health, promoting independence and self-management.</w:t>
      </w:r>
    </w:p>
    <w:p w14:paraId="5F79A523" w14:textId="77777777" w:rsidR="00437A1B" w:rsidRPr="0077447C" w:rsidRDefault="00437A1B" w:rsidP="00437A1B">
      <w:pPr>
        <w:pStyle w:val="isselectedend"/>
        <w:rPr>
          <w:rFonts w:ascii="Arial" w:hAnsi="Arial" w:cs="Arial"/>
          <w:color w:val="000000"/>
        </w:rPr>
      </w:pPr>
      <w:r w:rsidRPr="0077447C">
        <w:rPr>
          <w:rFonts w:ascii="Arial" w:hAnsi="Arial" w:cs="Arial"/>
          <w:color w:val="000000"/>
        </w:rPr>
        <w:t xml:space="preserve">The value created by NHS at Home has been significant for both patients and healthcare providers. Patients benefit from receiving care in a familiar environment, reducing the stress and inconvenience associated with travelling to appointments. The service also improves accessibility for individuals with mobility difficulties or long-term </w:t>
      </w:r>
      <w:r w:rsidRPr="0077447C">
        <w:rPr>
          <w:rFonts w:ascii="Arial" w:hAnsi="Arial" w:cs="Arial"/>
          <w:color w:val="000000"/>
        </w:rPr>
        <w:lastRenderedPageBreak/>
        <w:t>health conditions. According to Imperial College Healthcare NHS Trust (2024), remote monitoring has contributed to a reduction in hospital readmissions for patients with heart conditions. For healthcare providers, the initiative helps reduce pressure on hospital services, improves efficiency, and allows resources to be used more effectively.</w:t>
      </w:r>
    </w:p>
    <w:p w14:paraId="58C114B8" w14:textId="77777777" w:rsidR="00437A1B" w:rsidRPr="0077447C" w:rsidRDefault="00437A1B" w:rsidP="00437A1B">
      <w:pPr>
        <w:pStyle w:val="NormalWeb"/>
        <w:rPr>
          <w:rFonts w:ascii="Arial" w:hAnsi="Arial" w:cs="Arial"/>
          <w:color w:val="000000"/>
        </w:rPr>
      </w:pPr>
      <w:r w:rsidRPr="0077447C">
        <w:rPr>
          <w:rFonts w:ascii="Arial" w:hAnsi="Arial" w:cs="Arial"/>
          <w:color w:val="000000"/>
        </w:rPr>
        <w:t>Overall, NHS at Home demonstrates how creativity can be used to challenge traditional models of care and develop innovative solutions. By combining technology with person-centred care, the initiative has improved patient experiences, increased accessibility, and created value for both service users and healthcare organisations (Imperial College Healthcare NHS Trust, 2024; Care Quality Commission, 2021).</w:t>
      </w:r>
    </w:p>
    <w:p w14:paraId="141AF047" w14:textId="77777777" w:rsidR="00437A1B" w:rsidRPr="0077447C" w:rsidRDefault="00437A1B" w:rsidP="00563EB8">
      <w:pPr>
        <w:rPr>
          <w:rFonts w:ascii="Arial" w:eastAsia="Arial Nova" w:hAnsi="Arial" w:cs="Arial"/>
          <w:i/>
          <w:iCs/>
          <w:color w:val="FF0000"/>
        </w:rPr>
      </w:pPr>
    </w:p>
    <w:p w14:paraId="2CDF689B" w14:textId="30728786" w:rsidR="021F216E" w:rsidRPr="0077447C" w:rsidRDefault="021F216E" w:rsidP="021F216E">
      <w:pPr>
        <w:rPr>
          <w:rFonts w:ascii="Arial" w:eastAsia="Arial Nova" w:hAnsi="Arial" w:cs="Arial"/>
          <w:color w:val="000000" w:themeColor="text1"/>
        </w:rPr>
      </w:pPr>
    </w:p>
    <w:p w14:paraId="21433688" w14:textId="77777777" w:rsidR="00563EB8" w:rsidRPr="0077447C" w:rsidRDefault="00563EB8" w:rsidP="021F216E">
      <w:pPr>
        <w:rPr>
          <w:rFonts w:ascii="Arial" w:eastAsia="Arial Nova" w:hAnsi="Arial" w:cs="Arial"/>
          <w:color w:val="000000" w:themeColor="text1"/>
        </w:rPr>
      </w:pPr>
    </w:p>
    <w:p w14:paraId="65F3B817" w14:textId="77777777" w:rsidR="00563EB8" w:rsidRPr="0077447C" w:rsidRDefault="00563EB8" w:rsidP="021F216E">
      <w:pPr>
        <w:rPr>
          <w:rFonts w:ascii="Arial" w:eastAsia="Arial Nova" w:hAnsi="Arial" w:cs="Arial"/>
          <w:color w:val="000000" w:themeColor="text1"/>
        </w:rPr>
      </w:pPr>
    </w:p>
    <w:p w14:paraId="21E25CA7" w14:textId="77777777" w:rsidR="00563EB8" w:rsidRPr="0077447C" w:rsidRDefault="00563EB8" w:rsidP="021F216E">
      <w:pPr>
        <w:rPr>
          <w:rFonts w:ascii="Arial" w:eastAsia="Arial Nova" w:hAnsi="Arial" w:cs="Arial"/>
          <w:color w:val="000000" w:themeColor="text1"/>
        </w:rPr>
      </w:pPr>
    </w:p>
    <w:p w14:paraId="708FEE03" w14:textId="77777777" w:rsidR="00563EB8" w:rsidRPr="0077447C" w:rsidRDefault="00563EB8" w:rsidP="021F216E">
      <w:pPr>
        <w:rPr>
          <w:rFonts w:ascii="Arial" w:eastAsia="Arial Nova" w:hAnsi="Arial" w:cs="Arial"/>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5A0DA748" w14:textId="77777777" w:rsidR="00563EB8" w:rsidRDefault="00563EB8" w:rsidP="021F216E">
      <w:pPr>
        <w:rPr>
          <w:rFonts w:ascii="Arial Nova" w:eastAsia="Arial Nova" w:hAnsi="Arial Nova" w:cs="Arial Nova"/>
          <w:color w:val="000000" w:themeColor="text1"/>
        </w:rPr>
      </w:pPr>
    </w:p>
    <w:p w14:paraId="5A17BA9D" w14:textId="77777777" w:rsidR="00563EB8" w:rsidRDefault="00563EB8" w:rsidP="021F216E">
      <w:pPr>
        <w:rPr>
          <w:rFonts w:ascii="Arial Nova" w:eastAsia="Arial Nova" w:hAnsi="Arial Nova" w:cs="Arial Nova"/>
          <w:color w:val="000000" w:themeColor="text1"/>
        </w:rPr>
      </w:pPr>
    </w:p>
    <w:p w14:paraId="668C768B" w14:textId="77777777" w:rsidR="00563EB8" w:rsidRDefault="00563EB8" w:rsidP="021F216E">
      <w:pPr>
        <w:rPr>
          <w:rFonts w:ascii="Arial Nova" w:eastAsia="Arial Nova" w:hAnsi="Arial Nova" w:cs="Arial Nova"/>
          <w:color w:val="000000" w:themeColor="text1"/>
        </w:rPr>
      </w:pPr>
    </w:p>
    <w:p w14:paraId="39457D42" w14:textId="77777777" w:rsidR="00563EB8" w:rsidRDefault="00563EB8" w:rsidP="021F216E">
      <w:pPr>
        <w:rPr>
          <w:rFonts w:ascii="Arial Nova" w:eastAsia="Arial Nova" w:hAnsi="Arial Nova" w:cs="Arial Nova"/>
          <w:color w:val="000000" w:themeColor="text1"/>
        </w:rPr>
      </w:pPr>
    </w:p>
    <w:p w14:paraId="7A54C266" w14:textId="77777777" w:rsidR="00563EB8" w:rsidRDefault="00563EB8" w:rsidP="021F216E">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2FD4BB11" w14:textId="77777777" w:rsidR="00F56C79" w:rsidRDefault="00F56C79" w:rsidP="47853A3C">
      <w:pPr>
        <w:rPr>
          <w:rFonts w:ascii="Arial Nova" w:eastAsia="Arial Nova" w:hAnsi="Arial Nova" w:cs="Arial Nova"/>
          <w:i/>
          <w:iCs/>
          <w:color w:val="FF0000"/>
        </w:rPr>
      </w:pPr>
    </w:p>
    <w:p w14:paraId="5155F01A" w14:textId="77777777" w:rsidR="00F56C79" w:rsidRPr="00F56C79" w:rsidRDefault="00F56C79" w:rsidP="00F56C79">
      <w:pPr>
        <w:pStyle w:val="Heading3"/>
        <w:rPr>
          <w:rFonts w:ascii="Arial" w:hAnsi="Arial" w:cs="Arial"/>
          <w:b/>
          <w:bCs/>
          <w:color w:val="000000"/>
          <w:sz w:val="36"/>
          <w:szCs w:val="36"/>
        </w:rPr>
      </w:pPr>
      <w:r w:rsidRPr="00F56C79">
        <w:rPr>
          <w:rFonts w:ascii="Arial" w:hAnsi="Arial" w:cs="Arial"/>
          <w:b/>
          <w:bCs/>
          <w:color w:val="000000"/>
          <w:sz w:val="36"/>
          <w:szCs w:val="36"/>
        </w:rPr>
        <w:t>Task 4: Research Task – Increasing Vaping Among Young People</w:t>
      </w:r>
    </w:p>
    <w:p w14:paraId="68E901F1"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The increasing use of vaping among young people is a growing health concern in the UK. Although e-cigarettes were originally introduced as a smoking cessation aid for adults, their popularity among teenagers and young adults has increased significantly. This has raised concerns about nicotine addiction and the potential long-term impact on health.</w:t>
      </w:r>
    </w:p>
    <w:p w14:paraId="4DFC6BFE"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One study by Hammond et al. (2023) explored the factors influencing youth vaping. The researchers found that appealing flavours, colourful packaging, and social media marketing contributed to the growing popularity of vaping among young people. Many participants viewed vaping as less harmful than smoking and were attracted by the wide range of flavours available. The study suggested that these perceptions can encourage experimentation and regular use, particularly among adolescents who may not have previously smoked.</w:t>
      </w:r>
    </w:p>
    <w:p w14:paraId="67C7C943"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A second study by East et al. (2024) examined the social influences associated with vaping. The researchers found that peer pressure and social acceptance played a significant role in vaping behaviour. Young people were more likely to vape when friends or family members also used e-cigarettes. The study also highlighted that exposure to vaping content online normalised the behaviour, making it appear socially acceptable and low risk. As a result, some young people underestimated the potential health consequences associated with nicotine use.</w:t>
      </w:r>
    </w:p>
    <w:p w14:paraId="7680EEF2" w14:textId="77777777" w:rsidR="00F56C79" w:rsidRPr="00F56C79" w:rsidRDefault="00F56C79" w:rsidP="00F56C79">
      <w:pPr>
        <w:pStyle w:val="NormalWeb"/>
        <w:rPr>
          <w:rFonts w:ascii="Arial" w:hAnsi="Arial" w:cs="Arial"/>
          <w:color w:val="000000"/>
        </w:rPr>
      </w:pPr>
      <w:r w:rsidRPr="00F56C79">
        <w:rPr>
          <w:rFonts w:ascii="Arial" w:hAnsi="Arial" w:cs="Arial"/>
          <w:color w:val="000000"/>
        </w:rPr>
        <w:t xml:space="preserve">The findings from both studies suggest that youth vaping is influenced by a combination of marketing strategies, social influences, and misconceptions about health risks. Attractive product designs and online promotion can increase interest in vaping, while peer influence can encourage continued use. Addressing these issues through </w:t>
      </w:r>
      <w:r w:rsidRPr="00F56C79">
        <w:rPr>
          <w:rFonts w:ascii="Arial" w:hAnsi="Arial" w:cs="Arial"/>
          <w:color w:val="000000"/>
        </w:rPr>
        <w:lastRenderedPageBreak/>
        <w:t>education, public health campaigns, and stricter regulation of youth-focused marketing may help reduce vaping rates and improve health outcomes among young people.</w:t>
      </w:r>
    </w:p>
    <w:p w14:paraId="59247488" w14:textId="77777777" w:rsidR="00F56C79" w:rsidRPr="00F56C79" w:rsidRDefault="00F56C79" w:rsidP="47853A3C">
      <w:pPr>
        <w:rPr>
          <w:rFonts w:ascii="Arial" w:eastAsia="Arial Nova" w:hAnsi="Arial" w:cs="Arial"/>
          <w:i/>
          <w:iCs/>
          <w:color w:val="FF0000"/>
        </w:rPr>
      </w:pP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5377B9D6" w14:textId="77777777" w:rsidR="00EF59D8" w:rsidRDefault="00EF59D8" w:rsidP="021F216E">
      <w:pPr>
        <w:rPr>
          <w:rFonts w:ascii="Arial Nova" w:eastAsia="Arial Nova" w:hAnsi="Arial Nova" w:cs="Arial Nova"/>
          <w:color w:val="000000" w:themeColor="text1"/>
        </w:rPr>
      </w:pPr>
    </w:p>
    <w:p w14:paraId="18BDC7DF" w14:textId="77777777" w:rsidR="00EF59D8" w:rsidRDefault="00EF59D8" w:rsidP="021F216E">
      <w:pPr>
        <w:rPr>
          <w:rFonts w:ascii="Arial Nova" w:eastAsia="Arial Nova" w:hAnsi="Arial Nova" w:cs="Arial Nova"/>
          <w:color w:val="000000" w:themeColor="text1"/>
        </w:rPr>
      </w:pPr>
    </w:p>
    <w:p w14:paraId="59514344" w14:textId="77777777" w:rsidR="00EF59D8" w:rsidRDefault="00EF59D8" w:rsidP="021F216E">
      <w:pPr>
        <w:rPr>
          <w:rFonts w:ascii="Arial Nova" w:eastAsia="Arial Nova" w:hAnsi="Arial Nova" w:cs="Arial Nova"/>
          <w:color w:val="000000" w:themeColor="text1"/>
        </w:rPr>
      </w:pPr>
    </w:p>
    <w:p w14:paraId="7AD65C71" w14:textId="77777777" w:rsidR="00EF59D8" w:rsidRDefault="00EF59D8" w:rsidP="021F216E">
      <w:pPr>
        <w:rPr>
          <w:rFonts w:ascii="Arial Nova" w:eastAsia="Arial Nova" w:hAnsi="Arial Nova" w:cs="Arial Nova"/>
          <w:color w:val="000000" w:themeColor="text1"/>
        </w:rPr>
      </w:pPr>
    </w:p>
    <w:p w14:paraId="589CD778" w14:textId="77777777" w:rsidR="00EF59D8" w:rsidRDefault="00EF59D8" w:rsidP="00EF59D8">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Podcast</w:t>
      </w:r>
    </w:p>
    <w:p w14:paraId="3D6A83E4" w14:textId="77777777" w:rsidR="00EF59D8" w:rsidRDefault="00EF59D8" w:rsidP="021F216E">
      <w:pPr>
        <w:rPr>
          <w:rFonts w:ascii="Arial Nova" w:eastAsia="Arial Nova" w:hAnsi="Arial Nova" w:cs="Arial Nova"/>
          <w:color w:val="000000" w:themeColor="text1"/>
        </w:rPr>
      </w:pPr>
    </w:p>
    <w:p w14:paraId="0C61B55C" w14:textId="77777777" w:rsidR="00EF59D8" w:rsidRDefault="00EF59D8" w:rsidP="021F216E">
      <w:pPr>
        <w:rPr>
          <w:rFonts w:ascii="Arial Nova" w:eastAsia="Arial Nova" w:hAnsi="Arial Nova" w:cs="Arial Nova"/>
          <w:color w:val="000000" w:themeColor="text1"/>
        </w:rPr>
      </w:pPr>
    </w:p>
    <w:p w14:paraId="48F30DB3" w14:textId="207B553D" w:rsidR="00EF59D8" w:rsidRDefault="00EF59D8" w:rsidP="021F216E">
      <w:pPr>
        <w:rPr>
          <w:rFonts w:ascii="Arial Nova" w:eastAsia="Arial Nova" w:hAnsi="Arial Nova" w:cs="Arial Nova"/>
          <w:color w:val="000000" w:themeColor="text1"/>
        </w:rPr>
      </w:pPr>
      <w:hyperlink r:id="rId13" w:history="1">
        <w:r w:rsidRPr="00EF59D8">
          <w:rPr>
            <w:rStyle w:val="Hyperlink"/>
            <w:rFonts w:ascii="Arial Nova" w:eastAsia="Arial Nova" w:hAnsi="Arial Nova" w:cs="Arial Nova"/>
          </w:rPr>
          <w:t>../Downloads/my-record</w:t>
        </w:r>
        <w:r w:rsidRPr="00EF59D8">
          <w:rPr>
            <w:rStyle w:val="Hyperlink"/>
            <w:rFonts w:ascii="Arial Nova" w:eastAsia="Arial Nova" w:hAnsi="Arial Nova" w:cs="Arial Nova"/>
          </w:rPr>
          <w:t>i</w:t>
        </w:r>
        <w:r w:rsidRPr="00EF59D8">
          <w:rPr>
            <w:rStyle w:val="Hyperlink"/>
            <w:rFonts w:ascii="Arial Nova" w:eastAsia="Arial Nova" w:hAnsi="Arial Nova" w:cs="Arial Nova"/>
          </w:rPr>
          <w:t>ng.mp3</w:t>
        </w:r>
      </w:hyperlink>
    </w:p>
    <w:p w14:paraId="2056293E" w14:textId="0D1BD613" w:rsidR="021F216E" w:rsidRDefault="021F216E" w:rsidP="021F216E">
      <w:pPr>
        <w:rPr>
          <w:rFonts w:ascii="Arial Nova" w:eastAsia="Arial Nova" w:hAnsi="Arial Nova" w:cs="Arial Nova"/>
          <w:i/>
          <w:iCs/>
          <w:color w:val="000000" w:themeColor="text1"/>
        </w:rPr>
      </w:pPr>
    </w:p>
    <w:p w14:paraId="06733B0C" w14:textId="77777777" w:rsidR="00EF59D8" w:rsidRDefault="00EF59D8"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F09974A" w14:textId="77777777" w:rsidR="00BB7017" w:rsidRDefault="00BB7017" w:rsidP="47853A3C">
      <w:pPr>
        <w:rPr>
          <w:rFonts w:ascii="Arial Nova" w:eastAsia="Arial Nova" w:hAnsi="Arial Nova" w:cs="Arial Nova"/>
          <w:color w:val="000000" w:themeColor="text1"/>
          <w:sz w:val="44"/>
          <w:szCs w:val="44"/>
        </w:rPr>
      </w:pPr>
    </w:p>
    <w:p w14:paraId="1F4C95DF" w14:textId="77777777" w:rsidR="00DD678D" w:rsidRDefault="00DD678D" w:rsidP="00DD678D">
      <w:pPr>
        <w:pStyle w:val="Heading1"/>
        <w:rPr>
          <w:color w:val="000000"/>
        </w:rPr>
      </w:pPr>
      <w:r>
        <w:rPr>
          <w:color w:val="000000"/>
        </w:rPr>
        <w:lastRenderedPageBreak/>
        <w:t>Task 6: NHS Leadership Framework Analysis</w:t>
      </w:r>
    </w:p>
    <w:p w14:paraId="581E567D" w14:textId="77777777" w:rsidR="00DD678D" w:rsidRDefault="00DD678D" w:rsidP="00DD678D">
      <w:pPr>
        <w:pStyle w:val="NormalWeb"/>
        <w:rPr>
          <w:color w:val="000000"/>
        </w:rPr>
      </w:pPr>
      <w:r>
        <w:rPr>
          <w:color w:val="000000"/>
        </w:rPr>
        <w:t>The NHS Healthcare Leadership Model explains the behaviours and qualities needed to provide effective leadership within health and social care. It recognises that leadership is not limited to managers but should be demonstrated by everyone working within the NHS to improve patient care and organisational performance. The framework consists of nine dimensions:</w:t>
      </w:r>
      <w:r>
        <w:rPr>
          <w:rStyle w:val="apple-converted-space"/>
          <w:rFonts w:eastAsiaTheme="majorEastAsia"/>
          <w:color w:val="000000"/>
        </w:rPr>
        <w:t> </w:t>
      </w:r>
      <w:r>
        <w:rPr>
          <w:rStyle w:val="Strong"/>
          <w:rFonts w:eastAsiaTheme="majorEastAsia"/>
          <w:color w:val="000000"/>
        </w:rPr>
        <w:t>Inspiring Shared Purpose, Leading with Care, Evaluating Information, Connecting Our Service, Sharing the Vision, Engaging the Team, Holding to Account, Developing Capability, and Influencing for Results</w:t>
      </w:r>
      <w:r>
        <w:rPr>
          <w:color w:val="000000"/>
        </w:rPr>
        <w:t>(NHS Leadership Academy, 2013). Together, these behaviours encourage leaders to create positive working environments, promote collaboration, and support continuous improvement.</w:t>
      </w:r>
    </w:p>
    <w:p w14:paraId="1EE8E862" w14:textId="77777777" w:rsidR="00DD678D" w:rsidRDefault="00DD678D" w:rsidP="00DD678D">
      <w:pPr>
        <w:pStyle w:val="NormalWeb"/>
        <w:rPr>
          <w:color w:val="000000"/>
        </w:rPr>
      </w:pPr>
      <w:r>
        <w:rPr>
          <w:color w:val="000000"/>
        </w:rPr>
        <w:t>The framework also emphasises person-centred care by encouraging leaders to place patients and service users at the centre of decision-making. Effective leadership helps organisations respond to changing healthcare demands while supporting staff wellbeing and professional development. By encouraging innovation, teamwork and open communication, the Healthcare Leadership Model contributes to higher quality services, improved patient experiences and better health outcomes (West et al., 2017).</w:t>
      </w:r>
    </w:p>
    <w:p w14:paraId="6827AB73" w14:textId="77777777" w:rsidR="00DD678D" w:rsidRDefault="00DD678D" w:rsidP="00DD678D">
      <w:pPr>
        <w:pStyle w:val="NormalWeb"/>
        <w:rPr>
          <w:color w:val="000000"/>
        </w:rPr>
      </w:pPr>
      <w:r>
        <w:rPr>
          <w:color w:val="000000"/>
        </w:rPr>
        <w:t>One important dimension of the framework is</w:t>
      </w:r>
      <w:r>
        <w:rPr>
          <w:rStyle w:val="apple-converted-space"/>
          <w:rFonts w:eastAsiaTheme="majorEastAsia"/>
          <w:color w:val="000000"/>
        </w:rPr>
        <w:t> </w:t>
      </w:r>
      <w:r>
        <w:rPr>
          <w:rStyle w:val="Strong"/>
          <w:rFonts w:eastAsiaTheme="majorEastAsia"/>
          <w:color w:val="000000"/>
        </w:rPr>
        <w:t>Engaging the Team</w:t>
      </w:r>
      <w:r>
        <w:rPr>
          <w:color w:val="000000"/>
        </w:rPr>
        <w:t>. This focuses on creating an environment where staff feel valued, respected and confident to contribute ideas. Leaders who actively involve their teams in decision-making encourage creativity and innovation because staff are more willing to share suggestions for improving services. For example, healthcare professionals may identify new ways to reduce waiting times, improve communication with patients or introduce digital technologies that enhance care delivery. By listening to staff, providing constructive feedback and supporting collaboration, leaders can build motivated teams that continuously seek better ways of working. This not only improves staff satisfaction but also leads to safer, more effective and person-centred care for patients (NHS Leadership Academy, 2013; West et al., 2017).</w:t>
      </w:r>
    </w:p>
    <w:p w14:paraId="156F27C2" w14:textId="301D9C6F" w:rsidR="021F216E" w:rsidRDefault="021F216E" w:rsidP="021F216E">
      <w:pPr>
        <w:rPr>
          <w:rFonts w:ascii="Arial Nova" w:eastAsia="Arial Nova" w:hAnsi="Arial Nova" w:cs="Arial Nova"/>
          <w:i/>
          <w:iCs/>
          <w:color w:val="000000" w:themeColor="text1"/>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1226DB7E" w14:textId="77777777" w:rsidR="00DD678D" w:rsidRDefault="00DD678D" w:rsidP="00DD678D">
      <w:pPr>
        <w:pStyle w:val="Heading1"/>
        <w:rPr>
          <w:color w:val="000000"/>
        </w:rPr>
      </w:pPr>
      <w:r>
        <w:rPr>
          <w:color w:val="000000"/>
        </w:rPr>
        <w:t>Task 7: Self-Reflection Journal Entry</w:t>
      </w:r>
    </w:p>
    <w:p w14:paraId="77BF387A" w14:textId="77777777" w:rsidR="00DD678D" w:rsidRDefault="00DD678D" w:rsidP="00DD678D">
      <w:pPr>
        <w:pStyle w:val="NormalWeb"/>
        <w:rPr>
          <w:color w:val="000000"/>
        </w:rPr>
      </w:pPr>
      <w:r>
        <w:rPr>
          <w:color w:val="000000"/>
        </w:rPr>
        <w:t>Completing this module has changed my understanding of creativity and value creation within health and social care. Before studying this module, I believed creativity mainly referred to artistic ability or inventing completely new ideas. I now understand that creativity also involves finding practical ways to improve services, solve problems and meet the changing needs of patients and service users.</w:t>
      </w:r>
    </w:p>
    <w:p w14:paraId="7DE69A00" w14:textId="77777777" w:rsidR="00DD678D" w:rsidRDefault="00DD678D" w:rsidP="00DD678D">
      <w:pPr>
        <w:pStyle w:val="NormalWeb"/>
        <w:rPr>
          <w:color w:val="000000"/>
        </w:rPr>
      </w:pPr>
      <w:r>
        <w:rPr>
          <w:color w:val="000000"/>
        </w:rPr>
        <w:t>Throughout the different activities, I learned that innovation does not always require large-scale changes. Small improvements, such as introducing digital technologies, improving communication or redesigning services around patient needs, can have a significant impact on the quality of care. I also developed a better understanding of value creation, recognising that successful innovations should improve patient experiences, promote independence, enhance wellbeing and make better use of available resources rather than simply reducing costs.</w:t>
      </w:r>
    </w:p>
    <w:p w14:paraId="12AEF19B" w14:textId="77777777" w:rsidR="00DD678D" w:rsidRDefault="00DD678D" w:rsidP="00DD678D">
      <w:pPr>
        <w:pStyle w:val="NormalWeb"/>
        <w:rPr>
          <w:color w:val="000000"/>
        </w:rPr>
      </w:pPr>
      <w:r>
        <w:rPr>
          <w:color w:val="000000"/>
        </w:rPr>
        <w:t>This module has also influenced how I will approach my future professional practice. I understand the importance of working collaboratively with colleagues, listening to service users and remaining open to new ideas that can improve health and social care services. I will aim to use creative thinking when solving problems while ensuring that any changes remain person-centred, evidence-based and realistic. Overall, this module has increased my confidence and shown me how creativity and innovation can contribute to delivering safer, higher-quality care while creating meaningful value for individuals, organisations and wider communities (NHS England, 2023; West et al., 2017).</w:t>
      </w:r>
    </w:p>
    <w:p w14:paraId="14BBDC4C" w14:textId="5A5645FB" w:rsidR="1D4C7ABC" w:rsidRDefault="1D4C7ABC" w:rsidP="47853A3C">
      <w:pPr>
        <w:rPr>
          <w:rFonts w:ascii="Arial Nova" w:eastAsia="Arial Nova" w:hAnsi="Arial Nova" w:cs="Arial Nova"/>
          <w:i/>
          <w:iCs/>
          <w:color w:val="FF0000"/>
        </w:rPr>
      </w:pP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129B458C" w14:textId="77777777" w:rsidR="0011016D" w:rsidRDefault="0011016D" w:rsidP="0011016D">
      <w:pPr>
        <w:pStyle w:val="Heading1"/>
        <w:rPr>
          <w:color w:val="000000"/>
        </w:rPr>
      </w:pPr>
      <w:r>
        <w:rPr>
          <w:color w:val="000000"/>
        </w:rPr>
        <w:lastRenderedPageBreak/>
        <w:t>Reference List</w:t>
      </w:r>
    </w:p>
    <w:p w14:paraId="69C7CEFE" w14:textId="77777777" w:rsidR="0011016D" w:rsidRDefault="0011016D" w:rsidP="0011016D">
      <w:pPr>
        <w:pStyle w:val="NormalWeb"/>
        <w:rPr>
          <w:color w:val="000000"/>
        </w:rPr>
      </w:pPr>
      <w:r>
        <w:rPr>
          <w:color w:val="000000"/>
        </w:rPr>
        <w:t>Care Quality Commission (2021)</w:t>
      </w:r>
      <w:r>
        <w:rPr>
          <w:rStyle w:val="apple-converted-space"/>
          <w:rFonts w:eastAsiaTheme="majorEastAsia"/>
          <w:color w:val="000000"/>
        </w:rPr>
        <w:t> </w:t>
      </w:r>
      <w:r>
        <w:rPr>
          <w:rStyle w:val="Emphasis"/>
          <w:rFonts w:eastAsiaTheme="majorEastAsia"/>
          <w:color w:val="000000"/>
        </w:rPr>
        <w:t>Enabling innovation and adoption in health and social care: Developing a shared view</w:t>
      </w:r>
      <w:r>
        <w:rPr>
          <w:color w:val="000000"/>
        </w:rPr>
        <w:t>. Available at:</w:t>
      </w:r>
      <w:r>
        <w:rPr>
          <w:rStyle w:val="apple-converted-space"/>
          <w:rFonts w:eastAsiaTheme="majorEastAsia"/>
          <w:color w:val="000000"/>
        </w:rPr>
        <w:t> </w:t>
      </w:r>
      <w:hyperlink r:id="rId14" w:tgtFrame="_new" w:history="1">
        <w:r>
          <w:rPr>
            <w:rStyle w:val="Hyperlink"/>
            <w:rFonts w:eastAsiaTheme="majorEastAsia"/>
          </w:rPr>
          <w:t>https://www.cqc.org.uk/publications/themes-care/enabling-innovation-adoption-health-social-care-developing-shared-view</w:t>
        </w:r>
      </w:hyperlink>
      <w:r>
        <w:rPr>
          <w:rStyle w:val="apple-converted-space"/>
          <w:rFonts w:eastAsiaTheme="majorEastAsia"/>
          <w:color w:val="000000"/>
        </w:rPr>
        <w:t> </w:t>
      </w:r>
      <w:r>
        <w:rPr>
          <w:color w:val="000000"/>
        </w:rPr>
        <w:t>(Accessed: 30 June 2026).</w:t>
      </w:r>
    </w:p>
    <w:p w14:paraId="315CDCE3" w14:textId="77777777" w:rsidR="0011016D" w:rsidRDefault="0011016D" w:rsidP="0011016D">
      <w:pPr>
        <w:pStyle w:val="NormalWeb"/>
        <w:rPr>
          <w:color w:val="000000"/>
        </w:rPr>
      </w:pPr>
      <w:r>
        <w:rPr>
          <w:color w:val="000000"/>
        </w:rPr>
        <w:t>East, K.A., Reid, J.L., Burkhalter, R., O'Connor, R.J. and Hammond, D. (2024) ‘Youth vaping and smoking behaviours’,</w:t>
      </w:r>
      <w:r>
        <w:rPr>
          <w:rStyle w:val="apple-converted-space"/>
          <w:rFonts w:eastAsiaTheme="majorEastAsia"/>
          <w:color w:val="000000"/>
        </w:rPr>
        <w:t> </w:t>
      </w:r>
      <w:r>
        <w:rPr>
          <w:rStyle w:val="Emphasis"/>
          <w:rFonts w:eastAsiaTheme="majorEastAsia"/>
          <w:color w:val="000000"/>
        </w:rPr>
        <w:t>Tobacco Control</w:t>
      </w:r>
      <w:r>
        <w:rPr>
          <w:color w:val="000000"/>
        </w:rPr>
        <w:t>. Available at:</w:t>
      </w:r>
      <w:r>
        <w:rPr>
          <w:rStyle w:val="apple-converted-space"/>
          <w:rFonts w:eastAsiaTheme="majorEastAsia"/>
          <w:color w:val="000000"/>
        </w:rPr>
        <w:t> </w:t>
      </w:r>
      <w:hyperlink r:id="rId15" w:tgtFrame="_new" w:history="1">
        <w:r>
          <w:rPr>
            <w:rStyle w:val="Hyperlink"/>
            <w:rFonts w:eastAsiaTheme="majorEastAsia"/>
          </w:rPr>
          <w:t>https://tobaccocontrol.bmj.com/</w:t>
        </w:r>
      </w:hyperlink>
      <w:r>
        <w:rPr>
          <w:rStyle w:val="apple-converted-space"/>
          <w:rFonts w:eastAsiaTheme="majorEastAsia"/>
          <w:color w:val="000000"/>
        </w:rPr>
        <w:t> </w:t>
      </w:r>
      <w:r>
        <w:rPr>
          <w:color w:val="000000"/>
        </w:rPr>
        <w:t>(Accessed: 30 June 2026).</w:t>
      </w:r>
    </w:p>
    <w:p w14:paraId="5292B88C" w14:textId="77777777" w:rsidR="0011016D" w:rsidRDefault="0011016D" w:rsidP="0011016D">
      <w:pPr>
        <w:pStyle w:val="NormalWeb"/>
        <w:rPr>
          <w:color w:val="000000"/>
        </w:rPr>
      </w:pPr>
      <w:r>
        <w:rPr>
          <w:color w:val="000000"/>
        </w:rPr>
        <w:t>Gibbs, G. (1988)</w:t>
      </w:r>
      <w:r>
        <w:rPr>
          <w:rStyle w:val="apple-converted-space"/>
          <w:rFonts w:eastAsiaTheme="majorEastAsia"/>
          <w:color w:val="000000"/>
        </w:rPr>
        <w:t> </w:t>
      </w:r>
      <w:r>
        <w:rPr>
          <w:rStyle w:val="Emphasis"/>
          <w:rFonts w:eastAsiaTheme="majorEastAsia"/>
          <w:color w:val="000000"/>
        </w:rPr>
        <w:t>Learning by Doing: A Guide to Teaching and Learning Methods</w:t>
      </w:r>
      <w:r>
        <w:rPr>
          <w:color w:val="000000"/>
        </w:rPr>
        <w:t>. Oxford: Oxford Polytechnic.</w:t>
      </w:r>
    </w:p>
    <w:p w14:paraId="61BEA2A8" w14:textId="77777777" w:rsidR="0011016D" w:rsidRDefault="0011016D" w:rsidP="0011016D">
      <w:pPr>
        <w:pStyle w:val="NormalWeb"/>
        <w:rPr>
          <w:color w:val="000000"/>
        </w:rPr>
      </w:pPr>
      <w:r>
        <w:rPr>
          <w:color w:val="000000"/>
        </w:rPr>
        <w:t>Hammond, D., Reid, J.L., Burkhalter, R., O'Connor, R.J. and East, K.A. (2023) ‘Perceptions and use of e-cigarettes among youth’,</w:t>
      </w:r>
      <w:r>
        <w:rPr>
          <w:rStyle w:val="apple-converted-space"/>
          <w:rFonts w:eastAsiaTheme="majorEastAsia"/>
          <w:color w:val="000000"/>
        </w:rPr>
        <w:t> </w:t>
      </w:r>
      <w:r>
        <w:rPr>
          <w:rStyle w:val="Emphasis"/>
          <w:rFonts w:eastAsiaTheme="majorEastAsia"/>
          <w:color w:val="000000"/>
        </w:rPr>
        <w:t>Tobacco Control</w:t>
      </w:r>
      <w:r>
        <w:rPr>
          <w:color w:val="000000"/>
        </w:rPr>
        <w:t>. Available at:</w:t>
      </w:r>
      <w:r>
        <w:rPr>
          <w:rStyle w:val="apple-converted-space"/>
          <w:rFonts w:eastAsiaTheme="majorEastAsia"/>
          <w:color w:val="000000"/>
        </w:rPr>
        <w:t> </w:t>
      </w:r>
      <w:hyperlink r:id="rId16" w:tgtFrame="_new" w:history="1">
        <w:r>
          <w:rPr>
            <w:rStyle w:val="Hyperlink"/>
            <w:rFonts w:eastAsiaTheme="majorEastAsia"/>
          </w:rPr>
          <w:t>https://tobaccocontrol.bmj.com/</w:t>
        </w:r>
      </w:hyperlink>
      <w:r>
        <w:rPr>
          <w:rStyle w:val="apple-converted-space"/>
          <w:rFonts w:eastAsiaTheme="majorEastAsia"/>
          <w:color w:val="000000"/>
        </w:rPr>
        <w:t> </w:t>
      </w:r>
      <w:r>
        <w:rPr>
          <w:color w:val="000000"/>
        </w:rPr>
        <w:t>(Accessed: 30 June 2026).</w:t>
      </w:r>
    </w:p>
    <w:p w14:paraId="6972F207" w14:textId="77777777" w:rsidR="0011016D" w:rsidRDefault="0011016D" w:rsidP="0011016D">
      <w:pPr>
        <w:pStyle w:val="NormalWeb"/>
        <w:rPr>
          <w:color w:val="000000"/>
        </w:rPr>
      </w:pPr>
      <w:r>
        <w:rPr>
          <w:color w:val="000000"/>
        </w:rPr>
        <w:t>Imperial College Healthcare NHS Trust (2024)</w:t>
      </w:r>
      <w:r>
        <w:rPr>
          <w:rStyle w:val="apple-converted-space"/>
          <w:rFonts w:eastAsiaTheme="majorEastAsia"/>
          <w:color w:val="000000"/>
        </w:rPr>
        <w:t> </w:t>
      </w:r>
      <w:r>
        <w:rPr>
          <w:rStyle w:val="Emphasis"/>
          <w:rFonts w:eastAsiaTheme="majorEastAsia"/>
          <w:color w:val="000000"/>
        </w:rPr>
        <w:t>Remote monitoring of heart attack patients significantly reduced hospital readmissions</w:t>
      </w:r>
      <w:r>
        <w:rPr>
          <w:color w:val="000000"/>
        </w:rPr>
        <w:t>. Available at:</w:t>
      </w:r>
      <w:r>
        <w:rPr>
          <w:rStyle w:val="apple-converted-space"/>
          <w:rFonts w:eastAsiaTheme="majorEastAsia"/>
          <w:color w:val="000000"/>
        </w:rPr>
        <w:t> </w:t>
      </w:r>
      <w:hyperlink r:id="rId17" w:tgtFrame="_new" w:history="1">
        <w:r>
          <w:rPr>
            <w:rStyle w:val="Hyperlink"/>
            <w:rFonts w:eastAsiaTheme="majorEastAsia"/>
          </w:rPr>
          <w:t>https://www.imperial.nhs.uk/about-us/news/remote-monitoring-of-heart-attack-patients-significantly-reduced-hospital-readmissions</w:t>
        </w:r>
      </w:hyperlink>
      <w:r>
        <w:rPr>
          <w:rStyle w:val="apple-converted-space"/>
          <w:rFonts w:eastAsiaTheme="majorEastAsia"/>
          <w:color w:val="000000"/>
        </w:rPr>
        <w:t> </w:t>
      </w:r>
      <w:r>
        <w:rPr>
          <w:color w:val="000000"/>
        </w:rPr>
        <w:t>(Accessed: 30 June 2026).</w:t>
      </w:r>
    </w:p>
    <w:p w14:paraId="79BBDF11" w14:textId="77777777" w:rsidR="0011016D" w:rsidRDefault="0011016D" w:rsidP="0011016D">
      <w:pPr>
        <w:pStyle w:val="NormalWeb"/>
        <w:rPr>
          <w:color w:val="000000"/>
        </w:rPr>
      </w:pPr>
      <w:r>
        <w:rPr>
          <w:color w:val="000000"/>
        </w:rPr>
        <w:t>NHS England (2023)</w:t>
      </w:r>
      <w:r>
        <w:rPr>
          <w:rStyle w:val="apple-converted-space"/>
          <w:rFonts w:eastAsiaTheme="majorEastAsia"/>
          <w:color w:val="000000"/>
        </w:rPr>
        <w:t> </w:t>
      </w:r>
      <w:r>
        <w:rPr>
          <w:rStyle w:val="Emphasis"/>
          <w:rFonts w:eastAsiaTheme="majorEastAsia"/>
          <w:color w:val="000000"/>
        </w:rPr>
        <w:t>NHS Long Term Workforce Plan</w:t>
      </w:r>
      <w:r>
        <w:rPr>
          <w:color w:val="000000"/>
        </w:rPr>
        <w:t>. Available at:</w:t>
      </w:r>
      <w:r>
        <w:rPr>
          <w:rStyle w:val="apple-converted-space"/>
          <w:rFonts w:eastAsiaTheme="majorEastAsia"/>
          <w:color w:val="000000"/>
        </w:rPr>
        <w:t> </w:t>
      </w:r>
      <w:hyperlink r:id="rId18" w:tgtFrame="_new" w:history="1">
        <w:r>
          <w:rPr>
            <w:rStyle w:val="Hyperlink"/>
            <w:rFonts w:eastAsiaTheme="majorEastAsia"/>
          </w:rPr>
          <w:t>https://www.england.nhs.uk/long-read/nhs-long-term-workforce-plan/</w:t>
        </w:r>
      </w:hyperlink>
      <w:r>
        <w:rPr>
          <w:rStyle w:val="apple-converted-space"/>
          <w:rFonts w:eastAsiaTheme="majorEastAsia"/>
          <w:color w:val="000000"/>
        </w:rPr>
        <w:t> </w:t>
      </w:r>
      <w:r>
        <w:rPr>
          <w:color w:val="000000"/>
        </w:rPr>
        <w:t>(Accessed: 30 June 2026).</w:t>
      </w:r>
    </w:p>
    <w:p w14:paraId="376977ED" w14:textId="77777777" w:rsidR="0011016D" w:rsidRDefault="0011016D" w:rsidP="0011016D">
      <w:pPr>
        <w:pStyle w:val="NormalWeb"/>
        <w:rPr>
          <w:color w:val="000000"/>
        </w:rPr>
      </w:pPr>
      <w:r>
        <w:rPr>
          <w:color w:val="000000"/>
        </w:rPr>
        <w:t>NHS Leadership Academy (2013)</w:t>
      </w:r>
      <w:r>
        <w:rPr>
          <w:rStyle w:val="apple-converted-space"/>
          <w:rFonts w:eastAsiaTheme="majorEastAsia"/>
          <w:color w:val="000000"/>
        </w:rPr>
        <w:t> </w:t>
      </w:r>
      <w:r>
        <w:rPr>
          <w:rStyle w:val="Emphasis"/>
          <w:rFonts w:eastAsiaTheme="majorEastAsia"/>
          <w:color w:val="000000"/>
        </w:rPr>
        <w:t>Healthcare Leadership Model</w:t>
      </w:r>
      <w:r>
        <w:rPr>
          <w:color w:val="000000"/>
        </w:rPr>
        <w:t>. Leeds: NHS Leadership Academy. Available at:</w:t>
      </w:r>
      <w:r>
        <w:rPr>
          <w:rStyle w:val="apple-converted-space"/>
          <w:rFonts w:eastAsiaTheme="majorEastAsia"/>
          <w:color w:val="000000"/>
        </w:rPr>
        <w:t> </w:t>
      </w:r>
      <w:hyperlink r:id="rId19" w:tgtFrame="_new" w:history="1">
        <w:r>
          <w:rPr>
            <w:rStyle w:val="Hyperlink"/>
            <w:rFonts w:eastAsiaTheme="majorEastAsia"/>
          </w:rPr>
          <w:t>https://www.leadershipacademy.nhs.uk/resources/healthcare-leadership-model/</w:t>
        </w:r>
      </w:hyperlink>
      <w:r>
        <w:rPr>
          <w:rStyle w:val="apple-converted-space"/>
          <w:rFonts w:eastAsiaTheme="majorEastAsia"/>
          <w:color w:val="000000"/>
        </w:rPr>
        <w:t> </w:t>
      </w:r>
      <w:r>
        <w:rPr>
          <w:color w:val="000000"/>
        </w:rPr>
        <w:t>(Accessed: 30 June 2026).</w:t>
      </w:r>
    </w:p>
    <w:p w14:paraId="642A9663" w14:textId="77777777" w:rsidR="0011016D" w:rsidRDefault="0011016D" w:rsidP="0011016D">
      <w:pPr>
        <w:pStyle w:val="NormalWeb"/>
        <w:rPr>
          <w:color w:val="000000"/>
        </w:rPr>
      </w:pPr>
      <w:r>
        <w:rPr>
          <w:color w:val="000000"/>
        </w:rPr>
        <w:t>West, M., Eckert, R., Collins, B. and Chowla, R. (2017)</w:t>
      </w:r>
      <w:r>
        <w:rPr>
          <w:rStyle w:val="apple-converted-space"/>
          <w:rFonts w:eastAsiaTheme="majorEastAsia"/>
          <w:color w:val="000000"/>
        </w:rPr>
        <w:t> </w:t>
      </w:r>
      <w:r>
        <w:rPr>
          <w:rStyle w:val="Emphasis"/>
          <w:rFonts w:eastAsiaTheme="majorEastAsia"/>
          <w:color w:val="000000"/>
        </w:rPr>
        <w:t>Caring to Change: How Compassionate Leadership Can Stimulate Innovation in Health Care</w:t>
      </w:r>
      <w:r>
        <w:rPr>
          <w:color w:val="000000"/>
        </w:rPr>
        <w:t>. London: The King's Fund. Available at:</w:t>
      </w:r>
      <w:r>
        <w:rPr>
          <w:rStyle w:val="apple-converted-space"/>
          <w:rFonts w:eastAsiaTheme="majorEastAsia"/>
          <w:color w:val="000000"/>
        </w:rPr>
        <w:t> </w:t>
      </w:r>
      <w:hyperlink r:id="rId20" w:tgtFrame="_new" w:history="1">
        <w:r>
          <w:rPr>
            <w:rStyle w:val="Hyperlink"/>
            <w:rFonts w:eastAsiaTheme="majorEastAsia"/>
          </w:rPr>
          <w:t>https://www.kingsfund.org.uk/publications/caring-change</w:t>
        </w:r>
      </w:hyperlink>
      <w:r>
        <w:rPr>
          <w:rStyle w:val="apple-converted-space"/>
          <w:rFonts w:eastAsiaTheme="majorEastAsia"/>
          <w:color w:val="000000"/>
        </w:rPr>
        <w:t> </w:t>
      </w:r>
      <w:r>
        <w:rPr>
          <w:color w:val="000000"/>
        </w:rPr>
        <w:t>(Accessed: 30 June 2026).</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07240" w14:textId="77777777" w:rsidR="001E2899" w:rsidRDefault="001E2899" w:rsidP="00255A0D">
      <w:pPr>
        <w:spacing w:after="0" w:line="240" w:lineRule="auto"/>
      </w:pPr>
      <w:r>
        <w:separator/>
      </w:r>
    </w:p>
  </w:endnote>
  <w:endnote w:type="continuationSeparator" w:id="0">
    <w:p w14:paraId="6D89FF92" w14:textId="77777777" w:rsidR="001E2899" w:rsidRDefault="001E289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5FCF2" w14:textId="77777777" w:rsidR="001E2899" w:rsidRDefault="001E2899" w:rsidP="00255A0D">
      <w:pPr>
        <w:spacing w:after="0" w:line="240" w:lineRule="auto"/>
      </w:pPr>
      <w:r>
        <w:separator/>
      </w:r>
    </w:p>
  </w:footnote>
  <w:footnote w:type="continuationSeparator" w:id="0">
    <w:p w14:paraId="33A1F72A" w14:textId="77777777" w:rsidR="001E2899" w:rsidRDefault="001E289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6117C"/>
    <w:rsid w:val="00094EFD"/>
    <w:rsid w:val="0011016D"/>
    <w:rsid w:val="00190243"/>
    <w:rsid w:val="001A0E8E"/>
    <w:rsid w:val="001C40BE"/>
    <w:rsid w:val="001E2899"/>
    <w:rsid w:val="00255A0D"/>
    <w:rsid w:val="00337274"/>
    <w:rsid w:val="00352BC6"/>
    <w:rsid w:val="00437A1B"/>
    <w:rsid w:val="00456C61"/>
    <w:rsid w:val="004F15FD"/>
    <w:rsid w:val="00563EB8"/>
    <w:rsid w:val="00577423"/>
    <w:rsid w:val="0077447C"/>
    <w:rsid w:val="007F0718"/>
    <w:rsid w:val="008516B9"/>
    <w:rsid w:val="008F2FE9"/>
    <w:rsid w:val="009C5459"/>
    <w:rsid w:val="00A02A90"/>
    <w:rsid w:val="00A507D8"/>
    <w:rsid w:val="00B24B3B"/>
    <w:rsid w:val="00BB7017"/>
    <w:rsid w:val="00CA384C"/>
    <w:rsid w:val="00CD3F53"/>
    <w:rsid w:val="00DC2ECF"/>
    <w:rsid w:val="00DC4BEB"/>
    <w:rsid w:val="00DD678D"/>
    <w:rsid w:val="00E208D5"/>
    <w:rsid w:val="00E27A2D"/>
    <w:rsid w:val="00EF59D8"/>
    <w:rsid w:val="00F56C79"/>
    <w:rsid w:val="00F73155"/>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F73155"/>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F73155"/>
  </w:style>
  <w:style w:type="paragraph" w:customStyle="1" w:styleId="isselectedend">
    <w:name w:val="isselectedend"/>
    <w:basedOn w:val="Normal"/>
    <w:rsid w:val="008516B9"/>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77447C"/>
    <w:rPr>
      <w:b/>
      <w:bCs/>
    </w:rPr>
  </w:style>
  <w:style w:type="character" w:styleId="UnresolvedMention">
    <w:name w:val="Unresolved Mention"/>
    <w:basedOn w:val="DefaultParagraphFont"/>
    <w:uiPriority w:val="99"/>
    <w:semiHidden/>
    <w:unhideWhenUsed/>
    <w:rsid w:val="0077447C"/>
    <w:rPr>
      <w:color w:val="605E5C"/>
      <w:shd w:val="clear" w:color="auto" w:fill="E1DFDD"/>
    </w:rPr>
  </w:style>
  <w:style w:type="character" w:styleId="Emphasis">
    <w:name w:val="Emphasis"/>
    <w:basedOn w:val="DefaultParagraphFont"/>
    <w:uiPriority w:val="20"/>
    <w:qFormat/>
    <w:rsid w:val="007744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948759">
      <w:bodyDiv w:val="1"/>
      <w:marLeft w:val="0"/>
      <w:marRight w:val="0"/>
      <w:marTop w:val="0"/>
      <w:marBottom w:val="0"/>
      <w:divBdr>
        <w:top w:val="none" w:sz="0" w:space="0" w:color="auto"/>
        <w:left w:val="none" w:sz="0" w:space="0" w:color="auto"/>
        <w:bottom w:val="none" w:sz="0" w:space="0" w:color="auto"/>
        <w:right w:val="none" w:sz="0" w:space="0" w:color="auto"/>
      </w:divBdr>
    </w:div>
    <w:div w:id="171338529">
      <w:bodyDiv w:val="1"/>
      <w:marLeft w:val="0"/>
      <w:marRight w:val="0"/>
      <w:marTop w:val="0"/>
      <w:marBottom w:val="0"/>
      <w:divBdr>
        <w:top w:val="none" w:sz="0" w:space="0" w:color="auto"/>
        <w:left w:val="none" w:sz="0" w:space="0" w:color="auto"/>
        <w:bottom w:val="none" w:sz="0" w:space="0" w:color="auto"/>
        <w:right w:val="none" w:sz="0" w:space="0" w:color="auto"/>
      </w:divBdr>
    </w:div>
    <w:div w:id="817766819">
      <w:bodyDiv w:val="1"/>
      <w:marLeft w:val="0"/>
      <w:marRight w:val="0"/>
      <w:marTop w:val="0"/>
      <w:marBottom w:val="0"/>
      <w:divBdr>
        <w:top w:val="none" w:sz="0" w:space="0" w:color="auto"/>
        <w:left w:val="none" w:sz="0" w:space="0" w:color="auto"/>
        <w:bottom w:val="none" w:sz="0" w:space="0" w:color="auto"/>
        <w:right w:val="none" w:sz="0" w:space="0" w:color="auto"/>
      </w:divBdr>
      <w:divsChild>
        <w:div w:id="1053504236">
          <w:marLeft w:val="0"/>
          <w:marRight w:val="0"/>
          <w:marTop w:val="0"/>
          <w:marBottom w:val="0"/>
          <w:divBdr>
            <w:top w:val="none" w:sz="0" w:space="0" w:color="auto"/>
            <w:left w:val="none" w:sz="0" w:space="0" w:color="auto"/>
            <w:bottom w:val="none" w:sz="0" w:space="0" w:color="auto"/>
            <w:right w:val="none" w:sz="0" w:space="0" w:color="auto"/>
          </w:divBdr>
        </w:div>
      </w:divsChild>
    </w:div>
    <w:div w:id="955404731">
      <w:bodyDiv w:val="1"/>
      <w:marLeft w:val="0"/>
      <w:marRight w:val="0"/>
      <w:marTop w:val="0"/>
      <w:marBottom w:val="0"/>
      <w:divBdr>
        <w:top w:val="none" w:sz="0" w:space="0" w:color="auto"/>
        <w:left w:val="none" w:sz="0" w:space="0" w:color="auto"/>
        <w:bottom w:val="none" w:sz="0" w:space="0" w:color="auto"/>
        <w:right w:val="none" w:sz="0" w:space="0" w:color="auto"/>
      </w:divBdr>
    </w:div>
    <w:div w:id="1063060381">
      <w:bodyDiv w:val="1"/>
      <w:marLeft w:val="0"/>
      <w:marRight w:val="0"/>
      <w:marTop w:val="0"/>
      <w:marBottom w:val="0"/>
      <w:divBdr>
        <w:top w:val="none" w:sz="0" w:space="0" w:color="auto"/>
        <w:left w:val="none" w:sz="0" w:space="0" w:color="auto"/>
        <w:bottom w:val="none" w:sz="0" w:space="0" w:color="auto"/>
        <w:right w:val="none" w:sz="0" w:space="0" w:color="auto"/>
      </w:divBdr>
    </w:div>
    <w:div w:id="1856335536">
      <w:bodyDiv w:val="1"/>
      <w:marLeft w:val="0"/>
      <w:marRight w:val="0"/>
      <w:marTop w:val="0"/>
      <w:marBottom w:val="0"/>
      <w:divBdr>
        <w:top w:val="none" w:sz="0" w:space="0" w:color="auto"/>
        <w:left w:val="none" w:sz="0" w:space="0" w:color="auto"/>
        <w:bottom w:val="none" w:sz="0" w:space="0" w:color="auto"/>
        <w:right w:val="none" w:sz="0" w:space="0" w:color="auto"/>
      </w:divBdr>
      <w:divsChild>
        <w:div w:id="1251356445">
          <w:marLeft w:val="0"/>
          <w:marRight w:val="0"/>
          <w:marTop w:val="0"/>
          <w:marBottom w:val="0"/>
          <w:divBdr>
            <w:top w:val="none" w:sz="0" w:space="0" w:color="auto"/>
            <w:left w:val="none" w:sz="0" w:space="0" w:color="auto"/>
            <w:bottom w:val="none" w:sz="0" w:space="0" w:color="auto"/>
            <w:right w:val="none" w:sz="0" w:space="0" w:color="auto"/>
          </w:divBdr>
        </w:div>
      </w:divsChild>
    </w:div>
    <w:div w:id="2010477271">
      <w:bodyDiv w:val="1"/>
      <w:marLeft w:val="0"/>
      <w:marRight w:val="0"/>
      <w:marTop w:val="0"/>
      <w:marBottom w:val="0"/>
      <w:divBdr>
        <w:top w:val="none" w:sz="0" w:space="0" w:color="auto"/>
        <w:left w:val="none" w:sz="0" w:space="0" w:color="auto"/>
        <w:bottom w:val="none" w:sz="0" w:space="0" w:color="auto"/>
        <w:right w:val="none" w:sz="0" w:space="0" w:color="auto"/>
      </w:divBdr>
    </w:div>
    <w:div w:id="2027904255">
      <w:bodyDiv w:val="1"/>
      <w:marLeft w:val="0"/>
      <w:marRight w:val="0"/>
      <w:marTop w:val="0"/>
      <w:marBottom w:val="0"/>
      <w:divBdr>
        <w:top w:val="none" w:sz="0" w:space="0" w:color="auto"/>
        <w:left w:val="none" w:sz="0" w:space="0" w:color="auto"/>
        <w:bottom w:val="none" w:sz="0" w:space="0" w:color="auto"/>
        <w:right w:val="none" w:sz="0" w:space="0" w:color="auto"/>
      </w:divBdr>
    </w:div>
    <w:div w:id="205114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file:///Users/rayray/Downloads/my-recording.mp3" TargetMode="External"/><Relationship Id="rId18" Type="http://schemas.openxmlformats.org/officeDocument/2006/relationships/hyperlink" Target="https://www.england.nhs.uk/long-read/nhs-long-term-workforce-pla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styles" Target="styles.xml"/><Relationship Id="rId16" Type="http://schemas.openxmlformats.org/officeDocument/2006/relationships/hyperlink" Target="https://tobaccocontrol.bmj.com/" TargetMode="External"/><Relationship Id="rId20" Type="http://schemas.openxmlformats.org/officeDocument/2006/relationships/hyperlink" Target="https://www.kingsfund.org.uk/publications/caring-chan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tobaccocontrol.bmj.com/" TargetMode="External"/><Relationship Id="rId10" Type="http://schemas.openxmlformats.org/officeDocument/2006/relationships/diagramQuickStyle" Target="diagrams/quickStyle1.xml"/><Relationship Id="rId19" Type="http://schemas.openxmlformats.org/officeDocument/2006/relationships/hyperlink" Target="https://www.leadershipacademy.nhs.uk/resources/healthcare-leadership-model/"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cqc.org.uk/publications/themes-care/enabling-innovation-adoption-health-social-care-developing-shared-view"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CD8663-72AA-1D4F-B757-D47409AF0C2E}" type="doc">
      <dgm:prSet loTypeId="urn:microsoft.com/office/officeart/2008/layout/RadialCluster" loCatId="" qsTypeId="urn:microsoft.com/office/officeart/2005/8/quickstyle/simple1" qsCatId="simple" csTypeId="urn:microsoft.com/office/officeart/2005/8/colors/accent1_2" csCatId="accent1" phldr="1"/>
      <dgm:spPr/>
      <dgm:t>
        <a:bodyPr/>
        <a:lstStyle/>
        <a:p>
          <a:endParaRPr lang="en-GB"/>
        </a:p>
      </dgm:t>
    </dgm:pt>
    <dgm:pt modelId="{63077231-38BA-D449-AE78-B57BE1DB2473}">
      <dgm:prSet phldrT="[Text]"/>
      <dgm:spPr/>
      <dgm:t>
        <a:bodyPr/>
        <a:lstStyle/>
        <a:p>
          <a:r>
            <a:rPr lang="en-GB"/>
            <a:t>Creativity</a:t>
          </a:r>
        </a:p>
      </dgm:t>
    </dgm:pt>
    <dgm:pt modelId="{874F0B9D-45A5-BE4F-A9D2-0A21192457AE}" type="parTrans" cxnId="{6657D124-473B-CF44-B90E-C5FB4AED40E7}">
      <dgm:prSet/>
      <dgm:spPr/>
      <dgm:t>
        <a:bodyPr/>
        <a:lstStyle/>
        <a:p>
          <a:endParaRPr lang="en-GB"/>
        </a:p>
      </dgm:t>
    </dgm:pt>
    <dgm:pt modelId="{F40340C8-8251-6745-A26A-912249575386}" type="sibTrans" cxnId="{6657D124-473B-CF44-B90E-C5FB4AED40E7}">
      <dgm:prSet/>
      <dgm:spPr/>
      <dgm:t>
        <a:bodyPr/>
        <a:lstStyle/>
        <a:p>
          <a:endParaRPr lang="en-GB"/>
        </a:p>
      </dgm:t>
    </dgm:pt>
    <dgm:pt modelId="{F40D7CA0-B899-6E44-B35E-5AFDE54D3284}">
      <dgm:prSet phldrT="[Text]"/>
      <dgm:spPr/>
      <dgm:t>
        <a:bodyPr/>
        <a:lstStyle/>
        <a:p>
          <a:r>
            <a:rPr lang="en-GB"/>
            <a:t>Health &amp; Social Care</a:t>
          </a:r>
        </a:p>
        <a:p>
          <a:r>
            <a:rPr lang="en-GB"/>
            <a:t>Improvement</a:t>
          </a:r>
        </a:p>
      </dgm:t>
    </dgm:pt>
    <dgm:pt modelId="{8FD585CC-79FF-3942-A142-399C99BC3848}" type="parTrans" cxnId="{50021C3B-34A3-8349-BC14-8B61FB799F70}">
      <dgm:prSet/>
      <dgm:spPr/>
      <dgm:t>
        <a:bodyPr/>
        <a:lstStyle/>
        <a:p>
          <a:endParaRPr lang="en-GB"/>
        </a:p>
      </dgm:t>
    </dgm:pt>
    <dgm:pt modelId="{9CE2EAEE-4A43-0348-BDB6-2250C6DDDB0E}" type="sibTrans" cxnId="{50021C3B-34A3-8349-BC14-8B61FB799F70}">
      <dgm:prSet/>
      <dgm:spPr/>
      <dgm:t>
        <a:bodyPr/>
        <a:lstStyle/>
        <a:p>
          <a:endParaRPr lang="en-GB"/>
        </a:p>
      </dgm:t>
    </dgm:pt>
    <dgm:pt modelId="{DEFE51DF-B4D4-B845-A6B9-B077419BBCE4}">
      <dgm:prSet phldrT="[Text]"/>
      <dgm:spPr/>
      <dgm:t>
        <a:bodyPr/>
        <a:lstStyle/>
        <a:p>
          <a:r>
            <a:rPr lang="en-GB"/>
            <a:t>Value creation </a:t>
          </a:r>
        </a:p>
      </dgm:t>
    </dgm:pt>
    <dgm:pt modelId="{68E12D7C-F452-694B-A859-28734CE34CDC}" type="parTrans" cxnId="{2B433647-6B39-3146-9FF9-7C54AFE5A82E}">
      <dgm:prSet/>
      <dgm:spPr/>
      <dgm:t>
        <a:bodyPr/>
        <a:lstStyle/>
        <a:p>
          <a:endParaRPr lang="en-GB"/>
        </a:p>
      </dgm:t>
    </dgm:pt>
    <dgm:pt modelId="{1256B4B9-68A8-5844-B076-DD8BF7FF9F9F}" type="sibTrans" cxnId="{2B433647-6B39-3146-9FF9-7C54AFE5A82E}">
      <dgm:prSet/>
      <dgm:spPr/>
      <dgm:t>
        <a:bodyPr/>
        <a:lstStyle/>
        <a:p>
          <a:endParaRPr lang="en-GB"/>
        </a:p>
      </dgm:t>
    </dgm:pt>
    <dgm:pt modelId="{661997BE-F02F-2949-8F5C-AFD7EE569414}">
      <dgm:prSet phldrT="[Text]"/>
      <dgm:spPr/>
      <dgm:t>
        <a:bodyPr/>
        <a:lstStyle/>
        <a:p>
          <a:r>
            <a:rPr lang="en-GB"/>
            <a:t>Improved Outcomes </a:t>
          </a:r>
        </a:p>
      </dgm:t>
    </dgm:pt>
    <dgm:pt modelId="{D63EF937-C6A5-9747-B719-7BDB1BDAB2EC}" type="parTrans" cxnId="{6F2BB419-21A8-D141-A767-17E934B673E7}">
      <dgm:prSet/>
      <dgm:spPr/>
      <dgm:t>
        <a:bodyPr/>
        <a:lstStyle/>
        <a:p>
          <a:endParaRPr lang="en-GB"/>
        </a:p>
      </dgm:t>
    </dgm:pt>
    <dgm:pt modelId="{C1A299F0-C648-C247-B782-580DBD2B79A2}" type="sibTrans" cxnId="{6F2BB419-21A8-D141-A767-17E934B673E7}">
      <dgm:prSet/>
      <dgm:spPr/>
      <dgm:t>
        <a:bodyPr/>
        <a:lstStyle/>
        <a:p>
          <a:endParaRPr lang="en-GB"/>
        </a:p>
      </dgm:t>
    </dgm:pt>
    <dgm:pt modelId="{06FE0B8A-7591-B148-B17F-471FACFB31BE}">
      <dgm:prSet/>
      <dgm:spPr/>
      <dgm:t>
        <a:bodyPr/>
        <a:lstStyle/>
        <a:p>
          <a:r>
            <a:rPr lang="en-GB"/>
            <a:t>Person- centred care</a:t>
          </a:r>
        </a:p>
      </dgm:t>
    </dgm:pt>
    <dgm:pt modelId="{7E7C3F66-C0FC-2F4E-9264-CDCD0F46B332}" type="parTrans" cxnId="{F900E99A-ED84-F145-9C29-4DF82FA1FE2F}">
      <dgm:prSet/>
      <dgm:spPr/>
      <dgm:t>
        <a:bodyPr/>
        <a:lstStyle/>
        <a:p>
          <a:endParaRPr lang="en-GB"/>
        </a:p>
      </dgm:t>
    </dgm:pt>
    <dgm:pt modelId="{6C200CDF-038C-5C4D-9BEC-A31000D8F5F7}" type="sibTrans" cxnId="{F900E99A-ED84-F145-9C29-4DF82FA1FE2F}">
      <dgm:prSet/>
      <dgm:spPr/>
      <dgm:t>
        <a:bodyPr/>
        <a:lstStyle/>
        <a:p>
          <a:endParaRPr lang="en-GB"/>
        </a:p>
      </dgm:t>
    </dgm:pt>
    <dgm:pt modelId="{B1139F73-4079-D64F-94DE-B87363EF5A83}">
      <dgm:prSet/>
      <dgm:spPr/>
      <dgm:t>
        <a:bodyPr/>
        <a:lstStyle/>
        <a:p>
          <a:r>
            <a:rPr lang="en-GB"/>
            <a:t>Innovative ideas</a:t>
          </a:r>
        </a:p>
      </dgm:t>
    </dgm:pt>
    <dgm:pt modelId="{4FB2807A-44A6-8B40-8ADD-75DC790B79C3}" type="parTrans" cxnId="{C7D9BED4-C5D2-D949-85B3-EC395B7BF383}">
      <dgm:prSet/>
      <dgm:spPr/>
      <dgm:t>
        <a:bodyPr/>
        <a:lstStyle/>
        <a:p>
          <a:endParaRPr lang="en-GB"/>
        </a:p>
      </dgm:t>
    </dgm:pt>
    <dgm:pt modelId="{15CE614D-05DC-6245-8F27-451220652E65}" type="sibTrans" cxnId="{C7D9BED4-C5D2-D949-85B3-EC395B7BF383}">
      <dgm:prSet/>
      <dgm:spPr/>
      <dgm:t>
        <a:bodyPr/>
        <a:lstStyle/>
        <a:p>
          <a:endParaRPr lang="en-GB"/>
        </a:p>
      </dgm:t>
    </dgm:pt>
    <dgm:pt modelId="{F4BBFDDA-AA81-5F4E-B626-5A4F3CC3E221}" type="pres">
      <dgm:prSet presAssocID="{5DCD8663-72AA-1D4F-B757-D47409AF0C2E}" presName="Name0" presStyleCnt="0">
        <dgm:presLayoutVars>
          <dgm:chMax val="1"/>
          <dgm:chPref val="1"/>
          <dgm:dir/>
          <dgm:animOne val="branch"/>
          <dgm:animLvl val="lvl"/>
        </dgm:presLayoutVars>
      </dgm:prSet>
      <dgm:spPr/>
    </dgm:pt>
    <dgm:pt modelId="{D3B07A6C-8CDF-734F-8C74-6A21BC6AD77C}" type="pres">
      <dgm:prSet presAssocID="{63077231-38BA-D449-AE78-B57BE1DB2473}" presName="singleCycle" presStyleCnt="0"/>
      <dgm:spPr/>
    </dgm:pt>
    <dgm:pt modelId="{1006AC27-F829-9F4A-8862-2CD3B805A36B}" type="pres">
      <dgm:prSet presAssocID="{63077231-38BA-D449-AE78-B57BE1DB2473}" presName="singleCenter" presStyleLbl="node1" presStyleIdx="0" presStyleCnt="6" custScaleX="150551" custScaleY="64749" custLinFactNeighborX="446" custLinFactNeighborY="932">
        <dgm:presLayoutVars>
          <dgm:chMax val="7"/>
          <dgm:chPref val="7"/>
        </dgm:presLayoutVars>
      </dgm:prSet>
      <dgm:spPr/>
    </dgm:pt>
    <dgm:pt modelId="{8C2CA055-5C2D-1C46-9518-A3C9C7FFDA4E}" type="pres">
      <dgm:prSet presAssocID="{8FD585CC-79FF-3942-A142-399C99BC3848}" presName="Name56" presStyleLbl="parChTrans1D2" presStyleIdx="0" presStyleCnt="5"/>
      <dgm:spPr/>
    </dgm:pt>
    <dgm:pt modelId="{2884B411-4D53-9845-8D52-B1B5E88306F5}" type="pres">
      <dgm:prSet presAssocID="{F40D7CA0-B899-6E44-B35E-5AFDE54D3284}" presName="text0" presStyleLbl="node1" presStyleIdx="1" presStyleCnt="6" custScaleX="355366">
        <dgm:presLayoutVars>
          <dgm:bulletEnabled val="1"/>
        </dgm:presLayoutVars>
      </dgm:prSet>
      <dgm:spPr/>
    </dgm:pt>
    <dgm:pt modelId="{330FBAA0-0E04-D24E-A632-01CDCC611313}" type="pres">
      <dgm:prSet presAssocID="{68E12D7C-F452-694B-A859-28734CE34CDC}" presName="Name56" presStyleLbl="parChTrans1D2" presStyleIdx="1" presStyleCnt="5"/>
      <dgm:spPr/>
    </dgm:pt>
    <dgm:pt modelId="{610DB1C2-2C26-294C-A3EC-60D0E4FD6DC9}" type="pres">
      <dgm:prSet presAssocID="{DEFE51DF-B4D4-B845-A6B9-B077419BBCE4}" presName="text0" presStyleLbl="node1" presStyleIdx="2" presStyleCnt="6" custScaleX="221422" custScaleY="96470" custRadScaleRad="160520" custRadScaleInc="16130">
        <dgm:presLayoutVars>
          <dgm:bulletEnabled val="1"/>
        </dgm:presLayoutVars>
      </dgm:prSet>
      <dgm:spPr/>
    </dgm:pt>
    <dgm:pt modelId="{AB2F67FF-18AD-9340-8B6B-184043269C47}" type="pres">
      <dgm:prSet presAssocID="{D63EF937-C6A5-9747-B719-7BDB1BDAB2EC}" presName="Name56" presStyleLbl="parChTrans1D2" presStyleIdx="2" presStyleCnt="5"/>
      <dgm:spPr/>
    </dgm:pt>
    <dgm:pt modelId="{F7EE41CE-71AF-704F-91AB-800DC53A019C}" type="pres">
      <dgm:prSet presAssocID="{661997BE-F02F-2949-8F5C-AFD7EE569414}" presName="text0" presStyleLbl="node1" presStyleIdx="3" presStyleCnt="6" custScaleX="224413" custRadScaleRad="168444" custRadScaleInc="-65157">
        <dgm:presLayoutVars>
          <dgm:bulletEnabled val="1"/>
        </dgm:presLayoutVars>
      </dgm:prSet>
      <dgm:spPr/>
    </dgm:pt>
    <dgm:pt modelId="{D6979E78-4EAF-7A47-A0C0-150D7ED6DEED}" type="pres">
      <dgm:prSet presAssocID="{7E7C3F66-C0FC-2F4E-9264-CDCD0F46B332}" presName="Name56" presStyleLbl="parChTrans1D2" presStyleIdx="3" presStyleCnt="5"/>
      <dgm:spPr/>
    </dgm:pt>
    <dgm:pt modelId="{B2ABBFB9-D401-D54E-8AD9-E5D6F73D55F9}" type="pres">
      <dgm:prSet presAssocID="{06FE0B8A-7591-B148-B17F-471FACFB31BE}" presName="text0" presStyleLbl="node1" presStyleIdx="4" presStyleCnt="6" custScaleX="229121" custRadScaleRad="174041" custRadScaleInc="75718">
        <dgm:presLayoutVars>
          <dgm:bulletEnabled val="1"/>
        </dgm:presLayoutVars>
      </dgm:prSet>
      <dgm:spPr/>
    </dgm:pt>
    <dgm:pt modelId="{291DFC57-96AE-824D-9044-96DD4D2C06AA}" type="pres">
      <dgm:prSet presAssocID="{4FB2807A-44A6-8B40-8ADD-75DC790B79C3}" presName="Name56" presStyleLbl="parChTrans1D2" presStyleIdx="4" presStyleCnt="5"/>
      <dgm:spPr/>
    </dgm:pt>
    <dgm:pt modelId="{2C7EFE33-170A-C148-A29C-81FCE34BB523}" type="pres">
      <dgm:prSet presAssocID="{B1139F73-4079-D64F-94DE-B87363EF5A83}" presName="text0" presStyleLbl="node1" presStyleIdx="5" presStyleCnt="6" custScaleX="284084" custScaleY="96518" custRadScaleRad="197663" custRadScaleInc="-20786">
        <dgm:presLayoutVars>
          <dgm:bulletEnabled val="1"/>
        </dgm:presLayoutVars>
      </dgm:prSet>
      <dgm:spPr/>
    </dgm:pt>
  </dgm:ptLst>
  <dgm:cxnLst>
    <dgm:cxn modelId="{98E61213-9C46-9840-B9CE-A91C33F5A044}" type="presOf" srcId="{4FB2807A-44A6-8B40-8ADD-75DC790B79C3}" destId="{291DFC57-96AE-824D-9044-96DD4D2C06AA}" srcOrd="0" destOrd="0" presId="urn:microsoft.com/office/officeart/2008/layout/RadialCluster"/>
    <dgm:cxn modelId="{6F2BB419-21A8-D141-A767-17E934B673E7}" srcId="{63077231-38BA-D449-AE78-B57BE1DB2473}" destId="{661997BE-F02F-2949-8F5C-AFD7EE569414}" srcOrd="2" destOrd="0" parTransId="{D63EF937-C6A5-9747-B719-7BDB1BDAB2EC}" sibTransId="{C1A299F0-C648-C247-B782-580DBD2B79A2}"/>
    <dgm:cxn modelId="{6657D124-473B-CF44-B90E-C5FB4AED40E7}" srcId="{5DCD8663-72AA-1D4F-B757-D47409AF0C2E}" destId="{63077231-38BA-D449-AE78-B57BE1DB2473}" srcOrd="0" destOrd="0" parTransId="{874F0B9D-45A5-BE4F-A9D2-0A21192457AE}" sibTransId="{F40340C8-8251-6745-A26A-912249575386}"/>
    <dgm:cxn modelId="{F929BE2C-06FE-E94C-90DF-B440F43810D1}" type="presOf" srcId="{68E12D7C-F452-694B-A859-28734CE34CDC}" destId="{330FBAA0-0E04-D24E-A632-01CDCC611313}" srcOrd="0" destOrd="0" presId="urn:microsoft.com/office/officeart/2008/layout/RadialCluster"/>
    <dgm:cxn modelId="{A1E6C335-E1FB-B440-A9E6-BB3C37FB82DE}" type="presOf" srcId="{06FE0B8A-7591-B148-B17F-471FACFB31BE}" destId="{B2ABBFB9-D401-D54E-8AD9-E5D6F73D55F9}" srcOrd="0" destOrd="0" presId="urn:microsoft.com/office/officeart/2008/layout/RadialCluster"/>
    <dgm:cxn modelId="{50021C3B-34A3-8349-BC14-8B61FB799F70}" srcId="{63077231-38BA-D449-AE78-B57BE1DB2473}" destId="{F40D7CA0-B899-6E44-B35E-5AFDE54D3284}" srcOrd="0" destOrd="0" parTransId="{8FD585CC-79FF-3942-A142-399C99BC3848}" sibTransId="{9CE2EAEE-4A43-0348-BDB6-2250C6DDDB0E}"/>
    <dgm:cxn modelId="{0214FA3B-BFE4-C048-9302-EABD4C1F0A43}" type="presOf" srcId="{5DCD8663-72AA-1D4F-B757-D47409AF0C2E}" destId="{F4BBFDDA-AA81-5F4E-B626-5A4F3CC3E221}" srcOrd="0" destOrd="0" presId="urn:microsoft.com/office/officeart/2008/layout/RadialCluster"/>
    <dgm:cxn modelId="{2B433647-6B39-3146-9FF9-7C54AFE5A82E}" srcId="{63077231-38BA-D449-AE78-B57BE1DB2473}" destId="{DEFE51DF-B4D4-B845-A6B9-B077419BBCE4}" srcOrd="1" destOrd="0" parTransId="{68E12D7C-F452-694B-A859-28734CE34CDC}" sibTransId="{1256B4B9-68A8-5844-B076-DD8BF7FF9F9F}"/>
    <dgm:cxn modelId="{7A56B268-E023-9C49-9F57-9B0C7D1EB2E9}" type="presOf" srcId="{8FD585CC-79FF-3942-A142-399C99BC3848}" destId="{8C2CA055-5C2D-1C46-9518-A3C9C7FFDA4E}" srcOrd="0" destOrd="0" presId="urn:microsoft.com/office/officeart/2008/layout/RadialCluster"/>
    <dgm:cxn modelId="{2828E76A-B6F5-CE4D-9CA7-8687543B9BB2}" type="presOf" srcId="{63077231-38BA-D449-AE78-B57BE1DB2473}" destId="{1006AC27-F829-9F4A-8862-2CD3B805A36B}" srcOrd="0" destOrd="0" presId="urn:microsoft.com/office/officeart/2008/layout/RadialCluster"/>
    <dgm:cxn modelId="{6E825074-7227-664D-A230-5F08FAD52449}" type="presOf" srcId="{DEFE51DF-B4D4-B845-A6B9-B077419BBCE4}" destId="{610DB1C2-2C26-294C-A3EC-60D0E4FD6DC9}" srcOrd="0" destOrd="0" presId="urn:microsoft.com/office/officeart/2008/layout/RadialCluster"/>
    <dgm:cxn modelId="{74A6587E-98FF-494C-A4C8-1FB349D39EDF}" type="presOf" srcId="{F40D7CA0-B899-6E44-B35E-5AFDE54D3284}" destId="{2884B411-4D53-9845-8D52-B1B5E88306F5}" srcOrd="0" destOrd="0" presId="urn:microsoft.com/office/officeart/2008/layout/RadialCluster"/>
    <dgm:cxn modelId="{F900E99A-ED84-F145-9C29-4DF82FA1FE2F}" srcId="{63077231-38BA-D449-AE78-B57BE1DB2473}" destId="{06FE0B8A-7591-B148-B17F-471FACFB31BE}" srcOrd="3" destOrd="0" parTransId="{7E7C3F66-C0FC-2F4E-9264-CDCD0F46B332}" sibTransId="{6C200CDF-038C-5C4D-9BEC-A31000D8F5F7}"/>
    <dgm:cxn modelId="{52D7289D-47E9-ED44-BDCE-DDD02039BD0F}" type="presOf" srcId="{B1139F73-4079-D64F-94DE-B87363EF5A83}" destId="{2C7EFE33-170A-C148-A29C-81FCE34BB523}" srcOrd="0" destOrd="0" presId="urn:microsoft.com/office/officeart/2008/layout/RadialCluster"/>
    <dgm:cxn modelId="{0C8C71BA-400A-8B43-B52A-405FAC8FA2CB}" type="presOf" srcId="{D63EF937-C6A5-9747-B719-7BDB1BDAB2EC}" destId="{AB2F67FF-18AD-9340-8B6B-184043269C47}" srcOrd="0" destOrd="0" presId="urn:microsoft.com/office/officeart/2008/layout/RadialCluster"/>
    <dgm:cxn modelId="{204F9CBE-65D4-BC4F-B344-93B755ADA125}" type="presOf" srcId="{7E7C3F66-C0FC-2F4E-9264-CDCD0F46B332}" destId="{D6979E78-4EAF-7A47-A0C0-150D7ED6DEED}" srcOrd="0" destOrd="0" presId="urn:microsoft.com/office/officeart/2008/layout/RadialCluster"/>
    <dgm:cxn modelId="{C7D9BED4-C5D2-D949-85B3-EC395B7BF383}" srcId="{63077231-38BA-D449-AE78-B57BE1DB2473}" destId="{B1139F73-4079-D64F-94DE-B87363EF5A83}" srcOrd="4" destOrd="0" parTransId="{4FB2807A-44A6-8B40-8ADD-75DC790B79C3}" sibTransId="{15CE614D-05DC-6245-8F27-451220652E65}"/>
    <dgm:cxn modelId="{38F918FB-6831-E948-8A6D-D668388578B2}" type="presOf" srcId="{661997BE-F02F-2949-8F5C-AFD7EE569414}" destId="{F7EE41CE-71AF-704F-91AB-800DC53A019C}" srcOrd="0" destOrd="0" presId="urn:microsoft.com/office/officeart/2008/layout/RadialCluster"/>
    <dgm:cxn modelId="{4CDADC51-1664-7E4F-9A70-EB5020C4790C}" type="presParOf" srcId="{F4BBFDDA-AA81-5F4E-B626-5A4F3CC3E221}" destId="{D3B07A6C-8CDF-734F-8C74-6A21BC6AD77C}" srcOrd="0" destOrd="0" presId="urn:microsoft.com/office/officeart/2008/layout/RadialCluster"/>
    <dgm:cxn modelId="{F86CE8FC-5818-6B48-9FB7-181CB568EC0A}" type="presParOf" srcId="{D3B07A6C-8CDF-734F-8C74-6A21BC6AD77C}" destId="{1006AC27-F829-9F4A-8862-2CD3B805A36B}" srcOrd="0" destOrd="0" presId="urn:microsoft.com/office/officeart/2008/layout/RadialCluster"/>
    <dgm:cxn modelId="{8008D5BE-F5B2-DC41-AB79-22B37382DCA3}" type="presParOf" srcId="{D3B07A6C-8CDF-734F-8C74-6A21BC6AD77C}" destId="{8C2CA055-5C2D-1C46-9518-A3C9C7FFDA4E}" srcOrd="1" destOrd="0" presId="urn:microsoft.com/office/officeart/2008/layout/RadialCluster"/>
    <dgm:cxn modelId="{E0935187-862E-7646-8C34-AC2F7CB0DA3E}" type="presParOf" srcId="{D3B07A6C-8CDF-734F-8C74-6A21BC6AD77C}" destId="{2884B411-4D53-9845-8D52-B1B5E88306F5}" srcOrd="2" destOrd="0" presId="urn:microsoft.com/office/officeart/2008/layout/RadialCluster"/>
    <dgm:cxn modelId="{39538FEB-F4BA-7843-880A-53BA59F59615}" type="presParOf" srcId="{D3B07A6C-8CDF-734F-8C74-6A21BC6AD77C}" destId="{330FBAA0-0E04-D24E-A632-01CDCC611313}" srcOrd="3" destOrd="0" presId="urn:microsoft.com/office/officeart/2008/layout/RadialCluster"/>
    <dgm:cxn modelId="{B1428481-B792-224B-B37F-1F5EE202C611}" type="presParOf" srcId="{D3B07A6C-8CDF-734F-8C74-6A21BC6AD77C}" destId="{610DB1C2-2C26-294C-A3EC-60D0E4FD6DC9}" srcOrd="4" destOrd="0" presId="urn:microsoft.com/office/officeart/2008/layout/RadialCluster"/>
    <dgm:cxn modelId="{8E1A50FE-A901-E346-B59A-304110698517}" type="presParOf" srcId="{D3B07A6C-8CDF-734F-8C74-6A21BC6AD77C}" destId="{AB2F67FF-18AD-9340-8B6B-184043269C47}" srcOrd="5" destOrd="0" presId="urn:microsoft.com/office/officeart/2008/layout/RadialCluster"/>
    <dgm:cxn modelId="{D8790B4A-1DDE-9D4D-B27F-025681E0C661}" type="presParOf" srcId="{D3B07A6C-8CDF-734F-8C74-6A21BC6AD77C}" destId="{F7EE41CE-71AF-704F-91AB-800DC53A019C}" srcOrd="6" destOrd="0" presId="urn:microsoft.com/office/officeart/2008/layout/RadialCluster"/>
    <dgm:cxn modelId="{DBC3A9F4-5023-6745-9BFB-89EB490A4FD4}" type="presParOf" srcId="{D3B07A6C-8CDF-734F-8C74-6A21BC6AD77C}" destId="{D6979E78-4EAF-7A47-A0C0-150D7ED6DEED}" srcOrd="7" destOrd="0" presId="urn:microsoft.com/office/officeart/2008/layout/RadialCluster"/>
    <dgm:cxn modelId="{10CA12C2-0646-9E4B-8D9A-ED2C2E3BA08B}" type="presParOf" srcId="{D3B07A6C-8CDF-734F-8C74-6A21BC6AD77C}" destId="{B2ABBFB9-D401-D54E-8AD9-E5D6F73D55F9}" srcOrd="8" destOrd="0" presId="urn:microsoft.com/office/officeart/2008/layout/RadialCluster"/>
    <dgm:cxn modelId="{0A00B5F2-CBF5-E646-A0AD-5D6B4FE9B578}" type="presParOf" srcId="{D3B07A6C-8CDF-734F-8C74-6A21BC6AD77C}" destId="{291DFC57-96AE-824D-9044-96DD4D2C06AA}" srcOrd="9" destOrd="0" presId="urn:microsoft.com/office/officeart/2008/layout/RadialCluster"/>
    <dgm:cxn modelId="{24200E4C-928E-6444-A1B7-7217F2898CFE}" type="presParOf" srcId="{D3B07A6C-8CDF-734F-8C74-6A21BC6AD77C}" destId="{2C7EFE33-170A-C148-A29C-81FCE34BB523}" srcOrd="10"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06AC27-F829-9F4A-8862-2CD3B805A36B}">
      <dsp:nvSpPr>
        <dsp:cNvPr id="0" name=""/>
        <dsp:cNvSpPr/>
      </dsp:nvSpPr>
      <dsp:spPr>
        <a:xfrm>
          <a:off x="2341493" y="1490840"/>
          <a:ext cx="1493652" cy="64239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0" tIns="63500" rIns="63500" bIns="63500" numCol="1" spcCol="1270" anchor="ctr" anchorCtr="0">
          <a:noAutofit/>
        </a:bodyPr>
        <a:lstStyle/>
        <a:p>
          <a:pPr marL="0" lvl="0" indent="0" algn="ctr" defTabSz="1111250">
            <a:lnSpc>
              <a:spcPct val="90000"/>
            </a:lnSpc>
            <a:spcBef>
              <a:spcPct val="0"/>
            </a:spcBef>
            <a:spcAft>
              <a:spcPct val="35000"/>
            </a:spcAft>
            <a:buNone/>
          </a:pPr>
          <a:r>
            <a:rPr lang="en-GB" sz="2500" kern="1200"/>
            <a:t>Creativity</a:t>
          </a:r>
        </a:p>
      </dsp:txBody>
      <dsp:txXfrm>
        <a:off x="2372852" y="1522199"/>
        <a:ext cx="1430934" cy="579672"/>
      </dsp:txXfrm>
    </dsp:sp>
    <dsp:sp modelId="{8C2CA055-5C2D-1C46-9518-A3C9C7FFDA4E}">
      <dsp:nvSpPr>
        <dsp:cNvPr id="0" name=""/>
        <dsp:cNvSpPr/>
      </dsp:nvSpPr>
      <dsp:spPr>
        <a:xfrm rot="16169897">
          <a:off x="2701638" y="1110318"/>
          <a:ext cx="761073" cy="0"/>
        </a:xfrm>
        <a:custGeom>
          <a:avLst/>
          <a:gdLst/>
          <a:ahLst/>
          <a:cxnLst/>
          <a:rect l="0" t="0" r="0" b="0"/>
          <a:pathLst>
            <a:path>
              <a:moveTo>
                <a:pt x="0" y="0"/>
              </a:moveTo>
              <a:lnTo>
                <a:pt x="76107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84B411-4D53-9845-8D52-B1B5E88306F5}">
      <dsp:nvSpPr>
        <dsp:cNvPr id="0" name=""/>
        <dsp:cNvSpPr/>
      </dsp:nvSpPr>
      <dsp:spPr>
        <a:xfrm>
          <a:off x="1894832" y="65073"/>
          <a:ext cx="2362199"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Health &amp; Social Care</a:t>
          </a:r>
        </a:p>
        <a:p>
          <a:pPr marL="0" lvl="0" indent="0" algn="ctr" defTabSz="666750">
            <a:lnSpc>
              <a:spcPct val="90000"/>
            </a:lnSpc>
            <a:spcBef>
              <a:spcPct val="0"/>
            </a:spcBef>
            <a:spcAft>
              <a:spcPct val="35000"/>
            </a:spcAft>
            <a:buNone/>
          </a:pPr>
          <a:r>
            <a:rPr lang="en-GB" sz="1500" kern="1200"/>
            <a:t>Improvement</a:t>
          </a:r>
        </a:p>
      </dsp:txBody>
      <dsp:txXfrm>
        <a:off x="1927281" y="97522"/>
        <a:ext cx="2297301" cy="599825"/>
      </dsp:txXfrm>
    </dsp:sp>
    <dsp:sp modelId="{330FBAA0-0E04-D24E-A632-01CDCC611313}">
      <dsp:nvSpPr>
        <dsp:cNvPr id="0" name=""/>
        <dsp:cNvSpPr/>
      </dsp:nvSpPr>
      <dsp:spPr>
        <a:xfrm rot="20808594">
          <a:off x="3826520" y="1562405"/>
          <a:ext cx="653860" cy="0"/>
        </a:xfrm>
        <a:custGeom>
          <a:avLst/>
          <a:gdLst/>
          <a:ahLst/>
          <a:cxnLst/>
          <a:rect l="0" t="0" r="0" b="0"/>
          <a:pathLst>
            <a:path>
              <a:moveTo>
                <a:pt x="0" y="0"/>
              </a:moveTo>
              <a:lnTo>
                <a:pt x="65386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0DB1C2-2C26-294C-A3EC-60D0E4FD6DC9}">
      <dsp:nvSpPr>
        <dsp:cNvPr id="0" name=""/>
        <dsp:cNvSpPr/>
      </dsp:nvSpPr>
      <dsp:spPr>
        <a:xfrm>
          <a:off x="4471756" y="994701"/>
          <a:ext cx="1471843" cy="64125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GB" sz="1700" kern="1200"/>
            <a:t>Value creation </a:t>
          </a:r>
        </a:p>
      </dsp:txBody>
      <dsp:txXfrm>
        <a:off x="4503060" y="1026005"/>
        <a:ext cx="1409235" cy="578650"/>
      </dsp:txXfrm>
    </dsp:sp>
    <dsp:sp modelId="{AB2F67FF-18AD-9340-8B6B-184043269C47}">
      <dsp:nvSpPr>
        <dsp:cNvPr id="0" name=""/>
        <dsp:cNvSpPr/>
      </dsp:nvSpPr>
      <dsp:spPr>
        <a:xfrm rot="1808600">
          <a:off x="3572894" y="2387794"/>
          <a:ext cx="1013861" cy="0"/>
        </a:xfrm>
        <a:custGeom>
          <a:avLst/>
          <a:gdLst/>
          <a:ahLst/>
          <a:cxnLst/>
          <a:rect l="0" t="0" r="0" b="0"/>
          <a:pathLst>
            <a:path>
              <a:moveTo>
                <a:pt x="0" y="0"/>
              </a:moveTo>
              <a:lnTo>
                <a:pt x="101386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EE41CE-71AF-704F-91AB-800DC53A019C}">
      <dsp:nvSpPr>
        <dsp:cNvPr id="0" name=""/>
        <dsp:cNvSpPr/>
      </dsp:nvSpPr>
      <dsp:spPr>
        <a:xfrm>
          <a:off x="4344697" y="2642356"/>
          <a:ext cx="1491725"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GB" sz="1800" kern="1200"/>
            <a:t>Improved Outcomes </a:t>
          </a:r>
        </a:p>
      </dsp:txBody>
      <dsp:txXfrm>
        <a:off x="4377146" y="2674805"/>
        <a:ext cx="1426827" cy="599825"/>
      </dsp:txXfrm>
    </dsp:sp>
    <dsp:sp modelId="{D6979E78-4EAF-7A47-A0C0-150D7ED6DEED}">
      <dsp:nvSpPr>
        <dsp:cNvPr id="0" name=""/>
        <dsp:cNvSpPr/>
      </dsp:nvSpPr>
      <dsp:spPr>
        <a:xfrm rot="9236326">
          <a:off x="1549874" y="2337279"/>
          <a:ext cx="928902" cy="0"/>
        </a:xfrm>
        <a:custGeom>
          <a:avLst/>
          <a:gdLst/>
          <a:ahLst/>
          <a:cxnLst/>
          <a:rect l="0" t="0" r="0" b="0"/>
          <a:pathLst>
            <a:path>
              <a:moveTo>
                <a:pt x="0" y="0"/>
              </a:moveTo>
              <a:lnTo>
                <a:pt x="928902"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ABBFB9-D401-D54E-8AD9-E5D6F73D55F9}">
      <dsp:nvSpPr>
        <dsp:cNvPr id="0" name=""/>
        <dsp:cNvSpPr/>
      </dsp:nvSpPr>
      <dsp:spPr>
        <a:xfrm>
          <a:off x="155990" y="2541327"/>
          <a:ext cx="1523020" cy="66472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GB" sz="1800" kern="1200"/>
            <a:t>Person- centred care</a:t>
          </a:r>
        </a:p>
      </dsp:txBody>
      <dsp:txXfrm>
        <a:off x="188439" y="2573776"/>
        <a:ext cx="1458122" cy="599825"/>
      </dsp:txXfrm>
    </dsp:sp>
    <dsp:sp modelId="{291DFC57-96AE-824D-9044-96DD4D2C06AA}">
      <dsp:nvSpPr>
        <dsp:cNvPr id="0" name=""/>
        <dsp:cNvSpPr/>
      </dsp:nvSpPr>
      <dsp:spPr>
        <a:xfrm rot="11628409">
          <a:off x="1881630" y="1572826"/>
          <a:ext cx="466603" cy="0"/>
        </a:xfrm>
        <a:custGeom>
          <a:avLst/>
          <a:gdLst/>
          <a:ahLst/>
          <a:cxnLst/>
          <a:rect l="0" t="0" r="0" b="0"/>
          <a:pathLst>
            <a:path>
              <a:moveTo>
                <a:pt x="0" y="0"/>
              </a:moveTo>
              <a:lnTo>
                <a:pt x="46660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7EFE33-170A-C148-A29C-81FCE34BB523}">
      <dsp:nvSpPr>
        <dsp:cNvPr id="0" name=""/>
        <dsp:cNvSpPr/>
      </dsp:nvSpPr>
      <dsp:spPr>
        <a:xfrm>
          <a:off x="0" y="964326"/>
          <a:ext cx="1888371" cy="64157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GB" sz="1900" kern="1200"/>
            <a:t>Innovative ideas</a:t>
          </a:r>
        </a:p>
      </dsp:txBody>
      <dsp:txXfrm>
        <a:off x="31319" y="995645"/>
        <a:ext cx="1825733" cy="57893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2369</Words>
  <Characters>13505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Rayan Ata (2324338)</cp:lastModifiedBy>
  <cp:revision>2</cp:revision>
  <dcterms:created xsi:type="dcterms:W3CDTF">2026-07-06T13:20:00Z</dcterms:created>
  <dcterms:modified xsi:type="dcterms:W3CDTF">2026-07-06T13:20:00Z</dcterms:modified>
</cp:coreProperties>
</file>