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7E0FB" w14:textId="1706CA17" w:rsidR="00F62815" w:rsidRPr="007C312F" w:rsidRDefault="00F62815" w:rsidP="007C312F">
      <w:pPr>
        <w:jc w:val="center"/>
        <w:rPr>
          <w:rFonts w:ascii="Times New Roman" w:hAnsi="Times New Roman" w:cs="Times New Roman"/>
          <w:sz w:val="28"/>
          <w:szCs w:val="28"/>
          <w:u w:val="single"/>
        </w:rPr>
      </w:pPr>
      <w:r w:rsidRPr="007C312F">
        <w:rPr>
          <w:rFonts w:ascii="Times New Roman" w:hAnsi="Times New Roman" w:cs="Times New Roman"/>
          <w:sz w:val="28"/>
          <w:szCs w:val="28"/>
          <w:u w:val="single"/>
        </w:rPr>
        <w:t xml:space="preserve">Reflective account </w:t>
      </w:r>
      <w:r w:rsidR="007C312F" w:rsidRPr="007C312F">
        <w:rPr>
          <w:rFonts w:ascii="Times New Roman" w:hAnsi="Times New Roman" w:cs="Times New Roman"/>
          <w:sz w:val="28"/>
          <w:szCs w:val="28"/>
          <w:u w:val="single"/>
        </w:rPr>
        <w:t xml:space="preserve">for </w:t>
      </w:r>
      <w:r w:rsidR="007C312F">
        <w:rPr>
          <w:rFonts w:ascii="Times New Roman" w:hAnsi="Times New Roman" w:cs="Times New Roman"/>
          <w:sz w:val="28"/>
          <w:szCs w:val="28"/>
          <w:u w:val="single"/>
        </w:rPr>
        <w:t xml:space="preserve">my </w:t>
      </w:r>
      <w:r w:rsidR="007C312F" w:rsidRPr="007C312F">
        <w:rPr>
          <w:rFonts w:ascii="Times New Roman" w:hAnsi="Times New Roman" w:cs="Times New Roman"/>
          <w:sz w:val="28"/>
          <w:szCs w:val="28"/>
          <w:u w:val="single"/>
        </w:rPr>
        <w:t>paddleboarding session</w:t>
      </w:r>
    </w:p>
    <w:p w14:paraId="2AFF1C76" w14:textId="55A65339" w:rsidR="008B5DFE" w:rsidRPr="008B5DFE" w:rsidRDefault="008B5DFE" w:rsidP="008B5DFE">
      <w:pPr>
        <w:spacing w:line="360" w:lineRule="auto"/>
        <w:rPr>
          <w:rFonts w:ascii="Times New Roman" w:hAnsi="Times New Roman" w:cs="Times New Roman"/>
          <w:sz w:val="24"/>
          <w:szCs w:val="24"/>
        </w:rPr>
      </w:pPr>
      <w:r w:rsidRPr="008B5DFE">
        <w:rPr>
          <w:rFonts w:ascii="Times New Roman" w:hAnsi="Times New Roman" w:cs="Times New Roman"/>
          <w:sz w:val="24"/>
          <w:szCs w:val="24"/>
        </w:rPr>
        <w:t>This essay is a reflective account of my stand-up paddleboarding session. I will be using the Gibbs (1988) ‘reflective cycle’ model to critically reflect on my performance as a coach and suggest improvements for my future praxis; By applying a model of reflection, the coach is able to observe  details from different aspects of their sessions in order to recognise the wider influences that may have contributed to them (Ashby, 2006, p30). The Gibbs (1988) reflective cycle comprises six stages: a description of what happened, a recognition of feelings and thoughts at that moment, an evaluation and analysis of the situation, a conclusion for what could have been adapted, and an action plan for the future (Markkanen, 2020, p49</w:t>
      </w:r>
      <w:r w:rsidR="00A676E4">
        <w:rPr>
          <w:rFonts w:ascii="Times New Roman" w:hAnsi="Times New Roman" w:cs="Times New Roman"/>
          <w:sz w:val="24"/>
          <w:szCs w:val="24"/>
        </w:rPr>
        <w:t>)</w:t>
      </w:r>
      <w:r w:rsidRPr="008B5DFE">
        <w:rPr>
          <w:rFonts w:ascii="Times New Roman" w:hAnsi="Times New Roman" w:cs="Times New Roman"/>
          <w:sz w:val="24"/>
          <w:szCs w:val="24"/>
        </w:rPr>
        <w:t>. By using the Gibbs reflective cycle, I am able to make sense of my experiences, reflect on management practices, and increase my personal and professional effectiveness as a coach (Anderson et al., 2004, p199).</w:t>
      </w:r>
    </w:p>
    <w:p w14:paraId="17F3AAAB" w14:textId="77777777" w:rsidR="008B5DFE" w:rsidRPr="008B5DFE" w:rsidRDefault="008B5DFE" w:rsidP="008B5DFE">
      <w:pPr>
        <w:spacing w:line="360" w:lineRule="auto"/>
        <w:rPr>
          <w:rFonts w:ascii="Times New Roman" w:hAnsi="Times New Roman" w:cs="Times New Roman"/>
          <w:sz w:val="24"/>
          <w:szCs w:val="24"/>
        </w:rPr>
      </w:pPr>
      <w:r w:rsidRPr="008B5DFE">
        <w:rPr>
          <w:rFonts w:ascii="Times New Roman" w:hAnsi="Times New Roman" w:cs="Times New Roman"/>
          <w:sz w:val="24"/>
          <w:szCs w:val="24"/>
        </w:rPr>
        <w:t>To describe the beginning of the session, I gave a short safety brief to my participants, outlined the aims of the session, and asked them to launch onto the water and have a paddle around the lake; I felt like this was the most appropriate approach to begin the session as I was able to measure the competencies of the group through observation and give the participants a chance to build their confidence on their paddleboards as they had mentioned at the beginning of the session that they had previously engaged with the sport. When I evaluated and analysed this, I noticed that my approach worked well as I could clearly see the different competencies of the group and the participants had time to rediscover their skills from previous sessions thereby improving their performance throughout the session due to an increase in confidence and competence. It should be noted that two of the paddle boards were smaller and were not equipped with fins due to a lack of resources making it harder for two members of the group; This was a great learning opportunity for the two members as they were already the most competent members of the group causing their skills to be matched with appropriate challenge in the beginner climate. In the future, I will make sure all kit is on-site before the session as well as give the group some pre-practice information when launching onto the water to aid the early stages of skill acquisition (Hodges &amp; Franks, 2002, p794).</w:t>
      </w:r>
    </w:p>
    <w:p w14:paraId="79E726C1" w14:textId="77777777" w:rsidR="008B5DFE" w:rsidRPr="008B5DFE" w:rsidRDefault="008B5DFE" w:rsidP="008B5DFE">
      <w:pPr>
        <w:spacing w:line="360" w:lineRule="auto"/>
        <w:rPr>
          <w:rFonts w:ascii="Times New Roman" w:hAnsi="Times New Roman" w:cs="Times New Roman"/>
          <w:sz w:val="24"/>
          <w:szCs w:val="24"/>
        </w:rPr>
      </w:pPr>
      <w:r w:rsidRPr="008B5DFE">
        <w:rPr>
          <w:rFonts w:ascii="Times New Roman" w:hAnsi="Times New Roman" w:cs="Times New Roman"/>
          <w:sz w:val="24"/>
          <w:szCs w:val="24"/>
        </w:rPr>
        <w:t xml:space="preserve">To describe the following part of the session, I communicated to the group to come to the bank where I was based and asked them to maintain some space between themselves and the bank. I then told them the instructions for a game of ‘Simon Says’, ensuring instructions were understood before reiterating the need for space and then beginning.  Here, my thoughts and </w:t>
      </w:r>
      <w:r w:rsidRPr="008B5DFE">
        <w:rPr>
          <w:rFonts w:ascii="Times New Roman" w:hAnsi="Times New Roman" w:cs="Times New Roman"/>
          <w:sz w:val="24"/>
          <w:szCs w:val="24"/>
        </w:rPr>
        <w:lastRenderedPageBreak/>
        <w:t>feelings centred around making sure the group could hear me as it was important for the task to be understood, I also wanted to make sure no one was at risk of injury due to insufficient space between participants or the bank. When evaluating and analysing this situation, it was clear the activity was done safely, and efficiently by the participants as they listened well to the instructions and the participants' eagerness to begin confirmed that my positive pedagogy approach engaged the group as they took on autonomy and ownership to participate in the activity (Light &amp; Harvey, 2015, p277). To improve this in the future I could have been on the water with the participants and brought myself to the group instead of them to me improving the flow of the session further.</w:t>
      </w:r>
    </w:p>
    <w:p w14:paraId="33C6A2A4" w14:textId="77777777" w:rsidR="008B5DFE" w:rsidRPr="008B5DFE" w:rsidRDefault="008B5DFE" w:rsidP="008B5DFE">
      <w:pPr>
        <w:spacing w:line="360" w:lineRule="auto"/>
        <w:rPr>
          <w:rFonts w:ascii="Times New Roman" w:hAnsi="Times New Roman" w:cs="Times New Roman"/>
          <w:sz w:val="24"/>
          <w:szCs w:val="24"/>
        </w:rPr>
      </w:pPr>
      <w:r w:rsidRPr="008B5DFE">
        <w:rPr>
          <w:rFonts w:ascii="Times New Roman" w:hAnsi="Times New Roman" w:cs="Times New Roman"/>
          <w:sz w:val="24"/>
          <w:szCs w:val="24"/>
        </w:rPr>
        <w:t>Once the game had begun, I shouted the ‘Simon Says’ commands and the participants repeated the actions, with some participants falling into the water. I felt as though the group was highly engaged and motivated with the activity, and by taking note of the participants that were falling in I was able to provide appropriate feedback later in the session. This approach worked well because game-based coaching provides positive learning experiences that enhance learning as well as promote growth in both ability and motivational capacities (Light &amp; Harvey, 2015, p272). This in turn developed their internal motivation which I could later enhance through feedback as that will have a positive impact on athletes’ motivation (Raabe et al., 2019, p352) which is important because motivation is a highly important determinant of physical activity (Raabe et al., 2019, p345). On the other hand, some participants may have lost some confidence when falling into the water. To further improve this part of the session, I could have decreased the difficulty of the ‘Simon Says’ actions to ensure the confidence of some participants was not decreased by falling into the water though this was seemingly not a deterrent to participation or to have a negative effect on motivation.</w:t>
      </w:r>
    </w:p>
    <w:p w14:paraId="665A300A" w14:textId="77777777" w:rsidR="008B5DFE" w:rsidRPr="008B5DFE" w:rsidRDefault="008B5DFE" w:rsidP="008B5DFE">
      <w:pPr>
        <w:spacing w:line="360" w:lineRule="auto"/>
        <w:rPr>
          <w:rFonts w:ascii="Times New Roman" w:hAnsi="Times New Roman" w:cs="Times New Roman"/>
          <w:sz w:val="24"/>
          <w:szCs w:val="24"/>
        </w:rPr>
      </w:pPr>
      <w:r w:rsidRPr="008B5DFE">
        <w:rPr>
          <w:rFonts w:ascii="Times New Roman" w:hAnsi="Times New Roman" w:cs="Times New Roman"/>
          <w:sz w:val="24"/>
          <w:szCs w:val="24"/>
        </w:rPr>
        <w:t xml:space="preserve">After the game, I called for the group to come back to the bank and raft up so that I could ask them about active posture, what muscles they were using to stay balanced and how they thought they should be standing on a paddleboard as questioning provides a critical link between the cognitive and social aspects of learning (Harvey &amp; Light, 2015, p178, Cazden, 2001). At this time, one of the less competent participants was struggling to remount their paddleboard which led to me asking a highly competent participant to engage in a rescue whilst I was keeping the rest of the group engaged with questions. My thoughts and feelings at this time included slight confusion as the competent participant had misinterpreted my instruction and tried to ‘coach’ the athlete in the water onto their board, hindering the session slightly; The other members of the group were highly engaged in the task and had strong </w:t>
      </w:r>
      <w:r w:rsidRPr="008B5DFE">
        <w:rPr>
          <w:rFonts w:ascii="Times New Roman" w:hAnsi="Times New Roman" w:cs="Times New Roman"/>
          <w:sz w:val="24"/>
          <w:szCs w:val="24"/>
        </w:rPr>
        <w:lastRenderedPageBreak/>
        <w:t>knowledge on posture, ultimately maintaining the flow of the session; Flow is a state of mind achieved when the athlete is fully engaged with no distractions causing a high level of performance (Vecchio, 2012). At this point I should have launched a paddleboard onto the water and performed the rescue myself saving the group some time; In the future, I will be on the water to continue to build athlete-coach relationships and keep the flow of the session.</w:t>
      </w:r>
    </w:p>
    <w:p w14:paraId="2CF1CDE5" w14:textId="77777777" w:rsidR="008B5DFE" w:rsidRPr="008B5DFE" w:rsidRDefault="008B5DFE" w:rsidP="008B5DFE">
      <w:pPr>
        <w:spacing w:line="360" w:lineRule="auto"/>
        <w:rPr>
          <w:rFonts w:ascii="Times New Roman" w:hAnsi="Times New Roman" w:cs="Times New Roman"/>
          <w:sz w:val="24"/>
          <w:szCs w:val="24"/>
        </w:rPr>
      </w:pPr>
      <w:r w:rsidRPr="008B5DFE">
        <w:rPr>
          <w:rFonts w:ascii="Times New Roman" w:hAnsi="Times New Roman" w:cs="Times New Roman"/>
          <w:sz w:val="24"/>
          <w:szCs w:val="24"/>
        </w:rPr>
        <w:t xml:space="preserve">Once the group was whole again, I had one of the participants recap the previously covered points and paired the less competent individuals with the stronger members of the group and sent them off with a laminate of the correct active posture points. Whilst the group was practicing, I moved around the lake to different points to ensure I was able to see all of the participants and measure their progress, I also gave feedback to some of the participants to aid their progression. I felt this was important to ensure the two who were in the water during the discussion had the same level of knowledge and understanding as the others, and that by pairing the different competencies together more growth and skill acquisition could be obtained for all participants; Participants working in pairs of the equal or higher abilities causes increased performance level than working alone or with lower ability partners (Day, 2005, p41). Alongside this, the laminate gave participants extra support in transferring the discussion points to the water because visual aids are tools that aid an athlete in making content clearer or easier to understand and know (Shabiralyani, 2015, p266). In my evaluation and analysis, I found that this worked well as everyone understood the task and feedback was given at a critical time for learning the skill of active posture (Hodges &amp; Franks, 200, p795). Alongside this by moving around the lake, I was able to act multi-functionally as my positioning enabled simultaneous feedback and observation in the activity, subsequently allowing me to monitor safety and encourage practice (Collins &amp; Collins, 2014, p631). A further improvement would be to be on the water with the group. </w:t>
      </w:r>
    </w:p>
    <w:p w14:paraId="537490FF" w14:textId="77777777" w:rsidR="008B5DFE" w:rsidRPr="008B5DFE" w:rsidRDefault="008B5DFE" w:rsidP="008B5DFE">
      <w:pPr>
        <w:spacing w:line="360" w:lineRule="auto"/>
        <w:rPr>
          <w:rFonts w:ascii="Times New Roman" w:hAnsi="Times New Roman" w:cs="Times New Roman"/>
          <w:sz w:val="24"/>
          <w:szCs w:val="24"/>
        </w:rPr>
      </w:pPr>
      <w:r w:rsidRPr="008B5DFE">
        <w:rPr>
          <w:rFonts w:ascii="Times New Roman" w:hAnsi="Times New Roman" w:cs="Times New Roman"/>
          <w:sz w:val="24"/>
          <w:szCs w:val="24"/>
        </w:rPr>
        <w:t xml:space="preserve">After watching the group for a while and seeing progress being made by most participants, I called for a regroup at the bank for a final discussion on active posture and balance. Then I started a final game of ‘Simon Says’ which had increased in difficulty from the start of the session. Here, I felt like the group had made sufficient progress in their paddleboarding skills and I could clearly see they felt very confident on the water, the group were also efficient in coming to the bank. When evaluating and analysing, however,  I noted that the final game of ‘Simon Says’ was too advanced for half of the group. This highlights the importance of  ‘getting the game right’ (Thorpe &amp; Bunker, 2008) and the importance for the coach to manage the game correctly to ensure participants can establish and retain the appropriate </w:t>
      </w:r>
      <w:r w:rsidRPr="008B5DFE">
        <w:rPr>
          <w:rFonts w:ascii="Times New Roman" w:hAnsi="Times New Roman" w:cs="Times New Roman"/>
          <w:sz w:val="24"/>
          <w:szCs w:val="24"/>
        </w:rPr>
        <w:lastRenderedPageBreak/>
        <w:t>level of challenge (Light &amp; Harvey, 2015, p277). As some participants fell in the water at the first ‘Simon Says’ game’ I should have sustained the difficulty level so that the improvements participants made throughout the session were obvious and that motivation stayed at a high level; I was unaware when making my session plan that the competency in the group was low which is why I made a harder challenge at the end of the session. Next time I will have progressive plans for ranging abilities to ensure the most could be achieved from the session for all participants; In the future, I will ensure my games are of a suitable challenge for all members of the group, not just those with higher competencies.</w:t>
      </w:r>
    </w:p>
    <w:p w14:paraId="7CEE6E60" w14:textId="39EB796D" w:rsidR="00F75B53" w:rsidRDefault="008B5DFE" w:rsidP="008B5DFE">
      <w:pPr>
        <w:spacing w:line="360" w:lineRule="auto"/>
        <w:rPr>
          <w:rFonts w:ascii="Times New Roman" w:hAnsi="Times New Roman" w:cs="Times New Roman"/>
          <w:sz w:val="24"/>
          <w:szCs w:val="24"/>
        </w:rPr>
      </w:pPr>
      <w:r w:rsidRPr="008B5DFE">
        <w:rPr>
          <w:rFonts w:ascii="Times New Roman" w:hAnsi="Times New Roman" w:cs="Times New Roman"/>
          <w:sz w:val="24"/>
          <w:szCs w:val="24"/>
        </w:rPr>
        <w:t>In conclusion, I believe my session created learner autonomy and a motivational climate. It also ensured that every learner in my session felt more confident on a paddleboard by the end of the session and that they were able to identify and reproduce the correct active posture; This means the aims of my session were completed. Further areas for improvement include game appropriateness and being prepared to be on the water with the participants in order to improve the overall ‘flow’ of the session.</w:t>
      </w:r>
    </w:p>
    <w:p w14:paraId="453B6488" w14:textId="41C5382E" w:rsidR="00434BAE" w:rsidRDefault="00434BAE" w:rsidP="008B5DFE">
      <w:pPr>
        <w:spacing w:line="360" w:lineRule="auto"/>
      </w:pPr>
      <w:r>
        <w:rPr>
          <w:rFonts w:ascii="Times New Roman" w:hAnsi="Times New Roman" w:cs="Times New Roman"/>
          <w:sz w:val="24"/>
          <w:szCs w:val="24"/>
        </w:rPr>
        <w:t>16</w:t>
      </w:r>
      <w:r w:rsidR="006E1745">
        <w:rPr>
          <w:rFonts w:ascii="Times New Roman" w:hAnsi="Times New Roman" w:cs="Times New Roman"/>
          <w:sz w:val="24"/>
          <w:szCs w:val="24"/>
        </w:rPr>
        <w:t>01</w:t>
      </w:r>
      <w:r>
        <w:rPr>
          <w:rFonts w:ascii="Times New Roman" w:hAnsi="Times New Roman" w:cs="Times New Roman"/>
          <w:sz w:val="24"/>
          <w:szCs w:val="24"/>
        </w:rPr>
        <w:t xml:space="preserve"> words</w:t>
      </w:r>
    </w:p>
    <w:p w14:paraId="347B4D76" w14:textId="77777777" w:rsidR="00F75B53" w:rsidRPr="008B5DFE" w:rsidRDefault="00F75B53" w:rsidP="008B5DFE">
      <w:pPr>
        <w:spacing w:line="360" w:lineRule="auto"/>
        <w:rPr>
          <w:rFonts w:ascii="Times New Roman" w:hAnsi="Times New Roman" w:cs="Times New Roman"/>
          <w:sz w:val="28"/>
          <w:szCs w:val="28"/>
          <w:u w:val="single"/>
        </w:rPr>
      </w:pPr>
    </w:p>
    <w:p w14:paraId="2A129137" w14:textId="77777777" w:rsidR="00F75B53" w:rsidRPr="008B5DFE" w:rsidRDefault="00F75B53" w:rsidP="00C55E95">
      <w:pPr>
        <w:rPr>
          <w:rFonts w:ascii="Times New Roman" w:hAnsi="Times New Roman" w:cs="Times New Roman"/>
          <w:sz w:val="28"/>
          <w:szCs w:val="28"/>
          <w:u w:val="single"/>
        </w:rPr>
      </w:pPr>
    </w:p>
    <w:p w14:paraId="38C2CED2" w14:textId="77777777" w:rsidR="008B5DFE" w:rsidRDefault="008B5DFE" w:rsidP="00C55E95">
      <w:pPr>
        <w:rPr>
          <w:rFonts w:ascii="Times New Roman" w:hAnsi="Times New Roman" w:cs="Times New Roman"/>
          <w:sz w:val="28"/>
          <w:szCs w:val="28"/>
          <w:u w:val="single"/>
        </w:rPr>
      </w:pPr>
    </w:p>
    <w:p w14:paraId="24A33D2D" w14:textId="77777777" w:rsidR="008B5DFE" w:rsidRDefault="008B5DFE" w:rsidP="00C55E95">
      <w:pPr>
        <w:rPr>
          <w:rFonts w:ascii="Times New Roman" w:hAnsi="Times New Roman" w:cs="Times New Roman"/>
          <w:sz w:val="28"/>
          <w:szCs w:val="28"/>
          <w:u w:val="single"/>
        </w:rPr>
      </w:pPr>
    </w:p>
    <w:p w14:paraId="24B6E2F5" w14:textId="77777777" w:rsidR="008B5DFE" w:rsidRDefault="008B5DFE" w:rsidP="00C55E95">
      <w:pPr>
        <w:rPr>
          <w:rFonts w:ascii="Times New Roman" w:hAnsi="Times New Roman" w:cs="Times New Roman"/>
          <w:sz w:val="28"/>
          <w:szCs w:val="28"/>
          <w:u w:val="single"/>
        </w:rPr>
      </w:pPr>
    </w:p>
    <w:p w14:paraId="4A459D14" w14:textId="77777777" w:rsidR="008B5DFE" w:rsidRDefault="008B5DFE" w:rsidP="00C55E95">
      <w:pPr>
        <w:rPr>
          <w:rFonts w:ascii="Times New Roman" w:hAnsi="Times New Roman" w:cs="Times New Roman"/>
          <w:sz w:val="28"/>
          <w:szCs w:val="28"/>
          <w:u w:val="single"/>
        </w:rPr>
      </w:pPr>
    </w:p>
    <w:p w14:paraId="209A4E81" w14:textId="77777777" w:rsidR="008B5DFE" w:rsidRDefault="008B5DFE" w:rsidP="00C55E95">
      <w:pPr>
        <w:rPr>
          <w:rFonts w:ascii="Times New Roman" w:hAnsi="Times New Roman" w:cs="Times New Roman"/>
          <w:sz w:val="28"/>
          <w:szCs w:val="28"/>
          <w:u w:val="single"/>
        </w:rPr>
      </w:pPr>
    </w:p>
    <w:p w14:paraId="6E4AFA08" w14:textId="77777777" w:rsidR="008B5DFE" w:rsidRDefault="008B5DFE" w:rsidP="00C55E95">
      <w:pPr>
        <w:rPr>
          <w:rFonts w:ascii="Times New Roman" w:hAnsi="Times New Roman" w:cs="Times New Roman"/>
          <w:sz w:val="28"/>
          <w:szCs w:val="28"/>
          <w:u w:val="single"/>
        </w:rPr>
      </w:pPr>
    </w:p>
    <w:p w14:paraId="041396BC" w14:textId="77777777" w:rsidR="008B5DFE" w:rsidRDefault="008B5DFE" w:rsidP="00C55E95">
      <w:pPr>
        <w:rPr>
          <w:rFonts w:ascii="Times New Roman" w:hAnsi="Times New Roman" w:cs="Times New Roman"/>
          <w:sz w:val="28"/>
          <w:szCs w:val="28"/>
          <w:u w:val="single"/>
        </w:rPr>
      </w:pPr>
    </w:p>
    <w:p w14:paraId="1B5C3C34" w14:textId="77777777" w:rsidR="008B5DFE" w:rsidRDefault="008B5DFE" w:rsidP="00C55E95">
      <w:pPr>
        <w:rPr>
          <w:rFonts w:ascii="Times New Roman" w:hAnsi="Times New Roman" w:cs="Times New Roman"/>
          <w:sz w:val="28"/>
          <w:szCs w:val="28"/>
          <w:u w:val="single"/>
        </w:rPr>
      </w:pPr>
    </w:p>
    <w:p w14:paraId="53904E7A" w14:textId="77777777" w:rsidR="008B5DFE" w:rsidRDefault="008B5DFE" w:rsidP="00C55E95">
      <w:pPr>
        <w:rPr>
          <w:rFonts w:ascii="Times New Roman" w:hAnsi="Times New Roman" w:cs="Times New Roman"/>
          <w:sz w:val="28"/>
          <w:szCs w:val="28"/>
          <w:u w:val="single"/>
        </w:rPr>
      </w:pPr>
    </w:p>
    <w:p w14:paraId="6B7CD822" w14:textId="77777777" w:rsidR="008B5DFE" w:rsidRDefault="008B5DFE" w:rsidP="00C55E95">
      <w:pPr>
        <w:rPr>
          <w:rFonts w:ascii="Times New Roman" w:hAnsi="Times New Roman" w:cs="Times New Roman"/>
          <w:sz w:val="28"/>
          <w:szCs w:val="28"/>
          <w:u w:val="single"/>
        </w:rPr>
      </w:pPr>
    </w:p>
    <w:p w14:paraId="58666D78" w14:textId="77777777" w:rsidR="008B5DFE" w:rsidRDefault="008B5DFE" w:rsidP="00C55E95">
      <w:pPr>
        <w:rPr>
          <w:rFonts w:ascii="Times New Roman" w:hAnsi="Times New Roman" w:cs="Times New Roman"/>
          <w:sz w:val="28"/>
          <w:szCs w:val="28"/>
          <w:u w:val="single"/>
        </w:rPr>
      </w:pPr>
    </w:p>
    <w:p w14:paraId="665161C6" w14:textId="77777777" w:rsidR="008B5DFE" w:rsidRDefault="008B5DFE" w:rsidP="00C55E95">
      <w:pPr>
        <w:rPr>
          <w:rFonts w:ascii="Times New Roman" w:hAnsi="Times New Roman" w:cs="Times New Roman"/>
          <w:sz w:val="28"/>
          <w:szCs w:val="28"/>
          <w:u w:val="single"/>
        </w:rPr>
      </w:pPr>
    </w:p>
    <w:p w14:paraId="16356AB4" w14:textId="77777777" w:rsidR="008B5DFE" w:rsidRDefault="008B5DFE" w:rsidP="00C55E95">
      <w:pPr>
        <w:rPr>
          <w:rFonts w:ascii="Times New Roman" w:hAnsi="Times New Roman" w:cs="Times New Roman"/>
          <w:sz w:val="28"/>
          <w:szCs w:val="28"/>
          <w:u w:val="single"/>
        </w:rPr>
      </w:pPr>
    </w:p>
    <w:p w14:paraId="4429D05C" w14:textId="5B20D919" w:rsidR="00C55E95" w:rsidRPr="008B5DFE" w:rsidRDefault="00C55E95" w:rsidP="00C55E95">
      <w:pPr>
        <w:rPr>
          <w:rFonts w:ascii="Times New Roman" w:hAnsi="Times New Roman" w:cs="Times New Roman"/>
          <w:sz w:val="28"/>
          <w:szCs w:val="28"/>
          <w:u w:val="single"/>
        </w:rPr>
      </w:pPr>
      <w:r w:rsidRPr="008B5DFE">
        <w:rPr>
          <w:rFonts w:ascii="Times New Roman" w:hAnsi="Times New Roman" w:cs="Times New Roman"/>
          <w:sz w:val="28"/>
          <w:szCs w:val="28"/>
          <w:u w:val="single"/>
        </w:rPr>
        <w:t>References:</w:t>
      </w:r>
    </w:p>
    <w:p w14:paraId="636AE55A" w14:textId="77777777" w:rsidR="008B5DFE" w:rsidRPr="00286D9D" w:rsidRDefault="008B5DFE" w:rsidP="000431FD">
      <w:pPr>
        <w:pStyle w:val="NormalWeb"/>
        <w:ind w:left="567" w:hanging="567"/>
      </w:pPr>
      <w:r w:rsidRPr="00286D9D">
        <w:t xml:space="preserve">Anderson, A.G., Knowles, Z. and Gilbourne, D. (2004) ‘Reflective practice for sport psychologists: Concepts, models, practical implications, and thoughts on dissemination’, </w:t>
      </w:r>
      <w:r w:rsidRPr="00286D9D">
        <w:rPr>
          <w:i/>
          <w:iCs/>
        </w:rPr>
        <w:t>The Sport Psychologist</w:t>
      </w:r>
      <w:r w:rsidRPr="00286D9D">
        <w:t xml:space="preserve">, 18(2), pp. </w:t>
      </w:r>
      <w:r w:rsidRPr="00286D9D">
        <w:t>199</w:t>
      </w:r>
      <w:r w:rsidRPr="00286D9D">
        <w:t xml:space="preserve"> doi:10.1123/tsp.18.2.188. </w:t>
      </w:r>
    </w:p>
    <w:p w14:paraId="16ED9CF7" w14:textId="77777777" w:rsidR="008B5DFE" w:rsidRPr="00286D9D" w:rsidRDefault="008B5DFE" w:rsidP="00C55E95">
      <w:pPr>
        <w:rPr>
          <w:rFonts w:ascii="Times New Roman" w:hAnsi="Times New Roman" w:cs="Times New Roman"/>
          <w:sz w:val="24"/>
          <w:szCs w:val="24"/>
        </w:rPr>
      </w:pPr>
      <w:r w:rsidRPr="00286D9D">
        <w:rPr>
          <w:rFonts w:ascii="Times New Roman" w:hAnsi="Times New Roman" w:cs="Times New Roman"/>
          <w:sz w:val="24"/>
          <w:szCs w:val="24"/>
        </w:rPr>
        <w:t>Ashby. (2006). Models for reflective practice. Practice Nurse : the Journal for Nurses in General Practice, 32(10), 28–32.</w:t>
      </w:r>
    </w:p>
    <w:p w14:paraId="34AB7F75" w14:textId="77777777" w:rsidR="008B5DFE" w:rsidRPr="00286D9D" w:rsidRDefault="008B5DFE" w:rsidP="00C60A3C">
      <w:pPr>
        <w:pStyle w:val="NormalWeb"/>
        <w:ind w:left="567" w:hanging="567"/>
      </w:pPr>
      <w:r w:rsidRPr="00286D9D">
        <w:t xml:space="preserve">Collins, L. and Collins, D. (2014) ‘Integration of professional judgement and decision-making in high-level Adventure Sports Coaching Practice’, </w:t>
      </w:r>
      <w:r w:rsidRPr="00286D9D">
        <w:rPr>
          <w:i/>
          <w:iCs/>
        </w:rPr>
        <w:t>Journal of Sports Sciences</w:t>
      </w:r>
      <w:r w:rsidRPr="00286D9D">
        <w:t xml:space="preserve">, 33(6), pp. 622–633. doi:10.1080/02640414.2014.953980. </w:t>
      </w:r>
    </w:p>
    <w:p w14:paraId="3245692C" w14:textId="77777777" w:rsidR="008B5DFE" w:rsidRDefault="008B5DFE" w:rsidP="003679AD">
      <w:pPr>
        <w:pStyle w:val="NormalWeb"/>
        <w:ind w:left="567" w:hanging="567"/>
      </w:pPr>
      <w:r>
        <w:t xml:space="preserve">DAY, E. </w:t>
      </w:r>
      <w:r>
        <w:rPr>
          <w:i/>
          <w:iCs/>
        </w:rPr>
        <w:t>et al.</w:t>
      </w:r>
      <w:r>
        <w:t xml:space="preserve"> (2005) ‘Ability-based pairing strategies in the team-based training of a complex skill: Does the intelligence of your training partner matter?’, </w:t>
      </w:r>
      <w:r>
        <w:rPr>
          <w:i/>
          <w:iCs/>
        </w:rPr>
        <w:t>Intelligence</w:t>
      </w:r>
      <w:r>
        <w:t xml:space="preserve">, 33(1), pp. 39–65. doi:10.1016/j.intell.2004.09.002. </w:t>
      </w:r>
    </w:p>
    <w:p w14:paraId="2BE08345" w14:textId="77777777" w:rsidR="008B5DFE" w:rsidRPr="00286D9D" w:rsidRDefault="008B5DFE" w:rsidP="00E04415">
      <w:pPr>
        <w:pStyle w:val="NormalWeb"/>
        <w:ind w:left="567" w:hanging="567"/>
      </w:pPr>
      <w:r w:rsidRPr="00286D9D">
        <w:t xml:space="preserve">Harvey, S. and Light, R.L. (2015) ‘Questioning for learning in game-based approaches to teaching and coaching’, </w:t>
      </w:r>
      <w:r w:rsidRPr="00286D9D">
        <w:rPr>
          <w:i/>
          <w:iCs/>
        </w:rPr>
        <w:t>Asia-Pacific Journal of Health, Sport and Physical Education</w:t>
      </w:r>
      <w:r w:rsidRPr="00286D9D">
        <w:t xml:space="preserve">, 6(2), pp. 175–190. doi:10.1080/18377122.2015.1051268. </w:t>
      </w:r>
    </w:p>
    <w:p w14:paraId="5F18B014" w14:textId="77777777" w:rsidR="008B5DFE" w:rsidRPr="00286D9D" w:rsidRDefault="008B5DFE" w:rsidP="000431FD">
      <w:pPr>
        <w:pStyle w:val="NormalWeb"/>
        <w:ind w:left="567" w:hanging="567"/>
      </w:pPr>
      <w:r w:rsidRPr="00286D9D">
        <w:t xml:space="preserve">Hodges, N.J. and Franks, I.M. (2002) ‘Modelling coaching practice: The role of instruction and demonstration’, </w:t>
      </w:r>
      <w:r w:rsidRPr="00286D9D">
        <w:rPr>
          <w:i/>
          <w:iCs/>
        </w:rPr>
        <w:t>Journal of Sports Sciences</w:t>
      </w:r>
      <w:r w:rsidRPr="00286D9D">
        <w:t xml:space="preserve">, 20(10), pp. 793–811. doi:10.1080/026404102320675648. </w:t>
      </w:r>
    </w:p>
    <w:p w14:paraId="5127CA14" w14:textId="77777777" w:rsidR="008B5DFE" w:rsidRPr="00286D9D" w:rsidRDefault="008B5DFE" w:rsidP="009730F4">
      <w:pPr>
        <w:pStyle w:val="NormalWeb"/>
        <w:ind w:left="567" w:hanging="567"/>
      </w:pPr>
      <w:r w:rsidRPr="00286D9D">
        <w:t xml:space="preserve">Light, R.L. and Harvey, S. (2015) ‘Positive pedagogy for sport coaching’, </w:t>
      </w:r>
      <w:r w:rsidRPr="00286D9D">
        <w:rPr>
          <w:i/>
          <w:iCs/>
        </w:rPr>
        <w:t>Sport, Education and Society</w:t>
      </w:r>
      <w:r w:rsidRPr="00286D9D">
        <w:t xml:space="preserve">, 22(2), pp. 271–287. doi:10.1080/13573322.2015.1015977. </w:t>
      </w:r>
    </w:p>
    <w:p w14:paraId="7E8040CC" w14:textId="77777777" w:rsidR="008B5DFE" w:rsidRPr="00286D9D" w:rsidRDefault="008B5DFE" w:rsidP="00EF1909">
      <w:pPr>
        <w:pStyle w:val="NormalWeb"/>
        <w:ind w:left="567" w:hanging="567"/>
      </w:pPr>
      <w:r w:rsidRPr="00286D9D">
        <w:t xml:space="preserve">Markkanen, P. </w:t>
      </w:r>
      <w:r w:rsidRPr="00286D9D">
        <w:rPr>
          <w:i/>
          <w:iCs/>
        </w:rPr>
        <w:t>et al.</w:t>
      </w:r>
      <w:r w:rsidRPr="00286D9D">
        <w:t xml:space="preserve"> (2020) ‘A reflective cycle: Understanding challenging situations in a school setting’, </w:t>
      </w:r>
      <w:r w:rsidRPr="00286D9D">
        <w:rPr>
          <w:i/>
          <w:iCs/>
        </w:rPr>
        <w:t>Educational Research</w:t>
      </w:r>
      <w:r w:rsidRPr="00286D9D">
        <w:t xml:space="preserve">, 62(1), pp. 46–62. doi:10.1080/00131881.2020.1711790. </w:t>
      </w:r>
    </w:p>
    <w:p w14:paraId="1942C2A8" w14:textId="77777777" w:rsidR="008B5DFE" w:rsidRPr="00286D9D" w:rsidRDefault="008B5DFE" w:rsidP="00E04415">
      <w:pPr>
        <w:pStyle w:val="NormalWeb"/>
        <w:ind w:left="567" w:hanging="567"/>
      </w:pPr>
      <w:r w:rsidRPr="00286D9D">
        <w:t xml:space="preserve">Raabe, J. </w:t>
      </w:r>
      <w:r w:rsidRPr="00286D9D">
        <w:rPr>
          <w:i/>
          <w:iCs/>
        </w:rPr>
        <w:t>et al.</w:t>
      </w:r>
      <w:r w:rsidRPr="00286D9D">
        <w:t xml:space="preserve"> (2019) ‘The effectiveness of autonomy support interventions with physical education teachers and Youth Sport Coaches: A systematic review’, </w:t>
      </w:r>
      <w:r w:rsidRPr="00286D9D">
        <w:rPr>
          <w:i/>
          <w:iCs/>
        </w:rPr>
        <w:t>Journal of Sport and Exercise Psychology</w:t>
      </w:r>
      <w:r w:rsidRPr="00286D9D">
        <w:t xml:space="preserve">, 41(6), pp. 345–355. doi:10.1123/jsep.2019-0026. </w:t>
      </w:r>
    </w:p>
    <w:p w14:paraId="313253EA" w14:textId="77777777" w:rsidR="008B5DFE" w:rsidRDefault="008B5DFE" w:rsidP="00944F61">
      <w:pPr>
        <w:pStyle w:val="NormalWeb"/>
        <w:ind w:left="567" w:hanging="567"/>
      </w:pPr>
      <w:r>
        <w:t>Shabiralyani, G</w:t>
      </w:r>
      <w:r>
        <w:t xml:space="preserve"> et al</w:t>
      </w:r>
      <w:r>
        <w:t xml:space="preserve">. (2015) ‘Impact of Visual Aids in Enhancing the Learning Process Case Research: District Dera Ghazi Khan. ’, </w:t>
      </w:r>
      <w:r>
        <w:rPr>
          <w:i/>
          <w:iCs/>
        </w:rPr>
        <w:t xml:space="preserve">Journal of Education and Practice </w:t>
      </w:r>
      <w:r>
        <w:t xml:space="preserve">, 6, p. 266. </w:t>
      </w:r>
    </w:p>
    <w:p w14:paraId="72CA0A47" w14:textId="77777777" w:rsidR="008B5DFE" w:rsidRDefault="008B5DFE" w:rsidP="00BE7DF5">
      <w:pPr>
        <w:pStyle w:val="NormalWeb"/>
        <w:ind w:left="567" w:hanging="567"/>
      </w:pPr>
      <w:r>
        <w:t xml:space="preserve">Vecchio, P, </w:t>
      </w:r>
      <w:r>
        <w:t xml:space="preserve">(2012) </w:t>
      </w:r>
      <w:r>
        <w:rPr>
          <w:i/>
          <w:iCs/>
        </w:rPr>
        <w:t>How to achieve the ‘Flow State’ in Athletics and Life</w:t>
      </w:r>
      <w:r>
        <w:t xml:space="preserve">, </w:t>
      </w:r>
      <w:r>
        <w:rPr>
          <w:i/>
          <w:iCs/>
        </w:rPr>
        <w:t>Podium Sports Journal</w:t>
      </w:r>
      <w:r>
        <w:t xml:space="preserve">. Available at: https://www.podiumsportsjournal.com/2010/10/01/how-to-achieve-the-flow-state-in-athletics-and-life/#:~:text=%E2%80%9CFlow%E2%80%9D%20is%20a%20state%20of,perform%20at%20extremely%20high%20levels. (Accessed: 11 May 2023). </w:t>
      </w:r>
    </w:p>
    <w:p w14:paraId="30D3EE8B" w14:textId="77777777" w:rsidR="000431FD" w:rsidRDefault="000431FD" w:rsidP="000431FD">
      <w:pPr>
        <w:pStyle w:val="NormalWeb"/>
        <w:ind w:left="567" w:hanging="567"/>
      </w:pPr>
    </w:p>
    <w:p w14:paraId="0EC21045" w14:textId="77777777" w:rsidR="00EF1909" w:rsidRDefault="00EF1909" w:rsidP="00C55E95"/>
    <w:sectPr w:rsidR="00EF190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965F8" w14:textId="77777777" w:rsidR="000864C5" w:rsidRDefault="000864C5" w:rsidP="008B5DFE">
      <w:pPr>
        <w:spacing w:after="0" w:line="240" w:lineRule="auto"/>
      </w:pPr>
      <w:r>
        <w:separator/>
      </w:r>
    </w:p>
  </w:endnote>
  <w:endnote w:type="continuationSeparator" w:id="0">
    <w:p w14:paraId="6873916A" w14:textId="77777777" w:rsidR="000864C5" w:rsidRDefault="000864C5" w:rsidP="008B5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5402962"/>
      <w:docPartObj>
        <w:docPartGallery w:val="Page Numbers (Bottom of Page)"/>
        <w:docPartUnique/>
      </w:docPartObj>
    </w:sdtPr>
    <w:sdtEndPr>
      <w:rPr>
        <w:noProof/>
      </w:rPr>
    </w:sdtEndPr>
    <w:sdtContent>
      <w:p w14:paraId="6E7479CB" w14:textId="66654145" w:rsidR="008B5DFE" w:rsidRDefault="008B5DFE">
        <w:pPr>
          <w:pStyle w:val="Footer"/>
        </w:pPr>
        <w:r>
          <w:fldChar w:fldCharType="begin"/>
        </w:r>
        <w:r>
          <w:instrText xml:space="preserve"> PAGE   \* MERGEFORMAT </w:instrText>
        </w:r>
        <w:r>
          <w:fldChar w:fldCharType="separate"/>
        </w:r>
        <w:r>
          <w:rPr>
            <w:noProof/>
          </w:rPr>
          <w:t>2</w:t>
        </w:r>
        <w:r>
          <w:rPr>
            <w:noProof/>
          </w:rPr>
          <w:fldChar w:fldCharType="end"/>
        </w:r>
      </w:p>
    </w:sdtContent>
  </w:sdt>
  <w:p w14:paraId="49F538DE" w14:textId="77777777" w:rsidR="008B5DFE" w:rsidRDefault="008B5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58A64" w14:textId="77777777" w:rsidR="000864C5" w:rsidRDefault="000864C5" w:rsidP="008B5DFE">
      <w:pPr>
        <w:spacing w:after="0" w:line="240" w:lineRule="auto"/>
      </w:pPr>
      <w:r>
        <w:separator/>
      </w:r>
    </w:p>
  </w:footnote>
  <w:footnote w:type="continuationSeparator" w:id="0">
    <w:p w14:paraId="71167536" w14:textId="77777777" w:rsidR="000864C5" w:rsidRDefault="000864C5" w:rsidP="008B5D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258654" w14:textId="576CE2F5" w:rsidR="008B5DFE" w:rsidRDefault="008B5DFE">
    <w:pPr>
      <w:pStyle w:val="Header"/>
    </w:pPr>
    <w:r>
      <w:t>BMSS6001</w:t>
    </w:r>
    <w:r w:rsidR="00434BAE">
      <w:t xml:space="preserve">                                                                                                              </w:t>
    </w:r>
    <w:r w:rsidR="00434BAE">
      <w:t xml:space="preserve">Darcey Beak: </w:t>
    </w:r>
    <w:r w:rsidR="00434BAE">
      <w:t xml:space="preserve">     2006955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A08"/>
    <w:rsid w:val="0001342A"/>
    <w:rsid w:val="00030739"/>
    <w:rsid w:val="00042F45"/>
    <w:rsid w:val="000431FD"/>
    <w:rsid w:val="00045838"/>
    <w:rsid w:val="0004612F"/>
    <w:rsid w:val="00047F0B"/>
    <w:rsid w:val="00051373"/>
    <w:rsid w:val="00072DDE"/>
    <w:rsid w:val="000864C5"/>
    <w:rsid w:val="00093EB7"/>
    <w:rsid w:val="000A12CD"/>
    <w:rsid w:val="000A4B62"/>
    <w:rsid w:val="000A5588"/>
    <w:rsid w:val="000B4241"/>
    <w:rsid w:val="000C0DCA"/>
    <w:rsid w:val="000D18E1"/>
    <w:rsid w:val="000E7425"/>
    <w:rsid w:val="000E7978"/>
    <w:rsid w:val="000F4F03"/>
    <w:rsid w:val="001002B1"/>
    <w:rsid w:val="00100A7F"/>
    <w:rsid w:val="0010539A"/>
    <w:rsid w:val="00105607"/>
    <w:rsid w:val="0011465D"/>
    <w:rsid w:val="0011706C"/>
    <w:rsid w:val="00136B03"/>
    <w:rsid w:val="00140211"/>
    <w:rsid w:val="00150E5B"/>
    <w:rsid w:val="001521B6"/>
    <w:rsid w:val="00152890"/>
    <w:rsid w:val="00154811"/>
    <w:rsid w:val="00167302"/>
    <w:rsid w:val="001760EF"/>
    <w:rsid w:val="00185F9E"/>
    <w:rsid w:val="00196BC6"/>
    <w:rsid w:val="001A518D"/>
    <w:rsid w:val="001B2A08"/>
    <w:rsid w:val="001C18E4"/>
    <w:rsid w:val="001D4803"/>
    <w:rsid w:val="001E246B"/>
    <w:rsid w:val="001E26AD"/>
    <w:rsid w:val="00203635"/>
    <w:rsid w:val="002205AC"/>
    <w:rsid w:val="00222625"/>
    <w:rsid w:val="002318CB"/>
    <w:rsid w:val="00237AB8"/>
    <w:rsid w:val="002439D4"/>
    <w:rsid w:val="00253A02"/>
    <w:rsid w:val="00262EB7"/>
    <w:rsid w:val="00265B5C"/>
    <w:rsid w:val="00280AD2"/>
    <w:rsid w:val="00286D9D"/>
    <w:rsid w:val="002937E7"/>
    <w:rsid w:val="002A0DBD"/>
    <w:rsid w:val="002B6B13"/>
    <w:rsid w:val="002C0D77"/>
    <w:rsid w:val="002C612D"/>
    <w:rsid w:val="002D6744"/>
    <w:rsid w:val="002E1F02"/>
    <w:rsid w:val="002E36A1"/>
    <w:rsid w:val="002E677B"/>
    <w:rsid w:val="002F1D27"/>
    <w:rsid w:val="002F5B3E"/>
    <w:rsid w:val="003354F8"/>
    <w:rsid w:val="0035134C"/>
    <w:rsid w:val="00352E26"/>
    <w:rsid w:val="00353DC3"/>
    <w:rsid w:val="00357670"/>
    <w:rsid w:val="003674D8"/>
    <w:rsid w:val="003679AD"/>
    <w:rsid w:val="0037278D"/>
    <w:rsid w:val="00374E46"/>
    <w:rsid w:val="003817A9"/>
    <w:rsid w:val="00384E60"/>
    <w:rsid w:val="00384FE0"/>
    <w:rsid w:val="00385CC2"/>
    <w:rsid w:val="00386001"/>
    <w:rsid w:val="003A3CB2"/>
    <w:rsid w:val="003B01F6"/>
    <w:rsid w:val="003B089B"/>
    <w:rsid w:val="003B746E"/>
    <w:rsid w:val="003E574F"/>
    <w:rsid w:val="003F266B"/>
    <w:rsid w:val="00416CC3"/>
    <w:rsid w:val="0042551A"/>
    <w:rsid w:val="0042791F"/>
    <w:rsid w:val="00431CB9"/>
    <w:rsid w:val="00432B07"/>
    <w:rsid w:val="00434BAE"/>
    <w:rsid w:val="00467E95"/>
    <w:rsid w:val="00472F2D"/>
    <w:rsid w:val="00481C2B"/>
    <w:rsid w:val="00487A07"/>
    <w:rsid w:val="0049310D"/>
    <w:rsid w:val="0049519C"/>
    <w:rsid w:val="004968A3"/>
    <w:rsid w:val="00497E58"/>
    <w:rsid w:val="004A0BB5"/>
    <w:rsid w:val="004B3FB4"/>
    <w:rsid w:val="004B4870"/>
    <w:rsid w:val="004D07F3"/>
    <w:rsid w:val="004D2F89"/>
    <w:rsid w:val="004D5D08"/>
    <w:rsid w:val="004E2C9C"/>
    <w:rsid w:val="004E3611"/>
    <w:rsid w:val="004E3CF6"/>
    <w:rsid w:val="004E7D73"/>
    <w:rsid w:val="0050050A"/>
    <w:rsid w:val="00501479"/>
    <w:rsid w:val="00503716"/>
    <w:rsid w:val="005054BE"/>
    <w:rsid w:val="00506D94"/>
    <w:rsid w:val="0051118D"/>
    <w:rsid w:val="00515C2F"/>
    <w:rsid w:val="00524EEA"/>
    <w:rsid w:val="00551064"/>
    <w:rsid w:val="00554A21"/>
    <w:rsid w:val="00555CDC"/>
    <w:rsid w:val="00556EED"/>
    <w:rsid w:val="005651E0"/>
    <w:rsid w:val="00566183"/>
    <w:rsid w:val="005742C2"/>
    <w:rsid w:val="005744EB"/>
    <w:rsid w:val="005C650C"/>
    <w:rsid w:val="005C6A2A"/>
    <w:rsid w:val="005E1B88"/>
    <w:rsid w:val="005F536D"/>
    <w:rsid w:val="005F77B4"/>
    <w:rsid w:val="005F7D9A"/>
    <w:rsid w:val="00613089"/>
    <w:rsid w:val="00614250"/>
    <w:rsid w:val="00623CC4"/>
    <w:rsid w:val="0062467D"/>
    <w:rsid w:val="00630526"/>
    <w:rsid w:val="00630870"/>
    <w:rsid w:val="006308B7"/>
    <w:rsid w:val="00633443"/>
    <w:rsid w:val="00635D14"/>
    <w:rsid w:val="00637064"/>
    <w:rsid w:val="00641851"/>
    <w:rsid w:val="00642ED4"/>
    <w:rsid w:val="006532E6"/>
    <w:rsid w:val="00671FD2"/>
    <w:rsid w:val="00676D20"/>
    <w:rsid w:val="006820BD"/>
    <w:rsid w:val="00692DAA"/>
    <w:rsid w:val="006957B4"/>
    <w:rsid w:val="006A5A88"/>
    <w:rsid w:val="006A61A6"/>
    <w:rsid w:val="006B13F8"/>
    <w:rsid w:val="006B48DF"/>
    <w:rsid w:val="006D2EC9"/>
    <w:rsid w:val="006D2F52"/>
    <w:rsid w:val="006D3177"/>
    <w:rsid w:val="006D59D0"/>
    <w:rsid w:val="006D76A6"/>
    <w:rsid w:val="006E1745"/>
    <w:rsid w:val="006E2130"/>
    <w:rsid w:val="006E2A88"/>
    <w:rsid w:val="006F4BF9"/>
    <w:rsid w:val="006F6822"/>
    <w:rsid w:val="00704E02"/>
    <w:rsid w:val="00713761"/>
    <w:rsid w:val="00713D1B"/>
    <w:rsid w:val="0071736F"/>
    <w:rsid w:val="00720469"/>
    <w:rsid w:val="007257D6"/>
    <w:rsid w:val="00727FC8"/>
    <w:rsid w:val="00741379"/>
    <w:rsid w:val="00742363"/>
    <w:rsid w:val="0074701D"/>
    <w:rsid w:val="00747482"/>
    <w:rsid w:val="00754606"/>
    <w:rsid w:val="007631BA"/>
    <w:rsid w:val="007766E1"/>
    <w:rsid w:val="007A1332"/>
    <w:rsid w:val="007C2331"/>
    <w:rsid w:val="007C312F"/>
    <w:rsid w:val="007C3913"/>
    <w:rsid w:val="007E30E9"/>
    <w:rsid w:val="007E4E3B"/>
    <w:rsid w:val="007F3A0A"/>
    <w:rsid w:val="007F42BA"/>
    <w:rsid w:val="00817D2E"/>
    <w:rsid w:val="008225CD"/>
    <w:rsid w:val="0083432D"/>
    <w:rsid w:val="00840F97"/>
    <w:rsid w:val="00844A6C"/>
    <w:rsid w:val="00850058"/>
    <w:rsid w:val="008554E1"/>
    <w:rsid w:val="0086109B"/>
    <w:rsid w:val="008853E2"/>
    <w:rsid w:val="008B5DFE"/>
    <w:rsid w:val="008C12B3"/>
    <w:rsid w:val="008C3F39"/>
    <w:rsid w:val="009066B5"/>
    <w:rsid w:val="00917046"/>
    <w:rsid w:val="00924CFB"/>
    <w:rsid w:val="00925DEC"/>
    <w:rsid w:val="009261EB"/>
    <w:rsid w:val="0093059D"/>
    <w:rsid w:val="00930856"/>
    <w:rsid w:val="00931FF4"/>
    <w:rsid w:val="009427F7"/>
    <w:rsid w:val="009447B7"/>
    <w:rsid w:val="00944F61"/>
    <w:rsid w:val="009552C1"/>
    <w:rsid w:val="00956ED2"/>
    <w:rsid w:val="00961F91"/>
    <w:rsid w:val="00962797"/>
    <w:rsid w:val="00966307"/>
    <w:rsid w:val="00967521"/>
    <w:rsid w:val="00971ABE"/>
    <w:rsid w:val="00971C7C"/>
    <w:rsid w:val="009730F4"/>
    <w:rsid w:val="009809F6"/>
    <w:rsid w:val="00990184"/>
    <w:rsid w:val="00991407"/>
    <w:rsid w:val="0099276C"/>
    <w:rsid w:val="009A5C97"/>
    <w:rsid w:val="009A6183"/>
    <w:rsid w:val="009B09F3"/>
    <w:rsid w:val="009B60D8"/>
    <w:rsid w:val="009B771E"/>
    <w:rsid w:val="009C7628"/>
    <w:rsid w:val="009E5642"/>
    <w:rsid w:val="009E56F7"/>
    <w:rsid w:val="009E6EE8"/>
    <w:rsid w:val="009F03E5"/>
    <w:rsid w:val="009F0DED"/>
    <w:rsid w:val="009F1D89"/>
    <w:rsid w:val="00A1161E"/>
    <w:rsid w:val="00A23E19"/>
    <w:rsid w:val="00A34785"/>
    <w:rsid w:val="00A570F8"/>
    <w:rsid w:val="00A602F5"/>
    <w:rsid w:val="00A676E4"/>
    <w:rsid w:val="00A72D64"/>
    <w:rsid w:val="00A7480F"/>
    <w:rsid w:val="00A85004"/>
    <w:rsid w:val="00A902D2"/>
    <w:rsid w:val="00A941C5"/>
    <w:rsid w:val="00AA54AB"/>
    <w:rsid w:val="00AA6CFC"/>
    <w:rsid w:val="00AB0F7C"/>
    <w:rsid w:val="00AB3B5A"/>
    <w:rsid w:val="00AC33C9"/>
    <w:rsid w:val="00AC507B"/>
    <w:rsid w:val="00AD3F57"/>
    <w:rsid w:val="00AF21B0"/>
    <w:rsid w:val="00AF6746"/>
    <w:rsid w:val="00B01420"/>
    <w:rsid w:val="00B01F78"/>
    <w:rsid w:val="00B11003"/>
    <w:rsid w:val="00B154C2"/>
    <w:rsid w:val="00B16C24"/>
    <w:rsid w:val="00B17A60"/>
    <w:rsid w:val="00B22041"/>
    <w:rsid w:val="00B2239D"/>
    <w:rsid w:val="00B2772A"/>
    <w:rsid w:val="00B31AFA"/>
    <w:rsid w:val="00B34B76"/>
    <w:rsid w:val="00B41D98"/>
    <w:rsid w:val="00B534D7"/>
    <w:rsid w:val="00B62D27"/>
    <w:rsid w:val="00B779B6"/>
    <w:rsid w:val="00B84E55"/>
    <w:rsid w:val="00B85000"/>
    <w:rsid w:val="00B87164"/>
    <w:rsid w:val="00BA33A6"/>
    <w:rsid w:val="00BB17D5"/>
    <w:rsid w:val="00BB1E21"/>
    <w:rsid w:val="00BB2917"/>
    <w:rsid w:val="00BC5A9D"/>
    <w:rsid w:val="00BC7F23"/>
    <w:rsid w:val="00BE7DF5"/>
    <w:rsid w:val="00C032FF"/>
    <w:rsid w:val="00C20B8F"/>
    <w:rsid w:val="00C30495"/>
    <w:rsid w:val="00C52A81"/>
    <w:rsid w:val="00C55E95"/>
    <w:rsid w:val="00C60A3C"/>
    <w:rsid w:val="00C61F97"/>
    <w:rsid w:val="00C65064"/>
    <w:rsid w:val="00C77E42"/>
    <w:rsid w:val="00C81BA3"/>
    <w:rsid w:val="00C872DA"/>
    <w:rsid w:val="00C875F4"/>
    <w:rsid w:val="00C903F9"/>
    <w:rsid w:val="00CA0684"/>
    <w:rsid w:val="00CB43A7"/>
    <w:rsid w:val="00CC2DAE"/>
    <w:rsid w:val="00CC3A02"/>
    <w:rsid w:val="00CD432C"/>
    <w:rsid w:val="00CE1FA2"/>
    <w:rsid w:val="00CE327D"/>
    <w:rsid w:val="00CF3B88"/>
    <w:rsid w:val="00CF68B8"/>
    <w:rsid w:val="00D00945"/>
    <w:rsid w:val="00D36C06"/>
    <w:rsid w:val="00D43CF3"/>
    <w:rsid w:val="00D4720F"/>
    <w:rsid w:val="00D524B2"/>
    <w:rsid w:val="00D52F6F"/>
    <w:rsid w:val="00D531F2"/>
    <w:rsid w:val="00D56452"/>
    <w:rsid w:val="00D75FDB"/>
    <w:rsid w:val="00D84343"/>
    <w:rsid w:val="00D9251D"/>
    <w:rsid w:val="00DC6934"/>
    <w:rsid w:val="00DE3868"/>
    <w:rsid w:val="00DE4E36"/>
    <w:rsid w:val="00DE7131"/>
    <w:rsid w:val="00DE7868"/>
    <w:rsid w:val="00DF0190"/>
    <w:rsid w:val="00DF0A2A"/>
    <w:rsid w:val="00DF1A99"/>
    <w:rsid w:val="00DF53AC"/>
    <w:rsid w:val="00E04415"/>
    <w:rsid w:val="00E06030"/>
    <w:rsid w:val="00E26610"/>
    <w:rsid w:val="00E307F5"/>
    <w:rsid w:val="00E335EF"/>
    <w:rsid w:val="00E51664"/>
    <w:rsid w:val="00E5263D"/>
    <w:rsid w:val="00E56466"/>
    <w:rsid w:val="00E706F7"/>
    <w:rsid w:val="00E721D3"/>
    <w:rsid w:val="00E90DB1"/>
    <w:rsid w:val="00E97B58"/>
    <w:rsid w:val="00E97D84"/>
    <w:rsid w:val="00EE117C"/>
    <w:rsid w:val="00EE28FD"/>
    <w:rsid w:val="00EE624A"/>
    <w:rsid w:val="00EF1909"/>
    <w:rsid w:val="00EF19AD"/>
    <w:rsid w:val="00EF345B"/>
    <w:rsid w:val="00EF46BA"/>
    <w:rsid w:val="00EF6C6B"/>
    <w:rsid w:val="00F02DD7"/>
    <w:rsid w:val="00F05B12"/>
    <w:rsid w:val="00F063FB"/>
    <w:rsid w:val="00F22262"/>
    <w:rsid w:val="00F23EDC"/>
    <w:rsid w:val="00F34D36"/>
    <w:rsid w:val="00F36776"/>
    <w:rsid w:val="00F40350"/>
    <w:rsid w:val="00F42B41"/>
    <w:rsid w:val="00F62815"/>
    <w:rsid w:val="00F71CE3"/>
    <w:rsid w:val="00F72097"/>
    <w:rsid w:val="00F75B53"/>
    <w:rsid w:val="00F97017"/>
    <w:rsid w:val="00FA0ED1"/>
    <w:rsid w:val="00FA3A42"/>
    <w:rsid w:val="00FA6F6B"/>
    <w:rsid w:val="00FB138F"/>
    <w:rsid w:val="00FB550B"/>
    <w:rsid w:val="00FC3C5E"/>
    <w:rsid w:val="00FC4929"/>
    <w:rsid w:val="00FD06EB"/>
    <w:rsid w:val="00FD49F5"/>
    <w:rsid w:val="00FF0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3F5E4"/>
  <w15:chartTrackingRefBased/>
  <w15:docId w15:val="{9AD3BA23-6A00-406E-909F-3497AC5E9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19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B5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DFE"/>
  </w:style>
  <w:style w:type="paragraph" w:styleId="Footer">
    <w:name w:val="footer"/>
    <w:basedOn w:val="Normal"/>
    <w:link w:val="FooterChar"/>
    <w:uiPriority w:val="99"/>
    <w:unhideWhenUsed/>
    <w:rsid w:val="008B5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D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41297">
      <w:bodyDiv w:val="1"/>
      <w:marLeft w:val="0"/>
      <w:marRight w:val="0"/>
      <w:marTop w:val="0"/>
      <w:marBottom w:val="0"/>
      <w:divBdr>
        <w:top w:val="none" w:sz="0" w:space="0" w:color="auto"/>
        <w:left w:val="none" w:sz="0" w:space="0" w:color="auto"/>
        <w:bottom w:val="none" w:sz="0" w:space="0" w:color="auto"/>
        <w:right w:val="none" w:sz="0" w:space="0" w:color="auto"/>
      </w:divBdr>
    </w:div>
    <w:div w:id="293602936">
      <w:bodyDiv w:val="1"/>
      <w:marLeft w:val="0"/>
      <w:marRight w:val="0"/>
      <w:marTop w:val="0"/>
      <w:marBottom w:val="0"/>
      <w:divBdr>
        <w:top w:val="none" w:sz="0" w:space="0" w:color="auto"/>
        <w:left w:val="none" w:sz="0" w:space="0" w:color="auto"/>
        <w:bottom w:val="none" w:sz="0" w:space="0" w:color="auto"/>
        <w:right w:val="none" w:sz="0" w:space="0" w:color="auto"/>
      </w:divBdr>
    </w:div>
    <w:div w:id="562524581">
      <w:bodyDiv w:val="1"/>
      <w:marLeft w:val="0"/>
      <w:marRight w:val="0"/>
      <w:marTop w:val="0"/>
      <w:marBottom w:val="0"/>
      <w:divBdr>
        <w:top w:val="none" w:sz="0" w:space="0" w:color="auto"/>
        <w:left w:val="none" w:sz="0" w:space="0" w:color="auto"/>
        <w:bottom w:val="none" w:sz="0" w:space="0" w:color="auto"/>
        <w:right w:val="none" w:sz="0" w:space="0" w:color="auto"/>
      </w:divBdr>
    </w:div>
    <w:div w:id="600377987">
      <w:bodyDiv w:val="1"/>
      <w:marLeft w:val="0"/>
      <w:marRight w:val="0"/>
      <w:marTop w:val="0"/>
      <w:marBottom w:val="0"/>
      <w:divBdr>
        <w:top w:val="none" w:sz="0" w:space="0" w:color="auto"/>
        <w:left w:val="none" w:sz="0" w:space="0" w:color="auto"/>
        <w:bottom w:val="none" w:sz="0" w:space="0" w:color="auto"/>
        <w:right w:val="none" w:sz="0" w:space="0" w:color="auto"/>
      </w:divBdr>
    </w:div>
    <w:div w:id="670569955">
      <w:bodyDiv w:val="1"/>
      <w:marLeft w:val="0"/>
      <w:marRight w:val="0"/>
      <w:marTop w:val="0"/>
      <w:marBottom w:val="0"/>
      <w:divBdr>
        <w:top w:val="none" w:sz="0" w:space="0" w:color="auto"/>
        <w:left w:val="none" w:sz="0" w:space="0" w:color="auto"/>
        <w:bottom w:val="none" w:sz="0" w:space="0" w:color="auto"/>
        <w:right w:val="none" w:sz="0" w:space="0" w:color="auto"/>
      </w:divBdr>
    </w:div>
    <w:div w:id="984120313">
      <w:bodyDiv w:val="1"/>
      <w:marLeft w:val="0"/>
      <w:marRight w:val="0"/>
      <w:marTop w:val="0"/>
      <w:marBottom w:val="0"/>
      <w:divBdr>
        <w:top w:val="none" w:sz="0" w:space="0" w:color="auto"/>
        <w:left w:val="none" w:sz="0" w:space="0" w:color="auto"/>
        <w:bottom w:val="none" w:sz="0" w:space="0" w:color="auto"/>
        <w:right w:val="none" w:sz="0" w:space="0" w:color="auto"/>
      </w:divBdr>
    </w:div>
    <w:div w:id="1276134312">
      <w:bodyDiv w:val="1"/>
      <w:marLeft w:val="0"/>
      <w:marRight w:val="0"/>
      <w:marTop w:val="0"/>
      <w:marBottom w:val="0"/>
      <w:divBdr>
        <w:top w:val="none" w:sz="0" w:space="0" w:color="auto"/>
        <w:left w:val="none" w:sz="0" w:space="0" w:color="auto"/>
        <w:bottom w:val="none" w:sz="0" w:space="0" w:color="auto"/>
        <w:right w:val="none" w:sz="0" w:space="0" w:color="auto"/>
      </w:divBdr>
    </w:div>
    <w:div w:id="1334457510">
      <w:bodyDiv w:val="1"/>
      <w:marLeft w:val="0"/>
      <w:marRight w:val="0"/>
      <w:marTop w:val="0"/>
      <w:marBottom w:val="0"/>
      <w:divBdr>
        <w:top w:val="none" w:sz="0" w:space="0" w:color="auto"/>
        <w:left w:val="none" w:sz="0" w:space="0" w:color="auto"/>
        <w:bottom w:val="none" w:sz="0" w:space="0" w:color="auto"/>
        <w:right w:val="none" w:sz="0" w:space="0" w:color="auto"/>
      </w:divBdr>
    </w:div>
    <w:div w:id="1374185742">
      <w:bodyDiv w:val="1"/>
      <w:marLeft w:val="0"/>
      <w:marRight w:val="0"/>
      <w:marTop w:val="0"/>
      <w:marBottom w:val="0"/>
      <w:divBdr>
        <w:top w:val="none" w:sz="0" w:space="0" w:color="auto"/>
        <w:left w:val="none" w:sz="0" w:space="0" w:color="auto"/>
        <w:bottom w:val="none" w:sz="0" w:space="0" w:color="auto"/>
        <w:right w:val="none" w:sz="0" w:space="0" w:color="auto"/>
      </w:divBdr>
    </w:div>
    <w:div w:id="1644196552">
      <w:bodyDiv w:val="1"/>
      <w:marLeft w:val="0"/>
      <w:marRight w:val="0"/>
      <w:marTop w:val="0"/>
      <w:marBottom w:val="0"/>
      <w:divBdr>
        <w:top w:val="none" w:sz="0" w:space="0" w:color="auto"/>
        <w:left w:val="none" w:sz="0" w:space="0" w:color="auto"/>
        <w:bottom w:val="none" w:sz="0" w:space="0" w:color="auto"/>
        <w:right w:val="none" w:sz="0" w:space="0" w:color="auto"/>
      </w:divBdr>
    </w:div>
    <w:div w:id="1744063049">
      <w:bodyDiv w:val="1"/>
      <w:marLeft w:val="0"/>
      <w:marRight w:val="0"/>
      <w:marTop w:val="0"/>
      <w:marBottom w:val="0"/>
      <w:divBdr>
        <w:top w:val="none" w:sz="0" w:space="0" w:color="auto"/>
        <w:left w:val="none" w:sz="0" w:space="0" w:color="auto"/>
        <w:bottom w:val="none" w:sz="0" w:space="0" w:color="auto"/>
        <w:right w:val="none" w:sz="0" w:space="0" w:color="auto"/>
      </w:divBdr>
    </w:div>
    <w:div w:id="2005890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3746</TotalTime>
  <Pages>5</Pages>
  <Words>1847</Words>
  <Characters>10530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dc:creator>
  <cp:keywords/>
  <dc:description/>
  <cp:lastModifiedBy>Darcey</cp:lastModifiedBy>
  <cp:revision>361</cp:revision>
  <dcterms:created xsi:type="dcterms:W3CDTF">2023-05-09T04:33:00Z</dcterms:created>
  <dcterms:modified xsi:type="dcterms:W3CDTF">2023-05-11T18:59:00Z</dcterms:modified>
</cp:coreProperties>
</file>