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6B30F9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46551">
              <w:rPr>
                <w:rFonts w:ascii="Times New Roman" w:hAnsi="Times New Roman" w:cs="Times New Roman"/>
                <w:b/>
                <w:color w:val="auto"/>
                <w:sz w:val="48"/>
              </w:rPr>
              <w:t>Rhian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78965D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46551">
              <w:rPr>
                <w:rFonts w:ascii="Times New Roman" w:hAnsi="Times New Roman" w:cs="Times New Roman"/>
                <w:b/>
                <w:color w:val="auto"/>
                <w:sz w:val="48"/>
              </w:rPr>
              <w:t xml:space="preserve"> rhianwilliams63@yahoo.com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8C42572" w14:textId="77777777" w:rsidR="00946551" w:rsidRPr="00946551" w:rsidRDefault="00946551" w:rsidP="00946551">
            <w:pPr>
              <w:overflowPunct/>
              <w:autoSpaceDE/>
              <w:autoSpaceDN/>
              <w:adjustRightInd/>
              <w:ind w:right="-957"/>
              <w:textAlignment w:val="auto"/>
              <w:rPr>
                <w:rFonts w:ascii="Times New Roman" w:hAnsi="Times New Roman" w:cs="Times New Roman"/>
                <w:b/>
                <w:color w:val="auto"/>
                <w:sz w:val="48"/>
              </w:rPr>
            </w:pPr>
            <w:r w:rsidRPr="00946551">
              <w:rPr>
                <w:rFonts w:ascii="Times New Roman" w:hAnsi="Times New Roman" w:cs="Times New Roman"/>
                <w:b/>
                <w:color w:val="auto"/>
                <w:sz w:val="48"/>
              </w:rPr>
              <w:t xml:space="preserve">2320037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7E3F1DBE" w14:textId="61789675" w:rsidR="00AE0BF8" w:rsidRDefault="00AE0BF8" w:rsidP="000B518F">
            <w:pPr>
              <w:spacing w:line="360" w:lineRule="auto"/>
              <w:jc w:val="both"/>
              <w:rPr>
                <w:sz w:val="24"/>
                <w:szCs w:val="24"/>
              </w:rPr>
            </w:pPr>
            <w:r>
              <w:rPr>
                <w:sz w:val="24"/>
                <w:szCs w:val="24"/>
              </w:rPr>
              <w:t>P</w:t>
            </w:r>
            <w:r w:rsidRPr="00AE0BF8">
              <w:rPr>
                <w:sz w:val="24"/>
                <w:szCs w:val="24"/>
              </w:rPr>
              <w:t>ractitioners working in Wales would</w:t>
            </w:r>
            <w:r>
              <w:rPr>
                <w:sz w:val="24"/>
                <w:szCs w:val="24"/>
              </w:rPr>
              <w:t xml:space="preserve"> predominantly need to refer </w:t>
            </w:r>
            <w:r w:rsidRPr="00AE0BF8">
              <w:rPr>
                <w:sz w:val="24"/>
                <w:szCs w:val="24"/>
              </w:rPr>
              <w:t>to the Social Services and Well-Being (Wales) Act 2014 (SSWB, 2014)</w:t>
            </w:r>
            <w:r>
              <w:rPr>
                <w:sz w:val="24"/>
                <w:szCs w:val="24"/>
              </w:rPr>
              <w:t>, when safeguarding vulnerable adults</w:t>
            </w:r>
            <w:r w:rsidR="000B518F">
              <w:rPr>
                <w:sz w:val="24"/>
                <w:szCs w:val="24"/>
              </w:rPr>
              <w:t xml:space="preserve"> as this provides the legislative framework</w:t>
            </w:r>
            <w:r>
              <w:rPr>
                <w:sz w:val="24"/>
                <w:szCs w:val="24"/>
              </w:rPr>
              <w:t>.</w:t>
            </w:r>
            <w:r w:rsidR="000B518F">
              <w:rPr>
                <w:sz w:val="24"/>
                <w:szCs w:val="24"/>
              </w:rPr>
              <w:t xml:space="preserve">  Additionally, the Wales Safeguarding Procedures (2019) </w:t>
            </w:r>
            <w:r w:rsidR="000B518F" w:rsidRPr="000B518F">
              <w:rPr>
                <w:sz w:val="24"/>
                <w:szCs w:val="24"/>
              </w:rPr>
              <w:t>detail the</w:t>
            </w:r>
            <w:r w:rsidR="000B518F">
              <w:rPr>
                <w:sz w:val="24"/>
                <w:szCs w:val="24"/>
              </w:rPr>
              <w:t xml:space="preserve"> </w:t>
            </w:r>
            <w:r w:rsidR="000B518F" w:rsidRPr="000B518F">
              <w:rPr>
                <w:sz w:val="24"/>
                <w:szCs w:val="24"/>
              </w:rPr>
              <w:t>roles and responsibilities for practitioners to ensure that they safeguard</w:t>
            </w:r>
            <w:r w:rsidR="000B518F">
              <w:rPr>
                <w:sz w:val="24"/>
                <w:szCs w:val="24"/>
              </w:rPr>
              <w:t xml:space="preserve"> </w:t>
            </w:r>
            <w:r w:rsidR="000B518F" w:rsidRPr="000B518F">
              <w:rPr>
                <w:sz w:val="24"/>
                <w:szCs w:val="24"/>
              </w:rPr>
              <w:t>adults who are at risk of abuse and neglect</w:t>
            </w:r>
            <w:r w:rsidR="000B518F">
              <w:rPr>
                <w:sz w:val="24"/>
                <w:szCs w:val="24"/>
              </w:rPr>
              <w:t>.  These procedures are designed to assist practitioners to apply the</w:t>
            </w:r>
            <w:r w:rsidR="000B518F" w:rsidRPr="000B518F">
              <w:rPr>
                <w:sz w:val="24"/>
                <w:szCs w:val="24"/>
              </w:rPr>
              <w:t xml:space="preserve"> </w:t>
            </w:r>
            <w:r w:rsidR="000B518F" w:rsidRPr="000B518F">
              <w:rPr>
                <w:sz w:val="24"/>
                <w:szCs w:val="24"/>
              </w:rPr>
              <w:t xml:space="preserve">Social Services and Well-Being (Wales) Act 2014 </w:t>
            </w:r>
            <w:r w:rsidR="000B518F">
              <w:rPr>
                <w:sz w:val="24"/>
                <w:szCs w:val="24"/>
              </w:rPr>
              <w:t xml:space="preserve">and the Working Together to Safeguard People guidance, which is statutory safeguarding guidance.   </w:t>
            </w:r>
            <w:r>
              <w:rPr>
                <w:sz w:val="24"/>
                <w:szCs w:val="24"/>
              </w:rPr>
              <w:t xml:space="preserve">Social workers in Wales are also guided by the </w:t>
            </w:r>
            <w:r w:rsidRPr="00AE0BF8">
              <w:rPr>
                <w:sz w:val="24"/>
                <w:szCs w:val="24"/>
              </w:rPr>
              <w:t xml:space="preserve">Care Council for </w:t>
            </w:r>
            <w:proofErr w:type="spellStart"/>
            <w:r w:rsidRPr="00AE0BF8">
              <w:rPr>
                <w:sz w:val="24"/>
                <w:szCs w:val="24"/>
              </w:rPr>
              <w:t>Wales’</w:t>
            </w:r>
            <w:proofErr w:type="spellEnd"/>
            <w:r w:rsidRPr="00AE0BF8">
              <w:rPr>
                <w:sz w:val="24"/>
                <w:szCs w:val="24"/>
              </w:rPr>
              <w:t xml:space="preserve"> Code of Professional Practice 201</w:t>
            </w:r>
            <w:r w:rsidR="000B518F">
              <w:rPr>
                <w:sz w:val="24"/>
                <w:szCs w:val="24"/>
              </w:rPr>
              <w:t>7</w:t>
            </w:r>
            <w:r w:rsidRPr="00AE0BF8">
              <w:rPr>
                <w:sz w:val="24"/>
                <w:szCs w:val="24"/>
              </w:rPr>
              <w:t xml:space="preserve">.   </w:t>
            </w:r>
          </w:p>
          <w:p w14:paraId="7AD70B0A" w14:textId="77777777" w:rsidR="00AE0BF8" w:rsidRDefault="00AE0BF8" w:rsidP="000B518F">
            <w:pPr>
              <w:spacing w:line="360" w:lineRule="auto"/>
              <w:jc w:val="both"/>
              <w:rPr>
                <w:sz w:val="24"/>
                <w:szCs w:val="24"/>
              </w:rPr>
            </w:pPr>
          </w:p>
          <w:p w14:paraId="37D7E82B" w14:textId="77777777" w:rsidR="000B5EF1" w:rsidRPr="000B5EF1" w:rsidRDefault="000B5EF1" w:rsidP="000B5EF1">
            <w:pPr>
              <w:spacing w:line="360" w:lineRule="auto"/>
              <w:jc w:val="both"/>
              <w:rPr>
                <w:sz w:val="24"/>
                <w:szCs w:val="24"/>
              </w:rPr>
            </w:pPr>
            <w:r w:rsidRPr="000B5EF1">
              <w:rPr>
                <w:sz w:val="24"/>
                <w:szCs w:val="24"/>
              </w:rPr>
              <w:t>s126(1) of the Social Services and Well-being (Wales) Act 2014 defines an adult at risk as an adult who:</w:t>
            </w:r>
          </w:p>
          <w:p w14:paraId="70F27962" w14:textId="77777777" w:rsidR="000B5EF1" w:rsidRPr="000B5EF1" w:rsidRDefault="000B5EF1" w:rsidP="000B5EF1">
            <w:pPr>
              <w:spacing w:line="360" w:lineRule="auto"/>
              <w:jc w:val="both"/>
              <w:rPr>
                <w:sz w:val="24"/>
                <w:szCs w:val="24"/>
              </w:rPr>
            </w:pPr>
          </w:p>
          <w:p w14:paraId="0318E819" w14:textId="171DF5E8" w:rsidR="00FC0334" w:rsidRDefault="000B5EF1" w:rsidP="000B5EF1">
            <w:pPr>
              <w:spacing w:line="360" w:lineRule="auto"/>
              <w:jc w:val="both"/>
              <w:rPr>
                <w:sz w:val="24"/>
                <w:szCs w:val="24"/>
              </w:rPr>
            </w:pPr>
            <w:r w:rsidRPr="000B5EF1">
              <w:rPr>
                <w:sz w:val="24"/>
                <w:szCs w:val="24"/>
              </w:rPr>
              <w:t>Is experiencing or is at risk of abuse or neglect,</w:t>
            </w:r>
            <w:r>
              <w:rPr>
                <w:sz w:val="24"/>
                <w:szCs w:val="24"/>
              </w:rPr>
              <w:t xml:space="preserve"> h</w:t>
            </w:r>
            <w:r w:rsidRPr="000B5EF1">
              <w:rPr>
                <w:sz w:val="24"/>
                <w:szCs w:val="24"/>
              </w:rPr>
              <w:t>as needs for care and support (</w:t>
            </w:r>
            <w:proofErr w:type="gramStart"/>
            <w:r w:rsidRPr="000B5EF1">
              <w:rPr>
                <w:sz w:val="24"/>
                <w:szCs w:val="24"/>
              </w:rPr>
              <w:t>whether or not</w:t>
            </w:r>
            <w:proofErr w:type="gramEnd"/>
            <w:r w:rsidRPr="000B5EF1">
              <w:rPr>
                <w:sz w:val="24"/>
                <w:szCs w:val="24"/>
              </w:rPr>
              <w:t xml:space="preserve"> the authority is meeting any of those needs), and</w:t>
            </w:r>
            <w:r>
              <w:rPr>
                <w:sz w:val="24"/>
                <w:szCs w:val="24"/>
              </w:rPr>
              <w:t xml:space="preserve"> a</w:t>
            </w:r>
            <w:r w:rsidRPr="000B5EF1">
              <w:rPr>
                <w:sz w:val="24"/>
                <w:szCs w:val="24"/>
              </w:rPr>
              <w:t>s a result of those needs is unable to protect himself or herself against the abuse or neglect or the risk of it.</w:t>
            </w:r>
            <w:r>
              <w:rPr>
                <w:sz w:val="24"/>
                <w:szCs w:val="24"/>
              </w:rPr>
              <w:t xml:space="preserve">  To prevent actual abuse occurring, a practitioner does not need to wait and can act to protect an adult at risk by providing an early intervention.  </w:t>
            </w:r>
          </w:p>
          <w:p w14:paraId="6BE3690D" w14:textId="77777777" w:rsidR="000B5EF1" w:rsidRDefault="000B5EF1" w:rsidP="000B5EF1">
            <w:pPr>
              <w:spacing w:line="360" w:lineRule="auto"/>
              <w:jc w:val="both"/>
              <w:rPr>
                <w:sz w:val="24"/>
                <w:szCs w:val="24"/>
              </w:rPr>
            </w:pPr>
          </w:p>
          <w:p w14:paraId="1518F967" w14:textId="36EFCF84" w:rsidR="000B5EF1" w:rsidRDefault="000B5EF1" w:rsidP="000B5EF1">
            <w:pPr>
              <w:spacing w:line="360" w:lineRule="auto"/>
              <w:jc w:val="both"/>
              <w:rPr>
                <w:sz w:val="24"/>
                <w:szCs w:val="24"/>
              </w:rPr>
            </w:pPr>
            <w:r>
              <w:rPr>
                <w:sz w:val="24"/>
                <w:szCs w:val="24"/>
              </w:rPr>
              <w:lastRenderedPageBreak/>
              <w:t xml:space="preserve">Abuse is defined as </w:t>
            </w:r>
            <w:r w:rsidRPr="000B5EF1">
              <w:rPr>
                <w:sz w:val="24"/>
                <w:szCs w:val="24"/>
              </w:rPr>
              <w:t>physical, sexual, psychological, emotional or financial (includes theft, fraud, pressure about money, misuse of money</w:t>
            </w:r>
            <w:r>
              <w:rPr>
                <w:sz w:val="24"/>
                <w:szCs w:val="24"/>
              </w:rPr>
              <w:t>. Abuse can occur in any setting such as within the persons home or an institution, for example a care home for the elderly or a mental health setting (Wales Safeguarding Procedures, 2019).</w:t>
            </w:r>
          </w:p>
          <w:p w14:paraId="249E7D76" w14:textId="77777777" w:rsidR="008D2823" w:rsidRDefault="008D2823" w:rsidP="000B5EF1">
            <w:pPr>
              <w:spacing w:line="360" w:lineRule="auto"/>
              <w:jc w:val="both"/>
              <w:rPr>
                <w:sz w:val="24"/>
                <w:szCs w:val="24"/>
              </w:rPr>
            </w:pPr>
          </w:p>
          <w:p w14:paraId="02930528" w14:textId="418703AD" w:rsidR="008D2823" w:rsidRDefault="008D2823" w:rsidP="000B5EF1">
            <w:pPr>
              <w:spacing w:line="360" w:lineRule="auto"/>
              <w:jc w:val="both"/>
              <w:rPr>
                <w:sz w:val="24"/>
                <w:szCs w:val="24"/>
              </w:rPr>
            </w:pPr>
            <w:r>
              <w:rPr>
                <w:sz w:val="24"/>
                <w:szCs w:val="24"/>
              </w:rPr>
              <w:t xml:space="preserve">Ensuring an awareness of indicators of abuse is crucial as individuals will not, or possibly cannot always disclose the abuse that is happening to them.  Wales Safeguarding Procedures, 2019 provides practitioners with a list of abuse indicators.  Furthermore, the Social Care Institute for Excellence has developed resources that practitioners can use to assist them to safeguard adults and to meet their professional safeguarding duties under the </w:t>
            </w:r>
            <w:r w:rsidRPr="008D2823">
              <w:rPr>
                <w:sz w:val="24"/>
                <w:szCs w:val="24"/>
              </w:rPr>
              <w:t xml:space="preserve">Social Services and Well-being (Wales) Act </w:t>
            </w:r>
            <w:r>
              <w:rPr>
                <w:sz w:val="24"/>
                <w:szCs w:val="24"/>
              </w:rPr>
              <w:t>(</w:t>
            </w:r>
            <w:r w:rsidRPr="008D2823">
              <w:rPr>
                <w:sz w:val="24"/>
                <w:szCs w:val="24"/>
              </w:rPr>
              <w:t>2014</w:t>
            </w:r>
            <w:r>
              <w:rPr>
                <w:sz w:val="24"/>
                <w:szCs w:val="24"/>
              </w:rPr>
              <w:t>).</w:t>
            </w:r>
            <w:r w:rsidR="00DA21B0">
              <w:rPr>
                <w:sz w:val="24"/>
                <w:szCs w:val="24"/>
              </w:rPr>
              <w:t xml:space="preserve">  </w:t>
            </w:r>
          </w:p>
          <w:p w14:paraId="2AABFD0E" w14:textId="77777777" w:rsidR="00DA21B0" w:rsidRDefault="00DA21B0" w:rsidP="000B5EF1">
            <w:pPr>
              <w:spacing w:line="360" w:lineRule="auto"/>
              <w:jc w:val="both"/>
              <w:rPr>
                <w:sz w:val="24"/>
                <w:szCs w:val="24"/>
              </w:rPr>
            </w:pPr>
          </w:p>
          <w:p w14:paraId="60B3FA70" w14:textId="5ACE7670" w:rsidR="00DA21B0" w:rsidRDefault="00DA21B0" w:rsidP="000B5EF1">
            <w:pPr>
              <w:spacing w:line="360" w:lineRule="auto"/>
              <w:jc w:val="both"/>
              <w:rPr>
                <w:sz w:val="24"/>
                <w:szCs w:val="24"/>
              </w:rPr>
            </w:pPr>
            <w:r>
              <w:rPr>
                <w:sz w:val="24"/>
                <w:szCs w:val="24"/>
              </w:rPr>
              <w:t>Under S126 of the Social Services and Well-being (Wales) Act (2014) i</w:t>
            </w:r>
            <w:r w:rsidRPr="00DA21B0">
              <w:rPr>
                <w:sz w:val="24"/>
                <w:szCs w:val="24"/>
              </w:rPr>
              <w:t>f any person has knowledge, concerns or suspicions that a child or adult is suffering, has suffered or is likely to be at risk of abuse, it is their responsibility to ensure that the concerns are referred to social services or the police who have statutory duties and powers to make enquiries and intervene when necessary.</w:t>
            </w:r>
            <w:r>
              <w:rPr>
                <w:sz w:val="24"/>
                <w:szCs w:val="24"/>
              </w:rPr>
              <w:t xml:space="preserve">  It must be noted that this is not a matter of personal choice, it is a </w:t>
            </w:r>
            <w:proofErr w:type="spellStart"/>
            <w:r>
              <w:rPr>
                <w:sz w:val="24"/>
                <w:szCs w:val="24"/>
              </w:rPr>
              <w:t>staturoty</w:t>
            </w:r>
            <w:proofErr w:type="spellEnd"/>
            <w:r>
              <w:rPr>
                <w:sz w:val="24"/>
                <w:szCs w:val="24"/>
              </w:rPr>
              <w:t xml:space="preserve"> obligation.  </w:t>
            </w:r>
          </w:p>
          <w:p w14:paraId="21FDC09E" w14:textId="77777777" w:rsidR="00DA21B0" w:rsidRDefault="00DA21B0" w:rsidP="000B5EF1">
            <w:pPr>
              <w:spacing w:line="360" w:lineRule="auto"/>
              <w:jc w:val="both"/>
              <w:rPr>
                <w:sz w:val="24"/>
                <w:szCs w:val="24"/>
              </w:rPr>
            </w:pPr>
          </w:p>
          <w:p w14:paraId="26AF0B62" w14:textId="22B80B51" w:rsidR="00DA21B0" w:rsidRDefault="00DA21B0" w:rsidP="000B5EF1">
            <w:pPr>
              <w:spacing w:line="360" w:lineRule="auto"/>
              <w:jc w:val="both"/>
              <w:rPr>
                <w:sz w:val="24"/>
                <w:szCs w:val="24"/>
              </w:rPr>
            </w:pPr>
            <w:r w:rsidRPr="00DA21B0">
              <w:rPr>
                <w:sz w:val="24"/>
                <w:szCs w:val="24"/>
              </w:rPr>
              <w:t>Safeguarding enquiries are made under s126 of the Social Services and Well-being (Wales) Act 2014. Following a report, social services have a duty to make enquiries, if there is reasonable case to suspect that a person within its area (</w:t>
            </w:r>
            <w:proofErr w:type="gramStart"/>
            <w:r w:rsidRPr="00DA21B0">
              <w:rPr>
                <w:sz w:val="24"/>
                <w:szCs w:val="24"/>
              </w:rPr>
              <w:t>whether or not</w:t>
            </w:r>
            <w:proofErr w:type="gramEnd"/>
            <w:r w:rsidRPr="00DA21B0">
              <w:rPr>
                <w:sz w:val="24"/>
                <w:szCs w:val="24"/>
              </w:rPr>
              <w:t xml:space="preserve"> ordinarily resident there) is an adult at risk</w:t>
            </w:r>
            <w:r>
              <w:rPr>
                <w:sz w:val="24"/>
                <w:szCs w:val="24"/>
              </w:rPr>
              <w:t xml:space="preserve">.  </w:t>
            </w:r>
            <w:r w:rsidRPr="00DA21B0">
              <w:rPr>
                <w:sz w:val="24"/>
                <w:szCs w:val="24"/>
              </w:rPr>
              <w:t>Enquiries should normally be completed within 7 working days of the report/referral. The 7 working day enquiry period will commence once the report has been received by the local authority.</w:t>
            </w:r>
          </w:p>
          <w:p w14:paraId="487D58B2" w14:textId="77777777" w:rsidR="000B5EF1" w:rsidRDefault="000B5EF1" w:rsidP="000B5EF1">
            <w:pPr>
              <w:spacing w:line="360" w:lineRule="auto"/>
              <w:jc w:val="both"/>
              <w:rPr>
                <w:sz w:val="24"/>
                <w:szCs w:val="24"/>
              </w:rPr>
            </w:pPr>
          </w:p>
          <w:p w14:paraId="6D8CB8AF" w14:textId="77777777" w:rsidR="00FC0334" w:rsidRDefault="00FC0334" w:rsidP="00FF7EBB">
            <w:pPr>
              <w:jc w:val="both"/>
              <w:rPr>
                <w:sz w:val="24"/>
                <w:szCs w:val="24"/>
              </w:rPr>
            </w:pPr>
          </w:p>
          <w:p w14:paraId="773416B3" w14:textId="77777777" w:rsidR="007A628F" w:rsidRDefault="007A628F" w:rsidP="00FF7EBB">
            <w:pPr>
              <w:jc w:val="both"/>
              <w:rPr>
                <w:sz w:val="24"/>
                <w:szCs w:val="24"/>
              </w:rPr>
            </w:pPr>
          </w:p>
          <w:p w14:paraId="56422A5B" w14:textId="77777777" w:rsidR="000E01EC" w:rsidRDefault="000E01EC" w:rsidP="00FF7EBB">
            <w:pPr>
              <w:jc w:val="both"/>
              <w:rPr>
                <w:sz w:val="24"/>
                <w:szCs w:val="24"/>
              </w:rPr>
            </w:pPr>
          </w:p>
          <w:p w14:paraId="03BD6D93" w14:textId="54D48D64" w:rsidR="000E01EC" w:rsidRPr="000E01EC" w:rsidRDefault="000E01EC" w:rsidP="00FF7EBB">
            <w:pPr>
              <w:jc w:val="both"/>
              <w:rPr>
                <w:b/>
                <w:bCs/>
                <w:sz w:val="24"/>
                <w:szCs w:val="24"/>
              </w:rPr>
            </w:pPr>
            <w:r w:rsidRPr="000E01EC">
              <w:rPr>
                <w:b/>
                <w:bCs/>
                <w:sz w:val="24"/>
                <w:szCs w:val="24"/>
              </w:rPr>
              <w:t xml:space="preserve">490 words </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F741BDA" w14:textId="77777777" w:rsidR="000E01EC" w:rsidRDefault="000E01EC" w:rsidP="00FC0334">
            <w:pPr>
              <w:jc w:val="both"/>
              <w:rPr>
                <w:sz w:val="24"/>
                <w:szCs w:val="24"/>
              </w:rPr>
            </w:pPr>
          </w:p>
          <w:p w14:paraId="5F6C7C28" w14:textId="63600379" w:rsidR="00BE2207" w:rsidRDefault="000E01EC" w:rsidP="000E01EC">
            <w:pPr>
              <w:spacing w:line="360" w:lineRule="auto"/>
              <w:jc w:val="both"/>
              <w:rPr>
                <w:sz w:val="24"/>
                <w:szCs w:val="24"/>
              </w:rPr>
            </w:pPr>
            <w:r>
              <w:rPr>
                <w:sz w:val="24"/>
                <w:szCs w:val="24"/>
              </w:rPr>
              <w:t xml:space="preserve">An adult is defined in law as someone over the age of 18 years old, whereas the definition of a child is anyone under the age of 18 years old, this definition is used in the Social Services and Well-being (Wales) Act, 2014.  </w:t>
            </w:r>
            <w:r w:rsidRPr="000E01EC">
              <w:rPr>
                <w:sz w:val="24"/>
                <w:szCs w:val="24"/>
              </w:rPr>
              <w:t xml:space="preserve"> </w:t>
            </w:r>
            <w:r w:rsidRPr="000E01EC">
              <w:rPr>
                <w:sz w:val="24"/>
                <w:szCs w:val="24"/>
              </w:rPr>
              <w:t>The United Nations Convention on the Rights of the Child</w:t>
            </w:r>
            <w:r>
              <w:rPr>
                <w:sz w:val="24"/>
                <w:szCs w:val="24"/>
              </w:rPr>
              <w:t xml:space="preserve"> also defines children as anyone under the age of 18 years old (UNCRC, 2014).  A key difference in adults and children’s safeguarding is </w:t>
            </w:r>
            <w:r w:rsidRPr="000E01EC">
              <w:rPr>
                <w:sz w:val="24"/>
                <w:szCs w:val="24"/>
              </w:rPr>
              <w:t>an adult's right to self-determination. Adults may choose not to act at all to protect themselves, and it is only in extreme circumstances that the law intervenes.</w:t>
            </w:r>
            <w:r w:rsidR="00A2092B">
              <w:rPr>
                <w:sz w:val="24"/>
                <w:szCs w:val="24"/>
              </w:rPr>
              <w:t xml:space="preserve">  Additionally, </w:t>
            </w:r>
            <w:r w:rsidR="00A2092B" w:rsidRPr="00A2092B">
              <w:rPr>
                <w:sz w:val="24"/>
                <w:szCs w:val="24"/>
              </w:rPr>
              <w:t>children and adults at risk can experience the same types of harm and the causes are often similar, the main difference between child protection and adult protection hinges on the right to make choices</w:t>
            </w:r>
            <w:r w:rsidR="00A2092B">
              <w:rPr>
                <w:sz w:val="24"/>
                <w:szCs w:val="24"/>
              </w:rPr>
              <w:t xml:space="preserve"> (Wales Safeguarding Procedures, 2019).</w:t>
            </w:r>
          </w:p>
          <w:p w14:paraId="34D14189" w14:textId="77777777" w:rsidR="00A2092B" w:rsidRDefault="00A2092B" w:rsidP="000E01EC">
            <w:pPr>
              <w:spacing w:line="360" w:lineRule="auto"/>
              <w:jc w:val="both"/>
              <w:rPr>
                <w:sz w:val="24"/>
                <w:szCs w:val="24"/>
              </w:rPr>
            </w:pPr>
          </w:p>
          <w:p w14:paraId="4438A822" w14:textId="56CCEE04" w:rsidR="00BE2207" w:rsidRDefault="00BE2207" w:rsidP="000E01EC">
            <w:pPr>
              <w:spacing w:line="360" w:lineRule="auto"/>
              <w:jc w:val="both"/>
              <w:rPr>
                <w:sz w:val="24"/>
                <w:szCs w:val="24"/>
              </w:rPr>
            </w:pPr>
            <w:r>
              <w:rPr>
                <w:sz w:val="24"/>
                <w:szCs w:val="24"/>
              </w:rPr>
              <w:t xml:space="preserve">When assessing children </w:t>
            </w:r>
            <w:r w:rsidRPr="00BE2207">
              <w:rPr>
                <w:sz w:val="24"/>
                <w:szCs w:val="24"/>
              </w:rPr>
              <w:t>Gillick competency and Fraser guidelines help people who work with children to balance the need to listen to children's wishes with the responsibility to keep them safe.</w:t>
            </w:r>
            <w:r>
              <w:rPr>
                <w:sz w:val="24"/>
                <w:szCs w:val="24"/>
              </w:rPr>
              <w:t xml:space="preserve">  Whilst Gillick competence and Fraser guidelines generally apply to medical decisions, such as young people making informed decisions about contraception, it can be used in a wider context to decide if a child </w:t>
            </w:r>
            <w:r w:rsidR="00A2092B">
              <w:rPr>
                <w:sz w:val="24"/>
                <w:szCs w:val="24"/>
              </w:rPr>
              <w:t>can make an informed decision, and whether they understand the implications if such a decision (NSPCC, 2022).</w:t>
            </w:r>
          </w:p>
          <w:p w14:paraId="253D259D" w14:textId="77777777" w:rsidR="007E217D" w:rsidRDefault="007E217D" w:rsidP="000E01EC">
            <w:pPr>
              <w:spacing w:line="360" w:lineRule="auto"/>
              <w:jc w:val="both"/>
              <w:rPr>
                <w:sz w:val="24"/>
                <w:szCs w:val="24"/>
              </w:rPr>
            </w:pPr>
          </w:p>
          <w:p w14:paraId="59CA691E" w14:textId="43557AF9" w:rsidR="007E217D" w:rsidRDefault="007E217D" w:rsidP="00636827">
            <w:pPr>
              <w:spacing w:line="360" w:lineRule="auto"/>
              <w:jc w:val="both"/>
              <w:rPr>
                <w:sz w:val="24"/>
                <w:szCs w:val="24"/>
              </w:rPr>
            </w:pPr>
            <w:r>
              <w:rPr>
                <w:sz w:val="24"/>
                <w:szCs w:val="24"/>
              </w:rPr>
              <w:t>Adults can refuse to be assessed</w:t>
            </w:r>
            <w:r w:rsidR="00636827">
              <w:rPr>
                <w:sz w:val="24"/>
                <w:szCs w:val="24"/>
              </w:rPr>
              <w:t xml:space="preserve">.  </w:t>
            </w:r>
            <w:r w:rsidR="00636827" w:rsidRPr="00636827">
              <w:rPr>
                <w:sz w:val="24"/>
                <w:szCs w:val="24"/>
              </w:rPr>
              <w:t>The Human Rights Act (1988)</w:t>
            </w:r>
            <w:r w:rsidR="00636827">
              <w:rPr>
                <w:sz w:val="24"/>
                <w:szCs w:val="24"/>
              </w:rPr>
              <w:t>, Article 8,</w:t>
            </w:r>
            <w:r w:rsidR="00636827" w:rsidRPr="00636827">
              <w:rPr>
                <w:sz w:val="24"/>
                <w:szCs w:val="24"/>
              </w:rPr>
              <w:t xml:space="preserve"> states that an adult </w:t>
            </w:r>
            <w:r w:rsidR="00636827">
              <w:rPr>
                <w:sz w:val="24"/>
                <w:szCs w:val="24"/>
              </w:rPr>
              <w:t xml:space="preserve">has the </w:t>
            </w:r>
            <w:r w:rsidR="00636827" w:rsidRPr="00636827">
              <w:rPr>
                <w:sz w:val="24"/>
                <w:szCs w:val="24"/>
              </w:rPr>
              <w:t xml:space="preserve">right to respect for </w:t>
            </w:r>
            <w:r w:rsidR="00636827">
              <w:rPr>
                <w:sz w:val="24"/>
                <w:szCs w:val="24"/>
              </w:rPr>
              <w:t xml:space="preserve">his/her </w:t>
            </w:r>
            <w:r w:rsidR="00636827" w:rsidRPr="00636827">
              <w:rPr>
                <w:sz w:val="24"/>
                <w:szCs w:val="24"/>
              </w:rPr>
              <w:t>private life, family life</w:t>
            </w:r>
            <w:r w:rsidR="00636827">
              <w:rPr>
                <w:sz w:val="24"/>
                <w:szCs w:val="24"/>
              </w:rPr>
              <w:t xml:space="preserve"> and </w:t>
            </w:r>
            <w:r w:rsidR="00636827" w:rsidRPr="00636827">
              <w:rPr>
                <w:sz w:val="24"/>
                <w:szCs w:val="24"/>
              </w:rPr>
              <w:t xml:space="preserve">home </w:t>
            </w:r>
            <w:r w:rsidR="00636827">
              <w:rPr>
                <w:sz w:val="24"/>
                <w:szCs w:val="24"/>
              </w:rPr>
              <w:t>however</w:t>
            </w:r>
            <w:r>
              <w:rPr>
                <w:sz w:val="24"/>
                <w:szCs w:val="24"/>
              </w:rPr>
              <w:t>,</w:t>
            </w:r>
            <w:r w:rsidR="00636827">
              <w:rPr>
                <w:sz w:val="24"/>
                <w:szCs w:val="24"/>
              </w:rPr>
              <w:t xml:space="preserve"> capacity must be considered.  If a person is </w:t>
            </w:r>
            <w:r>
              <w:rPr>
                <w:sz w:val="24"/>
                <w:szCs w:val="24"/>
              </w:rPr>
              <w:t xml:space="preserve">deemed to lack the capacity to make this decision then the Mental Capacity Act, (2005) comes into force,  stating that if </w:t>
            </w:r>
            <w:r w:rsidRPr="007E217D">
              <w:rPr>
                <w:sz w:val="24"/>
                <w:szCs w:val="24"/>
              </w:rPr>
              <w:t>a person lacks capacity in relation to a matter if at the material time he is unable to make a decision for himself in relation to the matter because of an impairment of, or a disturbance in the functioning of, the mind or brain.</w:t>
            </w:r>
          </w:p>
          <w:p w14:paraId="59B4A1CA" w14:textId="77777777" w:rsidR="00A2092B" w:rsidRDefault="00A2092B" w:rsidP="000E01EC">
            <w:pPr>
              <w:spacing w:line="360" w:lineRule="auto"/>
              <w:jc w:val="both"/>
              <w:rPr>
                <w:sz w:val="24"/>
                <w:szCs w:val="24"/>
              </w:rPr>
            </w:pPr>
          </w:p>
          <w:p w14:paraId="4DA3935B" w14:textId="09F5CF25" w:rsidR="00A2092B" w:rsidRDefault="00A2092B" w:rsidP="000E01EC">
            <w:pPr>
              <w:spacing w:line="360" w:lineRule="auto"/>
              <w:jc w:val="both"/>
              <w:rPr>
                <w:sz w:val="24"/>
                <w:szCs w:val="24"/>
              </w:rPr>
            </w:pPr>
            <w:r>
              <w:rPr>
                <w:sz w:val="24"/>
                <w:szCs w:val="24"/>
              </w:rPr>
              <w:t xml:space="preserve">S47 of the Children Act, (1989) </w:t>
            </w:r>
            <w:r w:rsidR="00803F7E">
              <w:rPr>
                <w:sz w:val="24"/>
                <w:szCs w:val="24"/>
              </w:rPr>
              <w:t>determines the Local Authorities duty to investigate a child at risk of harm however, the duty to investigate an adult at risk of harm in Wales primarily falls under the Social Services and Well-being (Wales) Act, 2014.</w:t>
            </w:r>
            <w:r w:rsidR="00EF3A65">
              <w:rPr>
                <w:sz w:val="24"/>
                <w:szCs w:val="24"/>
              </w:rPr>
              <w:t xml:space="preserve">  </w:t>
            </w:r>
          </w:p>
          <w:p w14:paraId="6BA3DD84" w14:textId="00C4D71F" w:rsidR="00FC0334" w:rsidRPr="00636827" w:rsidRDefault="00636827" w:rsidP="00FC0334">
            <w:pPr>
              <w:jc w:val="both"/>
              <w:rPr>
                <w:b/>
                <w:bCs/>
                <w:i/>
                <w:sz w:val="24"/>
                <w:szCs w:val="24"/>
              </w:rPr>
            </w:pPr>
            <w:r w:rsidRPr="00636827">
              <w:rPr>
                <w:b/>
                <w:bCs/>
                <w:i/>
                <w:sz w:val="24"/>
                <w:szCs w:val="24"/>
              </w:rPr>
              <w:t>369 words</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518F"/>
    <w:rsid w:val="000B5EF1"/>
    <w:rsid w:val="000C378F"/>
    <w:rsid w:val="000C6892"/>
    <w:rsid w:val="000C6FFE"/>
    <w:rsid w:val="000D0BB6"/>
    <w:rsid w:val="000D2ED2"/>
    <w:rsid w:val="000D6653"/>
    <w:rsid w:val="000E01EC"/>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499B"/>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6827"/>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217D"/>
    <w:rsid w:val="007F10BD"/>
    <w:rsid w:val="007F312E"/>
    <w:rsid w:val="007F3F7E"/>
    <w:rsid w:val="007F4BA4"/>
    <w:rsid w:val="00803F7E"/>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823"/>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2C44"/>
    <w:rsid w:val="0094495F"/>
    <w:rsid w:val="00946551"/>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092B"/>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0BF8"/>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207"/>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1B0"/>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FD9"/>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3A65"/>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0506050">
      <w:bodyDiv w:val="1"/>
      <w:marLeft w:val="0"/>
      <w:marRight w:val="0"/>
      <w:marTop w:val="0"/>
      <w:marBottom w:val="0"/>
      <w:divBdr>
        <w:top w:val="none" w:sz="0" w:space="0" w:color="auto"/>
        <w:left w:val="none" w:sz="0" w:space="0" w:color="auto"/>
        <w:bottom w:val="none" w:sz="0" w:space="0" w:color="auto"/>
        <w:right w:val="none" w:sz="0" w:space="0" w:color="auto"/>
      </w:divBdr>
    </w:div>
    <w:div w:id="19134649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1033</Words>
  <Characters>5394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Williams</cp:lastModifiedBy>
  <cp:revision>2</cp:revision>
  <cp:lastPrinted>2020-02-11T19:20:00Z</cp:lastPrinted>
  <dcterms:created xsi:type="dcterms:W3CDTF">2024-10-07T11:48:00Z</dcterms:created>
  <dcterms:modified xsi:type="dcterms:W3CDTF">2024-10-07T11:48:00Z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