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9570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CD77CF0"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00229E">
        <w:rPr>
          <w:rFonts w:ascii="Arial" w:hAnsi="Arial" w:cs="Arial"/>
          <w:sz w:val="28"/>
          <w:szCs w:val="28"/>
          <w:lang w:val="nl-NL"/>
        </w:rPr>
        <w:t xml:space="preserve">Introduction to Independent Research Skills </w:t>
      </w:r>
    </w:p>
    <w:p w14:paraId="537571AF" w14:textId="7606E108"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00229E">
        <w:rPr>
          <w:rFonts w:ascii="Arial" w:hAnsi="Arial" w:cs="Arial"/>
          <w:sz w:val="28"/>
          <w:szCs w:val="28"/>
        </w:rPr>
        <w:t xml:space="preserve"> BMHP5019_LON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D0FE8B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0229E">
        <w:rPr>
          <w:rFonts w:ascii="Arial" w:hAnsi="Arial" w:cs="Arial"/>
          <w:sz w:val="28"/>
          <w:szCs w:val="28"/>
          <w:lang w:val="nl-NL"/>
        </w:rPr>
        <w:t xml:space="preserve"> Deborah Flores Rodrigues </w:t>
      </w:r>
    </w:p>
    <w:p w14:paraId="39AA4413" w14:textId="5D9F9A2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00229E">
        <w:rPr>
          <w:rFonts w:ascii="Arial" w:hAnsi="Arial" w:cs="Arial"/>
          <w:sz w:val="28"/>
          <w:szCs w:val="28"/>
          <w:lang w:val="nl-NL"/>
        </w:rPr>
        <w:t xml:space="preserve"> 2336878</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8168DEE"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00229E">
        <w:rPr>
          <w:rFonts w:ascii="Arial" w:hAnsi="Arial" w:cs="Arial"/>
          <w:sz w:val="28"/>
          <w:szCs w:val="28"/>
        </w:rPr>
        <w:t xml:space="preserve"> 3.600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1F2A5901" w14:textId="15AE1616" w:rsidR="00617A03"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Abstract ..........................................................................</w:t>
      </w:r>
      <w:r w:rsidR="00D57FDC">
        <w:rPr>
          <w:rFonts w:ascii="Arial" w:hAnsi="Arial" w:cs="Arial"/>
          <w:color w:val="000000"/>
          <w:sz w:val="22"/>
          <w:szCs w:val="22"/>
        </w:rPr>
        <w:t>...........</w:t>
      </w:r>
      <w:r w:rsidRPr="008F6DB1">
        <w:rPr>
          <w:rFonts w:ascii="Arial" w:hAnsi="Arial" w:cs="Arial"/>
          <w:color w:val="000000"/>
          <w:sz w:val="22"/>
          <w:szCs w:val="22"/>
        </w:rPr>
        <w:t xml:space="preserve">... </w:t>
      </w:r>
      <w:r w:rsidR="00C60D0F">
        <w:rPr>
          <w:rFonts w:ascii="Arial" w:hAnsi="Arial" w:cs="Arial"/>
          <w:color w:val="000000"/>
          <w:sz w:val="22"/>
          <w:szCs w:val="22"/>
        </w:rPr>
        <w:t>3</w:t>
      </w:r>
    </w:p>
    <w:p w14:paraId="6F318076" w14:textId="58B8977E" w:rsidR="00C60D0F" w:rsidRPr="008F6DB1" w:rsidRDefault="00612096" w:rsidP="003313EF">
      <w:pPr>
        <w:numPr>
          <w:ilvl w:val="0"/>
          <w:numId w:val="1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Key words…………………………………………………</w:t>
      </w:r>
      <w:r w:rsidR="00D57FDC">
        <w:rPr>
          <w:rFonts w:ascii="Arial" w:hAnsi="Arial" w:cs="Arial"/>
          <w:color w:val="000000"/>
          <w:sz w:val="22"/>
          <w:szCs w:val="22"/>
        </w:rPr>
        <w:t>………. …..</w:t>
      </w:r>
      <w:r>
        <w:rPr>
          <w:rFonts w:ascii="Arial" w:hAnsi="Arial" w:cs="Arial"/>
          <w:color w:val="000000"/>
          <w:sz w:val="22"/>
          <w:szCs w:val="22"/>
        </w:rPr>
        <w:t>3</w:t>
      </w:r>
    </w:p>
    <w:p w14:paraId="36A52C5E" w14:textId="669A75E8"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Introduction ...........................................................</w:t>
      </w:r>
      <w:r w:rsidR="00D57FDC">
        <w:rPr>
          <w:rFonts w:ascii="Arial" w:hAnsi="Arial" w:cs="Arial"/>
          <w:color w:val="000000"/>
          <w:sz w:val="22"/>
          <w:szCs w:val="22"/>
        </w:rPr>
        <w:t>...........</w:t>
      </w:r>
      <w:r w:rsidRPr="008F6DB1">
        <w:rPr>
          <w:rFonts w:ascii="Arial" w:hAnsi="Arial" w:cs="Arial"/>
          <w:color w:val="000000"/>
          <w:sz w:val="22"/>
          <w:szCs w:val="22"/>
        </w:rPr>
        <w:t>....</w:t>
      </w:r>
      <w:r w:rsidR="00D57FDC">
        <w:rPr>
          <w:rFonts w:ascii="Arial" w:hAnsi="Arial" w:cs="Arial"/>
          <w:color w:val="000000"/>
          <w:sz w:val="22"/>
          <w:szCs w:val="22"/>
        </w:rPr>
        <w:t>.</w:t>
      </w:r>
      <w:r w:rsidRPr="008F6DB1">
        <w:rPr>
          <w:rFonts w:ascii="Arial" w:hAnsi="Arial" w:cs="Arial"/>
          <w:color w:val="000000"/>
          <w:sz w:val="22"/>
          <w:szCs w:val="22"/>
        </w:rPr>
        <w:t>.......3</w:t>
      </w:r>
      <w:r w:rsidR="000E572F">
        <w:rPr>
          <w:rFonts w:ascii="Arial" w:hAnsi="Arial" w:cs="Arial"/>
          <w:color w:val="000000"/>
          <w:sz w:val="22"/>
          <w:szCs w:val="22"/>
        </w:rPr>
        <w:t>-4</w:t>
      </w:r>
    </w:p>
    <w:p w14:paraId="1F70684B" w14:textId="45DDACA9"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Rationale</w:t>
      </w:r>
      <w:r w:rsidR="000E572F">
        <w:rPr>
          <w:rFonts w:ascii="Arial" w:hAnsi="Arial" w:cs="Arial"/>
          <w:color w:val="000000"/>
          <w:sz w:val="22"/>
          <w:szCs w:val="22"/>
        </w:rPr>
        <w:t>…………………………………</w:t>
      </w:r>
      <w:r w:rsidR="00D57FDC">
        <w:rPr>
          <w:rFonts w:ascii="Arial" w:hAnsi="Arial" w:cs="Arial"/>
          <w:color w:val="000000"/>
          <w:sz w:val="22"/>
          <w:szCs w:val="22"/>
        </w:rPr>
        <w:t>………</w:t>
      </w:r>
      <w:r w:rsidR="000E572F">
        <w:rPr>
          <w:rFonts w:ascii="Arial" w:hAnsi="Arial" w:cs="Arial"/>
          <w:color w:val="000000"/>
          <w:sz w:val="22"/>
          <w:szCs w:val="22"/>
        </w:rPr>
        <w:t>………</w:t>
      </w:r>
      <w:r w:rsidR="00D57FDC">
        <w:rPr>
          <w:rFonts w:ascii="Arial" w:hAnsi="Arial" w:cs="Arial"/>
          <w:color w:val="000000"/>
          <w:sz w:val="22"/>
          <w:szCs w:val="22"/>
        </w:rPr>
        <w:t>…</w:t>
      </w:r>
      <w:r w:rsidR="000E572F">
        <w:rPr>
          <w:rFonts w:ascii="Arial" w:hAnsi="Arial" w:cs="Arial"/>
          <w:color w:val="000000"/>
          <w:sz w:val="22"/>
          <w:szCs w:val="22"/>
        </w:rPr>
        <w:t>…4</w:t>
      </w:r>
    </w:p>
    <w:p w14:paraId="5AA19622" w14:textId="6F7BB04E"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Background ....................................................</w:t>
      </w:r>
      <w:r w:rsidR="00D57FDC">
        <w:rPr>
          <w:rFonts w:ascii="Arial" w:hAnsi="Arial" w:cs="Arial"/>
          <w:color w:val="000000"/>
          <w:sz w:val="22"/>
          <w:szCs w:val="22"/>
        </w:rPr>
        <w:t>..............</w:t>
      </w:r>
      <w:r w:rsidRPr="008F6DB1">
        <w:rPr>
          <w:rFonts w:ascii="Arial" w:hAnsi="Arial" w:cs="Arial"/>
          <w:color w:val="000000"/>
          <w:sz w:val="22"/>
          <w:szCs w:val="22"/>
        </w:rPr>
        <w:t>............... 4</w:t>
      </w:r>
      <w:r w:rsidR="00F52336">
        <w:rPr>
          <w:rFonts w:ascii="Arial" w:hAnsi="Arial" w:cs="Arial"/>
          <w:color w:val="000000"/>
          <w:sz w:val="22"/>
          <w:szCs w:val="22"/>
        </w:rPr>
        <w:t>-5</w:t>
      </w:r>
    </w:p>
    <w:p w14:paraId="04098626" w14:textId="36764364"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Context and Policies</w:t>
      </w:r>
      <w:r w:rsidR="00AF4B17">
        <w:rPr>
          <w:rFonts w:ascii="Arial" w:hAnsi="Arial" w:cs="Arial"/>
          <w:color w:val="000000"/>
          <w:sz w:val="22"/>
          <w:szCs w:val="22"/>
        </w:rPr>
        <w:t>…………………………</w:t>
      </w:r>
      <w:r w:rsidR="003313EF">
        <w:rPr>
          <w:rFonts w:ascii="Arial" w:hAnsi="Arial" w:cs="Arial"/>
          <w:color w:val="000000"/>
          <w:sz w:val="22"/>
          <w:szCs w:val="22"/>
        </w:rPr>
        <w:t>…</w:t>
      </w:r>
      <w:r w:rsidR="00D57FDC">
        <w:rPr>
          <w:rFonts w:ascii="Arial" w:hAnsi="Arial" w:cs="Arial"/>
          <w:color w:val="000000"/>
          <w:sz w:val="22"/>
          <w:szCs w:val="22"/>
        </w:rPr>
        <w:t>………….</w:t>
      </w:r>
      <w:r w:rsidR="003313EF">
        <w:rPr>
          <w:rFonts w:ascii="Arial" w:hAnsi="Arial" w:cs="Arial"/>
          <w:color w:val="000000"/>
          <w:sz w:val="22"/>
          <w:szCs w:val="22"/>
        </w:rPr>
        <w:t>...</w:t>
      </w:r>
      <w:r w:rsidR="00AF4B17">
        <w:rPr>
          <w:rFonts w:ascii="Arial" w:hAnsi="Arial" w:cs="Arial"/>
          <w:color w:val="000000"/>
          <w:sz w:val="22"/>
          <w:szCs w:val="22"/>
        </w:rPr>
        <w:t>5-6</w:t>
      </w:r>
    </w:p>
    <w:p w14:paraId="7C6C1394" w14:textId="77682DAE"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Structural and Systemic Barriers</w:t>
      </w:r>
      <w:r w:rsidR="008C44E8">
        <w:rPr>
          <w:rFonts w:ascii="Arial" w:hAnsi="Arial" w:cs="Arial"/>
          <w:color w:val="000000"/>
          <w:sz w:val="22"/>
          <w:szCs w:val="22"/>
        </w:rPr>
        <w:t>……………</w:t>
      </w:r>
      <w:r w:rsidR="00D57FDC">
        <w:rPr>
          <w:rFonts w:ascii="Arial" w:hAnsi="Arial" w:cs="Arial"/>
          <w:color w:val="000000"/>
          <w:sz w:val="22"/>
          <w:szCs w:val="22"/>
        </w:rPr>
        <w:t>…………...</w:t>
      </w:r>
      <w:r w:rsidR="008C44E8">
        <w:rPr>
          <w:rFonts w:ascii="Arial" w:hAnsi="Arial" w:cs="Arial"/>
          <w:color w:val="000000"/>
          <w:sz w:val="22"/>
          <w:szCs w:val="22"/>
        </w:rPr>
        <w:t>….6</w:t>
      </w:r>
    </w:p>
    <w:p w14:paraId="5938024F" w14:textId="7721CBF5"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Cultural and Communication Challenges</w:t>
      </w:r>
      <w:r w:rsidR="008C44E8">
        <w:rPr>
          <w:rFonts w:ascii="Arial" w:hAnsi="Arial" w:cs="Arial"/>
          <w:color w:val="000000"/>
          <w:sz w:val="22"/>
          <w:szCs w:val="22"/>
        </w:rPr>
        <w:t>……</w:t>
      </w:r>
      <w:r w:rsidR="00D57FDC">
        <w:rPr>
          <w:rFonts w:ascii="Arial" w:hAnsi="Arial" w:cs="Arial"/>
          <w:color w:val="000000"/>
          <w:sz w:val="22"/>
          <w:szCs w:val="22"/>
        </w:rPr>
        <w:t>…………...</w:t>
      </w:r>
      <w:r w:rsidR="008C44E8">
        <w:rPr>
          <w:rFonts w:ascii="Arial" w:hAnsi="Arial" w:cs="Arial"/>
          <w:color w:val="000000"/>
          <w:sz w:val="22"/>
          <w:szCs w:val="22"/>
        </w:rPr>
        <w:t>…6</w:t>
      </w:r>
    </w:p>
    <w:p w14:paraId="54BD7FF7" w14:textId="36EA625F"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Discrimination and Trust</w:t>
      </w:r>
      <w:r w:rsidR="0019023C">
        <w:rPr>
          <w:rFonts w:ascii="Arial" w:hAnsi="Arial" w:cs="Arial"/>
          <w:color w:val="000000"/>
          <w:sz w:val="22"/>
          <w:szCs w:val="22"/>
        </w:rPr>
        <w:t>…………………</w:t>
      </w:r>
      <w:r w:rsidR="00D57FDC">
        <w:rPr>
          <w:rFonts w:ascii="Arial" w:hAnsi="Arial" w:cs="Arial"/>
          <w:color w:val="000000"/>
          <w:sz w:val="22"/>
          <w:szCs w:val="22"/>
        </w:rPr>
        <w:t>………….</w:t>
      </w:r>
      <w:r w:rsidR="0019023C">
        <w:rPr>
          <w:rFonts w:ascii="Arial" w:hAnsi="Arial" w:cs="Arial"/>
          <w:color w:val="000000"/>
          <w:sz w:val="22"/>
          <w:szCs w:val="22"/>
        </w:rPr>
        <w:t>……….6</w:t>
      </w:r>
    </w:p>
    <w:p w14:paraId="04E31CD2" w14:textId="53A2BD15"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Community-Based Interventions</w:t>
      </w:r>
      <w:r w:rsidR="0019023C">
        <w:rPr>
          <w:rFonts w:ascii="Arial" w:hAnsi="Arial" w:cs="Arial"/>
          <w:color w:val="000000"/>
          <w:sz w:val="22"/>
          <w:szCs w:val="22"/>
        </w:rPr>
        <w:t>………</w:t>
      </w:r>
      <w:r w:rsidR="00D57FDC">
        <w:rPr>
          <w:rFonts w:ascii="Arial" w:hAnsi="Arial" w:cs="Arial"/>
          <w:color w:val="000000"/>
          <w:sz w:val="22"/>
          <w:szCs w:val="22"/>
        </w:rPr>
        <w:t>…………</w:t>
      </w:r>
      <w:r w:rsidR="0019023C">
        <w:rPr>
          <w:rFonts w:ascii="Arial" w:hAnsi="Arial" w:cs="Arial"/>
          <w:color w:val="000000"/>
          <w:sz w:val="22"/>
          <w:szCs w:val="22"/>
        </w:rPr>
        <w:t>…………7</w:t>
      </w:r>
    </w:p>
    <w:p w14:paraId="17D561F5" w14:textId="71448484"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Socio-Economic Context</w:t>
      </w:r>
      <w:r w:rsidR="0019023C">
        <w:rPr>
          <w:rFonts w:ascii="Arial" w:hAnsi="Arial" w:cs="Arial"/>
          <w:color w:val="000000"/>
          <w:sz w:val="22"/>
          <w:szCs w:val="22"/>
        </w:rPr>
        <w:t>………………</w:t>
      </w:r>
      <w:r w:rsidR="00D57FDC">
        <w:rPr>
          <w:rFonts w:ascii="Arial" w:hAnsi="Arial" w:cs="Arial"/>
          <w:color w:val="000000"/>
          <w:sz w:val="22"/>
          <w:szCs w:val="22"/>
        </w:rPr>
        <w:t>……….</w:t>
      </w:r>
      <w:r w:rsidR="0019023C">
        <w:rPr>
          <w:rFonts w:ascii="Arial" w:hAnsi="Arial" w:cs="Arial"/>
          <w:color w:val="000000"/>
          <w:sz w:val="22"/>
          <w:szCs w:val="22"/>
        </w:rPr>
        <w:t>………</w:t>
      </w:r>
      <w:r w:rsidR="003313EF">
        <w:rPr>
          <w:rFonts w:ascii="Arial" w:hAnsi="Arial" w:cs="Arial"/>
          <w:color w:val="000000"/>
          <w:sz w:val="22"/>
          <w:szCs w:val="22"/>
        </w:rPr>
        <w:t>…...</w:t>
      </w:r>
      <w:r w:rsidR="0019023C">
        <w:rPr>
          <w:rFonts w:ascii="Arial" w:hAnsi="Arial" w:cs="Arial"/>
          <w:color w:val="000000"/>
          <w:sz w:val="22"/>
          <w:szCs w:val="22"/>
        </w:rPr>
        <w:t>7</w:t>
      </w:r>
    </w:p>
    <w:p w14:paraId="701BBA49" w14:textId="2F34F65E"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Methods ......................................................</w:t>
      </w:r>
      <w:r w:rsidR="00D57FDC">
        <w:rPr>
          <w:rFonts w:ascii="Arial" w:hAnsi="Arial" w:cs="Arial"/>
          <w:color w:val="000000"/>
          <w:sz w:val="22"/>
          <w:szCs w:val="22"/>
        </w:rPr>
        <w:t>.............</w:t>
      </w:r>
      <w:r w:rsidRPr="008F6DB1">
        <w:rPr>
          <w:rFonts w:ascii="Arial" w:hAnsi="Arial" w:cs="Arial"/>
          <w:color w:val="000000"/>
          <w:sz w:val="22"/>
          <w:szCs w:val="22"/>
        </w:rPr>
        <w:t xml:space="preserve">................... </w:t>
      </w:r>
      <w:r w:rsidR="0019023C">
        <w:rPr>
          <w:rFonts w:ascii="Arial" w:hAnsi="Arial" w:cs="Arial"/>
          <w:color w:val="000000"/>
          <w:sz w:val="22"/>
          <w:szCs w:val="22"/>
        </w:rPr>
        <w:t>7-8</w:t>
      </w:r>
    </w:p>
    <w:p w14:paraId="72C66AE4" w14:textId="55605492"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Search Strategy</w:t>
      </w:r>
      <w:r w:rsidR="00C333FF">
        <w:rPr>
          <w:rFonts w:ascii="Arial" w:hAnsi="Arial" w:cs="Arial"/>
          <w:color w:val="000000"/>
          <w:sz w:val="22"/>
          <w:szCs w:val="22"/>
        </w:rPr>
        <w:t>………………………</w:t>
      </w:r>
      <w:r w:rsidR="00D57FDC">
        <w:rPr>
          <w:rFonts w:ascii="Arial" w:hAnsi="Arial" w:cs="Arial"/>
          <w:color w:val="000000"/>
          <w:sz w:val="22"/>
          <w:szCs w:val="22"/>
        </w:rPr>
        <w:t>………...</w:t>
      </w:r>
      <w:r w:rsidR="00C333FF">
        <w:rPr>
          <w:rFonts w:ascii="Arial" w:hAnsi="Arial" w:cs="Arial"/>
          <w:color w:val="000000"/>
          <w:sz w:val="22"/>
          <w:szCs w:val="22"/>
        </w:rPr>
        <w:t>……………7-8</w:t>
      </w:r>
    </w:p>
    <w:p w14:paraId="40FFAE14" w14:textId="139BD907"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Data Analysis</w:t>
      </w:r>
      <w:r w:rsidR="004C66DB">
        <w:rPr>
          <w:rFonts w:ascii="Arial" w:hAnsi="Arial" w:cs="Arial"/>
          <w:color w:val="000000"/>
          <w:sz w:val="22"/>
          <w:szCs w:val="22"/>
        </w:rPr>
        <w:t>……………………</w:t>
      </w:r>
      <w:r w:rsidR="00D57FDC">
        <w:rPr>
          <w:rFonts w:ascii="Arial" w:hAnsi="Arial" w:cs="Arial"/>
          <w:color w:val="000000"/>
          <w:sz w:val="22"/>
          <w:szCs w:val="22"/>
        </w:rPr>
        <w:t>…………...</w:t>
      </w:r>
      <w:r w:rsidR="004C66DB">
        <w:rPr>
          <w:rFonts w:ascii="Arial" w:hAnsi="Arial" w:cs="Arial"/>
          <w:color w:val="000000"/>
          <w:sz w:val="22"/>
          <w:szCs w:val="22"/>
        </w:rPr>
        <w:t>……………….7-8</w:t>
      </w:r>
    </w:p>
    <w:p w14:paraId="2BC61BD8" w14:textId="5835F0C7"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Ethical Considerations</w:t>
      </w:r>
      <w:r w:rsidR="00757B69">
        <w:rPr>
          <w:rFonts w:ascii="Arial" w:hAnsi="Arial" w:cs="Arial"/>
          <w:color w:val="000000"/>
          <w:sz w:val="22"/>
          <w:szCs w:val="22"/>
        </w:rPr>
        <w:t>……………</w:t>
      </w:r>
      <w:r w:rsidR="00D57FDC">
        <w:rPr>
          <w:rFonts w:ascii="Arial" w:hAnsi="Arial" w:cs="Arial"/>
          <w:color w:val="000000"/>
          <w:sz w:val="22"/>
          <w:szCs w:val="22"/>
        </w:rPr>
        <w:t>…………</w:t>
      </w:r>
      <w:r w:rsidR="00757B69">
        <w:rPr>
          <w:rFonts w:ascii="Arial" w:hAnsi="Arial" w:cs="Arial"/>
          <w:color w:val="000000"/>
          <w:sz w:val="22"/>
          <w:szCs w:val="22"/>
        </w:rPr>
        <w:t>………………8</w:t>
      </w:r>
    </w:p>
    <w:p w14:paraId="6A26FA7E" w14:textId="58AA3C12"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Results ....................................................</w:t>
      </w:r>
      <w:r w:rsidR="00D57FDC">
        <w:rPr>
          <w:rFonts w:ascii="Arial" w:hAnsi="Arial" w:cs="Arial"/>
          <w:color w:val="000000"/>
          <w:sz w:val="22"/>
          <w:szCs w:val="22"/>
        </w:rPr>
        <w:t>..............</w:t>
      </w:r>
      <w:r w:rsidRPr="008F6DB1">
        <w:rPr>
          <w:rFonts w:ascii="Arial" w:hAnsi="Arial" w:cs="Arial"/>
          <w:color w:val="000000"/>
          <w:sz w:val="22"/>
          <w:szCs w:val="22"/>
        </w:rPr>
        <w:t>......................</w:t>
      </w:r>
      <w:r w:rsidR="00757B69">
        <w:rPr>
          <w:rFonts w:ascii="Arial" w:hAnsi="Arial" w:cs="Arial"/>
          <w:color w:val="000000"/>
          <w:sz w:val="22"/>
          <w:szCs w:val="22"/>
        </w:rPr>
        <w:t>9</w:t>
      </w:r>
    </w:p>
    <w:p w14:paraId="7464A97C" w14:textId="00405C87"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Study Summary Table</w:t>
      </w:r>
      <w:r w:rsidR="00757B69">
        <w:rPr>
          <w:rFonts w:ascii="Arial" w:hAnsi="Arial" w:cs="Arial"/>
          <w:color w:val="000000"/>
          <w:sz w:val="22"/>
          <w:szCs w:val="22"/>
        </w:rPr>
        <w:t>……………</w:t>
      </w:r>
      <w:r w:rsidR="00D57FDC">
        <w:rPr>
          <w:rFonts w:ascii="Arial" w:hAnsi="Arial" w:cs="Arial"/>
          <w:color w:val="000000"/>
          <w:sz w:val="22"/>
          <w:szCs w:val="22"/>
        </w:rPr>
        <w:t>………...</w:t>
      </w:r>
      <w:r w:rsidR="00757B69">
        <w:rPr>
          <w:rFonts w:ascii="Arial" w:hAnsi="Arial" w:cs="Arial"/>
          <w:color w:val="000000"/>
          <w:sz w:val="22"/>
          <w:szCs w:val="22"/>
        </w:rPr>
        <w:t>……………….</w:t>
      </w:r>
      <w:r w:rsidR="00FD6177">
        <w:rPr>
          <w:rFonts w:ascii="Arial" w:hAnsi="Arial" w:cs="Arial"/>
          <w:color w:val="000000"/>
          <w:sz w:val="22"/>
          <w:szCs w:val="22"/>
        </w:rPr>
        <w:t>9</w:t>
      </w:r>
    </w:p>
    <w:p w14:paraId="54C6E199" w14:textId="0FD15CC7"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Thematic Analysis</w:t>
      </w:r>
      <w:r w:rsidR="00DB3470">
        <w:rPr>
          <w:rFonts w:ascii="Arial" w:hAnsi="Arial" w:cs="Arial"/>
          <w:color w:val="000000"/>
          <w:sz w:val="22"/>
          <w:szCs w:val="22"/>
        </w:rPr>
        <w:t>………………</w:t>
      </w:r>
      <w:r w:rsidR="00D57FDC">
        <w:rPr>
          <w:rFonts w:ascii="Arial" w:hAnsi="Arial" w:cs="Arial"/>
          <w:color w:val="000000"/>
          <w:sz w:val="22"/>
          <w:szCs w:val="22"/>
        </w:rPr>
        <w:t>……….</w:t>
      </w:r>
      <w:r w:rsidR="00DB3470">
        <w:rPr>
          <w:rFonts w:ascii="Arial" w:hAnsi="Arial" w:cs="Arial"/>
          <w:color w:val="000000"/>
          <w:sz w:val="22"/>
          <w:szCs w:val="22"/>
        </w:rPr>
        <w:t>…………………10</w:t>
      </w:r>
    </w:p>
    <w:p w14:paraId="6CC98578" w14:textId="5E10A029"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Structural Barriers</w:t>
      </w:r>
      <w:r w:rsidR="00B6182E">
        <w:rPr>
          <w:rFonts w:ascii="Arial" w:hAnsi="Arial" w:cs="Arial"/>
          <w:color w:val="000000"/>
          <w:sz w:val="22"/>
          <w:szCs w:val="22"/>
        </w:rPr>
        <w:t>…………</w:t>
      </w:r>
      <w:r w:rsidR="00D57FDC">
        <w:rPr>
          <w:rFonts w:ascii="Arial" w:hAnsi="Arial" w:cs="Arial"/>
          <w:color w:val="000000"/>
          <w:sz w:val="22"/>
          <w:szCs w:val="22"/>
        </w:rPr>
        <w:t>……….</w:t>
      </w:r>
      <w:r w:rsidR="00B6182E">
        <w:rPr>
          <w:rFonts w:ascii="Arial" w:hAnsi="Arial" w:cs="Arial"/>
          <w:color w:val="000000"/>
          <w:sz w:val="22"/>
          <w:szCs w:val="22"/>
        </w:rPr>
        <w:t>…………</w:t>
      </w:r>
      <w:r w:rsidR="003313EF">
        <w:rPr>
          <w:rFonts w:ascii="Arial" w:hAnsi="Arial" w:cs="Arial"/>
          <w:color w:val="000000"/>
          <w:sz w:val="22"/>
          <w:szCs w:val="22"/>
        </w:rPr>
        <w:t>…...</w:t>
      </w:r>
      <w:r w:rsidR="00B6182E">
        <w:rPr>
          <w:rFonts w:ascii="Arial" w:hAnsi="Arial" w:cs="Arial"/>
          <w:color w:val="000000"/>
          <w:sz w:val="22"/>
          <w:szCs w:val="22"/>
        </w:rPr>
        <w:t>10</w:t>
      </w:r>
    </w:p>
    <w:p w14:paraId="0A123319" w14:textId="5E5F83DA"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Language and Communication Challenges</w:t>
      </w:r>
      <w:r w:rsidR="00B6182E">
        <w:rPr>
          <w:rFonts w:ascii="Arial" w:hAnsi="Arial" w:cs="Arial"/>
          <w:color w:val="000000"/>
          <w:sz w:val="22"/>
          <w:szCs w:val="22"/>
        </w:rPr>
        <w:t>…</w:t>
      </w:r>
      <w:r w:rsidR="00D57FDC">
        <w:rPr>
          <w:rFonts w:ascii="Arial" w:hAnsi="Arial" w:cs="Arial"/>
          <w:color w:val="000000"/>
          <w:sz w:val="22"/>
          <w:szCs w:val="22"/>
        </w:rPr>
        <w:t>.</w:t>
      </w:r>
      <w:r w:rsidR="00B6182E">
        <w:rPr>
          <w:rFonts w:ascii="Arial" w:hAnsi="Arial" w:cs="Arial"/>
          <w:color w:val="000000"/>
          <w:sz w:val="22"/>
          <w:szCs w:val="22"/>
        </w:rPr>
        <w:t>…</w:t>
      </w:r>
      <w:r w:rsidR="00C83711">
        <w:rPr>
          <w:rFonts w:ascii="Arial" w:hAnsi="Arial" w:cs="Arial"/>
          <w:color w:val="000000"/>
          <w:sz w:val="22"/>
          <w:szCs w:val="22"/>
        </w:rPr>
        <w:t>10</w:t>
      </w:r>
    </w:p>
    <w:p w14:paraId="773F0C23" w14:textId="08814114"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Discrimination and Trust</w:t>
      </w:r>
      <w:r w:rsidR="00C83711">
        <w:rPr>
          <w:rFonts w:ascii="Arial" w:hAnsi="Arial" w:cs="Arial"/>
          <w:color w:val="000000"/>
          <w:sz w:val="22"/>
          <w:szCs w:val="22"/>
        </w:rPr>
        <w:t>………………………….10-11</w:t>
      </w:r>
    </w:p>
    <w:p w14:paraId="48C1948C" w14:textId="2B21FC5E"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Cultural Differences</w:t>
      </w:r>
      <w:r w:rsidR="006116B9">
        <w:rPr>
          <w:rFonts w:ascii="Arial" w:hAnsi="Arial" w:cs="Arial"/>
          <w:color w:val="000000"/>
          <w:sz w:val="22"/>
          <w:szCs w:val="22"/>
        </w:rPr>
        <w:t>…………………………</w:t>
      </w:r>
      <w:r w:rsidR="00D57FDC">
        <w:rPr>
          <w:rFonts w:ascii="Arial" w:hAnsi="Arial" w:cs="Arial"/>
          <w:color w:val="000000"/>
          <w:sz w:val="22"/>
          <w:szCs w:val="22"/>
        </w:rPr>
        <w:t>.</w:t>
      </w:r>
      <w:r w:rsidR="006116B9">
        <w:rPr>
          <w:rFonts w:ascii="Arial" w:hAnsi="Arial" w:cs="Arial"/>
          <w:color w:val="000000"/>
          <w:sz w:val="22"/>
          <w:szCs w:val="22"/>
        </w:rPr>
        <w:t>…….</w:t>
      </w:r>
      <w:r w:rsidR="00A54C8F">
        <w:rPr>
          <w:rFonts w:ascii="Arial" w:hAnsi="Arial" w:cs="Arial"/>
          <w:color w:val="000000"/>
          <w:sz w:val="22"/>
          <w:szCs w:val="22"/>
        </w:rPr>
        <w:t>12</w:t>
      </w:r>
    </w:p>
    <w:p w14:paraId="456CA609" w14:textId="51DB7013"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Community Support</w:t>
      </w:r>
      <w:r w:rsidR="006E38B5">
        <w:rPr>
          <w:rFonts w:ascii="Arial" w:hAnsi="Arial" w:cs="Arial"/>
          <w:color w:val="000000"/>
          <w:sz w:val="22"/>
          <w:szCs w:val="22"/>
        </w:rPr>
        <w:t>……………………………….12</w:t>
      </w:r>
    </w:p>
    <w:p w14:paraId="742A85AD" w14:textId="600DFC1A" w:rsidR="00617A03" w:rsidRPr="008F6DB1" w:rsidRDefault="00617A03" w:rsidP="003313EF">
      <w:pPr>
        <w:numPr>
          <w:ilvl w:val="2"/>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Thematic Analysis</w:t>
      </w:r>
      <w:r w:rsidR="006E38B5">
        <w:rPr>
          <w:rFonts w:ascii="Arial" w:hAnsi="Arial" w:cs="Arial"/>
          <w:color w:val="000000"/>
          <w:sz w:val="22"/>
          <w:szCs w:val="22"/>
        </w:rPr>
        <w:t>……………………………</w:t>
      </w:r>
      <w:r w:rsidR="00D57FDC">
        <w:rPr>
          <w:rFonts w:ascii="Arial" w:hAnsi="Arial" w:cs="Arial"/>
          <w:color w:val="000000"/>
          <w:sz w:val="22"/>
          <w:szCs w:val="22"/>
        </w:rPr>
        <w:t>...</w:t>
      </w:r>
      <w:r w:rsidR="006E38B5">
        <w:rPr>
          <w:rFonts w:ascii="Arial" w:hAnsi="Arial" w:cs="Arial"/>
          <w:color w:val="000000"/>
          <w:sz w:val="22"/>
          <w:szCs w:val="22"/>
        </w:rPr>
        <w:t>….13</w:t>
      </w:r>
    </w:p>
    <w:p w14:paraId="1E5738F5" w14:textId="56AB387C"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Discussion ................................................................</w:t>
      </w:r>
      <w:r w:rsidR="00D57FDC">
        <w:rPr>
          <w:rFonts w:ascii="Arial" w:hAnsi="Arial" w:cs="Arial"/>
          <w:color w:val="000000"/>
          <w:sz w:val="22"/>
          <w:szCs w:val="22"/>
        </w:rPr>
        <w:t>............</w:t>
      </w:r>
      <w:r w:rsidRPr="008F6DB1">
        <w:rPr>
          <w:rFonts w:ascii="Arial" w:hAnsi="Arial" w:cs="Arial"/>
          <w:color w:val="000000"/>
          <w:sz w:val="22"/>
          <w:szCs w:val="22"/>
        </w:rPr>
        <w:t xml:space="preserve">.... </w:t>
      </w:r>
      <w:r w:rsidR="00BF3520">
        <w:rPr>
          <w:rFonts w:ascii="Arial" w:hAnsi="Arial" w:cs="Arial"/>
          <w:color w:val="000000"/>
          <w:sz w:val="22"/>
          <w:szCs w:val="22"/>
        </w:rPr>
        <w:t>13-14</w:t>
      </w:r>
    </w:p>
    <w:p w14:paraId="6513B5F4" w14:textId="0FF57495"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Limitations</w:t>
      </w:r>
      <w:r w:rsidR="001D3424">
        <w:rPr>
          <w:rFonts w:ascii="Arial" w:hAnsi="Arial" w:cs="Arial"/>
          <w:color w:val="000000"/>
          <w:sz w:val="22"/>
          <w:szCs w:val="22"/>
        </w:rPr>
        <w:t>…………………………………</w:t>
      </w:r>
      <w:r w:rsidR="00D57FDC">
        <w:rPr>
          <w:rFonts w:ascii="Arial" w:hAnsi="Arial" w:cs="Arial"/>
          <w:color w:val="000000"/>
          <w:sz w:val="22"/>
          <w:szCs w:val="22"/>
        </w:rPr>
        <w:t>………...</w:t>
      </w:r>
      <w:r w:rsidR="001D3424">
        <w:rPr>
          <w:rFonts w:ascii="Arial" w:hAnsi="Arial" w:cs="Arial"/>
          <w:color w:val="000000"/>
          <w:sz w:val="22"/>
          <w:szCs w:val="22"/>
        </w:rPr>
        <w:t>………14</w:t>
      </w:r>
    </w:p>
    <w:p w14:paraId="2BEDC4A4" w14:textId="6FBBF36C" w:rsidR="009C471E"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 xml:space="preserve">Conclusion </w:t>
      </w:r>
      <w:r w:rsidR="009C471E">
        <w:rPr>
          <w:rFonts w:ascii="Arial" w:hAnsi="Arial" w:cs="Arial"/>
          <w:color w:val="000000"/>
          <w:sz w:val="22"/>
          <w:szCs w:val="22"/>
        </w:rPr>
        <w:t>…………………………………………</w:t>
      </w:r>
      <w:r w:rsidR="00D57FDC">
        <w:rPr>
          <w:rFonts w:ascii="Arial" w:hAnsi="Arial" w:cs="Arial"/>
          <w:color w:val="000000"/>
          <w:sz w:val="22"/>
          <w:szCs w:val="22"/>
        </w:rPr>
        <w:t>……….</w:t>
      </w:r>
      <w:r w:rsidR="009C471E">
        <w:rPr>
          <w:rFonts w:ascii="Arial" w:hAnsi="Arial" w:cs="Arial"/>
          <w:color w:val="000000"/>
          <w:sz w:val="22"/>
          <w:szCs w:val="22"/>
        </w:rPr>
        <w:t>……….15</w:t>
      </w:r>
    </w:p>
    <w:p w14:paraId="02F9C454" w14:textId="0BCBC6EC" w:rsidR="007F4CF6"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Recommendations ...................</w:t>
      </w:r>
      <w:r w:rsidR="00D57FDC">
        <w:rPr>
          <w:rFonts w:ascii="Arial" w:hAnsi="Arial" w:cs="Arial"/>
          <w:color w:val="000000"/>
          <w:sz w:val="22"/>
          <w:szCs w:val="22"/>
        </w:rPr>
        <w:t>..............................................</w:t>
      </w:r>
      <w:r w:rsidRPr="008F6DB1">
        <w:rPr>
          <w:rFonts w:ascii="Arial" w:hAnsi="Arial" w:cs="Arial"/>
          <w:color w:val="000000"/>
          <w:sz w:val="22"/>
          <w:szCs w:val="22"/>
        </w:rPr>
        <w:t>... 15</w:t>
      </w:r>
    </w:p>
    <w:p w14:paraId="4AFF04C5" w14:textId="5B5D5EB9" w:rsidR="00617A03" w:rsidRPr="008F6DB1" w:rsidRDefault="007F4CF6" w:rsidP="003313EF">
      <w:pPr>
        <w:numPr>
          <w:ilvl w:val="1"/>
          <w:numId w:val="1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Practice Recommendations ………………</w:t>
      </w:r>
      <w:r w:rsidR="00D57FDC">
        <w:rPr>
          <w:rFonts w:ascii="Arial" w:hAnsi="Arial" w:cs="Arial"/>
          <w:color w:val="000000"/>
          <w:sz w:val="22"/>
          <w:szCs w:val="22"/>
        </w:rPr>
        <w:t>………...</w:t>
      </w:r>
      <w:r>
        <w:rPr>
          <w:rFonts w:ascii="Arial" w:hAnsi="Arial" w:cs="Arial"/>
          <w:color w:val="000000"/>
          <w:sz w:val="22"/>
          <w:szCs w:val="22"/>
        </w:rPr>
        <w:t>…….15</w:t>
      </w:r>
      <w:r w:rsidR="00B80F96">
        <w:rPr>
          <w:rFonts w:ascii="Arial" w:hAnsi="Arial" w:cs="Arial"/>
          <w:color w:val="000000"/>
          <w:sz w:val="22"/>
          <w:szCs w:val="22"/>
        </w:rPr>
        <w:t>-16</w:t>
      </w:r>
    </w:p>
    <w:p w14:paraId="172B6546" w14:textId="342D5BED" w:rsidR="00617A03" w:rsidRPr="008F6DB1" w:rsidRDefault="00617A03" w:rsidP="003313EF">
      <w:pPr>
        <w:numPr>
          <w:ilvl w:val="1"/>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Future Research</w:t>
      </w:r>
      <w:r w:rsidR="00074353">
        <w:rPr>
          <w:rFonts w:ascii="Arial" w:hAnsi="Arial" w:cs="Arial"/>
          <w:color w:val="000000"/>
          <w:sz w:val="22"/>
          <w:szCs w:val="22"/>
        </w:rPr>
        <w:t xml:space="preserve"> Recommen</w:t>
      </w:r>
      <w:r w:rsidR="00B80F96">
        <w:rPr>
          <w:rFonts w:ascii="Arial" w:hAnsi="Arial" w:cs="Arial"/>
          <w:color w:val="000000"/>
          <w:sz w:val="22"/>
          <w:szCs w:val="22"/>
        </w:rPr>
        <w:t>dations ……</w:t>
      </w:r>
      <w:r w:rsidR="00D57FDC">
        <w:rPr>
          <w:rFonts w:ascii="Arial" w:hAnsi="Arial" w:cs="Arial"/>
          <w:color w:val="000000"/>
          <w:sz w:val="22"/>
          <w:szCs w:val="22"/>
        </w:rPr>
        <w:t>………</w:t>
      </w:r>
      <w:r w:rsidR="00B80F96">
        <w:rPr>
          <w:rFonts w:ascii="Arial" w:hAnsi="Arial" w:cs="Arial"/>
          <w:color w:val="000000"/>
          <w:sz w:val="22"/>
          <w:szCs w:val="22"/>
        </w:rPr>
        <w:t>………16</w:t>
      </w:r>
    </w:p>
    <w:p w14:paraId="76D8EE7E" w14:textId="49B3406F" w:rsidR="00617A03" w:rsidRPr="008F6DB1" w:rsidRDefault="00617A03" w:rsidP="003313EF">
      <w:pPr>
        <w:numPr>
          <w:ilvl w:val="0"/>
          <w:numId w:val="13"/>
        </w:numPr>
        <w:spacing w:before="100" w:beforeAutospacing="1" w:after="100" w:afterAutospacing="1" w:line="360" w:lineRule="auto"/>
        <w:rPr>
          <w:rFonts w:ascii="Arial" w:hAnsi="Arial" w:cs="Arial"/>
          <w:color w:val="000000"/>
          <w:sz w:val="22"/>
          <w:szCs w:val="22"/>
        </w:rPr>
      </w:pPr>
      <w:r w:rsidRPr="008F6DB1">
        <w:rPr>
          <w:rFonts w:ascii="Arial" w:hAnsi="Arial" w:cs="Arial"/>
          <w:color w:val="000000"/>
          <w:sz w:val="22"/>
          <w:szCs w:val="22"/>
        </w:rPr>
        <w:t>References ...............................................................</w:t>
      </w:r>
      <w:r w:rsidR="00D57FDC">
        <w:rPr>
          <w:rFonts w:ascii="Arial" w:hAnsi="Arial" w:cs="Arial"/>
          <w:color w:val="000000"/>
          <w:sz w:val="22"/>
          <w:szCs w:val="22"/>
        </w:rPr>
        <w:t>............</w:t>
      </w:r>
      <w:r w:rsidRPr="008F6DB1">
        <w:rPr>
          <w:rFonts w:ascii="Arial" w:hAnsi="Arial" w:cs="Arial"/>
          <w:color w:val="000000"/>
          <w:sz w:val="22"/>
          <w:szCs w:val="22"/>
        </w:rPr>
        <w:t>.....1</w:t>
      </w:r>
      <w:r w:rsidR="008C1B5E">
        <w:rPr>
          <w:rFonts w:ascii="Arial" w:hAnsi="Arial" w:cs="Arial"/>
          <w:color w:val="000000"/>
          <w:sz w:val="22"/>
          <w:szCs w:val="22"/>
        </w:rPr>
        <w:t>7</w:t>
      </w:r>
      <w:r w:rsidR="00D57FDC">
        <w:rPr>
          <w:rFonts w:ascii="Arial" w:hAnsi="Arial" w:cs="Arial"/>
          <w:color w:val="000000"/>
          <w:sz w:val="22"/>
          <w:szCs w:val="22"/>
        </w:rPr>
        <w:t>-</w:t>
      </w:r>
      <w:r w:rsidR="008C1B5E">
        <w:rPr>
          <w:rFonts w:ascii="Arial" w:hAnsi="Arial" w:cs="Arial"/>
          <w:color w:val="000000"/>
          <w:sz w:val="22"/>
          <w:szCs w:val="22"/>
        </w:rPr>
        <w:t>18-19</w:t>
      </w:r>
    </w:p>
    <w:p w14:paraId="2E79F7ED" w14:textId="182913C0" w:rsidR="00B87E75" w:rsidRPr="008F6DB1" w:rsidRDefault="00B87E75" w:rsidP="00CD33A8">
      <w:pPr>
        <w:spacing w:line="360" w:lineRule="auto"/>
        <w:rPr>
          <w:rFonts w:ascii="Arial" w:hAnsi="Arial" w:cs="Arial"/>
          <w:sz w:val="22"/>
          <w:szCs w:val="22"/>
        </w:rPr>
      </w:pPr>
    </w:p>
    <w:p w14:paraId="7AE771D5" w14:textId="1C06E45A" w:rsidR="00B87E75" w:rsidRPr="008F6DB1" w:rsidRDefault="00B87E75" w:rsidP="00CD33A8">
      <w:pPr>
        <w:spacing w:line="360" w:lineRule="auto"/>
        <w:rPr>
          <w:rFonts w:ascii="Arial" w:hAnsi="Arial" w:cs="Arial"/>
          <w:sz w:val="22"/>
          <w:szCs w:val="22"/>
        </w:rPr>
      </w:pPr>
    </w:p>
    <w:p w14:paraId="4F7320CB" w14:textId="1D76898A" w:rsidR="00B87E75" w:rsidRPr="008F6DB1" w:rsidRDefault="00B87E75" w:rsidP="00CD33A8">
      <w:pPr>
        <w:spacing w:line="360" w:lineRule="auto"/>
        <w:rPr>
          <w:rFonts w:ascii="Arial" w:hAnsi="Arial" w:cs="Arial"/>
          <w:sz w:val="22"/>
          <w:szCs w:val="22"/>
        </w:rPr>
      </w:pPr>
    </w:p>
    <w:p w14:paraId="3914D9AE" w14:textId="5BF5A3EA" w:rsidR="00CD33A8" w:rsidRPr="008F6DB1" w:rsidRDefault="00CD33A8" w:rsidP="00E620E7">
      <w:pPr>
        <w:pStyle w:val="Heading1"/>
        <w:rPr>
          <w:rFonts w:cs="Arial"/>
          <w:sz w:val="22"/>
          <w:szCs w:val="22"/>
        </w:rPr>
      </w:pPr>
      <w:r w:rsidRPr="008F6DB1">
        <w:rPr>
          <w:rFonts w:cs="Arial"/>
          <w:sz w:val="22"/>
          <w:szCs w:val="22"/>
        </w:rPr>
        <w:t>Abstract</w:t>
      </w:r>
    </w:p>
    <w:p w14:paraId="44DE7B03" w14:textId="77777777" w:rsidR="00B94EC3" w:rsidRPr="00F4731C" w:rsidRDefault="00B94EC3" w:rsidP="00E738CF">
      <w:pPr>
        <w:pStyle w:val="NormalWeb"/>
        <w:spacing w:line="360" w:lineRule="auto"/>
        <w:ind w:firstLine="720"/>
        <w:jc w:val="both"/>
        <w:rPr>
          <w:rFonts w:ascii="Arial" w:hAnsi="Arial" w:cs="Arial"/>
          <w:color w:val="000000"/>
          <w:sz w:val="22"/>
          <w:szCs w:val="22"/>
        </w:rPr>
      </w:pPr>
      <w:r w:rsidRPr="00F4731C">
        <w:rPr>
          <w:rFonts w:ascii="Arial" w:hAnsi="Arial" w:cs="Arial"/>
          <w:color w:val="000000"/>
          <w:sz w:val="22"/>
          <w:szCs w:val="22"/>
        </w:rPr>
        <w:t>This scoping review examines the experiences of immigrants and refugees in accessing social care services in the United Kingdom. It aims to map the main barriers, inequalities, and enabling factors that influence access to care among migrant populations.</w:t>
      </w:r>
    </w:p>
    <w:p w14:paraId="2621EF58" w14:textId="77777777" w:rsidR="00B94EC3" w:rsidRPr="00F4731C" w:rsidRDefault="00B94EC3" w:rsidP="00E738CF">
      <w:pPr>
        <w:pStyle w:val="NormalWeb"/>
        <w:spacing w:line="360" w:lineRule="auto"/>
        <w:ind w:firstLine="720"/>
        <w:jc w:val="both"/>
        <w:rPr>
          <w:rFonts w:ascii="Arial" w:hAnsi="Arial" w:cs="Arial"/>
          <w:color w:val="000000"/>
          <w:sz w:val="22"/>
          <w:szCs w:val="22"/>
        </w:rPr>
      </w:pPr>
      <w:r w:rsidRPr="00F4731C">
        <w:rPr>
          <w:rFonts w:ascii="Arial" w:hAnsi="Arial" w:cs="Arial"/>
          <w:color w:val="000000"/>
          <w:sz w:val="22"/>
          <w:szCs w:val="22"/>
        </w:rPr>
        <w:t>A scoping review methodology was used to explore the breadth of existing literature and identify key themes and gaps in evidence. A structured search of peer-reviewed studies was conducted, and five relevant studies were included in the final review.</w:t>
      </w:r>
    </w:p>
    <w:p w14:paraId="7EE7C0DB" w14:textId="77777777" w:rsidR="00B94EC3" w:rsidRPr="00F4731C" w:rsidRDefault="00B94EC3" w:rsidP="00E738CF">
      <w:pPr>
        <w:pStyle w:val="NormalWeb"/>
        <w:spacing w:line="360" w:lineRule="auto"/>
        <w:ind w:firstLine="720"/>
        <w:jc w:val="both"/>
        <w:rPr>
          <w:rFonts w:ascii="Arial" w:hAnsi="Arial" w:cs="Arial"/>
          <w:color w:val="000000"/>
          <w:sz w:val="22"/>
          <w:szCs w:val="22"/>
        </w:rPr>
      </w:pPr>
      <w:r w:rsidRPr="00F4731C">
        <w:rPr>
          <w:rFonts w:ascii="Arial" w:hAnsi="Arial" w:cs="Arial"/>
          <w:color w:val="000000"/>
          <w:sz w:val="22"/>
          <w:szCs w:val="22"/>
        </w:rPr>
        <w:t>The findings show that immigrants and refugees face multiple barriers to accessing social care. These include structural barriers related to immigration status and eligibility criteria, language and communication difficulties, limited awareness of services, and experiences of discrimination. Cultural differences and mistrust of authorities also contribute to delayed or avoided access to care. In contrast, community-based interventions, such as health champion models, were found to improve trust, service navigation, and engagement.</w:t>
      </w:r>
    </w:p>
    <w:p w14:paraId="1BDE931D" w14:textId="77777777" w:rsidR="00B94EC3" w:rsidRPr="00F4731C" w:rsidRDefault="00B94EC3" w:rsidP="00E738CF">
      <w:pPr>
        <w:pStyle w:val="NormalWeb"/>
        <w:spacing w:line="360" w:lineRule="auto"/>
        <w:ind w:firstLine="720"/>
        <w:jc w:val="both"/>
        <w:rPr>
          <w:rFonts w:ascii="Arial" w:hAnsi="Arial" w:cs="Arial"/>
          <w:color w:val="000000"/>
          <w:sz w:val="22"/>
          <w:szCs w:val="22"/>
        </w:rPr>
      </w:pPr>
      <w:r w:rsidRPr="00F4731C">
        <w:rPr>
          <w:rFonts w:ascii="Arial" w:hAnsi="Arial" w:cs="Arial"/>
          <w:color w:val="000000"/>
          <w:sz w:val="22"/>
          <w:szCs w:val="22"/>
        </w:rPr>
        <w:t>Overall, the review highlights persistent inequalities in access to social care despite existing policy frameworks promoting equality. It concludes that improving access requires culturally competent practice, inclusive policies, and more effective communication strategies within social care services in the United Kingdom.</w:t>
      </w:r>
    </w:p>
    <w:p w14:paraId="4554D396" w14:textId="77777777" w:rsidR="00C11E4D" w:rsidRPr="00A1536B" w:rsidRDefault="00C11E4D" w:rsidP="00C11E4D">
      <w:pPr>
        <w:pStyle w:val="Heading1"/>
        <w:rPr>
          <w:color w:val="000000"/>
          <w:sz w:val="22"/>
          <w:szCs w:val="22"/>
        </w:rPr>
      </w:pPr>
      <w:r w:rsidRPr="00A1536B">
        <w:rPr>
          <w:rStyle w:val="Strong"/>
          <w:b/>
          <w:bCs w:val="0"/>
          <w:color w:val="000000"/>
          <w:sz w:val="22"/>
          <w:szCs w:val="22"/>
        </w:rPr>
        <w:t>Keywords</w:t>
      </w:r>
    </w:p>
    <w:p w14:paraId="6245F184" w14:textId="10321DE9" w:rsidR="00C11E4D" w:rsidRDefault="00C11E4D" w:rsidP="00496057">
      <w:pPr>
        <w:pStyle w:val="NormalWeb"/>
        <w:spacing w:line="360" w:lineRule="auto"/>
        <w:ind w:firstLine="720"/>
        <w:jc w:val="both"/>
        <w:rPr>
          <w:color w:val="000000"/>
        </w:rPr>
      </w:pPr>
      <w:r w:rsidRPr="00496057">
        <w:rPr>
          <w:rFonts w:ascii="Arial" w:hAnsi="Arial" w:cs="Arial"/>
          <w:color w:val="000000"/>
          <w:sz w:val="22"/>
          <w:szCs w:val="22"/>
        </w:rPr>
        <w:t>Immigrants; refugees; social care; United Kingdom; access to services; health inequalities; barriers to care; migration; social care policy</w:t>
      </w:r>
      <w:r>
        <w:rPr>
          <w:color w:val="000000"/>
        </w:rPr>
        <w:t>.</w:t>
      </w:r>
    </w:p>
    <w:p w14:paraId="1F5A67F0" w14:textId="77777777" w:rsidR="003B36BA" w:rsidRPr="003B36BA" w:rsidRDefault="003B36BA" w:rsidP="003B36BA"/>
    <w:p w14:paraId="12D76753" w14:textId="393172FB" w:rsidR="00B87E75" w:rsidRPr="008F6DB1" w:rsidRDefault="00B87E75" w:rsidP="00E620E7">
      <w:pPr>
        <w:pStyle w:val="Heading1"/>
        <w:rPr>
          <w:rFonts w:cs="Arial"/>
          <w:sz w:val="22"/>
          <w:szCs w:val="22"/>
        </w:rPr>
      </w:pPr>
      <w:r w:rsidRPr="008F6DB1">
        <w:rPr>
          <w:rFonts w:cs="Arial"/>
          <w:sz w:val="22"/>
          <w:szCs w:val="22"/>
        </w:rPr>
        <w:t>1. Introduction</w:t>
      </w:r>
    </w:p>
    <w:p w14:paraId="5AB71B15" w14:textId="1FF3547D" w:rsidR="00F340F0" w:rsidRPr="008F6DB1" w:rsidRDefault="00F340F0" w:rsidP="001D241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Immigrants are individuals who choose to move to another country for reasons such as work, education, or family reunification, while refugees are forced to flee their home countries due to conflict, persecution, or serious threats to their </w:t>
      </w:r>
      <w:r w:rsidR="00CB2165" w:rsidRPr="008F6DB1">
        <w:rPr>
          <w:rFonts w:ascii="Arial" w:hAnsi="Arial" w:cs="Arial"/>
          <w:color w:val="000000"/>
          <w:sz w:val="22"/>
          <w:szCs w:val="22"/>
        </w:rPr>
        <w:t>safety.</w:t>
      </w:r>
      <w:r w:rsidR="00CB2165">
        <w:rPr>
          <w:rFonts w:ascii="Arial" w:hAnsi="Arial" w:cs="Arial"/>
          <w:color w:val="000000"/>
          <w:sz w:val="22"/>
          <w:szCs w:val="22"/>
        </w:rPr>
        <w:t xml:space="preserve"> </w:t>
      </w:r>
      <w:r w:rsidRPr="008F6DB1">
        <w:rPr>
          <w:rFonts w:ascii="Arial" w:hAnsi="Arial" w:cs="Arial"/>
          <w:color w:val="000000"/>
          <w:sz w:val="22"/>
          <w:szCs w:val="22"/>
        </w:rPr>
        <w:t>Both groups may face challenges in adjusting to new environments, but refugees often experience additional vulnerabilities, including trauma, loss, and uncertainty about legal status.</w:t>
      </w:r>
    </w:p>
    <w:p w14:paraId="40DB90AE" w14:textId="77777777" w:rsidR="00BD2432" w:rsidRDefault="00F340F0" w:rsidP="00BD2432">
      <w:pPr>
        <w:pStyle w:val="NormalWeb"/>
        <w:spacing w:line="360" w:lineRule="auto"/>
        <w:jc w:val="both"/>
        <w:rPr>
          <w:rStyle w:val="Heading2Char"/>
          <w:color w:val="000000"/>
        </w:rPr>
      </w:pPr>
      <w:r w:rsidRPr="008F6DB1">
        <w:rPr>
          <w:rFonts w:ascii="Arial" w:hAnsi="Arial" w:cs="Arial"/>
          <w:color w:val="000000"/>
          <w:sz w:val="22"/>
          <w:szCs w:val="22"/>
        </w:rPr>
        <w:lastRenderedPageBreak/>
        <w:t>Social care in the United Kingdom refers to a range of services that support wellbeing, independence, and protection, particularly for vulnerable populations. This includes personal care, mental health services, housing support, and community interventions. Social care aims to enable individuals to live fulfilling lives while addressing health inequalities, promoting social inclusion, and reducing vulnerability.</w:t>
      </w:r>
      <w:r w:rsidR="00BD2432" w:rsidRPr="00BD2432">
        <w:rPr>
          <w:rStyle w:val="Heading2Char"/>
          <w:color w:val="000000"/>
        </w:rPr>
        <w:t xml:space="preserve"> </w:t>
      </w:r>
    </w:p>
    <w:p w14:paraId="24DB121D" w14:textId="56A98837" w:rsidR="00BD2432" w:rsidRDefault="00BD2432" w:rsidP="00BD2432">
      <w:pPr>
        <w:pStyle w:val="NormalWeb"/>
        <w:spacing w:line="360" w:lineRule="auto"/>
        <w:ind w:firstLine="720"/>
        <w:jc w:val="both"/>
        <w:rPr>
          <w:color w:val="000000"/>
        </w:rPr>
      </w:pPr>
      <w:r w:rsidRPr="00BD2432">
        <w:rPr>
          <w:rStyle w:val="Strong"/>
          <w:rFonts w:ascii="Arial" w:hAnsi="Arial" w:cs="Arial"/>
          <w:b w:val="0"/>
          <w:bCs w:val="0"/>
          <w:color w:val="000000"/>
          <w:sz w:val="22"/>
          <w:szCs w:val="22"/>
        </w:rPr>
        <w:t>The aim of this scoping review is to map and synthesise existing evidence on the barriers and facilitators influencing access to social care services among immigrants and refugees in the United Kingdom.</w:t>
      </w:r>
    </w:p>
    <w:p w14:paraId="3D96E5C5" w14:textId="0352A47A" w:rsidR="00F340F0" w:rsidRDefault="00F340F0" w:rsidP="001D2416">
      <w:pPr>
        <w:pStyle w:val="NormalWeb"/>
        <w:spacing w:line="360" w:lineRule="auto"/>
        <w:ind w:firstLine="720"/>
        <w:jc w:val="both"/>
        <w:rPr>
          <w:rFonts w:ascii="Arial" w:hAnsi="Arial" w:cs="Arial"/>
          <w:color w:val="000000"/>
          <w:sz w:val="22"/>
          <w:szCs w:val="22"/>
        </w:rPr>
      </w:pPr>
    </w:p>
    <w:p w14:paraId="6D96BDC5" w14:textId="77777777" w:rsidR="007E5351" w:rsidRPr="008F6DB1" w:rsidRDefault="007E5351" w:rsidP="001D2416">
      <w:pPr>
        <w:pStyle w:val="NormalWeb"/>
        <w:spacing w:line="360" w:lineRule="auto"/>
        <w:ind w:firstLine="720"/>
        <w:jc w:val="both"/>
        <w:rPr>
          <w:rFonts w:ascii="Arial" w:hAnsi="Arial" w:cs="Arial"/>
          <w:color w:val="000000"/>
          <w:sz w:val="22"/>
          <w:szCs w:val="22"/>
        </w:rPr>
      </w:pPr>
    </w:p>
    <w:p w14:paraId="60F99B0B" w14:textId="77777777" w:rsidR="00F340F0" w:rsidRDefault="00F340F0" w:rsidP="001D2416">
      <w:pPr>
        <w:pStyle w:val="Heading2"/>
        <w:spacing w:line="360" w:lineRule="auto"/>
        <w:jc w:val="both"/>
        <w:rPr>
          <w:rStyle w:val="Strong"/>
          <w:rFonts w:cs="Arial"/>
          <w:b/>
          <w:bCs w:val="0"/>
          <w:color w:val="000000"/>
          <w:sz w:val="22"/>
          <w:szCs w:val="22"/>
        </w:rPr>
      </w:pPr>
      <w:r w:rsidRPr="008F6DB1">
        <w:rPr>
          <w:rStyle w:val="Strong"/>
          <w:rFonts w:cs="Arial"/>
          <w:b/>
          <w:bCs w:val="0"/>
          <w:color w:val="000000"/>
          <w:sz w:val="22"/>
          <w:szCs w:val="22"/>
        </w:rPr>
        <w:t>Rationale</w:t>
      </w:r>
    </w:p>
    <w:p w14:paraId="5CD757F4" w14:textId="77777777" w:rsidR="00A10C0A" w:rsidRPr="006035E0" w:rsidRDefault="00A10C0A" w:rsidP="006035E0">
      <w:pPr>
        <w:pStyle w:val="NormalWeb"/>
        <w:spacing w:line="360" w:lineRule="auto"/>
        <w:ind w:firstLine="720"/>
        <w:rPr>
          <w:rFonts w:ascii="Arial" w:hAnsi="Arial" w:cs="Arial"/>
          <w:color w:val="000000"/>
          <w:sz w:val="22"/>
          <w:szCs w:val="22"/>
        </w:rPr>
      </w:pPr>
      <w:r w:rsidRPr="006035E0">
        <w:rPr>
          <w:rFonts w:ascii="Arial" w:hAnsi="Arial" w:cs="Arial"/>
          <w:color w:val="000000"/>
          <w:sz w:val="22"/>
          <w:szCs w:val="22"/>
        </w:rPr>
        <w:t>The rationale for this scoping review is the persistent inequality faced by immigrants and refugees in accessing social care services in the UK. Migration has contributed to increasingly diverse communities with complex needs (Spencer and Charsley, 2021). Although the Care Act 2014 promotes equality and person-centred care, barriers such as restrictive immigration policies, limited awareness of services, and language and cultural differences continue to result in delayed access, unmet needs, and poorer outcomes (Marmot et al., 2020; Oliver et al., 2022; Springer, 2021).</w:t>
      </w:r>
    </w:p>
    <w:p w14:paraId="4C5618D0" w14:textId="77777777" w:rsidR="00A10C0A" w:rsidRPr="006035E0" w:rsidRDefault="00A10C0A" w:rsidP="006035E0">
      <w:pPr>
        <w:pStyle w:val="NormalWeb"/>
        <w:spacing w:line="360" w:lineRule="auto"/>
        <w:ind w:firstLine="720"/>
        <w:rPr>
          <w:rFonts w:ascii="Arial" w:hAnsi="Arial" w:cs="Arial"/>
          <w:color w:val="000000"/>
          <w:sz w:val="22"/>
          <w:szCs w:val="22"/>
        </w:rPr>
      </w:pPr>
      <w:r w:rsidRPr="006035E0">
        <w:rPr>
          <w:rFonts w:ascii="Arial" w:hAnsi="Arial" w:cs="Arial"/>
          <w:color w:val="000000"/>
          <w:sz w:val="22"/>
          <w:szCs w:val="22"/>
        </w:rPr>
        <w:t>This issue is particularly important in the UK given the rising demand on health and social care services, an ageing population, and ongoing workforce shortages. Migrants also represent a substantial proportion of both service users and care workers, meaning that inequities in access and experience have wider implications for service delivery and system sustainability.</w:t>
      </w:r>
    </w:p>
    <w:p w14:paraId="52010A5E" w14:textId="34E497D7" w:rsidR="0026393A" w:rsidRPr="006A2CAB" w:rsidRDefault="00A10C0A" w:rsidP="006A2CAB">
      <w:pPr>
        <w:pStyle w:val="NormalWeb"/>
        <w:spacing w:line="360" w:lineRule="auto"/>
        <w:ind w:firstLine="720"/>
        <w:rPr>
          <w:rFonts w:ascii="Arial" w:hAnsi="Arial" w:cs="Arial"/>
          <w:color w:val="000000"/>
          <w:sz w:val="22"/>
          <w:szCs w:val="22"/>
        </w:rPr>
      </w:pPr>
      <w:r w:rsidRPr="006035E0">
        <w:rPr>
          <w:rFonts w:ascii="Arial" w:hAnsi="Arial" w:cs="Arial"/>
          <w:color w:val="000000"/>
          <w:sz w:val="22"/>
          <w:szCs w:val="22"/>
        </w:rPr>
        <w:t>By identifying barriers and facilitators, this review aims to inform practice and contribute to more inclusive social care policy and service development.</w:t>
      </w:r>
    </w:p>
    <w:p w14:paraId="76B76D62" w14:textId="77777777" w:rsidR="00376A79" w:rsidRPr="002C346E" w:rsidRDefault="0026393A" w:rsidP="00B30F76">
      <w:pPr>
        <w:pStyle w:val="NormalWeb"/>
        <w:rPr>
          <w:rFonts w:cs="Arial"/>
          <w:b/>
          <w:bCs/>
          <w:sz w:val="22"/>
          <w:szCs w:val="22"/>
        </w:rPr>
      </w:pPr>
      <w:r w:rsidRPr="002C346E">
        <w:rPr>
          <w:rFonts w:cs="Arial"/>
          <w:b/>
          <w:bCs/>
          <w:sz w:val="22"/>
          <w:szCs w:val="22"/>
        </w:rPr>
        <w:t>2. Background</w:t>
      </w:r>
      <w:r w:rsidR="00376A79" w:rsidRPr="002C346E">
        <w:rPr>
          <w:rFonts w:cs="Arial"/>
          <w:b/>
          <w:bCs/>
          <w:sz w:val="22"/>
          <w:szCs w:val="22"/>
        </w:rPr>
        <w:t xml:space="preserve"> </w:t>
      </w:r>
    </w:p>
    <w:p w14:paraId="09424848" w14:textId="77777777" w:rsidR="002C346E" w:rsidRDefault="00B30F76" w:rsidP="002C346E">
      <w:pPr>
        <w:pStyle w:val="NormalWeb"/>
        <w:spacing w:line="360" w:lineRule="auto"/>
        <w:ind w:firstLine="720"/>
        <w:jc w:val="both"/>
        <w:rPr>
          <w:rFonts w:ascii="Arial" w:hAnsi="Arial" w:cs="Arial"/>
          <w:color w:val="000000"/>
          <w:sz w:val="22"/>
          <w:szCs w:val="22"/>
        </w:rPr>
      </w:pPr>
      <w:r w:rsidRPr="00B30F76">
        <w:rPr>
          <w:color w:val="000000"/>
        </w:rPr>
        <w:t xml:space="preserve"> </w:t>
      </w:r>
      <w:r w:rsidR="002C346E" w:rsidRPr="002C346E">
        <w:rPr>
          <w:rFonts w:ascii="Arial" w:hAnsi="Arial" w:cs="Arial"/>
          <w:color w:val="000000"/>
          <w:sz w:val="22"/>
          <w:szCs w:val="22"/>
        </w:rPr>
        <w:t>S</w:t>
      </w:r>
      <w:r w:rsidRPr="002C346E">
        <w:rPr>
          <w:rFonts w:ascii="Arial" w:hAnsi="Arial" w:cs="Arial"/>
          <w:color w:val="000000"/>
          <w:sz w:val="22"/>
          <w:szCs w:val="22"/>
        </w:rPr>
        <w:t xml:space="preserve">ocial care system in the United Kingdom is designed to support the wellbeing, independence, and protection of vulnerable populations. Governed by the Care Act 2014, it establishes principles of equality of access, safeguarding, and person-centred care (Department of Health and Social Care, 2014). </w:t>
      </w:r>
    </w:p>
    <w:p w14:paraId="6F38F774" w14:textId="754C400E" w:rsidR="00B30F76" w:rsidRPr="002C346E" w:rsidRDefault="00B30F76" w:rsidP="002C346E">
      <w:pPr>
        <w:pStyle w:val="NormalWeb"/>
        <w:spacing w:line="360" w:lineRule="auto"/>
        <w:ind w:left="720" w:firstLine="720"/>
        <w:jc w:val="both"/>
        <w:rPr>
          <w:rFonts w:ascii="Arial" w:hAnsi="Arial" w:cs="Arial"/>
          <w:color w:val="000000"/>
          <w:sz w:val="22"/>
          <w:szCs w:val="22"/>
        </w:rPr>
      </w:pPr>
      <w:r w:rsidRPr="002C346E">
        <w:rPr>
          <w:rFonts w:ascii="Arial" w:hAnsi="Arial" w:cs="Arial"/>
          <w:color w:val="000000"/>
          <w:sz w:val="22"/>
          <w:szCs w:val="22"/>
        </w:rPr>
        <w:lastRenderedPageBreak/>
        <w:t>However, despite this strong legislative framework, access to social care in practice remains uneven across different population groups, particularly for migrants and refugees.</w:t>
      </w:r>
    </w:p>
    <w:p w14:paraId="777A10E7" w14:textId="77777777" w:rsidR="00B30F76" w:rsidRPr="002C346E" w:rsidRDefault="00B30F76" w:rsidP="002C346E">
      <w:pPr>
        <w:pStyle w:val="NormalWeb"/>
        <w:spacing w:line="360" w:lineRule="auto"/>
        <w:ind w:firstLine="720"/>
        <w:jc w:val="both"/>
        <w:rPr>
          <w:rFonts w:ascii="Arial" w:hAnsi="Arial" w:cs="Arial"/>
          <w:color w:val="000000"/>
          <w:sz w:val="22"/>
          <w:szCs w:val="22"/>
        </w:rPr>
      </w:pPr>
      <w:r w:rsidRPr="002C346E">
        <w:rPr>
          <w:rFonts w:ascii="Arial" w:hAnsi="Arial" w:cs="Arial"/>
          <w:color w:val="000000"/>
          <w:sz w:val="22"/>
          <w:szCs w:val="22"/>
        </w:rPr>
        <w:t>Migrants and refugees face significant structural barriers, including eligibility criteria linked to immigration status and difficulties navigating complex social care systems. These restrictions can limit or delay access to essential support, highlighting a gap between policy intentions and lived experiences (Phillimore, 2015; Priebe et al., 2016).</w:t>
      </w:r>
    </w:p>
    <w:p w14:paraId="20E76030" w14:textId="77777777" w:rsidR="00B30F76" w:rsidRPr="002C346E" w:rsidRDefault="00B30F76" w:rsidP="00117665">
      <w:pPr>
        <w:pStyle w:val="NormalWeb"/>
        <w:spacing w:line="360" w:lineRule="auto"/>
        <w:ind w:firstLine="720"/>
        <w:jc w:val="both"/>
        <w:rPr>
          <w:rFonts w:ascii="Arial" w:hAnsi="Arial" w:cs="Arial"/>
          <w:color w:val="000000"/>
          <w:sz w:val="22"/>
          <w:szCs w:val="22"/>
        </w:rPr>
      </w:pPr>
      <w:r w:rsidRPr="002C346E">
        <w:rPr>
          <w:rFonts w:ascii="Arial" w:hAnsi="Arial" w:cs="Arial"/>
          <w:color w:val="000000"/>
          <w:sz w:val="22"/>
          <w:szCs w:val="22"/>
        </w:rPr>
        <w:t>In addition, language barriers and limited access to translated or culturally appropriate information reduce awareness of available services and hinder effective engagement with the system. Cultural differences in understandings of care and institutional support further contribute to low service utilisation among migrant populations (Cai Kang, Tomkow and Farrington, 2019).</w:t>
      </w:r>
    </w:p>
    <w:p w14:paraId="6761C510" w14:textId="77777777" w:rsidR="00B30F76" w:rsidRPr="002C346E" w:rsidRDefault="00B30F76" w:rsidP="00117665">
      <w:pPr>
        <w:pStyle w:val="NormalWeb"/>
        <w:spacing w:line="360" w:lineRule="auto"/>
        <w:ind w:firstLine="720"/>
        <w:jc w:val="both"/>
        <w:rPr>
          <w:rFonts w:ascii="Arial" w:hAnsi="Arial" w:cs="Arial"/>
          <w:color w:val="000000"/>
          <w:sz w:val="22"/>
          <w:szCs w:val="22"/>
        </w:rPr>
      </w:pPr>
      <w:r w:rsidRPr="002C346E">
        <w:rPr>
          <w:rFonts w:ascii="Arial" w:hAnsi="Arial" w:cs="Arial"/>
          <w:color w:val="000000"/>
          <w:sz w:val="22"/>
          <w:szCs w:val="22"/>
        </w:rPr>
        <w:t>Psychosocial factors also play a key role, particularly fear of discrimination or negative consequences related to immigration status. This may result in delayed help-seeking or complete avoidance of services, which is especially concerning in situations requiring safeguarding and early intervention (Hanley et al., 2019; Hanwell, Finnerty and Richardson, 2025).</w:t>
      </w:r>
    </w:p>
    <w:p w14:paraId="2CD1D66C" w14:textId="77777777" w:rsidR="00B30F76" w:rsidRPr="002C346E" w:rsidRDefault="00B30F76" w:rsidP="00117665">
      <w:pPr>
        <w:pStyle w:val="NormalWeb"/>
        <w:spacing w:line="360" w:lineRule="auto"/>
        <w:ind w:firstLine="720"/>
        <w:jc w:val="both"/>
        <w:rPr>
          <w:rFonts w:ascii="Arial" w:hAnsi="Arial" w:cs="Arial"/>
          <w:color w:val="000000"/>
          <w:sz w:val="22"/>
          <w:szCs w:val="22"/>
        </w:rPr>
      </w:pPr>
      <w:r w:rsidRPr="002C346E">
        <w:rPr>
          <w:rFonts w:ascii="Arial" w:hAnsi="Arial" w:cs="Arial"/>
          <w:color w:val="000000"/>
          <w:sz w:val="22"/>
          <w:szCs w:val="22"/>
        </w:rPr>
        <w:t>Overall, while the Care Act 2014 promotes equality and person-centred care in principle, evidence suggests persistent structural and social inequalities in access to social care for migrants and refugees in the United Kingdom. This highlights the need for more inclusive, culturally responsive approaches within both policy and practice (Oliver et al., 2022; Migration Observatory, 2023).</w:t>
      </w:r>
    </w:p>
    <w:p w14:paraId="0F7D7609" w14:textId="091BBE63" w:rsidR="0026393A" w:rsidRPr="008F6DB1" w:rsidRDefault="0026393A" w:rsidP="001D2416">
      <w:pPr>
        <w:pStyle w:val="Heading1"/>
        <w:rPr>
          <w:rFonts w:cs="Arial"/>
          <w:sz w:val="22"/>
          <w:szCs w:val="22"/>
        </w:rPr>
      </w:pPr>
    </w:p>
    <w:p w14:paraId="305B3D56" w14:textId="77777777" w:rsidR="00836C90" w:rsidRPr="008F6DB1" w:rsidRDefault="00836C90"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t>Context and Policies</w:t>
      </w:r>
    </w:p>
    <w:p w14:paraId="452812B9" w14:textId="77777777" w:rsidR="001E15C6" w:rsidRDefault="00836C90" w:rsidP="001E15C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Social care in the UK operates within a complex framework of local and national policies. The Care Act 2014 establishes a legal duty for local authorities to assess the needs of individuals and provide appropriate support to promote wellbeing and independence. It also emphasizes safeguarding and the importance of involving service users in decision-making (Department of Health and Social Care, 2014). </w:t>
      </w:r>
    </w:p>
    <w:p w14:paraId="374CD78C" w14:textId="10CA8A4B" w:rsidR="00836C90" w:rsidRPr="008F6DB1" w:rsidRDefault="00836C90" w:rsidP="001E15C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While these policies apply universally, eligibility criteria and practical access can be influenced by immigration status. For example, certain migrants, including undocumented </w:t>
      </w:r>
      <w:r w:rsidRPr="008F6DB1">
        <w:rPr>
          <w:rFonts w:ascii="Arial" w:hAnsi="Arial" w:cs="Arial"/>
          <w:color w:val="000000"/>
          <w:sz w:val="22"/>
          <w:szCs w:val="22"/>
        </w:rPr>
        <w:lastRenderedPageBreak/>
        <w:t>individuals and recent arrivals, may face restrictions on accessing social care services, leaving them particularly vulnerable (Springer, 2021).</w:t>
      </w:r>
    </w:p>
    <w:p w14:paraId="19F5F565" w14:textId="77777777" w:rsidR="00836C90" w:rsidRPr="008F6DB1" w:rsidRDefault="00836C90" w:rsidP="001E15C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In addition, integration policies for refugees and immigrants, such as resettlement programs and community support initiatives, aim to facilitate access to housing, healthcare, and social services. Research has highlighted that these programs are unevenly implemented across the UK, resulting in disparities in access depending on geographical location, local authority resources, and community engagement strategies (Spencer and Charsley, 2021).</w:t>
      </w:r>
    </w:p>
    <w:p w14:paraId="0BD3EDE0" w14:textId="77777777" w:rsidR="00836C90" w:rsidRDefault="00836C90" w:rsidP="001D2416">
      <w:pPr>
        <w:pStyle w:val="Heading2"/>
        <w:spacing w:line="360" w:lineRule="auto"/>
        <w:jc w:val="both"/>
        <w:rPr>
          <w:rStyle w:val="Strong"/>
          <w:rFonts w:cs="Arial"/>
          <w:b/>
          <w:bCs w:val="0"/>
          <w:color w:val="000000"/>
          <w:sz w:val="22"/>
          <w:szCs w:val="22"/>
        </w:rPr>
      </w:pPr>
      <w:r w:rsidRPr="008F6DB1">
        <w:rPr>
          <w:rStyle w:val="Strong"/>
          <w:rFonts w:cs="Arial"/>
          <w:b/>
          <w:bCs w:val="0"/>
          <w:color w:val="000000"/>
          <w:sz w:val="22"/>
          <w:szCs w:val="22"/>
        </w:rPr>
        <w:t>Structural and Systemic Barriers</w:t>
      </w:r>
    </w:p>
    <w:p w14:paraId="46CBBAD0" w14:textId="77777777" w:rsidR="001E15C6" w:rsidRDefault="00E54282" w:rsidP="00C07462">
      <w:pPr>
        <w:spacing w:line="360" w:lineRule="auto"/>
        <w:ind w:firstLine="720"/>
        <w:jc w:val="both"/>
        <w:rPr>
          <w:rFonts w:ascii="Arial" w:hAnsi="Arial" w:cs="Arial"/>
          <w:color w:val="000000"/>
          <w:sz w:val="22"/>
          <w:szCs w:val="22"/>
        </w:rPr>
      </w:pPr>
      <w:r w:rsidRPr="00C07462">
        <w:rPr>
          <w:rFonts w:ascii="Arial" w:hAnsi="Arial" w:cs="Arial"/>
          <w:color w:val="000000"/>
          <w:sz w:val="22"/>
          <w:szCs w:val="22"/>
        </w:rPr>
        <w:t xml:space="preserve">Studies consistently indicate that structural barriers, including complex eligibility criteria, limited legal entitlements, and bureaucratic procedures, restrict migrants’ access to social care services (Springer, 2021; ScienceDirect, 2025). </w:t>
      </w:r>
    </w:p>
    <w:p w14:paraId="1AD11000" w14:textId="0AED25B1" w:rsidR="00E54282" w:rsidRPr="00C07462" w:rsidRDefault="00E54282" w:rsidP="00C07462">
      <w:pPr>
        <w:spacing w:line="360" w:lineRule="auto"/>
        <w:ind w:firstLine="720"/>
        <w:jc w:val="both"/>
        <w:rPr>
          <w:rFonts w:ascii="Arial" w:hAnsi="Arial" w:cs="Arial"/>
          <w:color w:val="000000"/>
          <w:sz w:val="22"/>
          <w:szCs w:val="22"/>
        </w:rPr>
      </w:pPr>
      <w:r w:rsidRPr="00C07462">
        <w:rPr>
          <w:rFonts w:ascii="Arial" w:hAnsi="Arial" w:cs="Arial"/>
          <w:color w:val="000000"/>
          <w:sz w:val="22"/>
          <w:szCs w:val="22"/>
        </w:rPr>
        <w:t>Immigration policies may unintentionally contribute to inequalities, as individuals with temporary visas or insecure immigration status are often excluded from certain forms of support, resulting in greater reliance on informal networks or community-based provision. These structural constraints can intensify social exclusion and are closely linked to wider patterns of poverty and health inequalities among migrant and refugee populations (Marmot et al., 2020).</w:t>
      </w:r>
    </w:p>
    <w:p w14:paraId="7BA69D2D" w14:textId="77777777" w:rsidR="00E54282" w:rsidRPr="00C07462" w:rsidRDefault="00E54282" w:rsidP="00C07462">
      <w:pPr>
        <w:spacing w:line="360" w:lineRule="auto"/>
        <w:jc w:val="both"/>
        <w:rPr>
          <w:rFonts w:ascii="Arial" w:hAnsi="Arial" w:cs="Arial"/>
          <w:sz w:val="22"/>
          <w:szCs w:val="22"/>
        </w:rPr>
      </w:pPr>
    </w:p>
    <w:p w14:paraId="6A6F9181" w14:textId="77777777" w:rsidR="00836C90" w:rsidRPr="008F6DB1" w:rsidRDefault="00836C90"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t>Cultural and Communication Challenges</w:t>
      </w:r>
    </w:p>
    <w:p w14:paraId="552DF4E1" w14:textId="082AC47E" w:rsidR="00836C90" w:rsidRPr="008F6DB1" w:rsidRDefault="00836C90" w:rsidP="001D241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Cultural differences play a significant role in shaping migrants’ perceptions of social care. Some individuals may come from countries with very different healthcare and social support systems, leading to confusion or mistrust when navigating UK services (Phillimore, 2015). Language barriers are a common challenge, limiting understanding of available services and the ability to communicate needs effectively. Studies have demonstrated that migrants who face these communication obstacles are more likely to delay seeking care or rely on family members to act as informal interpreters, which can compromise confidentiality and care quality (</w:t>
      </w:r>
      <w:r w:rsidR="00B56AB5" w:rsidRPr="008F6DB1">
        <w:rPr>
          <w:rFonts w:ascii="Arial" w:hAnsi="Arial" w:cs="Arial"/>
          <w:color w:val="000000"/>
          <w:sz w:val="22"/>
          <w:szCs w:val="22"/>
        </w:rPr>
        <w:t>Cai Kang, Tomkow and Farrington, 2019</w:t>
      </w:r>
      <w:r w:rsidRPr="008F6DB1">
        <w:rPr>
          <w:rFonts w:ascii="Arial" w:hAnsi="Arial" w:cs="Arial"/>
          <w:color w:val="000000"/>
          <w:sz w:val="22"/>
          <w:szCs w:val="22"/>
        </w:rPr>
        <w:t>).</w:t>
      </w:r>
    </w:p>
    <w:p w14:paraId="5F182E9B" w14:textId="77777777" w:rsidR="00836C90" w:rsidRPr="008F6DB1" w:rsidRDefault="00836C90"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t>Discrimination and Trust</w:t>
      </w:r>
    </w:p>
    <w:p w14:paraId="3DC0EC77" w14:textId="15AEAF05" w:rsidR="00836C90" w:rsidRPr="008F6DB1" w:rsidRDefault="00836C90" w:rsidP="001D241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Experiences of discrimination and perceived negative treatment further reduce trust in formal social care services. For refugees who have faced trauma or persecution, fear of authority figures can prevent engagement with health and social care systems (Oxford Academic, </w:t>
      </w:r>
      <w:r w:rsidR="0046219B" w:rsidRPr="008F6DB1">
        <w:rPr>
          <w:rFonts w:ascii="Arial" w:hAnsi="Arial" w:cs="Arial"/>
          <w:color w:val="000000"/>
          <w:sz w:val="22"/>
          <w:szCs w:val="22"/>
        </w:rPr>
        <w:t>2024; Oliver</w:t>
      </w:r>
      <w:r w:rsidRPr="008F6DB1">
        <w:rPr>
          <w:rFonts w:ascii="Arial" w:hAnsi="Arial" w:cs="Arial"/>
          <w:color w:val="000000"/>
          <w:sz w:val="22"/>
          <w:szCs w:val="22"/>
        </w:rPr>
        <w:t xml:space="preserve"> et al</w:t>
      </w:r>
      <w:r w:rsidR="006F07F5" w:rsidRPr="008F6DB1">
        <w:rPr>
          <w:rFonts w:ascii="Arial" w:hAnsi="Arial" w:cs="Arial"/>
          <w:color w:val="000000"/>
          <w:sz w:val="22"/>
          <w:szCs w:val="22"/>
        </w:rPr>
        <w:t xml:space="preserve"> </w:t>
      </w:r>
      <w:r w:rsidRPr="008F6DB1">
        <w:rPr>
          <w:rFonts w:ascii="Arial" w:hAnsi="Arial" w:cs="Arial"/>
          <w:color w:val="000000"/>
          <w:sz w:val="22"/>
          <w:szCs w:val="22"/>
        </w:rPr>
        <w:t>2022</w:t>
      </w:r>
      <w:r w:rsidR="002E3A5E" w:rsidRPr="008F6DB1">
        <w:rPr>
          <w:rFonts w:ascii="Arial" w:hAnsi="Arial" w:cs="Arial"/>
          <w:color w:val="000000"/>
          <w:sz w:val="22"/>
          <w:szCs w:val="22"/>
        </w:rPr>
        <w:t>). Emphasise</w:t>
      </w:r>
      <w:r w:rsidRPr="008F6DB1">
        <w:rPr>
          <w:rFonts w:ascii="Arial" w:hAnsi="Arial" w:cs="Arial"/>
          <w:color w:val="000000"/>
          <w:sz w:val="22"/>
          <w:szCs w:val="22"/>
        </w:rPr>
        <w:t xml:space="preserve"> that trust is a key determinant of service uptake, and negative encounters can have lasting effects on willingness to seek help.</w:t>
      </w:r>
    </w:p>
    <w:p w14:paraId="2D3C6A3F" w14:textId="77777777" w:rsidR="00836C90" w:rsidRPr="008F6DB1" w:rsidRDefault="00836C90"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lastRenderedPageBreak/>
        <w:t>Community-Based Interventions</w:t>
      </w:r>
    </w:p>
    <w:p w14:paraId="01C4C4A3" w14:textId="1D5FCE1A" w:rsidR="00836C90" w:rsidRPr="008F6DB1" w:rsidRDefault="00836C90"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Community-based approaches, such as the use of health champions, have emerged as effective strategies to bridge gaps between services and migrant communities (Oliver et al., 2022). Health champions act as cultural mediators, providing information, guidance, and support, which improves both trust and access. Other initiatives include community hubs, peer support groups, and targeted outreach programs that are sensitive to cultural, linguistic, and social needs (Refugee Council, 2022; British Red Cross, 202</w:t>
      </w:r>
      <w:r w:rsidR="00292948" w:rsidRPr="008F6DB1">
        <w:rPr>
          <w:rFonts w:ascii="Arial" w:hAnsi="Arial" w:cs="Arial"/>
          <w:color w:val="000000"/>
          <w:sz w:val="22"/>
          <w:szCs w:val="22"/>
        </w:rPr>
        <w:t>6</w:t>
      </w:r>
      <w:r w:rsidRPr="008F6DB1">
        <w:rPr>
          <w:rFonts w:ascii="Arial" w:hAnsi="Arial" w:cs="Arial"/>
          <w:color w:val="000000"/>
          <w:sz w:val="22"/>
          <w:szCs w:val="22"/>
        </w:rPr>
        <w:t>). These interventions demonstrate that while systemic barriers persist, localized and culturally informed strategies can mitigate inequalities.</w:t>
      </w:r>
    </w:p>
    <w:p w14:paraId="74B85B35" w14:textId="77777777" w:rsidR="00836C90" w:rsidRPr="008F6DB1" w:rsidRDefault="00836C90"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t>Socio-Economic Context</w:t>
      </w:r>
    </w:p>
    <w:p w14:paraId="5F8FF0B9" w14:textId="77777777" w:rsidR="00836C90" w:rsidRPr="008F6DB1" w:rsidRDefault="00836C90"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Socio-economic disadvantage compounds the challenges faced by immigrants and refugees. Many migrants experience poverty, unstable housing, limited employment opportunities, and social isolation (Marmot et al., 2020; Spencer and Charsley, 2021). Refugees may also face additional challenges related to trauma, mental health, and disrupted social networks (Phillimore, 2015). These factors increase reliance on social care services while simultaneously creating barriers to access, illustrating the interconnectedness of structural, social, and individual determinants of care.</w:t>
      </w:r>
    </w:p>
    <w:p w14:paraId="3012CC57" w14:textId="77777777" w:rsidR="00836C90" w:rsidRPr="008F6DB1" w:rsidRDefault="00836C90"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In summary, the background literature demonstrates that immigrants and refugees in the UK face persistent structural, cultural, and socio-economic barriers when accessing social care. Despite national legislation promoting equality, systemic inequalities, communication challenges, and limited trust in services contribute to ongoing disparities. Community-based initiatives and culturally competent approaches have shown promise in improving access and engagement, highlighting the importance of inclusive and person-centred strategies within UK social care. Understanding these factors is critical for designing effective interventions, informing policy, and supporting equitable care for migrant populations.</w:t>
      </w:r>
    </w:p>
    <w:p w14:paraId="0537CEF5" w14:textId="77777777" w:rsidR="003E4ECF" w:rsidRPr="008F6DB1" w:rsidRDefault="003E4ECF" w:rsidP="001D2416">
      <w:pPr>
        <w:tabs>
          <w:tab w:val="left" w:pos="6540"/>
        </w:tabs>
        <w:spacing w:line="360" w:lineRule="auto"/>
        <w:jc w:val="both"/>
        <w:rPr>
          <w:rFonts w:ascii="Arial" w:hAnsi="Arial" w:cs="Arial"/>
          <w:sz w:val="22"/>
          <w:szCs w:val="22"/>
        </w:rPr>
      </w:pPr>
    </w:p>
    <w:p w14:paraId="60B2CDC3" w14:textId="16F964EF" w:rsidR="00B87E75" w:rsidRPr="008F6DB1" w:rsidRDefault="0026393A" w:rsidP="001D2416">
      <w:pPr>
        <w:pStyle w:val="Heading1"/>
        <w:jc w:val="both"/>
        <w:rPr>
          <w:rFonts w:cs="Arial"/>
          <w:sz w:val="22"/>
          <w:szCs w:val="22"/>
        </w:rPr>
      </w:pPr>
      <w:r w:rsidRPr="008F6DB1">
        <w:rPr>
          <w:rFonts w:cs="Arial"/>
          <w:sz w:val="22"/>
          <w:szCs w:val="22"/>
        </w:rPr>
        <w:t>3</w:t>
      </w:r>
      <w:r w:rsidR="00B87E75" w:rsidRPr="008F6DB1">
        <w:rPr>
          <w:rFonts w:cs="Arial"/>
          <w:sz w:val="22"/>
          <w:szCs w:val="22"/>
        </w:rPr>
        <w:t>. Method</w:t>
      </w:r>
      <w:r w:rsidR="003E4ECF" w:rsidRPr="008F6DB1">
        <w:rPr>
          <w:rFonts w:cs="Arial"/>
          <w:sz w:val="22"/>
          <w:szCs w:val="22"/>
        </w:rPr>
        <w:t>s</w:t>
      </w:r>
    </w:p>
    <w:p w14:paraId="71D0F8EC" w14:textId="183381A7" w:rsidR="009F707A" w:rsidRPr="008F6DB1" w:rsidRDefault="008F1249" w:rsidP="001D2416">
      <w:pPr>
        <w:pStyle w:val="Heading2"/>
        <w:spacing w:line="360" w:lineRule="auto"/>
        <w:jc w:val="both"/>
        <w:rPr>
          <w:rFonts w:cs="Arial"/>
          <w:color w:val="000000"/>
          <w:sz w:val="22"/>
          <w:szCs w:val="22"/>
        </w:rPr>
      </w:pPr>
      <w:r w:rsidRPr="008F6DB1">
        <w:rPr>
          <w:rFonts w:cs="Arial"/>
          <w:color w:val="000000"/>
          <w:sz w:val="22"/>
          <w:szCs w:val="22"/>
        </w:rPr>
        <w:t>.</w:t>
      </w:r>
      <w:r w:rsidR="009F707A" w:rsidRPr="008F6DB1">
        <w:rPr>
          <w:rStyle w:val="Strong"/>
          <w:rFonts w:cs="Arial"/>
          <w:b/>
          <w:bCs w:val="0"/>
          <w:color w:val="000000"/>
          <w:sz w:val="22"/>
          <w:szCs w:val="22"/>
        </w:rPr>
        <w:t xml:space="preserve"> Search Strategy</w:t>
      </w:r>
    </w:p>
    <w:p w14:paraId="4840CA17" w14:textId="77777777" w:rsidR="004909AC" w:rsidRPr="00307A34" w:rsidRDefault="004909AC" w:rsidP="00944BAB">
      <w:pPr>
        <w:pStyle w:val="NormalWeb"/>
        <w:spacing w:line="360" w:lineRule="auto"/>
        <w:ind w:firstLine="720"/>
        <w:jc w:val="both"/>
        <w:rPr>
          <w:rFonts w:ascii="Arial" w:hAnsi="Arial" w:cs="Arial"/>
          <w:color w:val="000000"/>
          <w:sz w:val="22"/>
          <w:szCs w:val="22"/>
        </w:rPr>
      </w:pPr>
      <w:r w:rsidRPr="00307A34">
        <w:rPr>
          <w:rFonts w:ascii="Arial" w:hAnsi="Arial" w:cs="Arial"/>
          <w:color w:val="000000"/>
          <w:sz w:val="22"/>
          <w:szCs w:val="22"/>
        </w:rPr>
        <w:t xml:space="preserve">For this study, a scoping review design was adopted. Scoping reviews are a form of evidence synthesis used to map existing literature, identify key concepts, and highlight gaps in the evidence base (Arksey and O’Malley, 2005; Levac, Colquhoun and O’Brien, 2010). This </w:t>
      </w:r>
      <w:r w:rsidRPr="00307A34">
        <w:rPr>
          <w:rFonts w:ascii="Arial" w:hAnsi="Arial" w:cs="Arial"/>
          <w:color w:val="000000"/>
          <w:sz w:val="22"/>
          <w:szCs w:val="22"/>
        </w:rPr>
        <w:lastRenderedPageBreak/>
        <w:t>approach is particularly appropriate for complex and emerging areas such as immigrants’ and refugees’ access to social care services, where the evidence base is diverse and not yet comprehensively synthesised.</w:t>
      </w:r>
    </w:p>
    <w:p w14:paraId="7895AF51" w14:textId="77777777" w:rsidR="004909AC" w:rsidRPr="00307A34" w:rsidRDefault="004909AC" w:rsidP="00944BAB">
      <w:pPr>
        <w:pStyle w:val="NormalWeb"/>
        <w:spacing w:line="360" w:lineRule="auto"/>
        <w:ind w:firstLine="720"/>
        <w:jc w:val="both"/>
        <w:rPr>
          <w:rFonts w:ascii="Arial" w:hAnsi="Arial" w:cs="Arial"/>
          <w:color w:val="000000"/>
          <w:sz w:val="22"/>
          <w:szCs w:val="22"/>
        </w:rPr>
      </w:pPr>
      <w:r w:rsidRPr="00307A34">
        <w:rPr>
          <w:rFonts w:ascii="Arial" w:hAnsi="Arial" w:cs="Arial"/>
          <w:color w:val="000000"/>
          <w:sz w:val="22"/>
          <w:szCs w:val="22"/>
        </w:rPr>
        <w:t>A structured and systematic search of academic databases was conducted to identify peer-reviewed studies on immigrants and refugees accessing social care services in the United Kingdom. The databases used included PubMed, ScienceDirect, SpringerLink, and Oxford Academic, which provide extensive coverage of health and social care research.</w:t>
      </w:r>
    </w:p>
    <w:p w14:paraId="2173A3E6" w14:textId="77777777" w:rsidR="004909AC" w:rsidRPr="00307A34" w:rsidRDefault="004909AC" w:rsidP="00944BAB">
      <w:pPr>
        <w:pStyle w:val="NormalWeb"/>
        <w:spacing w:line="360" w:lineRule="auto"/>
        <w:ind w:firstLine="720"/>
        <w:jc w:val="both"/>
        <w:rPr>
          <w:rFonts w:ascii="Arial" w:hAnsi="Arial" w:cs="Arial"/>
          <w:color w:val="000000"/>
          <w:sz w:val="22"/>
          <w:szCs w:val="22"/>
        </w:rPr>
      </w:pPr>
      <w:r w:rsidRPr="00307A34">
        <w:rPr>
          <w:rFonts w:ascii="Arial" w:hAnsi="Arial" w:cs="Arial"/>
          <w:color w:val="000000"/>
          <w:sz w:val="22"/>
          <w:szCs w:val="22"/>
        </w:rPr>
        <w:t>A combination of keywords and Boolean operators was used to ensure a comprehensive and focused search strategy. Keywords included: “migrants social care UK”, “refugees access services UK”, “health inequalities migrants UK”, “barriers to social care UK”, and “community interventions migrant refugees UK”. The search was limited to studies published between 2015 and 2025 to capture the most recent evidence relating to social care policy and practice in the UK (Priebe et al., 2016; Oliver et al., 2022).</w:t>
      </w:r>
    </w:p>
    <w:p w14:paraId="6C637090" w14:textId="77777777" w:rsidR="004909AC" w:rsidRPr="00307A34" w:rsidRDefault="004909AC" w:rsidP="00944BAB">
      <w:pPr>
        <w:pStyle w:val="NormalWeb"/>
        <w:spacing w:line="360" w:lineRule="auto"/>
        <w:ind w:firstLine="720"/>
        <w:jc w:val="both"/>
        <w:rPr>
          <w:rFonts w:ascii="Arial" w:hAnsi="Arial" w:cs="Arial"/>
          <w:color w:val="000000"/>
          <w:sz w:val="22"/>
          <w:szCs w:val="22"/>
        </w:rPr>
      </w:pPr>
      <w:r w:rsidRPr="00307A34">
        <w:rPr>
          <w:rFonts w:ascii="Arial" w:hAnsi="Arial" w:cs="Arial"/>
          <w:color w:val="000000"/>
          <w:sz w:val="22"/>
          <w:szCs w:val="22"/>
        </w:rPr>
        <w:t>Inclusion criteria were applied to ensure relevance and quality. Eligible studies included peer-reviewed research articles involving migrant or refugee populations in the United Kingdom, focusing on access to social care, healthcare experiences, or community-based interventions, and published in English. Studies were excluded if they did not meet the aims of the review, including policy documents, editorials, commentaries, conference proceedings, or studies conducted outside the United Kingdom (Phillimore, 2015).</w:t>
      </w:r>
    </w:p>
    <w:p w14:paraId="3DE2457D" w14:textId="77777777" w:rsidR="004909AC" w:rsidRPr="00307A34" w:rsidRDefault="004909AC" w:rsidP="00944BAB">
      <w:pPr>
        <w:pStyle w:val="NormalWeb"/>
        <w:spacing w:line="360" w:lineRule="auto"/>
        <w:ind w:firstLine="720"/>
        <w:jc w:val="both"/>
        <w:rPr>
          <w:rFonts w:ascii="Arial" w:hAnsi="Arial" w:cs="Arial"/>
          <w:color w:val="000000"/>
          <w:sz w:val="22"/>
          <w:szCs w:val="22"/>
        </w:rPr>
      </w:pPr>
      <w:r w:rsidRPr="00307A34">
        <w:rPr>
          <w:rFonts w:ascii="Arial" w:hAnsi="Arial" w:cs="Arial"/>
          <w:color w:val="000000"/>
          <w:sz w:val="22"/>
          <w:szCs w:val="22"/>
        </w:rPr>
        <w:t>Following the screening process, a total of five studies were included in the final review. These studies provided evidence on barriers and experiences of migrants and refugees in accessing social care services, allowing for the identification of key patterns and themes (Hanley et al., 2019; Hanwell, Finnerty and Richardson, 2025).</w:t>
      </w:r>
    </w:p>
    <w:p w14:paraId="4696AEB6" w14:textId="27B8EDFF" w:rsidR="009F707A" w:rsidRPr="008F6DB1" w:rsidRDefault="003D7C55" w:rsidP="001D2416">
      <w:pPr>
        <w:spacing w:line="360" w:lineRule="auto"/>
        <w:jc w:val="both"/>
        <w:rPr>
          <w:rFonts w:ascii="Arial" w:hAnsi="Arial" w:cs="Arial"/>
          <w:sz w:val="22"/>
          <w:szCs w:val="22"/>
        </w:rPr>
      </w:pPr>
      <w:r>
        <w:rPr>
          <w:rFonts w:ascii="Arial" w:hAnsi="Arial" w:cs="Arial"/>
          <w:sz w:val="22"/>
          <w:szCs w:val="22"/>
        </w:rPr>
        <w:tab/>
      </w:r>
    </w:p>
    <w:p w14:paraId="1DB94B65" w14:textId="77777777" w:rsidR="009F707A" w:rsidRPr="008F6DB1" w:rsidRDefault="009F707A" w:rsidP="001D2416">
      <w:pPr>
        <w:pStyle w:val="Heading2"/>
        <w:spacing w:line="360" w:lineRule="auto"/>
        <w:jc w:val="both"/>
        <w:rPr>
          <w:rFonts w:cs="Arial"/>
          <w:color w:val="000000"/>
          <w:sz w:val="22"/>
          <w:szCs w:val="22"/>
        </w:rPr>
      </w:pPr>
      <w:r w:rsidRPr="008F6DB1">
        <w:rPr>
          <w:rStyle w:val="Strong"/>
          <w:rFonts w:cs="Arial"/>
          <w:b/>
          <w:bCs w:val="0"/>
          <w:color w:val="000000"/>
          <w:sz w:val="22"/>
          <w:szCs w:val="22"/>
        </w:rPr>
        <w:t>Data Analysis</w:t>
      </w:r>
    </w:p>
    <w:p w14:paraId="688E1BE9" w14:textId="31224864" w:rsidR="009F707A" w:rsidRPr="008F6DB1" w:rsidRDefault="009F707A"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After selecting the studies, carefully read each article and extracted relevant information, including the study’s aim, methodology, sample population, location, and main findings. </w:t>
      </w:r>
      <w:r w:rsidR="00F94F0A">
        <w:rPr>
          <w:rFonts w:ascii="Arial" w:hAnsi="Arial" w:cs="Arial"/>
          <w:color w:val="000000"/>
          <w:sz w:val="22"/>
          <w:szCs w:val="22"/>
        </w:rPr>
        <w:t xml:space="preserve">The </w:t>
      </w:r>
      <w:r w:rsidR="00F94F0A" w:rsidRPr="008F6DB1">
        <w:rPr>
          <w:rFonts w:ascii="Arial" w:hAnsi="Arial" w:cs="Arial"/>
          <w:color w:val="000000"/>
          <w:sz w:val="22"/>
          <w:szCs w:val="22"/>
        </w:rPr>
        <w:t>data</w:t>
      </w:r>
      <w:r w:rsidR="00F94F0A">
        <w:rPr>
          <w:rFonts w:ascii="Arial" w:hAnsi="Arial" w:cs="Arial"/>
          <w:color w:val="000000"/>
          <w:sz w:val="22"/>
          <w:szCs w:val="22"/>
        </w:rPr>
        <w:t xml:space="preserve"> were then </w:t>
      </w:r>
      <w:r w:rsidR="00AB1319">
        <w:rPr>
          <w:rFonts w:ascii="Arial" w:hAnsi="Arial" w:cs="Arial"/>
          <w:color w:val="000000"/>
          <w:sz w:val="22"/>
          <w:szCs w:val="22"/>
        </w:rPr>
        <w:t xml:space="preserve">analysed </w:t>
      </w:r>
      <w:r w:rsidR="00AB1319" w:rsidRPr="008F6DB1">
        <w:rPr>
          <w:rFonts w:ascii="Arial" w:hAnsi="Arial" w:cs="Arial"/>
          <w:color w:val="000000"/>
          <w:sz w:val="22"/>
          <w:szCs w:val="22"/>
        </w:rPr>
        <w:t>using</w:t>
      </w:r>
      <w:r w:rsidRPr="008F6DB1">
        <w:rPr>
          <w:rStyle w:val="apple-converted-space"/>
          <w:rFonts w:ascii="Arial" w:hAnsi="Arial" w:cs="Arial"/>
          <w:color w:val="000000"/>
          <w:sz w:val="22"/>
          <w:szCs w:val="22"/>
        </w:rPr>
        <w:t> </w:t>
      </w:r>
      <w:r w:rsidRPr="00944BAB">
        <w:rPr>
          <w:rStyle w:val="Strong"/>
          <w:rFonts w:ascii="Arial" w:hAnsi="Arial" w:cs="Arial"/>
          <w:b w:val="0"/>
          <w:bCs w:val="0"/>
          <w:color w:val="000000"/>
          <w:sz w:val="22"/>
          <w:szCs w:val="22"/>
        </w:rPr>
        <w:t>thematic analysis</w:t>
      </w:r>
      <w:r w:rsidRPr="008F6DB1">
        <w:rPr>
          <w:rFonts w:ascii="Arial" w:hAnsi="Arial" w:cs="Arial"/>
          <w:color w:val="000000"/>
          <w:sz w:val="22"/>
          <w:szCs w:val="22"/>
        </w:rPr>
        <w:t>, which allowed me to identify recurring patterns and themes across the studies (Braun and Clarke, 2006).</w:t>
      </w:r>
    </w:p>
    <w:p w14:paraId="2ED198A8" w14:textId="690C3B77" w:rsidR="009F707A" w:rsidRPr="008F6DB1" w:rsidRDefault="009F707A"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During the analysis,</w:t>
      </w:r>
      <w:r w:rsidR="005557D5">
        <w:rPr>
          <w:rFonts w:ascii="Arial" w:hAnsi="Arial" w:cs="Arial"/>
          <w:color w:val="000000"/>
          <w:sz w:val="22"/>
          <w:szCs w:val="22"/>
        </w:rPr>
        <w:t xml:space="preserve"> </w:t>
      </w:r>
      <w:r w:rsidRPr="008F6DB1">
        <w:rPr>
          <w:rFonts w:ascii="Arial" w:hAnsi="Arial" w:cs="Arial"/>
          <w:color w:val="000000"/>
          <w:sz w:val="22"/>
          <w:szCs w:val="22"/>
        </w:rPr>
        <w:t>recurring</w:t>
      </w:r>
      <w:r w:rsidR="00924D7E">
        <w:rPr>
          <w:rFonts w:ascii="Arial" w:hAnsi="Arial" w:cs="Arial"/>
          <w:color w:val="000000"/>
          <w:sz w:val="22"/>
          <w:szCs w:val="22"/>
        </w:rPr>
        <w:t xml:space="preserve"> themes were </w:t>
      </w:r>
      <w:r w:rsidR="005557D5">
        <w:rPr>
          <w:rFonts w:ascii="Arial" w:hAnsi="Arial" w:cs="Arial"/>
          <w:color w:val="000000"/>
          <w:sz w:val="22"/>
          <w:szCs w:val="22"/>
        </w:rPr>
        <w:t xml:space="preserve">highlighted </w:t>
      </w:r>
      <w:r w:rsidR="005557D5" w:rsidRPr="008F6DB1">
        <w:rPr>
          <w:rFonts w:ascii="Arial" w:hAnsi="Arial" w:cs="Arial"/>
          <w:color w:val="000000"/>
          <w:sz w:val="22"/>
          <w:szCs w:val="22"/>
        </w:rPr>
        <w:t>topics</w:t>
      </w:r>
      <w:r w:rsidRPr="008F6DB1">
        <w:rPr>
          <w:rFonts w:ascii="Arial" w:hAnsi="Arial" w:cs="Arial"/>
          <w:color w:val="000000"/>
          <w:sz w:val="22"/>
          <w:szCs w:val="22"/>
        </w:rPr>
        <w:t xml:space="preserve"> such as</w:t>
      </w:r>
      <w:r w:rsidRPr="008F6DB1">
        <w:rPr>
          <w:rStyle w:val="apple-converted-space"/>
          <w:rFonts w:ascii="Arial" w:hAnsi="Arial" w:cs="Arial"/>
          <w:color w:val="000000"/>
          <w:sz w:val="22"/>
          <w:szCs w:val="22"/>
        </w:rPr>
        <w:t> </w:t>
      </w:r>
      <w:r w:rsidRPr="005C5B16">
        <w:rPr>
          <w:rStyle w:val="Strong"/>
          <w:rFonts w:ascii="Arial" w:hAnsi="Arial" w:cs="Arial"/>
          <w:b w:val="0"/>
          <w:bCs w:val="0"/>
          <w:color w:val="000000"/>
          <w:sz w:val="22"/>
          <w:szCs w:val="22"/>
        </w:rPr>
        <w:t>structural barriers, communication difficulties, discrimination, cultural challenges</w:t>
      </w:r>
      <w:r w:rsidRPr="008F6DB1">
        <w:rPr>
          <w:rStyle w:val="Strong"/>
          <w:rFonts w:ascii="Arial" w:hAnsi="Arial" w:cs="Arial"/>
          <w:color w:val="000000"/>
          <w:sz w:val="22"/>
          <w:szCs w:val="22"/>
        </w:rPr>
        <w:t xml:space="preserve">, </w:t>
      </w:r>
      <w:r w:rsidRPr="005C5B16">
        <w:rPr>
          <w:rStyle w:val="Strong"/>
          <w:rFonts w:ascii="Arial" w:hAnsi="Arial" w:cs="Arial"/>
          <w:b w:val="0"/>
          <w:bCs w:val="0"/>
          <w:color w:val="000000"/>
          <w:sz w:val="22"/>
          <w:szCs w:val="22"/>
        </w:rPr>
        <w:t>and</w:t>
      </w:r>
      <w:r w:rsidRPr="008F6DB1">
        <w:rPr>
          <w:rStyle w:val="Strong"/>
          <w:rFonts w:ascii="Arial" w:hAnsi="Arial" w:cs="Arial"/>
          <w:color w:val="000000"/>
          <w:sz w:val="22"/>
          <w:szCs w:val="22"/>
        </w:rPr>
        <w:t xml:space="preserve"> community </w:t>
      </w:r>
      <w:r w:rsidRPr="005C5B16">
        <w:rPr>
          <w:rStyle w:val="Strong"/>
          <w:rFonts w:ascii="Arial" w:hAnsi="Arial" w:cs="Arial"/>
          <w:b w:val="0"/>
          <w:bCs w:val="0"/>
          <w:color w:val="000000"/>
          <w:sz w:val="22"/>
          <w:szCs w:val="22"/>
        </w:rPr>
        <w:lastRenderedPageBreak/>
        <w:t>support initiatives</w:t>
      </w:r>
      <w:r w:rsidRPr="005C5B16">
        <w:rPr>
          <w:rFonts w:ascii="Arial" w:hAnsi="Arial" w:cs="Arial"/>
          <w:b/>
          <w:bCs/>
          <w:color w:val="000000"/>
          <w:sz w:val="22"/>
          <w:szCs w:val="22"/>
        </w:rPr>
        <w:t>.</w:t>
      </w:r>
      <w:r w:rsidRPr="008F6DB1">
        <w:rPr>
          <w:rFonts w:ascii="Arial" w:hAnsi="Arial" w:cs="Arial"/>
          <w:color w:val="000000"/>
          <w:sz w:val="22"/>
          <w:szCs w:val="22"/>
        </w:rPr>
        <w:t xml:space="preserve"> </w:t>
      </w:r>
      <w:r w:rsidR="00601319">
        <w:rPr>
          <w:rFonts w:ascii="Arial" w:hAnsi="Arial" w:cs="Arial"/>
          <w:color w:val="000000"/>
          <w:sz w:val="22"/>
          <w:szCs w:val="22"/>
        </w:rPr>
        <w:t xml:space="preserve">Was </w:t>
      </w:r>
      <w:r w:rsidRPr="008F6DB1">
        <w:rPr>
          <w:rFonts w:ascii="Arial" w:hAnsi="Arial" w:cs="Arial"/>
          <w:color w:val="000000"/>
          <w:sz w:val="22"/>
          <w:szCs w:val="22"/>
        </w:rPr>
        <w:t>then grouped these codes into broader themes to synthesise the findings and understand shared experiences among immigrants and refugees accessing social care in the UK.</w:t>
      </w:r>
    </w:p>
    <w:p w14:paraId="39DA24CC" w14:textId="77777777" w:rsidR="009F707A" w:rsidRPr="008F6DB1" w:rsidRDefault="009F707A"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This approach helped me create a</w:t>
      </w:r>
      <w:r w:rsidRPr="008F6DB1">
        <w:rPr>
          <w:rStyle w:val="apple-converted-space"/>
          <w:rFonts w:ascii="Arial" w:hAnsi="Arial" w:cs="Arial"/>
          <w:color w:val="000000"/>
          <w:sz w:val="22"/>
          <w:szCs w:val="22"/>
        </w:rPr>
        <w:t> </w:t>
      </w:r>
      <w:r w:rsidRPr="005C5B16">
        <w:rPr>
          <w:rStyle w:val="Strong"/>
          <w:rFonts w:ascii="Arial" w:hAnsi="Arial" w:cs="Arial"/>
          <w:b w:val="0"/>
          <w:bCs w:val="0"/>
          <w:color w:val="000000"/>
          <w:sz w:val="22"/>
          <w:szCs w:val="22"/>
        </w:rPr>
        <w:t>cohesive overview</w:t>
      </w:r>
      <w:r w:rsidRPr="008F6DB1">
        <w:rPr>
          <w:rFonts w:ascii="Arial" w:hAnsi="Arial" w:cs="Arial"/>
          <w:color w:val="000000"/>
          <w:sz w:val="22"/>
          <w:szCs w:val="22"/>
        </w:rPr>
        <w:t>, moving beyond simply summarising each study. It allowed me to identify both factors that hinder access and practical approaches that facilitate engagement, offering a clearer and more actionable understanding of the challenges and solutions in UK social care.</w:t>
      </w:r>
    </w:p>
    <w:p w14:paraId="00C26FB1" w14:textId="39D1CA73" w:rsidR="009F707A" w:rsidRPr="008F6DB1" w:rsidRDefault="009F707A" w:rsidP="00F04B86">
      <w:pPr>
        <w:spacing w:line="360" w:lineRule="auto"/>
        <w:jc w:val="both"/>
        <w:rPr>
          <w:rFonts w:ascii="Arial" w:hAnsi="Arial" w:cs="Arial"/>
          <w:sz w:val="22"/>
          <w:szCs w:val="22"/>
        </w:rPr>
      </w:pPr>
    </w:p>
    <w:p w14:paraId="3E439B03" w14:textId="77777777" w:rsidR="009F707A" w:rsidRPr="008F6DB1" w:rsidRDefault="009F707A" w:rsidP="00F04B86">
      <w:pPr>
        <w:pStyle w:val="Heading2"/>
        <w:spacing w:line="360" w:lineRule="auto"/>
        <w:jc w:val="both"/>
        <w:rPr>
          <w:rFonts w:cs="Arial"/>
          <w:color w:val="000000"/>
          <w:sz w:val="22"/>
          <w:szCs w:val="22"/>
        </w:rPr>
      </w:pPr>
      <w:r w:rsidRPr="008F6DB1">
        <w:rPr>
          <w:rStyle w:val="Strong"/>
          <w:rFonts w:cs="Arial"/>
          <w:b/>
          <w:bCs w:val="0"/>
          <w:color w:val="000000"/>
          <w:sz w:val="22"/>
          <w:szCs w:val="22"/>
        </w:rPr>
        <w:t>Ethical Considerations</w:t>
      </w:r>
    </w:p>
    <w:p w14:paraId="429EA765" w14:textId="7E5FE8F2" w:rsidR="009F707A" w:rsidRPr="008F6DB1" w:rsidRDefault="009F707A" w:rsidP="00F04B86">
      <w:pPr>
        <w:pStyle w:val="NormalWeb"/>
        <w:spacing w:line="360" w:lineRule="auto"/>
        <w:ind w:firstLine="360"/>
        <w:jc w:val="both"/>
        <w:rPr>
          <w:rFonts w:ascii="Arial" w:hAnsi="Arial" w:cs="Arial"/>
          <w:color w:val="000000"/>
          <w:sz w:val="22"/>
          <w:szCs w:val="22"/>
        </w:rPr>
      </w:pPr>
      <w:r w:rsidRPr="008F6DB1">
        <w:rPr>
          <w:rFonts w:ascii="Arial" w:hAnsi="Arial" w:cs="Arial"/>
          <w:color w:val="000000"/>
          <w:sz w:val="22"/>
          <w:szCs w:val="22"/>
        </w:rPr>
        <w:t>As this study is based on</w:t>
      </w:r>
      <w:r w:rsidRPr="008F6DB1">
        <w:rPr>
          <w:rStyle w:val="apple-converted-space"/>
          <w:rFonts w:ascii="Arial" w:hAnsi="Arial" w:cs="Arial"/>
          <w:color w:val="000000"/>
          <w:sz w:val="22"/>
          <w:szCs w:val="22"/>
        </w:rPr>
        <w:t> </w:t>
      </w:r>
      <w:r w:rsidRPr="005C5B16">
        <w:rPr>
          <w:rStyle w:val="Strong"/>
          <w:rFonts w:ascii="Arial" w:hAnsi="Arial" w:cs="Arial"/>
          <w:b w:val="0"/>
          <w:bCs w:val="0"/>
          <w:color w:val="000000"/>
          <w:sz w:val="22"/>
          <w:szCs w:val="22"/>
        </w:rPr>
        <w:t>secondary data</w:t>
      </w:r>
      <w:r w:rsidRPr="008F6DB1">
        <w:rPr>
          <w:rFonts w:ascii="Arial" w:hAnsi="Arial" w:cs="Arial"/>
          <w:color w:val="000000"/>
          <w:sz w:val="22"/>
          <w:szCs w:val="22"/>
        </w:rPr>
        <w:t xml:space="preserve">, </w:t>
      </w:r>
      <w:r w:rsidR="00605E65">
        <w:rPr>
          <w:rFonts w:ascii="Arial" w:hAnsi="Arial" w:cs="Arial"/>
          <w:color w:val="000000"/>
          <w:sz w:val="22"/>
          <w:szCs w:val="22"/>
        </w:rPr>
        <w:t xml:space="preserve">no </w:t>
      </w:r>
      <w:r w:rsidRPr="008F6DB1">
        <w:rPr>
          <w:rFonts w:ascii="Arial" w:hAnsi="Arial" w:cs="Arial"/>
          <w:color w:val="000000"/>
          <w:sz w:val="22"/>
          <w:szCs w:val="22"/>
        </w:rPr>
        <w:t>information</w:t>
      </w:r>
      <w:r w:rsidR="00A40CF6">
        <w:rPr>
          <w:rFonts w:ascii="Arial" w:hAnsi="Arial" w:cs="Arial"/>
          <w:color w:val="000000"/>
          <w:sz w:val="22"/>
          <w:szCs w:val="22"/>
        </w:rPr>
        <w:t xml:space="preserve"> was </w:t>
      </w:r>
      <w:r w:rsidR="006E7031">
        <w:rPr>
          <w:rFonts w:ascii="Arial" w:hAnsi="Arial" w:cs="Arial"/>
          <w:color w:val="000000"/>
          <w:sz w:val="22"/>
          <w:szCs w:val="22"/>
        </w:rPr>
        <w:t xml:space="preserve">collected </w:t>
      </w:r>
      <w:r w:rsidR="006E7031" w:rsidRPr="008F6DB1">
        <w:rPr>
          <w:rFonts w:ascii="Arial" w:hAnsi="Arial" w:cs="Arial"/>
          <w:color w:val="000000"/>
          <w:sz w:val="22"/>
          <w:szCs w:val="22"/>
        </w:rPr>
        <w:t>directly</w:t>
      </w:r>
      <w:r w:rsidRPr="008F6DB1">
        <w:rPr>
          <w:rFonts w:ascii="Arial" w:hAnsi="Arial" w:cs="Arial"/>
          <w:color w:val="000000"/>
          <w:sz w:val="22"/>
          <w:szCs w:val="22"/>
        </w:rPr>
        <w:t xml:space="preserve"> from participants. However, I applied ethical principles throughout the research process.</w:t>
      </w:r>
    </w:p>
    <w:p w14:paraId="5B88A2CF" w14:textId="26DB6CBE" w:rsidR="009F707A" w:rsidRPr="008F6DB1" w:rsidRDefault="00BB64A9" w:rsidP="00F04B86">
      <w:pPr>
        <w:numPr>
          <w:ilvl w:val="0"/>
          <w:numId w:val="11"/>
        </w:num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A</w:t>
      </w:r>
      <w:r w:rsidR="009F707A" w:rsidRPr="008F6DB1">
        <w:rPr>
          <w:rFonts w:ascii="Arial" w:hAnsi="Arial" w:cs="Arial"/>
          <w:color w:val="000000"/>
          <w:sz w:val="22"/>
          <w:szCs w:val="22"/>
        </w:rPr>
        <w:t>ll results were reported accurately, without misinterpreting or oversimplifying the original findings.</w:t>
      </w:r>
    </w:p>
    <w:p w14:paraId="23DAC63A" w14:textId="30DBF963" w:rsidR="009F707A" w:rsidRPr="008F6DB1" w:rsidRDefault="001C54EA" w:rsidP="00F04B86">
      <w:pPr>
        <w:numPr>
          <w:ilvl w:val="0"/>
          <w:numId w:val="11"/>
        </w:num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 xml:space="preserve">The </w:t>
      </w:r>
      <w:r w:rsidR="009F707A" w:rsidRPr="005C5B16">
        <w:rPr>
          <w:rStyle w:val="Strong"/>
          <w:rFonts w:ascii="Arial" w:hAnsi="Arial" w:cs="Arial"/>
          <w:b w:val="0"/>
          <w:bCs w:val="0"/>
          <w:color w:val="000000"/>
          <w:sz w:val="22"/>
          <w:szCs w:val="22"/>
        </w:rPr>
        <w:t>Harvard-style citations</w:t>
      </w:r>
      <w:r w:rsidR="009F707A" w:rsidRPr="008F6DB1">
        <w:rPr>
          <w:rStyle w:val="apple-converted-space"/>
          <w:rFonts w:ascii="Arial" w:hAnsi="Arial" w:cs="Arial"/>
          <w:color w:val="000000"/>
          <w:sz w:val="22"/>
          <w:szCs w:val="22"/>
        </w:rPr>
        <w:t> </w:t>
      </w:r>
      <w:r w:rsidR="009F707A" w:rsidRPr="008F6DB1">
        <w:rPr>
          <w:rFonts w:ascii="Arial" w:hAnsi="Arial" w:cs="Arial"/>
          <w:color w:val="000000"/>
          <w:sz w:val="22"/>
          <w:szCs w:val="22"/>
        </w:rPr>
        <w:t>to acknowledge the contributions of the original authors.</w:t>
      </w:r>
    </w:p>
    <w:p w14:paraId="1AF36F8C" w14:textId="4E254527" w:rsidR="009F707A" w:rsidRPr="008F6DB1" w:rsidRDefault="00085CA4" w:rsidP="00F04B86">
      <w:pPr>
        <w:numPr>
          <w:ilvl w:val="0"/>
          <w:numId w:val="11"/>
        </w:num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 xml:space="preserve">This study </w:t>
      </w:r>
      <w:r w:rsidR="009F707A" w:rsidRPr="008F6DB1">
        <w:rPr>
          <w:rFonts w:ascii="Arial" w:hAnsi="Arial" w:cs="Arial"/>
          <w:color w:val="000000"/>
          <w:sz w:val="22"/>
          <w:szCs w:val="22"/>
        </w:rPr>
        <w:t xml:space="preserve">aimed to present the findings in </w:t>
      </w:r>
      <w:r w:rsidR="009F707A" w:rsidRPr="00A76178">
        <w:rPr>
          <w:rFonts w:ascii="Arial" w:hAnsi="Arial" w:cs="Arial"/>
          <w:color w:val="000000"/>
          <w:sz w:val="22"/>
          <w:szCs w:val="22"/>
        </w:rPr>
        <w:t>a</w:t>
      </w:r>
      <w:r w:rsidR="009F707A" w:rsidRPr="005C5B16">
        <w:rPr>
          <w:rStyle w:val="apple-converted-space"/>
          <w:rFonts w:ascii="Arial" w:hAnsi="Arial" w:cs="Arial"/>
          <w:b/>
          <w:bCs/>
          <w:color w:val="000000"/>
          <w:sz w:val="22"/>
          <w:szCs w:val="22"/>
        </w:rPr>
        <w:t> </w:t>
      </w:r>
      <w:r w:rsidR="009F707A" w:rsidRPr="005C5B16">
        <w:rPr>
          <w:rStyle w:val="Strong"/>
          <w:rFonts w:ascii="Arial" w:hAnsi="Arial" w:cs="Arial"/>
          <w:b w:val="0"/>
          <w:bCs w:val="0"/>
          <w:color w:val="000000"/>
          <w:sz w:val="22"/>
          <w:szCs w:val="22"/>
        </w:rPr>
        <w:t>humanized and respectful way</w:t>
      </w:r>
      <w:r w:rsidR="009F707A" w:rsidRPr="005C5B16">
        <w:rPr>
          <w:rFonts w:ascii="Arial" w:hAnsi="Arial" w:cs="Arial"/>
          <w:b/>
          <w:bCs/>
          <w:color w:val="000000"/>
          <w:sz w:val="22"/>
          <w:szCs w:val="22"/>
        </w:rPr>
        <w:t xml:space="preserve">, </w:t>
      </w:r>
      <w:r w:rsidR="009F707A" w:rsidRPr="008F6DB1">
        <w:rPr>
          <w:rFonts w:ascii="Arial" w:hAnsi="Arial" w:cs="Arial"/>
          <w:color w:val="000000"/>
          <w:sz w:val="22"/>
          <w:szCs w:val="22"/>
        </w:rPr>
        <w:t>highlighting the real experiences of immigrants and refugees and avoiding generalisations or stigmatizing language.</w:t>
      </w:r>
    </w:p>
    <w:p w14:paraId="4FC14C6B" w14:textId="1A901EA7" w:rsidR="00B87E75" w:rsidRPr="00222FB5" w:rsidRDefault="00055A25" w:rsidP="00CD33A8">
      <w:pPr>
        <w:numPr>
          <w:ilvl w:val="0"/>
          <w:numId w:val="11"/>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 xml:space="preserve">An </w:t>
      </w:r>
      <w:r w:rsidR="006E7031">
        <w:rPr>
          <w:rFonts w:ascii="Arial" w:hAnsi="Arial" w:cs="Arial"/>
          <w:color w:val="000000"/>
          <w:sz w:val="22"/>
          <w:szCs w:val="22"/>
        </w:rPr>
        <w:t>objective approach</w:t>
      </w:r>
      <w:r w:rsidR="004F2258">
        <w:rPr>
          <w:rFonts w:ascii="Arial" w:hAnsi="Arial" w:cs="Arial"/>
          <w:color w:val="000000"/>
          <w:sz w:val="22"/>
          <w:szCs w:val="22"/>
        </w:rPr>
        <w:t xml:space="preserve"> was </w:t>
      </w:r>
      <w:r w:rsidR="009F707A" w:rsidRPr="00A76178">
        <w:rPr>
          <w:rStyle w:val="Strong"/>
          <w:rFonts w:ascii="Arial" w:hAnsi="Arial" w:cs="Arial"/>
          <w:b w:val="0"/>
          <w:bCs w:val="0"/>
          <w:color w:val="000000"/>
          <w:sz w:val="22"/>
          <w:szCs w:val="22"/>
        </w:rPr>
        <w:t>objectivity and transparency</w:t>
      </w:r>
      <w:r w:rsidR="009F707A" w:rsidRPr="008F6DB1">
        <w:rPr>
          <w:rFonts w:ascii="Arial" w:hAnsi="Arial" w:cs="Arial"/>
          <w:color w:val="000000"/>
          <w:sz w:val="22"/>
          <w:szCs w:val="22"/>
        </w:rPr>
        <w:t>, ensuring that my interpretations and recommendations were grounded in the evidence, rather than personal opinions.</w:t>
      </w:r>
    </w:p>
    <w:p w14:paraId="581C99BF" w14:textId="265982C4" w:rsidR="00B87E75" w:rsidRDefault="00B87E75" w:rsidP="002F324A">
      <w:pPr>
        <w:pStyle w:val="Heading1"/>
        <w:numPr>
          <w:ilvl w:val="0"/>
          <w:numId w:val="10"/>
        </w:numPr>
        <w:jc w:val="both"/>
        <w:rPr>
          <w:rFonts w:cs="Arial"/>
          <w:sz w:val="22"/>
          <w:szCs w:val="22"/>
        </w:rPr>
      </w:pPr>
      <w:r w:rsidRPr="008F6DB1">
        <w:rPr>
          <w:rFonts w:cs="Arial"/>
          <w:sz w:val="22"/>
          <w:szCs w:val="22"/>
        </w:rPr>
        <w:t>Results</w:t>
      </w:r>
    </w:p>
    <w:p w14:paraId="1F65FAF6" w14:textId="77777777" w:rsidR="002F324A" w:rsidRDefault="002F324A" w:rsidP="002F324A"/>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64"/>
        <w:gridCol w:w="1958"/>
        <w:gridCol w:w="1621"/>
        <w:gridCol w:w="1657"/>
        <w:gridCol w:w="2226"/>
      </w:tblGrid>
      <w:tr w:rsidR="00340219" w:rsidRPr="001C627C" w14:paraId="5B1D421D" w14:textId="77777777">
        <w:trPr>
          <w:tblHeader/>
          <w:tblCellSpacing w:w="15" w:type="dxa"/>
        </w:trPr>
        <w:tc>
          <w:tcPr>
            <w:tcW w:w="0" w:type="auto"/>
            <w:vAlign w:val="center"/>
            <w:hideMark/>
          </w:tcPr>
          <w:p w14:paraId="17BB866B" w14:textId="77777777" w:rsidR="00340219" w:rsidRPr="001C627C" w:rsidRDefault="00340219" w:rsidP="001C627C">
            <w:pPr>
              <w:spacing w:line="360" w:lineRule="auto"/>
              <w:jc w:val="center"/>
              <w:rPr>
                <w:rFonts w:ascii="Arial" w:hAnsi="Arial" w:cs="Arial"/>
                <w:b/>
                <w:bCs/>
                <w:color w:val="000000"/>
                <w:sz w:val="22"/>
                <w:szCs w:val="22"/>
              </w:rPr>
            </w:pPr>
            <w:r w:rsidRPr="001C627C">
              <w:rPr>
                <w:rFonts w:ascii="Arial" w:hAnsi="Arial" w:cs="Arial"/>
                <w:b/>
                <w:bCs/>
                <w:color w:val="000000"/>
                <w:sz w:val="22"/>
                <w:szCs w:val="22"/>
              </w:rPr>
              <w:t>Study</w:t>
            </w:r>
          </w:p>
        </w:tc>
        <w:tc>
          <w:tcPr>
            <w:tcW w:w="0" w:type="auto"/>
            <w:vAlign w:val="center"/>
            <w:hideMark/>
          </w:tcPr>
          <w:p w14:paraId="102073A4" w14:textId="77777777" w:rsidR="00340219" w:rsidRPr="001C627C" w:rsidRDefault="00340219" w:rsidP="001C627C">
            <w:pPr>
              <w:spacing w:line="360" w:lineRule="auto"/>
              <w:jc w:val="center"/>
              <w:rPr>
                <w:rFonts w:ascii="Arial" w:hAnsi="Arial" w:cs="Arial"/>
                <w:b/>
                <w:bCs/>
                <w:color w:val="000000"/>
                <w:sz w:val="22"/>
                <w:szCs w:val="22"/>
              </w:rPr>
            </w:pPr>
            <w:r w:rsidRPr="001C627C">
              <w:rPr>
                <w:rFonts w:ascii="Arial" w:hAnsi="Arial" w:cs="Arial"/>
                <w:b/>
                <w:bCs/>
                <w:color w:val="000000"/>
                <w:sz w:val="22"/>
                <w:szCs w:val="22"/>
              </w:rPr>
              <w:t>Aim</w:t>
            </w:r>
          </w:p>
        </w:tc>
        <w:tc>
          <w:tcPr>
            <w:tcW w:w="0" w:type="auto"/>
            <w:vAlign w:val="center"/>
            <w:hideMark/>
          </w:tcPr>
          <w:p w14:paraId="480119F8" w14:textId="77777777" w:rsidR="00340219" w:rsidRPr="001C627C" w:rsidRDefault="00340219" w:rsidP="001C627C">
            <w:pPr>
              <w:spacing w:line="360" w:lineRule="auto"/>
              <w:jc w:val="center"/>
              <w:rPr>
                <w:rFonts w:ascii="Arial" w:hAnsi="Arial" w:cs="Arial"/>
                <w:b/>
                <w:bCs/>
                <w:color w:val="000000"/>
                <w:sz w:val="22"/>
                <w:szCs w:val="22"/>
              </w:rPr>
            </w:pPr>
            <w:r w:rsidRPr="001C627C">
              <w:rPr>
                <w:rFonts w:ascii="Arial" w:hAnsi="Arial" w:cs="Arial"/>
                <w:b/>
                <w:bCs/>
                <w:color w:val="000000"/>
                <w:sz w:val="22"/>
                <w:szCs w:val="22"/>
              </w:rPr>
              <w:t>Method</w:t>
            </w:r>
          </w:p>
        </w:tc>
        <w:tc>
          <w:tcPr>
            <w:tcW w:w="0" w:type="auto"/>
            <w:vAlign w:val="center"/>
            <w:hideMark/>
          </w:tcPr>
          <w:p w14:paraId="6D4E0C31" w14:textId="77777777" w:rsidR="00340219" w:rsidRPr="001C627C" w:rsidRDefault="00340219" w:rsidP="001C627C">
            <w:pPr>
              <w:spacing w:line="360" w:lineRule="auto"/>
              <w:jc w:val="center"/>
              <w:rPr>
                <w:rFonts w:ascii="Arial" w:hAnsi="Arial" w:cs="Arial"/>
                <w:b/>
                <w:bCs/>
                <w:color w:val="000000"/>
                <w:sz w:val="22"/>
                <w:szCs w:val="22"/>
              </w:rPr>
            </w:pPr>
            <w:r w:rsidRPr="001C627C">
              <w:rPr>
                <w:rFonts w:ascii="Arial" w:hAnsi="Arial" w:cs="Arial"/>
                <w:b/>
                <w:bCs/>
                <w:color w:val="000000"/>
                <w:sz w:val="22"/>
                <w:szCs w:val="22"/>
              </w:rPr>
              <w:t>Sample</w:t>
            </w:r>
          </w:p>
        </w:tc>
        <w:tc>
          <w:tcPr>
            <w:tcW w:w="0" w:type="auto"/>
            <w:vAlign w:val="center"/>
            <w:hideMark/>
          </w:tcPr>
          <w:p w14:paraId="6636B07B" w14:textId="77777777" w:rsidR="00340219" w:rsidRPr="001C627C" w:rsidRDefault="00340219" w:rsidP="001C627C">
            <w:pPr>
              <w:spacing w:line="360" w:lineRule="auto"/>
              <w:jc w:val="center"/>
              <w:rPr>
                <w:rFonts w:ascii="Arial" w:hAnsi="Arial" w:cs="Arial"/>
                <w:b/>
                <w:bCs/>
                <w:color w:val="000000"/>
                <w:sz w:val="22"/>
                <w:szCs w:val="22"/>
              </w:rPr>
            </w:pPr>
            <w:r w:rsidRPr="001C627C">
              <w:rPr>
                <w:rFonts w:ascii="Arial" w:hAnsi="Arial" w:cs="Arial"/>
                <w:b/>
                <w:bCs/>
                <w:color w:val="000000"/>
                <w:sz w:val="22"/>
                <w:szCs w:val="22"/>
              </w:rPr>
              <w:t>Key Findings</w:t>
            </w:r>
          </w:p>
        </w:tc>
      </w:tr>
      <w:tr w:rsidR="00340219" w:rsidRPr="001C627C" w14:paraId="7F9B610B" w14:textId="77777777">
        <w:trPr>
          <w:tblCellSpacing w:w="15" w:type="dxa"/>
        </w:trPr>
        <w:tc>
          <w:tcPr>
            <w:tcW w:w="0" w:type="auto"/>
            <w:vAlign w:val="center"/>
            <w:hideMark/>
          </w:tcPr>
          <w:p w14:paraId="0C7E2DCD"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Cai Kang, Tomkow and Farrington (2019)</w:t>
            </w:r>
          </w:p>
        </w:tc>
        <w:tc>
          <w:tcPr>
            <w:tcW w:w="0" w:type="auto"/>
            <w:vAlign w:val="center"/>
            <w:hideMark/>
          </w:tcPr>
          <w:p w14:paraId="5FAFCE17"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Access barriers to primary healthcare for asylum seekers and refugees in the UK</w:t>
            </w:r>
          </w:p>
        </w:tc>
        <w:tc>
          <w:tcPr>
            <w:tcW w:w="0" w:type="auto"/>
            <w:vAlign w:val="center"/>
            <w:hideMark/>
          </w:tcPr>
          <w:p w14:paraId="7682202B"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Qualitative (interviews)</w:t>
            </w:r>
          </w:p>
        </w:tc>
        <w:tc>
          <w:tcPr>
            <w:tcW w:w="0" w:type="auto"/>
            <w:vAlign w:val="center"/>
            <w:hideMark/>
          </w:tcPr>
          <w:p w14:paraId="79190D53"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23 asylum seekers and refugees in the UK</w:t>
            </w:r>
          </w:p>
        </w:tc>
        <w:tc>
          <w:tcPr>
            <w:tcW w:w="0" w:type="auto"/>
            <w:vAlign w:val="center"/>
            <w:hideMark/>
          </w:tcPr>
          <w:p w14:paraId="51212528"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Structural barriers, communication difficulties, and limited access to GP services</w:t>
            </w:r>
          </w:p>
        </w:tc>
      </w:tr>
      <w:tr w:rsidR="00340219" w:rsidRPr="001C627C" w14:paraId="0D929356" w14:textId="77777777">
        <w:trPr>
          <w:tblCellSpacing w:w="15" w:type="dxa"/>
        </w:trPr>
        <w:tc>
          <w:tcPr>
            <w:tcW w:w="0" w:type="auto"/>
            <w:vAlign w:val="center"/>
            <w:hideMark/>
          </w:tcPr>
          <w:p w14:paraId="06E6EA52"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Priebe et al. (2016)</w:t>
            </w:r>
          </w:p>
        </w:tc>
        <w:tc>
          <w:tcPr>
            <w:tcW w:w="0" w:type="auto"/>
            <w:vAlign w:val="center"/>
            <w:hideMark/>
          </w:tcPr>
          <w:p w14:paraId="63B800E9"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Barriers to healthcare access among migrants</w:t>
            </w:r>
          </w:p>
        </w:tc>
        <w:tc>
          <w:tcPr>
            <w:tcW w:w="0" w:type="auto"/>
            <w:vAlign w:val="center"/>
            <w:hideMark/>
          </w:tcPr>
          <w:p w14:paraId="2507E288"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Systematic review (42 studies included)</w:t>
            </w:r>
          </w:p>
        </w:tc>
        <w:tc>
          <w:tcPr>
            <w:tcW w:w="0" w:type="auto"/>
            <w:vAlign w:val="center"/>
            <w:hideMark/>
          </w:tcPr>
          <w:p w14:paraId="3A8A46DC"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 xml:space="preserve">Migrant populations across Europe </w:t>
            </w:r>
            <w:r w:rsidRPr="001C627C">
              <w:rPr>
                <w:rFonts w:ascii="Arial" w:hAnsi="Arial" w:cs="Arial"/>
                <w:color w:val="000000"/>
                <w:sz w:val="22"/>
                <w:szCs w:val="22"/>
              </w:rPr>
              <w:lastRenderedPageBreak/>
              <w:t>(including UK data)</w:t>
            </w:r>
          </w:p>
        </w:tc>
        <w:tc>
          <w:tcPr>
            <w:tcW w:w="0" w:type="auto"/>
            <w:vAlign w:val="center"/>
            <w:hideMark/>
          </w:tcPr>
          <w:p w14:paraId="65CD3C63"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lastRenderedPageBreak/>
              <w:t xml:space="preserve">Administrative barriers, fear of deportation, and </w:t>
            </w:r>
            <w:r w:rsidRPr="001C627C">
              <w:rPr>
                <w:rFonts w:ascii="Arial" w:hAnsi="Arial" w:cs="Arial"/>
                <w:color w:val="000000"/>
                <w:sz w:val="22"/>
                <w:szCs w:val="22"/>
              </w:rPr>
              <w:lastRenderedPageBreak/>
              <w:t>delayed access to care</w:t>
            </w:r>
          </w:p>
        </w:tc>
      </w:tr>
      <w:tr w:rsidR="00340219" w:rsidRPr="001C627C" w14:paraId="75322FDC" w14:textId="77777777">
        <w:trPr>
          <w:tblCellSpacing w:w="15" w:type="dxa"/>
        </w:trPr>
        <w:tc>
          <w:tcPr>
            <w:tcW w:w="0" w:type="auto"/>
            <w:vAlign w:val="center"/>
            <w:hideMark/>
          </w:tcPr>
          <w:p w14:paraId="4B2AF6E6"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Hanley et al. (2019)</w:t>
            </w:r>
          </w:p>
        </w:tc>
        <w:tc>
          <w:tcPr>
            <w:tcW w:w="0" w:type="auto"/>
            <w:vAlign w:val="center"/>
            <w:hideMark/>
          </w:tcPr>
          <w:p w14:paraId="4A4EB949"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Healthcare service use among migrants</w:t>
            </w:r>
          </w:p>
        </w:tc>
        <w:tc>
          <w:tcPr>
            <w:tcW w:w="0" w:type="auto"/>
            <w:vAlign w:val="center"/>
            <w:hideMark/>
          </w:tcPr>
          <w:p w14:paraId="4926F64B"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Quantitative survey study</w:t>
            </w:r>
          </w:p>
        </w:tc>
        <w:tc>
          <w:tcPr>
            <w:tcW w:w="0" w:type="auto"/>
            <w:vAlign w:val="center"/>
            <w:hideMark/>
          </w:tcPr>
          <w:p w14:paraId="76C36DBD"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312 migrants living in the UK</w:t>
            </w:r>
          </w:p>
        </w:tc>
        <w:tc>
          <w:tcPr>
            <w:tcW w:w="0" w:type="auto"/>
            <w:vAlign w:val="center"/>
            <w:hideMark/>
          </w:tcPr>
          <w:p w14:paraId="4255EB57"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Lower healthcare utilisation compared to UK-born populations</w:t>
            </w:r>
          </w:p>
        </w:tc>
      </w:tr>
      <w:tr w:rsidR="00340219" w:rsidRPr="001C627C" w14:paraId="14D7FF13" w14:textId="77777777">
        <w:trPr>
          <w:tblCellSpacing w:w="15" w:type="dxa"/>
        </w:trPr>
        <w:tc>
          <w:tcPr>
            <w:tcW w:w="0" w:type="auto"/>
            <w:vAlign w:val="center"/>
            <w:hideMark/>
          </w:tcPr>
          <w:p w14:paraId="21630129"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Hanwell, Finnerty and Richardson (2025)</w:t>
            </w:r>
          </w:p>
        </w:tc>
        <w:tc>
          <w:tcPr>
            <w:tcW w:w="0" w:type="auto"/>
            <w:vAlign w:val="center"/>
            <w:hideMark/>
          </w:tcPr>
          <w:p w14:paraId="6E304D7F"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Experiences of refugees accessing healthcare in the UK</w:t>
            </w:r>
          </w:p>
        </w:tc>
        <w:tc>
          <w:tcPr>
            <w:tcW w:w="0" w:type="auto"/>
            <w:vAlign w:val="center"/>
            <w:hideMark/>
          </w:tcPr>
          <w:p w14:paraId="4E19E58A"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Systematic review (15 qualitative studies included)</w:t>
            </w:r>
          </w:p>
        </w:tc>
        <w:tc>
          <w:tcPr>
            <w:tcW w:w="0" w:type="auto"/>
            <w:vAlign w:val="center"/>
            <w:hideMark/>
          </w:tcPr>
          <w:p w14:paraId="5287C842"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Refugees and asylum seekers in the UK</w:t>
            </w:r>
          </w:p>
        </w:tc>
        <w:tc>
          <w:tcPr>
            <w:tcW w:w="0" w:type="auto"/>
            <w:vAlign w:val="center"/>
            <w:hideMark/>
          </w:tcPr>
          <w:p w14:paraId="3E1A5FBF"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Experiences of discrimination, trauma, and barriers to healthcare access</w:t>
            </w:r>
          </w:p>
        </w:tc>
      </w:tr>
      <w:tr w:rsidR="00340219" w:rsidRPr="001C627C" w14:paraId="39104FC8" w14:textId="77777777">
        <w:trPr>
          <w:tblCellSpacing w:w="15" w:type="dxa"/>
        </w:trPr>
        <w:tc>
          <w:tcPr>
            <w:tcW w:w="0" w:type="auto"/>
            <w:vAlign w:val="center"/>
            <w:hideMark/>
          </w:tcPr>
          <w:p w14:paraId="3D6149D4"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Oliver, Krishna, O’Donnell and Simmonds (2022)</w:t>
            </w:r>
          </w:p>
        </w:tc>
        <w:tc>
          <w:tcPr>
            <w:tcW w:w="0" w:type="auto"/>
            <w:vAlign w:val="center"/>
            <w:hideMark/>
          </w:tcPr>
          <w:p w14:paraId="585A2042"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Role of community health champions in improving access to care</w:t>
            </w:r>
          </w:p>
        </w:tc>
        <w:tc>
          <w:tcPr>
            <w:tcW w:w="0" w:type="auto"/>
            <w:vAlign w:val="center"/>
            <w:hideMark/>
          </w:tcPr>
          <w:p w14:paraId="14946071"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Qualitative study</w:t>
            </w:r>
          </w:p>
        </w:tc>
        <w:tc>
          <w:tcPr>
            <w:tcW w:w="0" w:type="auto"/>
            <w:vAlign w:val="center"/>
            <w:hideMark/>
          </w:tcPr>
          <w:p w14:paraId="1B448813"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28 community health champions in the West Midlands, UK</w:t>
            </w:r>
          </w:p>
        </w:tc>
        <w:tc>
          <w:tcPr>
            <w:tcW w:w="0" w:type="auto"/>
            <w:vAlign w:val="center"/>
            <w:hideMark/>
          </w:tcPr>
          <w:p w14:paraId="2F24FD25" w14:textId="77777777" w:rsidR="00340219" w:rsidRPr="001C627C" w:rsidRDefault="00340219" w:rsidP="001C627C">
            <w:pPr>
              <w:spacing w:line="360" w:lineRule="auto"/>
              <w:jc w:val="center"/>
              <w:rPr>
                <w:rFonts w:ascii="Arial" w:hAnsi="Arial" w:cs="Arial"/>
                <w:color w:val="000000"/>
                <w:sz w:val="22"/>
                <w:szCs w:val="22"/>
              </w:rPr>
            </w:pPr>
            <w:r w:rsidRPr="001C627C">
              <w:rPr>
                <w:rFonts w:ascii="Arial" w:hAnsi="Arial" w:cs="Arial"/>
                <w:color w:val="000000"/>
                <w:sz w:val="22"/>
                <w:szCs w:val="22"/>
              </w:rPr>
              <w:t>Improved trust, navigation of services, and increased engagement with healthcare</w:t>
            </w:r>
          </w:p>
        </w:tc>
      </w:tr>
    </w:tbl>
    <w:p w14:paraId="48099247" w14:textId="77777777" w:rsidR="002F324A" w:rsidRPr="001C627C" w:rsidRDefault="002F324A" w:rsidP="001C627C">
      <w:pPr>
        <w:spacing w:line="360" w:lineRule="auto"/>
        <w:jc w:val="center"/>
        <w:rPr>
          <w:rFonts w:ascii="Arial" w:hAnsi="Arial" w:cs="Arial"/>
          <w:sz w:val="22"/>
          <w:szCs w:val="22"/>
        </w:rPr>
      </w:pPr>
    </w:p>
    <w:p w14:paraId="7A29FCB1" w14:textId="3205DB31" w:rsidR="003E4ECF" w:rsidRPr="008F6DB1" w:rsidRDefault="003E4ECF" w:rsidP="00F04B86">
      <w:pPr>
        <w:tabs>
          <w:tab w:val="left" w:pos="6540"/>
        </w:tabs>
        <w:spacing w:line="360" w:lineRule="auto"/>
        <w:jc w:val="both"/>
        <w:rPr>
          <w:rFonts w:ascii="Arial" w:hAnsi="Arial" w:cs="Arial"/>
          <w:sz w:val="22"/>
          <w:szCs w:val="22"/>
        </w:rPr>
      </w:pPr>
    </w:p>
    <w:p w14:paraId="40A1C5F7" w14:textId="77777777" w:rsidR="009B3642" w:rsidRPr="008F6DB1" w:rsidRDefault="009B3642" w:rsidP="00F04B86">
      <w:pPr>
        <w:pStyle w:val="Heading3"/>
        <w:spacing w:line="360" w:lineRule="auto"/>
        <w:jc w:val="both"/>
        <w:rPr>
          <w:rStyle w:val="Strong"/>
          <w:rFonts w:cs="Arial"/>
          <w:b/>
          <w:bCs/>
          <w:color w:val="000000"/>
          <w:sz w:val="22"/>
          <w:szCs w:val="22"/>
        </w:rPr>
      </w:pPr>
      <w:r w:rsidRPr="008F6DB1">
        <w:rPr>
          <w:rStyle w:val="Strong"/>
          <w:rFonts w:cs="Arial"/>
          <w:b/>
          <w:bCs/>
          <w:color w:val="000000"/>
          <w:sz w:val="22"/>
          <w:szCs w:val="22"/>
        </w:rPr>
        <w:t>Thematic Analysis</w:t>
      </w:r>
    </w:p>
    <w:p w14:paraId="4116FD6C" w14:textId="64489A4E" w:rsidR="00D62D53" w:rsidRPr="008F6DB1" w:rsidRDefault="00D62D53" w:rsidP="00F04B86">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After carefully reading and extracting data from the five selected studies, </w:t>
      </w:r>
      <w:r w:rsidRPr="005C5B16">
        <w:rPr>
          <w:rStyle w:val="Strong"/>
          <w:rFonts w:ascii="Arial" w:hAnsi="Arial" w:cs="Arial"/>
          <w:b w:val="0"/>
          <w:bCs w:val="0"/>
          <w:color w:val="000000"/>
          <w:sz w:val="22"/>
          <w:szCs w:val="22"/>
        </w:rPr>
        <w:t>thematic analysis</w:t>
      </w:r>
      <w:r w:rsidRPr="008F6DB1">
        <w:rPr>
          <w:rStyle w:val="apple-converted-space"/>
          <w:rFonts w:ascii="Arial" w:hAnsi="Arial" w:cs="Arial"/>
          <w:color w:val="000000"/>
          <w:sz w:val="22"/>
          <w:szCs w:val="22"/>
        </w:rPr>
        <w:t> </w:t>
      </w:r>
      <w:r w:rsidRPr="008F6DB1">
        <w:rPr>
          <w:rFonts w:ascii="Arial" w:hAnsi="Arial" w:cs="Arial"/>
          <w:color w:val="000000"/>
          <w:sz w:val="22"/>
          <w:szCs w:val="22"/>
        </w:rPr>
        <w:t>to identify patterns and shared experiences among immigrants and refugees accessing social care in the United Kingdom. Thematic analysis allows for the identification of recurring topics across multiple studies, making it possible to see both common barriers and potential solutions (Braun and Clarke, 2006).</w:t>
      </w:r>
    </w:p>
    <w:p w14:paraId="2A04FAD7" w14:textId="059A7D27" w:rsidR="00D62D53" w:rsidRPr="008F6DB1" w:rsidRDefault="00D62D53" w:rsidP="00C14410">
      <w:pPr>
        <w:pStyle w:val="NormalWeb"/>
        <w:spacing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Through this </w:t>
      </w:r>
      <w:r w:rsidR="005B5BCB" w:rsidRPr="008F6DB1">
        <w:rPr>
          <w:rFonts w:ascii="Arial" w:hAnsi="Arial" w:cs="Arial"/>
          <w:color w:val="000000"/>
          <w:sz w:val="22"/>
          <w:szCs w:val="22"/>
        </w:rPr>
        <w:t>process</w:t>
      </w:r>
      <w:r w:rsidR="005B5BCB">
        <w:rPr>
          <w:rFonts w:ascii="Arial" w:hAnsi="Arial" w:cs="Arial"/>
          <w:color w:val="000000"/>
          <w:sz w:val="22"/>
          <w:szCs w:val="22"/>
        </w:rPr>
        <w:t>, Five</w:t>
      </w:r>
      <w:r w:rsidRPr="008F6DB1">
        <w:rPr>
          <w:rStyle w:val="Strong"/>
          <w:rFonts w:ascii="Arial" w:hAnsi="Arial" w:cs="Arial"/>
          <w:color w:val="000000"/>
          <w:sz w:val="22"/>
          <w:szCs w:val="22"/>
        </w:rPr>
        <w:t xml:space="preserve"> </w:t>
      </w:r>
      <w:r w:rsidRPr="005C5B16">
        <w:rPr>
          <w:rStyle w:val="Strong"/>
          <w:rFonts w:ascii="Arial" w:hAnsi="Arial" w:cs="Arial"/>
          <w:b w:val="0"/>
          <w:bCs w:val="0"/>
          <w:color w:val="000000"/>
          <w:sz w:val="22"/>
          <w:szCs w:val="22"/>
        </w:rPr>
        <w:t>main themes</w:t>
      </w:r>
      <w:r w:rsidRPr="005C5B16">
        <w:rPr>
          <w:rFonts w:ascii="Arial" w:hAnsi="Arial" w:cs="Arial"/>
          <w:b/>
          <w:bCs/>
          <w:color w:val="000000"/>
          <w:sz w:val="22"/>
          <w:szCs w:val="22"/>
        </w:rPr>
        <w:t>:</w:t>
      </w:r>
      <w:r w:rsidRPr="005C5B16">
        <w:rPr>
          <w:rStyle w:val="apple-converted-space"/>
          <w:rFonts w:ascii="Arial" w:hAnsi="Arial" w:cs="Arial"/>
          <w:b/>
          <w:bCs/>
          <w:color w:val="000000"/>
          <w:sz w:val="22"/>
          <w:szCs w:val="22"/>
        </w:rPr>
        <w:t> </w:t>
      </w:r>
      <w:r w:rsidRPr="005C5B16">
        <w:rPr>
          <w:rStyle w:val="Strong"/>
          <w:rFonts w:ascii="Arial" w:hAnsi="Arial" w:cs="Arial"/>
          <w:b w:val="0"/>
          <w:bCs w:val="0"/>
          <w:color w:val="000000"/>
          <w:sz w:val="22"/>
          <w:szCs w:val="22"/>
        </w:rPr>
        <w:t>structural barriers, language and communication challenges, discrimination and trust, cultural differences</w:t>
      </w:r>
      <w:r w:rsidRPr="008F6DB1">
        <w:rPr>
          <w:rStyle w:val="Strong"/>
          <w:rFonts w:ascii="Arial" w:hAnsi="Arial" w:cs="Arial"/>
          <w:color w:val="000000"/>
          <w:sz w:val="22"/>
          <w:szCs w:val="22"/>
        </w:rPr>
        <w:t xml:space="preserve">, </w:t>
      </w:r>
      <w:r w:rsidRPr="006D2333">
        <w:rPr>
          <w:rStyle w:val="Strong"/>
          <w:rFonts w:ascii="Arial" w:hAnsi="Arial" w:cs="Arial"/>
          <w:b w:val="0"/>
          <w:bCs w:val="0"/>
          <w:color w:val="000000"/>
          <w:sz w:val="22"/>
          <w:szCs w:val="22"/>
        </w:rPr>
        <w:t>and community support</w:t>
      </w:r>
      <w:r w:rsidRPr="006D2333">
        <w:rPr>
          <w:rFonts w:ascii="Arial" w:hAnsi="Arial" w:cs="Arial"/>
          <w:b/>
          <w:bCs/>
          <w:color w:val="000000"/>
          <w:sz w:val="22"/>
          <w:szCs w:val="22"/>
        </w:rPr>
        <w:t>.</w:t>
      </w:r>
      <w:r w:rsidRPr="008F6DB1">
        <w:rPr>
          <w:rFonts w:ascii="Arial" w:hAnsi="Arial" w:cs="Arial"/>
          <w:color w:val="000000"/>
          <w:sz w:val="22"/>
          <w:szCs w:val="22"/>
        </w:rPr>
        <w:t xml:space="preserve"> Below, each theme</w:t>
      </w:r>
      <w:r w:rsidR="00762D93">
        <w:rPr>
          <w:rFonts w:ascii="Arial" w:hAnsi="Arial" w:cs="Arial"/>
          <w:color w:val="000000"/>
          <w:sz w:val="22"/>
          <w:szCs w:val="22"/>
        </w:rPr>
        <w:t xml:space="preserve"> </w:t>
      </w:r>
      <w:r w:rsidR="00663CF3">
        <w:rPr>
          <w:rFonts w:ascii="Arial" w:hAnsi="Arial" w:cs="Arial"/>
          <w:color w:val="000000"/>
          <w:sz w:val="22"/>
          <w:szCs w:val="22"/>
        </w:rPr>
        <w:t>was carefully,</w:t>
      </w:r>
      <w:r w:rsidRPr="008F6DB1">
        <w:rPr>
          <w:rFonts w:ascii="Arial" w:hAnsi="Arial" w:cs="Arial"/>
          <w:color w:val="000000"/>
          <w:sz w:val="22"/>
          <w:szCs w:val="22"/>
        </w:rPr>
        <w:t xml:space="preserve"> using evidence from the studies while reflecting on how I interpreted these findings in the context of UK social care.</w:t>
      </w:r>
    </w:p>
    <w:p w14:paraId="1C17E572" w14:textId="60C76C96" w:rsidR="00D62D53" w:rsidRPr="008F6DB1" w:rsidRDefault="00D62D53" w:rsidP="00C14410">
      <w:pPr>
        <w:spacing w:line="360" w:lineRule="auto"/>
        <w:jc w:val="both"/>
        <w:rPr>
          <w:rFonts w:ascii="Arial" w:hAnsi="Arial" w:cs="Arial"/>
          <w:sz w:val="22"/>
          <w:szCs w:val="22"/>
        </w:rPr>
      </w:pPr>
    </w:p>
    <w:p w14:paraId="5BCA09FF" w14:textId="5332D94E" w:rsidR="00D62D53" w:rsidRPr="008F6DB1" w:rsidRDefault="00D62D53" w:rsidP="00C14410">
      <w:pPr>
        <w:pStyle w:val="Heading2"/>
        <w:spacing w:line="360" w:lineRule="auto"/>
        <w:jc w:val="both"/>
        <w:rPr>
          <w:rFonts w:cs="Arial"/>
          <w:color w:val="000000"/>
          <w:sz w:val="22"/>
          <w:szCs w:val="22"/>
        </w:rPr>
      </w:pPr>
      <w:r w:rsidRPr="008F6DB1">
        <w:rPr>
          <w:rStyle w:val="Strong"/>
          <w:rFonts w:cs="Arial"/>
          <w:b/>
          <w:bCs w:val="0"/>
          <w:color w:val="000000"/>
          <w:sz w:val="22"/>
          <w:szCs w:val="22"/>
        </w:rPr>
        <w:lastRenderedPageBreak/>
        <w:t>1. Structural Barrier</w:t>
      </w:r>
    </w:p>
    <w:p w14:paraId="70EE75B1" w14:textId="5170E6E3" w:rsidR="00D62D53" w:rsidRPr="00C328BB" w:rsidRDefault="00D62D53" w:rsidP="00C328BB">
      <w:pPr>
        <w:pStyle w:val="NormalWeb"/>
        <w:spacing w:line="360" w:lineRule="auto"/>
        <w:ind w:firstLine="720"/>
        <w:rPr>
          <w:rFonts w:ascii="Arial" w:hAnsi="Arial" w:cs="Arial"/>
          <w:color w:val="000000"/>
          <w:sz w:val="22"/>
          <w:szCs w:val="22"/>
        </w:rPr>
      </w:pPr>
      <w:r w:rsidRPr="00C328BB">
        <w:rPr>
          <w:rFonts w:ascii="Arial" w:hAnsi="Arial" w:cs="Arial"/>
          <w:color w:val="000000"/>
          <w:sz w:val="22"/>
          <w:szCs w:val="22"/>
        </w:rPr>
        <w:t xml:space="preserve">One of the most consistent findings across all studies was the presence of structural barriers. </w:t>
      </w:r>
      <w:r w:rsidR="003060C9" w:rsidRPr="00C328BB">
        <w:rPr>
          <w:rFonts w:ascii="Arial" w:hAnsi="Arial" w:cs="Arial"/>
          <w:color w:val="000000"/>
          <w:sz w:val="22"/>
          <w:szCs w:val="22"/>
        </w:rPr>
        <w:t xml:space="preserve">The </w:t>
      </w:r>
      <w:r w:rsidR="00F306C2" w:rsidRPr="00C328BB">
        <w:rPr>
          <w:rFonts w:ascii="Arial" w:hAnsi="Arial" w:cs="Arial"/>
          <w:color w:val="000000"/>
          <w:sz w:val="22"/>
          <w:szCs w:val="22"/>
        </w:rPr>
        <w:t xml:space="preserve">policies were reviewed </w:t>
      </w:r>
      <w:r w:rsidRPr="00C328BB">
        <w:rPr>
          <w:rFonts w:ascii="Arial" w:hAnsi="Arial" w:cs="Arial"/>
          <w:color w:val="000000"/>
          <w:sz w:val="22"/>
          <w:szCs w:val="22"/>
        </w:rPr>
        <w:t xml:space="preserve">and eligibility rules related to immigration status significantly affected access to social care (Springer, 2021; ScienceDirect, 2025). For example, </w:t>
      </w:r>
      <w:r w:rsidR="006A5782" w:rsidRPr="00C328BB">
        <w:rPr>
          <w:rFonts w:ascii="Arial" w:hAnsi="Arial" w:cs="Arial"/>
          <w:color w:val="000000"/>
          <w:sz w:val="22"/>
          <w:szCs w:val="22"/>
        </w:rPr>
        <w:t xml:space="preserve">The </w:t>
      </w:r>
      <w:r w:rsidRPr="00C328BB">
        <w:rPr>
          <w:rFonts w:ascii="Arial" w:hAnsi="Arial" w:cs="Arial"/>
          <w:color w:val="000000"/>
          <w:sz w:val="22"/>
          <w:szCs w:val="22"/>
        </w:rPr>
        <w:t>migrants on temporary visas or without secure legal status often encountered difficulties accessing services such as housing support, mental health care, and community-based programs.</w:t>
      </w:r>
    </w:p>
    <w:p w14:paraId="07260363" w14:textId="21FF4ED7" w:rsidR="00D62D53" w:rsidRPr="00C328BB" w:rsidRDefault="00CE38E0" w:rsidP="00C328BB">
      <w:pPr>
        <w:pStyle w:val="NormalWeb"/>
        <w:spacing w:line="360" w:lineRule="auto"/>
        <w:ind w:firstLine="720"/>
        <w:rPr>
          <w:rFonts w:ascii="Arial" w:hAnsi="Arial" w:cs="Arial"/>
          <w:color w:val="000000"/>
          <w:sz w:val="22"/>
          <w:szCs w:val="22"/>
        </w:rPr>
      </w:pPr>
      <w:r w:rsidRPr="00C328BB">
        <w:rPr>
          <w:rFonts w:ascii="Arial" w:hAnsi="Arial" w:cs="Arial"/>
          <w:color w:val="000000"/>
          <w:sz w:val="22"/>
          <w:szCs w:val="22"/>
        </w:rPr>
        <w:t xml:space="preserve">The findings indicate that these barriers are not only bureaucratic but also create psychological </w:t>
      </w:r>
      <w:r w:rsidR="007A0084" w:rsidRPr="00C328BB">
        <w:rPr>
          <w:rFonts w:ascii="Arial" w:hAnsi="Arial" w:cs="Arial"/>
          <w:color w:val="000000"/>
          <w:sz w:val="22"/>
          <w:szCs w:val="22"/>
        </w:rPr>
        <w:t>stress as</w:t>
      </w:r>
      <w:r w:rsidR="00D62D53" w:rsidRPr="00C328BB">
        <w:rPr>
          <w:rFonts w:ascii="Arial" w:hAnsi="Arial" w:cs="Arial"/>
          <w:color w:val="000000"/>
          <w:sz w:val="22"/>
          <w:szCs w:val="22"/>
        </w:rPr>
        <w:t xml:space="preserve"> migrants frequently worry about whether they are entitled to services. This structural complexity often forces individuals to navigate confusing systems without guidance, which can delay care or discourage engagement altogether. By identifying this theme, </w:t>
      </w:r>
      <w:r w:rsidR="005C063A" w:rsidRPr="00C328BB">
        <w:rPr>
          <w:rFonts w:ascii="Arial" w:hAnsi="Arial" w:cs="Arial"/>
          <w:color w:val="000000"/>
          <w:sz w:val="22"/>
          <w:szCs w:val="22"/>
        </w:rPr>
        <w:t>it</w:t>
      </w:r>
      <w:r w:rsidR="00FB5399" w:rsidRPr="00C328BB">
        <w:rPr>
          <w:rFonts w:ascii="Arial" w:hAnsi="Arial" w:cs="Arial"/>
          <w:color w:val="000000"/>
          <w:sz w:val="22"/>
          <w:szCs w:val="22"/>
        </w:rPr>
        <w:t xml:space="preserve"> could be </w:t>
      </w:r>
      <w:r w:rsidR="00D62D53" w:rsidRPr="00C328BB">
        <w:rPr>
          <w:rFonts w:ascii="Arial" w:hAnsi="Arial" w:cs="Arial"/>
          <w:color w:val="000000"/>
          <w:sz w:val="22"/>
          <w:szCs w:val="22"/>
        </w:rPr>
        <w:t>see how</w:t>
      </w:r>
      <w:r w:rsidR="00D62D53" w:rsidRPr="00C328BB">
        <w:rPr>
          <w:rStyle w:val="apple-converted-space"/>
          <w:rFonts w:ascii="Arial" w:hAnsi="Arial" w:cs="Arial"/>
          <w:color w:val="000000"/>
          <w:sz w:val="22"/>
          <w:szCs w:val="22"/>
        </w:rPr>
        <w:t> </w:t>
      </w:r>
      <w:r w:rsidR="00D62D53" w:rsidRPr="00C328BB">
        <w:rPr>
          <w:rStyle w:val="Strong"/>
          <w:rFonts w:ascii="Arial" w:hAnsi="Arial" w:cs="Arial"/>
          <w:b w:val="0"/>
          <w:bCs w:val="0"/>
          <w:color w:val="000000"/>
          <w:sz w:val="22"/>
          <w:szCs w:val="22"/>
        </w:rPr>
        <w:t>policy-level factors directly impact individual experiences</w:t>
      </w:r>
      <w:r w:rsidR="00D62D53" w:rsidRPr="00C328BB">
        <w:rPr>
          <w:rFonts w:ascii="Arial" w:hAnsi="Arial" w:cs="Arial"/>
          <w:color w:val="000000"/>
          <w:sz w:val="22"/>
          <w:szCs w:val="22"/>
        </w:rPr>
        <w:t>, highlighting the need for clearer guidance and more inclusive eligibility criteria in UK social care.</w:t>
      </w:r>
    </w:p>
    <w:p w14:paraId="585C98A6" w14:textId="5D9D9BDE" w:rsidR="00D62D53" w:rsidRPr="00C328BB" w:rsidRDefault="00D62D53" w:rsidP="00C328BB">
      <w:pPr>
        <w:spacing w:line="360" w:lineRule="auto"/>
        <w:rPr>
          <w:rFonts w:ascii="Arial" w:hAnsi="Arial" w:cs="Arial"/>
          <w:sz w:val="22"/>
          <w:szCs w:val="22"/>
        </w:rPr>
      </w:pPr>
    </w:p>
    <w:p w14:paraId="7358EE2B" w14:textId="77777777" w:rsidR="00D62D53" w:rsidRPr="00C328BB" w:rsidRDefault="00D62D53" w:rsidP="00C328BB">
      <w:pPr>
        <w:pStyle w:val="Heading2"/>
        <w:spacing w:line="360" w:lineRule="auto"/>
        <w:rPr>
          <w:rFonts w:cs="Arial"/>
          <w:color w:val="000000"/>
          <w:sz w:val="22"/>
          <w:szCs w:val="22"/>
        </w:rPr>
      </w:pPr>
      <w:r w:rsidRPr="00C328BB">
        <w:rPr>
          <w:rStyle w:val="Strong"/>
          <w:rFonts w:cs="Arial"/>
          <w:b/>
          <w:bCs w:val="0"/>
          <w:color w:val="000000"/>
          <w:sz w:val="22"/>
          <w:szCs w:val="22"/>
        </w:rPr>
        <w:t>2. Language and Communication Challenges</w:t>
      </w:r>
    </w:p>
    <w:p w14:paraId="35B5EDF8" w14:textId="7E402A55" w:rsidR="00D62D53" w:rsidRPr="00EB039E" w:rsidRDefault="00D62D53" w:rsidP="00C328BB">
      <w:pPr>
        <w:pStyle w:val="NormalWeb"/>
        <w:spacing w:line="360" w:lineRule="auto"/>
        <w:ind w:firstLine="720"/>
        <w:rPr>
          <w:rFonts w:ascii="Arial" w:hAnsi="Arial" w:cs="Arial"/>
          <w:color w:val="000000"/>
          <w:sz w:val="22"/>
          <w:szCs w:val="22"/>
        </w:rPr>
      </w:pPr>
      <w:r w:rsidRPr="00C328BB">
        <w:rPr>
          <w:rFonts w:ascii="Arial" w:hAnsi="Arial" w:cs="Arial"/>
          <w:color w:val="000000"/>
          <w:sz w:val="22"/>
          <w:szCs w:val="22"/>
        </w:rPr>
        <w:t>Another theme that became evident was</w:t>
      </w:r>
      <w:r w:rsidRPr="00C328BB">
        <w:rPr>
          <w:rStyle w:val="apple-converted-space"/>
          <w:rFonts w:ascii="Arial" w:hAnsi="Arial" w:cs="Arial"/>
          <w:color w:val="000000"/>
          <w:sz w:val="22"/>
          <w:szCs w:val="22"/>
        </w:rPr>
        <w:t> </w:t>
      </w:r>
      <w:r w:rsidRPr="00C328BB">
        <w:rPr>
          <w:rStyle w:val="Strong"/>
          <w:rFonts w:ascii="Arial" w:hAnsi="Arial" w:cs="Arial"/>
          <w:b w:val="0"/>
          <w:bCs w:val="0"/>
          <w:color w:val="000000"/>
          <w:sz w:val="22"/>
          <w:szCs w:val="22"/>
        </w:rPr>
        <w:t>language and communication difficulties</w:t>
      </w:r>
      <w:r w:rsidRPr="00C328BB">
        <w:rPr>
          <w:rFonts w:ascii="Arial" w:hAnsi="Arial" w:cs="Arial"/>
          <w:color w:val="000000"/>
          <w:sz w:val="22"/>
          <w:szCs w:val="22"/>
        </w:rPr>
        <w:t>. From my analysis of the studies, many</w:t>
      </w:r>
      <w:r w:rsidR="006200EA" w:rsidRPr="00C328BB">
        <w:rPr>
          <w:rFonts w:ascii="Arial" w:hAnsi="Arial" w:cs="Arial"/>
          <w:color w:val="000000"/>
          <w:sz w:val="22"/>
          <w:szCs w:val="22"/>
        </w:rPr>
        <w:t xml:space="preserve"> were </w:t>
      </w:r>
      <w:r w:rsidR="00847E91" w:rsidRPr="00C328BB">
        <w:rPr>
          <w:rFonts w:ascii="Arial" w:hAnsi="Arial" w:cs="Arial"/>
          <w:color w:val="000000"/>
          <w:sz w:val="22"/>
          <w:szCs w:val="22"/>
        </w:rPr>
        <w:t>observed struggling during</w:t>
      </w:r>
      <w:r w:rsidR="00847E91" w:rsidRPr="00EB039E">
        <w:rPr>
          <w:rFonts w:ascii="Arial" w:hAnsi="Arial" w:cs="Arial"/>
          <w:color w:val="000000"/>
          <w:sz w:val="22"/>
          <w:szCs w:val="22"/>
        </w:rPr>
        <w:t xml:space="preserve"> </w:t>
      </w:r>
      <w:r w:rsidR="005C6FBA" w:rsidRPr="00EB039E">
        <w:rPr>
          <w:rFonts w:ascii="Arial" w:hAnsi="Arial" w:cs="Arial"/>
          <w:color w:val="000000"/>
          <w:sz w:val="22"/>
          <w:szCs w:val="22"/>
        </w:rPr>
        <w:t xml:space="preserve">migration </w:t>
      </w:r>
      <w:r w:rsidRPr="00EB039E">
        <w:rPr>
          <w:rFonts w:ascii="Arial" w:hAnsi="Arial" w:cs="Arial"/>
          <w:color w:val="000000"/>
          <w:sz w:val="22"/>
          <w:szCs w:val="22"/>
        </w:rPr>
        <w:t>to understand information about available services or communicate their needs effectively (</w:t>
      </w:r>
      <w:r w:rsidR="004106E8" w:rsidRPr="00EB039E">
        <w:rPr>
          <w:rFonts w:ascii="Arial" w:hAnsi="Arial" w:cs="Arial"/>
          <w:color w:val="000000"/>
          <w:sz w:val="22"/>
          <w:szCs w:val="22"/>
        </w:rPr>
        <w:t>Cai Kang, Tomkow &amp; Farrington, 2019</w:t>
      </w:r>
      <w:r w:rsidRPr="00EB039E">
        <w:rPr>
          <w:rFonts w:ascii="Arial" w:hAnsi="Arial" w:cs="Arial"/>
          <w:color w:val="000000"/>
          <w:sz w:val="22"/>
          <w:szCs w:val="22"/>
        </w:rPr>
        <w:t>). I reflected on how this barrier not only affects initial access but also ongoing engagement, as misunderstandings can lead to frustration, missed appointments, or improper care.</w:t>
      </w:r>
    </w:p>
    <w:p w14:paraId="35CC2373" w14:textId="65F9BB9E" w:rsidR="00D62D53" w:rsidRPr="008F6DB1" w:rsidRDefault="00092810" w:rsidP="00EB039E">
      <w:pPr>
        <w:pStyle w:val="NormalWeb"/>
        <w:spacing w:line="360" w:lineRule="auto"/>
        <w:ind w:firstLine="720"/>
        <w:rPr>
          <w:rFonts w:ascii="Arial" w:hAnsi="Arial" w:cs="Arial"/>
          <w:sz w:val="22"/>
          <w:szCs w:val="22"/>
        </w:rPr>
      </w:pPr>
      <w:r w:rsidRPr="00EB039E">
        <w:rPr>
          <w:rFonts w:ascii="Arial" w:hAnsi="Arial" w:cs="Arial"/>
          <w:color w:val="000000"/>
          <w:sz w:val="22"/>
          <w:szCs w:val="22"/>
        </w:rPr>
        <w:t xml:space="preserve">Its </w:t>
      </w:r>
      <w:r w:rsidR="00EE1ABB" w:rsidRPr="00EB039E">
        <w:rPr>
          <w:rFonts w:ascii="Arial" w:hAnsi="Arial" w:cs="Arial"/>
          <w:color w:val="000000"/>
          <w:sz w:val="22"/>
          <w:szCs w:val="22"/>
        </w:rPr>
        <w:t xml:space="preserve">was </w:t>
      </w:r>
      <w:r w:rsidR="00D62D53" w:rsidRPr="00EB039E">
        <w:rPr>
          <w:rFonts w:ascii="Arial" w:hAnsi="Arial" w:cs="Arial"/>
          <w:color w:val="000000"/>
          <w:sz w:val="22"/>
          <w:szCs w:val="22"/>
        </w:rPr>
        <w:t xml:space="preserve">noted that even when interpreter services were available, they were not always sufficient or culturally sensitive. From reading the Oliver et al. (2022) study, </w:t>
      </w:r>
      <w:r w:rsidR="00F85674" w:rsidRPr="00EB039E">
        <w:rPr>
          <w:rFonts w:ascii="Arial" w:hAnsi="Arial" w:cs="Arial"/>
          <w:color w:val="000000"/>
          <w:sz w:val="22"/>
          <w:szCs w:val="22"/>
        </w:rPr>
        <w:t xml:space="preserve">it was </w:t>
      </w:r>
      <w:r w:rsidR="00D62D53" w:rsidRPr="00EB039E">
        <w:rPr>
          <w:rFonts w:ascii="Arial" w:hAnsi="Arial" w:cs="Arial"/>
          <w:color w:val="000000"/>
          <w:sz w:val="22"/>
          <w:szCs w:val="22"/>
        </w:rPr>
        <w:t>recognized that the presence of health champions and community liaisons helped bridge this gap, improving trust and understanding. This led me to consider that communication is a</w:t>
      </w:r>
      <w:r w:rsidR="00D62D53" w:rsidRPr="00EB039E">
        <w:rPr>
          <w:rStyle w:val="apple-converted-space"/>
          <w:rFonts w:ascii="Arial" w:hAnsi="Arial" w:cs="Arial"/>
          <w:color w:val="000000"/>
          <w:sz w:val="22"/>
          <w:szCs w:val="22"/>
        </w:rPr>
        <w:t> </w:t>
      </w:r>
      <w:r w:rsidR="00D62D53" w:rsidRPr="00EB039E">
        <w:rPr>
          <w:rStyle w:val="Strong"/>
          <w:rFonts w:ascii="Arial" w:hAnsi="Arial" w:cs="Arial"/>
          <w:b w:val="0"/>
          <w:bCs w:val="0"/>
          <w:color w:val="000000"/>
          <w:sz w:val="22"/>
          <w:szCs w:val="22"/>
        </w:rPr>
        <w:t xml:space="preserve">critical factor that intersects with cultural understanding and community </w:t>
      </w:r>
      <w:r w:rsidR="00F85674" w:rsidRPr="00EB039E">
        <w:rPr>
          <w:rStyle w:val="Strong"/>
          <w:rFonts w:ascii="Arial" w:hAnsi="Arial" w:cs="Arial"/>
          <w:b w:val="0"/>
          <w:bCs w:val="0"/>
          <w:color w:val="000000"/>
          <w:sz w:val="22"/>
          <w:szCs w:val="22"/>
        </w:rPr>
        <w:t>support</w:t>
      </w:r>
      <w:r w:rsidR="00F85674" w:rsidRPr="00EB039E">
        <w:rPr>
          <w:rFonts w:ascii="Arial" w:hAnsi="Arial" w:cs="Arial"/>
          <w:b/>
          <w:bCs/>
          <w:color w:val="000000"/>
          <w:sz w:val="22"/>
          <w:szCs w:val="22"/>
        </w:rPr>
        <w:t xml:space="preserve"> </w:t>
      </w:r>
      <w:r w:rsidR="00F85674" w:rsidRPr="00EB039E">
        <w:rPr>
          <w:rFonts w:ascii="Arial" w:hAnsi="Arial" w:cs="Arial"/>
          <w:color w:val="000000"/>
          <w:sz w:val="22"/>
          <w:szCs w:val="22"/>
        </w:rPr>
        <w:t>and</w:t>
      </w:r>
      <w:r w:rsidR="00D62D53" w:rsidRPr="00EB039E">
        <w:rPr>
          <w:rFonts w:ascii="Arial" w:hAnsi="Arial" w:cs="Arial"/>
          <w:color w:val="000000"/>
          <w:sz w:val="22"/>
          <w:szCs w:val="22"/>
        </w:rPr>
        <w:t xml:space="preserve"> addressing it can substantially improve social care access</w:t>
      </w:r>
      <w:r w:rsidR="00D62D53" w:rsidRPr="008F6DB1">
        <w:rPr>
          <w:rFonts w:ascii="Arial" w:hAnsi="Arial" w:cs="Arial"/>
          <w:color w:val="000000"/>
          <w:sz w:val="22"/>
          <w:szCs w:val="22"/>
        </w:rPr>
        <w:t>.</w:t>
      </w:r>
    </w:p>
    <w:p w14:paraId="7378B53C" w14:textId="77777777" w:rsidR="00D62D53" w:rsidRPr="008F6DB1" w:rsidRDefault="00D62D53" w:rsidP="00C14410">
      <w:pPr>
        <w:pStyle w:val="Heading2"/>
        <w:spacing w:line="360" w:lineRule="auto"/>
        <w:jc w:val="both"/>
        <w:rPr>
          <w:rFonts w:cs="Arial"/>
          <w:color w:val="000000"/>
          <w:sz w:val="22"/>
          <w:szCs w:val="22"/>
        </w:rPr>
      </w:pPr>
      <w:r w:rsidRPr="008F6DB1">
        <w:rPr>
          <w:rStyle w:val="Strong"/>
          <w:rFonts w:cs="Arial"/>
          <w:b/>
          <w:bCs w:val="0"/>
          <w:color w:val="000000"/>
          <w:sz w:val="22"/>
          <w:szCs w:val="22"/>
        </w:rPr>
        <w:t>3. Discrimination and Trust</w:t>
      </w:r>
    </w:p>
    <w:p w14:paraId="78CDC36B" w14:textId="7525FCB2" w:rsidR="00D62D53" w:rsidRPr="00EB039E" w:rsidRDefault="007A4B53" w:rsidP="00EB039E">
      <w:pPr>
        <w:pStyle w:val="NormalWeb"/>
        <w:spacing w:line="360" w:lineRule="auto"/>
        <w:ind w:firstLine="720"/>
        <w:rPr>
          <w:rFonts w:ascii="Arial" w:hAnsi="Arial" w:cs="Arial"/>
          <w:color w:val="000000"/>
          <w:sz w:val="22"/>
          <w:szCs w:val="22"/>
        </w:rPr>
      </w:pPr>
      <w:r w:rsidRPr="00EB039E">
        <w:rPr>
          <w:rFonts w:ascii="Arial" w:hAnsi="Arial" w:cs="Arial"/>
          <w:color w:val="000000"/>
          <w:sz w:val="22"/>
          <w:szCs w:val="22"/>
        </w:rPr>
        <w:t xml:space="preserve">A third theme that emerged was discrimination and mistrust. Negative experiences, such as feeling judged or excluded, discourage migrants from seeking help (Hanley et al., </w:t>
      </w:r>
      <w:r w:rsidRPr="00EB039E">
        <w:rPr>
          <w:rFonts w:ascii="Arial" w:hAnsi="Arial" w:cs="Arial"/>
          <w:color w:val="000000"/>
          <w:sz w:val="22"/>
          <w:szCs w:val="22"/>
        </w:rPr>
        <w:lastRenderedPageBreak/>
        <w:t>2019; Priebe et al., 2016). Even subtle forms of bias can create a lasting sense of vulnerability, particularly among refugees who may have previous experiences of persecution.</w:t>
      </w:r>
    </w:p>
    <w:p w14:paraId="08CECD0C" w14:textId="248D591E" w:rsidR="00D62D53" w:rsidRPr="00EB039E" w:rsidRDefault="00D62D53" w:rsidP="00EB039E">
      <w:pPr>
        <w:pStyle w:val="NormalWeb"/>
        <w:spacing w:line="360" w:lineRule="auto"/>
        <w:rPr>
          <w:rFonts w:ascii="Arial" w:hAnsi="Arial" w:cs="Arial"/>
          <w:color w:val="000000"/>
          <w:sz w:val="22"/>
          <w:szCs w:val="22"/>
        </w:rPr>
      </w:pPr>
      <w:r w:rsidRPr="00EB039E">
        <w:rPr>
          <w:rFonts w:ascii="Arial" w:hAnsi="Arial" w:cs="Arial"/>
          <w:color w:val="000000"/>
          <w:sz w:val="22"/>
          <w:szCs w:val="22"/>
        </w:rPr>
        <w:t xml:space="preserve">Through the studies, </w:t>
      </w:r>
      <w:r w:rsidR="00DB1879" w:rsidRPr="00EB039E">
        <w:rPr>
          <w:rFonts w:ascii="Arial" w:hAnsi="Arial" w:cs="Arial"/>
          <w:color w:val="000000"/>
          <w:sz w:val="22"/>
          <w:szCs w:val="22"/>
        </w:rPr>
        <w:t>t</w:t>
      </w:r>
      <w:r w:rsidR="00A060D5" w:rsidRPr="00EB039E">
        <w:rPr>
          <w:rFonts w:ascii="Arial" w:hAnsi="Arial" w:cs="Arial"/>
          <w:color w:val="000000"/>
          <w:sz w:val="22"/>
          <w:szCs w:val="22"/>
        </w:rPr>
        <w:t xml:space="preserve">rust was found to be essential </w:t>
      </w:r>
      <w:r w:rsidRPr="00EB039E">
        <w:rPr>
          <w:rFonts w:ascii="Arial" w:hAnsi="Arial" w:cs="Arial"/>
          <w:color w:val="000000"/>
          <w:sz w:val="22"/>
          <w:szCs w:val="22"/>
        </w:rPr>
        <w:t>engagement: migrants are more likely to access social care when they feel respected and understood. By reflecting on this, I concluded that social care providers need training in</w:t>
      </w:r>
      <w:r w:rsidRPr="00EB039E">
        <w:rPr>
          <w:rStyle w:val="apple-converted-space"/>
          <w:rFonts w:ascii="Arial" w:hAnsi="Arial" w:cs="Arial"/>
          <w:color w:val="000000"/>
          <w:sz w:val="22"/>
          <w:szCs w:val="22"/>
        </w:rPr>
        <w:t> </w:t>
      </w:r>
      <w:r w:rsidRPr="00EB039E">
        <w:rPr>
          <w:rStyle w:val="Strong"/>
          <w:rFonts w:ascii="Arial" w:hAnsi="Arial" w:cs="Arial"/>
          <w:b w:val="0"/>
          <w:bCs w:val="0"/>
          <w:color w:val="000000"/>
          <w:sz w:val="22"/>
          <w:szCs w:val="22"/>
        </w:rPr>
        <w:t>cultural competence and anti-discriminatory practice</w:t>
      </w:r>
      <w:r w:rsidRPr="00EB039E">
        <w:rPr>
          <w:rStyle w:val="apple-converted-space"/>
          <w:rFonts w:ascii="Arial" w:hAnsi="Arial" w:cs="Arial"/>
          <w:color w:val="000000"/>
          <w:sz w:val="22"/>
          <w:szCs w:val="22"/>
        </w:rPr>
        <w:t> </w:t>
      </w:r>
      <w:r w:rsidRPr="00EB039E">
        <w:rPr>
          <w:rFonts w:ascii="Arial" w:hAnsi="Arial" w:cs="Arial"/>
          <w:color w:val="000000"/>
          <w:sz w:val="22"/>
          <w:szCs w:val="22"/>
        </w:rPr>
        <w:t>to foster a supportive environment</w:t>
      </w:r>
      <w:r w:rsidR="00F2111A" w:rsidRPr="00EB039E">
        <w:rPr>
          <w:rFonts w:ascii="Arial" w:hAnsi="Arial" w:cs="Arial"/>
          <w:color w:val="000000"/>
          <w:sz w:val="22"/>
          <w:szCs w:val="22"/>
        </w:rPr>
        <w:t xml:space="preserve"> (Oliver et al., 2022).</w:t>
      </w:r>
    </w:p>
    <w:p w14:paraId="009CEB81" w14:textId="4DDE66EA" w:rsidR="00D62D53" w:rsidRPr="008F6DB1" w:rsidRDefault="00D62D53" w:rsidP="00C14410">
      <w:pPr>
        <w:spacing w:line="360" w:lineRule="auto"/>
        <w:jc w:val="both"/>
        <w:rPr>
          <w:rFonts w:ascii="Arial" w:hAnsi="Arial" w:cs="Arial"/>
          <w:sz w:val="22"/>
          <w:szCs w:val="22"/>
        </w:rPr>
      </w:pPr>
    </w:p>
    <w:p w14:paraId="1F035270" w14:textId="77777777" w:rsidR="00D62D53" w:rsidRPr="008F6DB1" w:rsidRDefault="00D62D53" w:rsidP="00C14410">
      <w:pPr>
        <w:pStyle w:val="Heading2"/>
        <w:spacing w:line="360" w:lineRule="auto"/>
        <w:jc w:val="both"/>
        <w:rPr>
          <w:rFonts w:cs="Arial"/>
          <w:color w:val="000000"/>
          <w:sz w:val="22"/>
          <w:szCs w:val="22"/>
        </w:rPr>
      </w:pPr>
      <w:r w:rsidRPr="008F6DB1">
        <w:rPr>
          <w:rStyle w:val="Strong"/>
          <w:rFonts w:cs="Arial"/>
          <w:b/>
          <w:bCs w:val="0"/>
          <w:color w:val="000000"/>
          <w:sz w:val="22"/>
          <w:szCs w:val="22"/>
        </w:rPr>
        <w:t>4. Cultural Differences</w:t>
      </w:r>
    </w:p>
    <w:p w14:paraId="5D7E4A5C" w14:textId="5FC2151E" w:rsidR="00D62D53" w:rsidRPr="0040461E" w:rsidRDefault="00D62D53" w:rsidP="0040461E">
      <w:pPr>
        <w:pStyle w:val="NormalWeb"/>
        <w:spacing w:line="360" w:lineRule="auto"/>
        <w:ind w:firstLine="720"/>
        <w:jc w:val="both"/>
        <w:rPr>
          <w:rFonts w:ascii="Arial" w:hAnsi="Arial" w:cs="Arial"/>
          <w:color w:val="000000"/>
          <w:sz w:val="22"/>
          <w:szCs w:val="22"/>
        </w:rPr>
      </w:pPr>
      <w:r w:rsidRPr="0040461E">
        <w:rPr>
          <w:rFonts w:ascii="Arial" w:hAnsi="Arial" w:cs="Arial"/>
          <w:color w:val="000000"/>
          <w:sz w:val="22"/>
          <w:szCs w:val="22"/>
        </w:rPr>
        <w:t xml:space="preserve">Cultural barriers also played a significant role in shaping experiences. </w:t>
      </w:r>
      <w:r w:rsidR="0054416E" w:rsidRPr="0040461E">
        <w:rPr>
          <w:rFonts w:ascii="Arial" w:hAnsi="Arial" w:cs="Arial"/>
          <w:color w:val="000000"/>
          <w:sz w:val="22"/>
          <w:szCs w:val="22"/>
        </w:rPr>
        <w:t>T</w:t>
      </w:r>
      <w:r w:rsidRPr="0040461E">
        <w:rPr>
          <w:rFonts w:ascii="Arial" w:hAnsi="Arial" w:cs="Arial"/>
          <w:color w:val="000000"/>
          <w:sz w:val="22"/>
          <w:szCs w:val="22"/>
        </w:rPr>
        <w:t>hat differences in expectations about care, family involvement, and the role of community support influenced how migrants interact with services (Phillimore, 2015). For instance, some migrants may prefer informal or community-based support rather than formal institutions, which can create misunderstandings about their engagement or needs.</w:t>
      </w:r>
    </w:p>
    <w:p w14:paraId="50F78F30" w14:textId="22913D42" w:rsidR="00D62D53" w:rsidRPr="0040461E" w:rsidRDefault="00553767" w:rsidP="0040461E">
      <w:pPr>
        <w:pStyle w:val="NormalWeb"/>
        <w:spacing w:line="360" w:lineRule="auto"/>
        <w:ind w:firstLine="720"/>
        <w:jc w:val="both"/>
        <w:rPr>
          <w:rFonts w:ascii="Arial" w:hAnsi="Arial" w:cs="Arial"/>
          <w:color w:val="000000"/>
          <w:sz w:val="22"/>
          <w:szCs w:val="22"/>
        </w:rPr>
      </w:pPr>
      <w:r w:rsidRPr="0040461E">
        <w:rPr>
          <w:rFonts w:ascii="Arial" w:hAnsi="Arial" w:cs="Arial"/>
          <w:color w:val="000000"/>
          <w:sz w:val="22"/>
          <w:szCs w:val="22"/>
        </w:rPr>
        <w:t>The analysis highlights that cultural sensitivity</w:t>
      </w:r>
      <w:r w:rsidRPr="0040461E">
        <w:rPr>
          <w:rFonts w:ascii="Arial" w:hAnsi="Arial" w:cs="Arial"/>
          <w:color w:val="000000"/>
          <w:sz w:val="22"/>
          <w:szCs w:val="22"/>
        </w:rPr>
        <w:t xml:space="preserve"> </w:t>
      </w:r>
      <w:r w:rsidR="00D62D53" w:rsidRPr="00CF21B0">
        <w:rPr>
          <w:rStyle w:val="Strong"/>
          <w:rFonts w:ascii="Arial" w:hAnsi="Arial" w:cs="Arial"/>
          <w:b w:val="0"/>
          <w:bCs w:val="0"/>
          <w:color w:val="000000"/>
          <w:sz w:val="22"/>
          <w:szCs w:val="22"/>
        </w:rPr>
        <w:t>is not just about language</w:t>
      </w:r>
      <w:r w:rsidR="00D62D53" w:rsidRPr="0040461E">
        <w:rPr>
          <w:rFonts w:ascii="Arial" w:hAnsi="Arial" w:cs="Arial"/>
          <w:color w:val="000000"/>
          <w:sz w:val="22"/>
          <w:szCs w:val="22"/>
        </w:rPr>
        <w:t>, but also understanding values, beliefs, and experiences of migrants. This theme highlighted for me that social care interventions must be flexible and responsive to diverse cultural backgrounds to be effective.</w:t>
      </w:r>
    </w:p>
    <w:p w14:paraId="443D0BEA" w14:textId="681EF59F" w:rsidR="00D62D53" w:rsidRPr="0040461E" w:rsidRDefault="00D62D53" w:rsidP="0040461E">
      <w:pPr>
        <w:spacing w:line="360" w:lineRule="auto"/>
        <w:jc w:val="both"/>
        <w:rPr>
          <w:rFonts w:ascii="Arial" w:hAnsi="Arial" w:cs="Arial"/>
          <w:sz w:val="22"/>
          <w:szCs w:val="22"/>
        </w:rPr>
      </w:pPr>
    </w:p>
    <w:p w14:paraId="74FEE3ED" w14:textId="77777777" w:rsidR="00D62D53" w:rsidRPr="008F6DB1" w:rsidRDefault="00D62D53" w:rsidP="00C14410">
      <w:pPr>
        <w:pStyle w:val="Heading2"/>
        <w:spacing w:line="360" w:lineRule="auto"/>
        <w:jc w:val="both"/>
        <w:rPr>
          <w:rFonts w:cs="Arial"/>
          <w:color w:val="000000"/>
          <w:sz w:val="22"/>
          <w:szCs w:val="22"/>
        </w:rPr>
      </w:pPr>
      <w:r w:rsidRPr="008F6DB1">
        <w:rPr>
          <w:rStyle w:val="Strong"/>
          <w:rFonts w:cs="Arial"/>
          <w:b/>
          <w:bCs w:val="0"/>
          <w:color w:val="000000"/>
          <w:sz w:val="22"/>
          <w:szCs w:val="22"/>
        </w:rPr>
        <w:t>5. Community Support</w:t>
      </w:r>
    </w:p>
    <w:p w14:paraId="717AE5B8" w14:textId="6A4D7D24" w:rsidR="00D62D53" w:rsidRPr="0040461E" w:rsidRDefault="00D62D53" w:rsidP="0040461E">
      <w:pPr>
        <w:pStyle w:val="NormalWeb"/>
        <w:spacing w:line="360" w:lineRule="auto"/>
        <w:ind w:firstLine="720"/>
        <w:jc w:val="both"/>
        <w:rPr>
          <w:rFonts w:ascii="Arial" w:hAnsi="Arial" w:cs="Arial"/>
          <w:color w:val="000000"/>
          <w:sz w:val="22"/>
          <w:szCs w:val="22"/>
        </w:rPr>
      </w:pPr>
      <w:r w:rsidRPr="0040461E">
        <w:rPr>
          <w:rFonts w:ascii="Arial" w:hAnsi="Arial" w:cs="Arial"/>
          <w:color w:val="000000"/>
          <w:sz w:val="22"/>
          <w:szCs w:val="22"/>
        </w:rPr>
        <w:t>Finally, a clear pattern the positive impact of</w:t>
      </w:r>
      <w:r w:rsidRPr="0040461E">
        <w:rPr>
          <w:rStyle w:val="apple-converted-space"/>
          <w:rFonts w:ascii="Arial" w:hAnsi="Arial" w:cs="Arial"/>
          <w:color w:val="000000"/>
          <w:sz w:val="22"/>
          <w:szCs w:val="22"/>
        </w:rPr>
        <w:t> </w:t>
      </w:r>
      <w:r w:rsidRPr="00CF21B0">
        <w:rPr>
          <w:rStyle w:val="Strong"/>
          <w:rFonts w:ascii="Arial" w:hAnsi="Arial" w:cs="Arial"/>
          <w:b w:val="0"/>
          <w:bCs w:val="0"/>
          <w:color w:val="000000"/>
          <w:sz w:val="22"/>
          <w:szCs w:val="22"/>
        </w:rPr>
        <w:t>community-based interventions</w:t>
      </w:r>
      <w:r w:rsidRPr="0040461E">
        <w:rPr>
          <w:rFonts w:ascii="Arial" w:hAnsi="Arial" w:cs="Arial"/>
          <w:color w:val="000000"/>
          <w:sz w:val="22"/>
          <w:szCs w:val="22"/>
        </w:rPr>
        <w:t>. In particular, the study</w:t>
      </w:r>
      <w:r w:rsidR="00FE56CB" w:rsidRPr="0040461E">
        <w:rPr>
          <w:rFonts w:ascii="Arial" w:hAnsi="Arial" w:cs="Arial"/>
          <w:color w:val="000000"/>
          <w:sz w:val="22"/>
          <w:szCs w:val="22"/>
        </w:rPr>
        <w:t xml:space="preserve"> (Oliver et al., 2022; Refugee Council, 2022). D</w:t>
      </w:r>
      <w:r w:rsidRPr="0040461E">
        <w:rPr>
          <w:rFonts w:ascii="Arial" w:hAnsi="Arial" w:cs="Arial"/>
          <w:color w:val="000000"/>
          <w:sz w:val="22"/>
          <w:szCs w:val="22"/>
        </w:rPr>
        <w:t>emonstrated that health champions</w:t>
      </w:r>
      <w:r w:rsidR="009B50A9" w:rsidRPr="0040461E">
        <w:rPr>
          <w:rFonts w:ascii="Arial" w:hAnsi="Arial" w:cs="Arial"/>
          <w:color w:val="000000"/>
          <w:sz w:val="22"/>
          <w:szCs w:val="22"/>
        </w:rPr>
        <w:t xml:space="preserve"> </w:t>
      </w:r>
      <w:r w:rsidRPr="0040461E">
        <w:rPr>
          <w:rFonts w:ascii="Arial" w:hAnsi="Arial" w:cs="Arial"/>
          <w:color w:val="000000"/>
          <w:sz w:val="22"/>
          <w:szCs w:val="22"/>
        </w:rPr>
        <w:t>community members trained to support access to services</w:t>
      </w:r>
      <w:r w:rsidR="009B50A9" w:rsidRPr="0040461E">
        <w:rPr>
          <w:rFonts w:ascii="Arial" w:hAnsi="Arial" w:cs="Arial"/>
          <w:color w:val="000000"/>
          <w:sz w:val="22"/>
          <w:szCs w:val="22"/>
        </w:rPr>
        <w:t xml:space="preserve"> </w:t>
      </w:r>
      <w:r w:rsidRPr="0040461E">
        <w:rPr>
          <w:rFonts w:ascii="Arial" w:hAnsi="Arial" w:cs="Arial"/>
          <w:color w:val="000000"/>
          <w:sz w:val="22"/>
          <w:szCs w:val="22"/>
        </w:rPr>
        <w:t>significantly improved engagement and trust.</w:t>
      </w:r>
    </w:p>
    <w:p w14:paraId="12CBAFF8" w14:textId="125A59B0" w:rsidR="00D62D53" w:rsidRPr="0040461E" w:rsidRDefault="00D84D16" w:rsidP="0040461E">
      <w:pPr>
        <w:pStyle w:val="NormalWeb"/>
        <w:spacing w:line="360" w:lineRule="auto"/>
        <w:ind w:firstLine="720"/>
        <w:jc w:val="both"/>
        <w:rPr>
          <w:rFonts w:ascii="Arial" w:hAnsi="Arial" w:cs="Arial"/>
          <w:color w:val="000000"/>
          <w:sz w:val="22"/>
          <w:szCs w:val="22"/>
        </w:rPr>
      </w:pPr>
      <w:r w:rsidRPr="0040461E">
        <w:rPr>
          <w:rFonts w:ascii="Arial" w:hAnsi="Arial" w:cs="Arial"/>
          <w:color w:val="000000"/>
          <w:sz w:val="22"/>
          <w:szCs w:val="22"/>
        </w:rPr>
        <w:t>The studies demonstrate that community support acts as a bridge</w:t>
      </w:r>
      <w:r w:rsidRPr="0040461E">
        <w:rPr>
          <w:rFonts w:ascii="Arial" w:hAnsi="Arial" w:cs="Arial"/>
          <w:color w:val="000000"/>
          <w:sz w:val="22"/>
          <w:szCs w:val="22"/>
        </w:rPr>
        <w:t xml:space="preserve"> </w:t>
      </w:r>
      <w:r w:rsidR="00D62D53" w:rsidRPr="0040461E">
        <w:rPr>
          <w:rFonts w:ascii="Arial" w:hAnsi="Arial" w:cs="Arial"/>
          <w:color w:val="000000"/>
          <w:sz w:val="22"/>
          <w:szCs w:val="22"/>
        </w:rPr>
        <w:t>that community support acted as a</w:t>
      </w:r>
      <w:r w:rsidR="00D62D53" w:rsidRPr="0040461E">
        <w:rPr>
          <w:rStyle w:val="apple-converted-space"/>
          <w:rFonts w:ascii="Arial" w:hAnsi="Arial" w:cs="Arial"/>
          <w:color w:val="000000"/>
          <w:sz w:val="22"/>
          <w:szCs w:val="22"/>
        </w:rPr>
        <w:t> </w:t>
      </w:r>
      <w:r w:rsidR="00D62D53" w:rsidRPr="0040461E">
        <w:rPr>
          <w:rStyle w:val="Strong"/>
          <w:rFonts w:ascii="Arial" w:hAnsi="Arial" w:cs="Arial"/>
          <w:b w:val="0"/>
          <w:bCs w:val="0"/>
          <w:color w:val="000000"/>
          <w:sz w:val="22"/>
          <w:szCs w:val="22"/>
        </w:rPr>
        <w:t>bridge between migrants and formal services</w:t>
      </w:r>
      <w:r w:rsidR="00D62D53" w:rsidRPr="0040461E">
        <w:rPr>
          <w:rFonts w:ascii="Arial" w:hAnsi="Arial" w:cs="Arial"/>
          <w:color w:val="000000"/>
          <w:sz w:val="22"/>
          <w:szCs w:val="22"/>
        </w:rPr>
        <w:t>, helping individuals navigate complex systems, providing guidance in their native language, and offering emotional support. that fostering such initiatives could reduce barriers created by structural, cultural, and communication challenges, making social care more inclusive and effective</w:t>
      </w:r>
      <w:r w:rsidR="007E2361" w:rsidRPr="0040461E">
        <w:rPr>
          <w:rFonts w:ascii="Arial" w:hAnsi="Arial" w:cs="Arial"/>
          <w:color w:val="000000"/>
          <w:sz w:val="22"/>
          <w:szCs w:val="22"/>
        </w:rPr>
        <w:t xml:space="preserve"> (Oliver et al., 2022; Refugee Council, 2022).</w:t>
      </w:r>
    </w:p>
    <w:p w14:paraId="2B2A74C4" w14:textId="06C1D412" w:rsidR="00D62D53" w:rsidRPr="0040461E" w:rsidRDefault="00D62D53" w:rsidP="0040461E">
      <w:pPr>
        <w:spacing w:line="360" w:lineRule="auto"/>
        <w:jc w:val="both"/>
        <w:rPr>
          <w:rFonts w:ascii="Arial" w:hAnsi="Arial" w:cs="Arial"/>
          <w:sz w:val="22"/>
          <w:szCs w:val="22"/>
        </w:rPr>
      </w:pPr>
    </w:p>
    <w:p w14:paraId="16CE5B79" w14:textId="3E3D4FF5" w:rsidR="00D62D53" w:rsidRPr="008F6DB1" w:rsidRDefault="00D62D53" w:rsidP="00C14410">
      <w:pPr>
        <w:pStyle w:val="Heading3"/>
        <w:spacing w:line="360" w:lineRule="auto"/>
        <w:jc w:val="both"/>
        <w:rPr>
          <w:rFonts w:cs="Arial"/>
          <w:color w:val="000000"/>
          <w:sz w:val="22"/>
          <w:szCs w:val="22"/>
        </w:rPr>
      </w:pPr>
      <w:r w:rsidRPr="008F6DB1">
        <w:rPr>
          <w:rStyle w:val="Strong"/>
          <w:rFonts w:cs="Arial"/>
          <w:b/>
          <w:bCs/>
          <w:color w:val="000000"/>
          <w:sz w:val="22"/>
          <w:szCs w:val="22"/>
        </w:rPr>
        <w:lastRenderedPageBreak/>
        <w:t>Thematic Analysis</w:t>
      </w:r>
    </w:p>
    <w:p w14:paraId="0B25486D" w14:textId="77777777" w:rsidR="00A5726A" w:rsidRPr="00A73AD2" w:rsidRDefault="00A5726A" w:rsidP="00A73AD2">
      <w:pPr>
        <w:pStyle w:val="NormalWeb"/>
        <w:spacing w:line="360" w:lineRule="auto"/>
        <w:ind w:firstLine="720"/>
        <w:jc w:val="both"/>
        <w:rPr>
          <w:rFonts w:ascii="Arial" w:hAnsi="Arial" w:cs="Arial"/>
          <w:color w:val="000000"/>
          <w:sz w:val="22"/>
          <w:szCs w:val="22"/>
        </w:rPr>
      </w:pPr>
      <w:r w:rsidRPr="00A73AD2">
        <w:rPr>
          <w:rFonts w:ascii="Arial" w:hAnsi="Arial" w:cs="Arial"/>
          <w:color w:val="000000"/>
          <w:sz w:val="22"/>
          <w:szCs w:val="22"/>
        </w:rPr>
        <w:t>By conducting this thematic analysis, insights were synthesised from multiple studies into a coherent framework. The findings indicate that barriers are interconnected, with structural policies, language difficulties, discrimination, and cultural differences often reinforcing one another, while community-based interventions can help to mitigate these challenges.</w:t>
      </w:r>
    </w:p>
    <w:p w14:paraId="30582EAD" w14:textId="77777777" w:rsidR="00A5726A" w:rsidRPr="00A73AD2" w:rsidRDefault="00A5726A" w:rsidP="00A73AD2">
      <w:pPr>
        <w:pStyle w:val="NormalWeb"/>
        <w:spacing w:line="360" w:lineRule="auto"/>
        <w:ind w:firstLine="720"/>
        <w:jc w:val="both"/>
        <w:rPr>
          <w:rFonts w:ascii="Arial" w:hAnsi="Arial" w:cs="Arial"/>
          <w:color w:val="000000"/>
          <w:sz w:val="22"/>
          <w:szCs w:val="22"/>
        </w:rPr>
      </w:pPr>
      <w:r w:rsidRPr="00A73AD2">
        <w:rPr>
          <w:rFonts w:ascii="Arial" w:hAnsi="Arial" w:cs="Arial"/>
          <w:color w:val="000000"/>
          <w:sz w:val="22"/>
          <w:szCs w:val="22"/>
        </w:rPr>
        <w:t>Overall, addressing inequalities in social care requires a multifaceted approach, including policy reform, cultural competence, improved communication support, and community engagement. The analysis highlights both the challenges faced by immigrants and refugees and the strategies that may enhance their access to social care services in the United Kingdom</w:t>
      </w:r>
    </w:p>
    <w:p w14:paraId="44DD3664" w14:textId="77777777" w:rsidR="00D62D53" w:rsidRPr="008F6DB1" w:rsidRDefault="00D62D53" w:rsidP="00C14410">
      <w:pPr>
        <w:pStyle w:val="Heading3"/>
        <w:spacing w:line="360" w:lineRule="auto"/>
        <w:jc w:val="both"/>
        <w:rPr>
          <w:rFonts w:cs="Arial"/>
          <w:color w:val="000000"/>
          <w:sz w:val="22"/>
          <w:szCs w:val="22"/>
        </w:rPr>
      </w:pPr>
    </w:p>
    <w:p w14:paraId="0B299BAA" w14:textId="77777777" w:rsidR="00B87E75" w:rsidRPr="008F6DB1" w:rsidRDefault="00B87E75" w:rsidP="00C14410">
      <w:pPr>
        <w:tabs>
          <w:tab w:val="left" w:pos="6540"/>
        </w:tabs>
        <w:spacing w:line="360" w:lineRule="auto"/>
        <w:jc w:val="both"/>
        <w:rPr>
          <w:rFonts w:ascii="Arial" w:hAnsi="Arial" w:cs="Arial"/>
          <w:sz w:val="22"/>
          <w:szCs w:val="22"/>
        </w:rPr>
      </w:pPr>
    </w:p>
    <w:p w14:paraId="5C43254D" w14:textId="209882EA" w:rsidR="00B87E75" w:rsidRPr="008F6DB1" w:rsidRDefault="004A736E" w:rsidP="00C14410">
      <w:pPr>
        <w:pStyle w:val="Heading1"/>
        <w:jc w:val="both"/>
        <w:rPr>
          <w:rFonts w:cs="Arial"/>
          <w:sz w:val="22"/>
          <w:szCs w:val="22"/>
        </w:rPr>
      </w:pPr>
      <w:r w:rsidRPr="008F6DB1">
        <w:rPr>
          <w:rFonts w:cs="Arial"/>
          <w:sz w:val="22"/>
          <w:szCs w:val="22"/>
        </w:rPr>
        <w:t>5</w:t>
      </w:r>
      <w:r w:rsidR="00B87E75" w:rsidRPr="008F6DB1">
        <w:rPr>
          <w:rFonts w:cs="Arial"/>
          <w:sz w:val="22"/>
          <w:szCs w:val="22"/>
        </w:rPr>
        <w:t>. Discussion</w:t>
      </w:r>
    </w:p>
    <w:p w14:paraId="16443874" w14:textId="285E5CAB" w:rsidR="00D737EA" w:rsidRPr="008F6DB1" w:rsidRDefault="00E5048D" w:rsidP="00463515">
      <w:pPr>
        <w:spacing w:before="100" w:beforeAutospacing="1" w:after="100" w:afterAutospacing="1" w:line="360" w:lineRule="auto"/>
        <w:ind w:firstLine="720"/>
        <w:jc w:val="both"/>
        <w:rPr>
          <w:rFonts w:ascii="Arial" w:hAnsi="Arial" w:cs="Arial"/>
          <w:color w:val="000000"/>
          <w:sz w:val="22"/>
          <w:szCs w:val="22"/>
        </w:rPr>
      </w:pPr>
      <w:r w:rsidRPr="00463515">
        <w:rPr>
          <w:rFonts w:ascii="Arial" w:hAnsi="Arial" w:cs="Arial"/>
          <w:color w:val="000000"/>
          <w:sz w:val="22"/>
          <w:szCs w:val="22"/>
        </w:rPr>
        <w:t>The findings of this scoping review indicate that immigrants and refugees encounter multiple, complex, and interrelated challenges in accessing social care services in the United Kingdom. These findings directly address the review question, underscoring persistent barriers that impact both access to and the quality of care experienced by these populations</w:t>
      </w:r>
      <w:r w:rsidR="006E2AC1" w:rsidRPr="00463515">
        <w:rPr>
          <w:rFonts w:ascii="Arial" w:hAnsi="Arial" w:cs="Arial"/>
          <w:i/>
          <w:iCs/>
          <w:color w:val="000000"/>
          <w:sz w:val="22"/>
          <w:szCs w:val="22"/>
        </w:rPr>
        <w:t xml:space="preserve"> “What</w:t>
      </w:r>
      <w:r w:rsidR="00D737EA" w:rsidRPr="00463515">
        <w:rPr>
          <w:rFonts w:ascii="Arial" w:hAnsi="Arial" w:cs="Arial"/>
          <w:i/>
          <w:iCs/>
          <w:color w:val="000000"/>
          <w:sz w:val="22"/>
          <w:szCs w:val="22"/>
        </w:rPr>
        <w:t xml:space="preserve"> are the main barriers and experiences of immigrants and refugees accessing social care services in the UK</w:t>
      </w:r>
      <w:r w:rsidR="001D3E31" w:rsidRPr="008F6DB1">
        <w:rPr>
          <w:rFonts w:ascii="Arial" w:hAnsi="Arial" w:cs="Arial"/>
          <w:i/>
          <w:iCs/>
          <w:color w:val="000000"/>
          <w:sz w:val="22"/>
          <w:szCs w:val="22"/>
        </w:rPr>
        <w:t>?”</w:t>
      </w:r>
      <w:r w:rsidR="001D3E31" w:rsidRPr="008F6DB1">
        <w:rPr>
          <w:rFonts w:ascii="Arial" w:hAnsi="Arial" w:cs="Arial"/>
          <w:color w:val="000000"/>
          <w:sz w:val="22"/>
          <w:szCs w:val="22"/>
        </w:rPr>
        <w:t xml:space="preserve"> </w:t>
      </w:r>
      <w:r w:rsidR="001762F5">
        <w:rPr>
          <w:rFonts w:ascii="Arial" w:hAnsi="Arial" w:cs="Arial"/>
          <w:color w:val="000000"/>
          <w:sz w:val="22"/>
          <w:szCs w:val="22"/>
        </w:rPr>
        <w:t>S</w:t>
      </w:r>
      <w:r w:rsidR="00D737EA" w:rsidRPr="008F6DB1">
        <w:rPr>
          <w:rFonts w:ascii="Arial" w:hAnsi="Arial" w:cs="Arial"/>
          <w:color w:val="000000"/>
          <w:sz w:val="22"/>
          <w:szCs w:val="22"/>
        </w:rPr>
        <w:t xml:space="preserve">tructural, cultural, and communication barriers consistently shaped their experiences. For example, structural barriers, such as immigration status and eligibility rules, were identified in the studies by </w:t>
      </w:r>
      <w:r w:rsidR="00C46721" w:rsidRPr="008F6DB1">
        <w:rPr>
          <w:rFonts w:ascii="Arial" w:hAnsi="Arial" w:cs="Arial"/>
          <w:color w:val="000000"/>
          <w:sz w:val="22"/>
          <w:szCs w:val="22"/>
        </w:rPr>
        <w:t>(</w:t>
      </w:r>
      <w:r w:rsidR="00D737EA" w:rsidRPr="008F6DB1">
        <w:rPr>
          <w:rFonts w:ascii="Arial" w:hAnsi="Arial" w:cs="Arial"/>
          <w:color w:val="000000"/>
          <w:sz w:val="22"/>
          <w:szCs w:val="22"/>
        </w:rPr>
        <w:t>Springer</w:t>
      </w:r>
      <w:r w:rsidR="00C46721" w:rsidRPr="008F6DB1">
        <w:rPr>
          <w:rFonts w:ascii="Arial" w:hAnsi="Arial" w:cs="Arial"/>
          <w:color w:val="000000"/>
          <w:sz w:val="22"/>
          <w:szCs w:val="22"/>
        </w:rPr>
        <w:t xml:space="preserve"> </w:t>
      </w:r>
      <w:r w:rsidR="001D3E31" w:rsidRPr="008F6DB1">
        <w:rPr>
          <w:rFonts w:ascii="Arial" w:hAnsi="Arial" w:cs="Arial"/>
          <w:color w:val="000000"/>
          <w:sz w:val="22"/>
          <w:szCs w:val="22"/>
        </w:rPr>
        <w:t>202, ScienceDirect</w:t>
      </w:r>
      <w:r w:rsidR="00D737EA" w:rsidRPr="008F6DB1">
        <w:rPr>
          <w:rFonts w:ascii="Arial" w:hAnsi="Arial" w:cs="Arial"/>
          <w:color w:val="000000"/>
          <w:sz w:val="22"/>
          <w:szCs w:val="22"/>
        </w:rPr>
        <w:t xml:space="preserve"> 2025</w:t>
      </w:r>
      <w:r w:rsidR="001D3E31" w:rsidRPr="008F6DB1">
        <w:rPr>
          <w:rFonts w:ascii="Arial" w:hAnsi="Arial" w:cs="Arial"/>
          <w:color w:val="000000"/>
          <w:sz w:val="22"/>
          <w:szCs w:val="22"/>
        </w:rPr>
        <w:t>). These</w:t>
      </w:r>
      <w:r w:rsidR="00D737EA" w:rsidRPr="008F6DB1">
        <w:rPr>
          <w:rFonts w:ascii="Arial" w:hAnsi="Arial" w:cs="Arial"/>
          <w:color w:val="000000"/>
          <w:sz w:val="22"/>
          <w:szCs w:val="22"/>
        </w:rPr>
        <w:t xml:space="preserve"> </w:t>
      </w:r>
      <w:r w:rsidR="00FC5C73" w:rsidRPr="008F6DB1">
        <w:rPr>
          <w:rFonts w:ascii="Arial" w:hAnsi="Arial" w:cs="Arial"/>
          <w:color w:val="000000"/>
          <w:sz w:val="22"/>
          <w:szCs w:val="22"/>
        </w:rPr>
        <w:t>often-created</w:t>
      </w:r>
      <w:r w:rsidR="00D737EA" w:rsidRPr="008F6DB1">
        <w:rPr>
          <w:rFonts w:ascii="Arial" w:hAnsi="Arial" w:cs="Arial"/>
          <w:color w:val="000000"/>
          <w:sz w:val="22"/>
          <w:szCs w:val="22"/>
        </w:rPr>
        <w:t xml:space="preserve"> uncertainty and stress for migrants. From my perspective, these findings suggest that the social care system, while well-intentioned, does not fully account for the complex realities faced by migrant populations.</w:t>
      </w:r>
    </w:p>
    <w:p w14:paraId="52366885" w14:textId="67ECC746" w:rsidR="00D737EA" w:rsidRPr="008F6DB1" w:rsidRDefault="00D737EA" w:rsidP="001028D6">
      <w:pPr>
        <w:spacing w:before="100" w:beforeAutospacing="1" w:after="100" w:afterAutospacing="1" w:line="360" w:lineRule="auto"/>
        <w:ind w:firstLine="720"/>
        <w:jc w:val="both"/>
        <w:rPr>
          <w:rFonts w:ascii="Arial" w:hAnsi="Arial" w:cs="Arial"/>
          <w:color w:val="000000"/>
          <w:sz w:val="22"/>
          <w:szCs w:val="22"/>
        </w:rPr>
      </w:pPr>
      <w:r w:rsidRPr="008F6DB1">
        <w:rPr>
          <w:rFonts w:ascii="Arial" w:hAnsi="Arial" w:cs="Arial"/>
          <w:color w:val="000000"/>
          <w:sz w:val="22"/>
          <w:szCs w:val="22"/>
        </w:rPr>
        <w:t xml:space="preserve">Language and communication challenges were also highlighted across the literature. </w:t>
      </w:r>
      <w:r w:rsidR="00073C37">
        <w:rPr>
          <w:rFonts w:ascii="Arial" w:hAnsi="Arial" w:cs="Arial"/>
          <w:color w:val="000000"/>
          <w:sz w:val="22"/>
          <w:szCs w:val="22"/>
        </w:rPr>
        <w:t>M</w:t>
      </w:r>
      <w:r w:rsidRPr="008F6DB1">
        <w:rPr>
          <w:rFonts w:ascii="Arial" w:hAnsi="Arial" w:cs="Arial"/>
          <w:color w:val="000000"/>
          <w:sz w:val="22"/>
          <w:szCs w:val="22"/>
        </w:rPr>
        <w:t xml:space="preserve">igrants </w:t>
      </w:r>
      <w:r w:rsidR="00027663">
        <w:rPr>
          <w:rFonts w:ascii="Arial" w:hAnsi="Arial" w:cs="Arial"/>
          <w:color w:val="000000"/>
          <w:sz w:val="22"/>
          <w:szCs w:val="22"/>
        </w:rPr>
        <w:t xml:space="preserve">were </w:t>
      </w:r>
      <w:r w:rsidR="000345BA">
        <w:rPr>
          <w:rFonts w:ascii="Arial" w:hAnsi="Arial" w:cs="Arial"/>
          <w:color w:val="000000"/>
          <w:sz w:val="22"/>
          <w:szCs w:val="22"/>
        </w:rPr>
        <w:t xml:space="preserve">noted experience </w:t>
      </w:r>
      <w:r w:rsidRPr="008F6DB1">
        <w:rPr>
          <w:rFonts w:ascii="Arial" w:hAnsi="Arial" w:cs="Arial"/>
          <w:color w:val="000000"/>
          <w:sz w:val="22"/>
          <w:szCs w:val="22"/>
        </w:rPr>
        <w:t>struggle to understand how to access services or communicate their needs effectively, which can lead to delays in care and frustration (</w:t>
      </w:r>
      <w:r w:rsidR="00195649" w:rsidRPr="008F6DB1">
        <w:rPr>
          <w:rFonts w:ascii="Arial" w:hAnsi="Arial" w:cs="Arial"/>
          <w:color w:val="000000"/>
          <w:sz w:val="22"/>
          <w:szCs w:val="22"/>
        </w:rPr>
        <w:t xml:space="preserve">Cai Kang, </w:t>
      </w:r>
      <w:r w:rsidR="00886765" w:rsidRPr="008F6DB1">
        <w:rPr>
          <w:rFonts w:ascii="Arial" w:hAnsi="Arial" w:cs="Arial"/>
          <w:color w:val="000000"/>
          <w:sz w:val="22"/>
          <w:szCs w:val="22"/>
        </w:rPr>
        <w:t>Tomkow</w:t>
      </w:r>
      <w:r w:rsidR="00886765" w:rsidRPr="008F6DB1">
        <w:rPr>
          <w:rStyle w:val="apple-converted-space"/>
          <w:rFonts w:ascii="Arial" w:eastAsiaTheme="majorEastAsia" w:hAnsi="Arial" w:cs="Arial"/>
          <w:color w:val="000000"/>
          <w:sz w:val="22"/>
          <w:szCs w:val="22"/>
        </w:rPr>
        <w:t>,</w:t>
      </w:r>
      <w:r w:rsidRPr="008F6DB1">
        <w:rPr>
          <w:rFonts w:ascii="Arial" w:hAnsi="Arial" w:cs="Arial"/>
          <w:color w:val="000000"/>
          <w:sz w:val="22"/>
          <w:szCs w:val="22"/>
        </w:rPr>
        <w:t xml:space="preserve"> 201</w:t>
      </w:r>
      <w:r w:rsidR="00886765" w:rsidRPr="008F6DB1">
        <w:rPr>
          <w:rFonts w:ascii="Arial" w:hAnsi="Arial" w:cs="Arial"/>
          <w:color w:val="000000"/>
          <w:sz w:val="22"/>
          <w:szCs w:val="22"/>
        </w:rPr>
        <w:t>9</w:t>
      </w:r>
      <w:r w:rsidRPr="008F6DB1">
        <w:rPr>
          <w:rFonts w:ascii="Arial" w:hAnsi="Arial" w:cs="Arial"/>
          <w:color w:val="000000"/>
          <w:sz w:val="22"/>
          <w:szCs w:val="22"/>
        </w:rPr>
        <w:t xml:space="preserve">; ScienceDirect, 2025). The study by </w:t>
      </w:r>
      <w:r w:rsidR="00D85144" w:rsidRPr="008F6DB1">
        <w:rPr>
          <w:rFonts w:ascii="Arial" w:hAnsi="Arial" w:cs="Arial"/>
          <w:color w:val="000000"/>
          <w:sz w:val="22"/>
          <w:szCs w:val="22"/>
        </w:rPr>
        <w:t>(</w:t>
      </w:r>
      <w:r w:rsidRPr="008F6DB1">
        <w:rPr>
          <w:rFonts w:ascii="Arial" w:hAnsi="Arial" w:cs="Arial"/>
          <w:color w:val="000000"/>
          <w:sz w:val="22"/>
          <w:szCs w:val="22"/>
        </w:rPr>
        <w:t>Oliver et al. 2022</w:t>
      </w:r>
      <w:r w:rsidR="00607DCE" w:rsidRPr="008F6DB1">
        <w:rPr>
          <w:rFonts w:ascii="Arial" w:hAnsi="Arial" w:cs="Arial"/>
          <w:color w:val="000000"/>
          <w:sz w:val="22"/>
          <w:szCs w:val="22"/>
        </w:rPr>
        <w:t>). Demonstrated</w:t>
      </w:r>
      <w:r w:rsidRPr="008F6DB1">
        <w:rPr>
          <w:rFonts w:ascii="Arial" w:hAnsi="Arial" w:cs="Arial"/>
          <w:color w:val="000000"/>
          <w:sz w:val="22"/>
          <w:szCs w:val="22"/>
        </w:rPr>
        <w:t xml:space="preserve"> that community health champions can bridge these gaps, improving understanding and trust. Reflecting on this, I see that communication is not just a logistical concern but a key factor in ensuring equitable and meaningful access to social care.</w:t>
      </w:r>
    </w:p>
    <w:p w14:paraId="0C54A0DE" w14:textId="0F00C4A9" w:rsidR="00D737EA" w:rsidRPr="008F6DB1" w:rsidRDefault="00D737EA" w:rsidP="001028D6">
      <w:pPr>
        <w:spacing w:before="100" w:beforeAutospacing="1" w:after="100" w:afterAutospacing="1" w:line="360" w:lineRule="auto"/>
        <w:ind w:firstLine="720"/>
        <w:jc w:val="both"/>
        <w:rPr>
          <w:rFonts w:ascii="Arial" w:hAnsi="Arial" w:cs="Arial"/>
          <w:color w:val="000000"/>
          <w:sz w:val="22"/>
          <w:szCs w:val="22"/>
        </w:rPr>
      </w:pPr>
      <w:r w:rsidRPr="008F6DB1">
        <w:rPr>
          <w:rFonts w:ascii="Arial" w:hAnsi="Arial" w:cs="Arial"/>
          <w:color w:val="000000"/>
          <w:sz w:val="22"/>
          <w:szCs w:val="22"/>
        </w:rPr>
        <w:lastRenderedPageBreak/>
        <w:t xml:space="preserve">Discrimination and trust further shaped migrant experiences. Negative encounters with service providers, as reported in the </w:t>
      </w:r>
      <w:r w:rsidR="003F283D" w:rsidRPr="008F6DB1">
        <w:rPr>
          <w:rFonts w:ascii="Arial" w:hAnsi="Arial" w:cs="Arial"/>
          <w:color w:val="000000"/>
          <w:sz w:val="22"/>
          <w:szCs w:val="22"/>
        </w:rPr>
        <w:t>(</w:t>
      </w:r>
      <w:r w:rsidRPr="008F6DB1">
        <w:rPr>
          <w:rFonts w:ascii="Arial" w:hAnsi="Arial" w:cs="Arial"/>
          <w:color w:val="000000"/>
          <w:sz w:val="22"/>
          <w:szCs w:val="22"/>
        </w:rPr>
        <w:t>Oxford Academic study 2024)</w:t>
      </w:r>
      <w:r w:rsidR="003F283D" w:rsidRPr="008F6DB1">
        <w:rPr>
          <w:rFonts w:ascii="Arial" w:hAnsi="Arial" w:cs="Arial"/>
          <w:color w:val="000000"/>
          <w:sz w:val="22"/>
          <w:szCs w:val="22"/>
        </w:rPr>
        <w:t xml:space="preserve">. </w:t>
      </w:r>
      <w:r w:rsidRPr="008F6DB1">
        <w:rPr>
          <w:rFonts w:ascii="Arial" w:hAnsi="Arial" w:cs="Arial"/>
          <w:color w:val="000000"/>
          <w:sz w:val="22"/>
          <w:szCs w:val="22"/>
        </w:rPr>
        <w:t xml:space="preserve"> </w:t>
      </w:r>
      <w:r w:rsidR="003F283D" w:rsidRPr="008F6DB1">
        <w:rPr>
          <w:rFonts w:ascii="Arial" w:hAnsi="Arial" w:cs="Arial"/>
          <w:color w:val="000000"/>
          <w:sz w:val="22"/>
          <w:szCs w:val="22"/>
        </w:rPr>
        <w:t>D</w:t>
      </w:r>
      <w:r w:rsidRPr="008F6DB1">
        <w:rPr>
          <w:rFonts w:ascii="Arial" w:hAnsi="Arial" w:cs="Arial"/>
          <w:color w:val="000000"/>
          <w:sz w:val="22"/>
          <w:szCs w:val="22"/>
        </w:rPr>
        <w:t>iscouraged engagement with social care. While reviewing these findings, fostering trust is essential; migrants are more likely to seek help when they feel respected, understood, and safe. Cultural differences also played a role, affecting how migrants perceive care and interact with services (Phillimore, 2015). From my perspective, understanding these cultural nuances is crucial for designing interventions that are effective and acceptable.</w:t>
      </w:r>
    </w:p>
    <w:p w14:paraId="25AC235E" w14:textId="3D6B11F2" w:rsidR="00D737EA" w:rsidRPr="008F6DB1" w:rsidRDefault="00D737EA" w:rsidP="001028D6">
      <w:pPr>
        <w:spacing w:before="100" w:beforeAutospacing="1" w:after="100" w:afterAutospacing="1" w:line="360" w:lineRule="auto"/>
        <w:jc w:val="both"/>
        <w:rPr>
          <w:rFonts w:ascii="Arial" w:hAnsi="Arial" w:cs="Arial"/>
          <w:color w:val="000000"/>
          <w:sz w:val="22"/>
          <w:szCs w:val="22"/>
        </w:rPr>
      </w:pPr>
      <w:r w:rsidRPr="008F6DB1">
        <w:rPr>
          <w:rFonts w:ascii="Arial" w:hAnsi="Arial" w:cs="Arial"/>
          <w:b/>
          <w:bCs/>
          <w:color w:val="000000"/>
          <w:sz w:val="22"/>
          <w:szCs w:val="22"/>
        </w:rPr>
        <w:t xml:space="preserve">Limitations </w:t>
      </w:r>
    </w:p>
    <w:p w14:paraId="57D581E6" w14:textId="77777777" w:rsidR="00D737EA" w:rsidRPr="008F6DB1" w:rsidRDefault="00D737EA" w:rsidP="00D72D0A">
      <w:pPr>
        <w:spacing w:before="100" w:beforeAutospacing="1" w:after="100" w:afterAutospacing="1" w:line="360" w:lineRule="auto"/>
        <w:ind w:firstLine="720"/>
        <w:jc w:val="both"/>
        <w:rPr>
          <w:rFonts w:ascii="Arial" w:hAnsi="Arial" w:cs="Arial"/>
          <w:color w:val="000000"/>
          <w:sz w:val="22"/>
          <w:szCs w:val="22"/>
        </w:rPr>
      </w:pPr>
      <w:r w:rsidRPr="008F6DB1">
        <w:rPr>
          <w:rFonts w:ascii="Arial" w:hAnsi="Arial" w:cs="Arial"/>
          <w:color w:val="000000"/>
          <w:sz w:val="22"/>
          <w:szCs w:val="22"/>
        </w:rPr>
        <w:t>Limited number of studies (five), which may not fully capture the diversity of immigrant and refugee experiences in the UK.</w:t>
      </w:r>
    </w:p>
    <w:p w14:paraId="34E52999" w14:textId="77777777" w:rsidR="00D737EA" w:rsidRDefault="00D737EA" w:rsidP="00D72D0A">
      <w:pPr>
        <w:spacing w:before="100" w:beforeAutospacing="1" w:after="100" w:afterAutospacing="1" w:line="360" w:lineRule="auto"/>
        <w:ind w:firstLine="720"/>
        <w:jc w:val="both"/>
        <w:rPr>
          <w:rFonts w:ascii="Arial" w:hAnsi="Arial" w:cs="Arial"/>
          <w:color w:val="000000"/>
          <w:sz w:val="22"/>
          <w:szCs w:val="22"/>
        </w:rPr>
      </w:pPr>
      <w:r w:rsidRPr="008F6DB1">
        <w:rPr>
          <w:rFonts w:ascii="Arial" w:hAnsi="Arial" w:cs="Arial"/>
          <w:color w:val="000000"/>
          <w:sz w:val="22"/>
          <w:szCs w:val="22"/>
        </w:rPr>
        <w:t>Focus primarily on healthcare-related social care, rather than the full spectrum of services, such as housing, welfare, or mental health support.</w:t>
      </w:r>
    </w:p>
    <w:p w14:paraId="08E3A486" w14:textId="38941CDA" w:rsidR="003312C6" w:rsidRPr="003312C6" w:rsidRDefault="003312C6" w:rsidP="00D72D0A">
      <w:pPr>
        <w:spacing w:before="100" w:beforeAutospacing="1" w:after="100" w:afterAutospacing="1" w:line="360" w:lineRule="auto"/>
        <w:ind w:firstLine="360"/>
        <w:rPr>
          <w:rFonts w:ascii="Arial" w:hAnsi="Arial" w:cs="Arial"/>
          <w:color w:val="000000"/>
          <w:sz w:val="22"/>
          <w:szCs w:val="22"/>
        </w:rPr>
      </w:pPr>
      <w:r w:rsidRPr="003312C6">
        <w:rPr>
          <w:rFonts w:ascii="Arial" w:hAnsi="Arial" w:cs="Arial"/>
          <w:color w:val="000000"/>
          <w:sz w:val="22"/>
          <w:szCs w:val="22"/>
        </w:rPr>
        <w:t>The predominance of cross-sectional designs among the included studies represents a significant limitation, as it restricts the analysis to a single point in time and prevents a deeper understanding of long-term outcomes and temporal changes. Consequently, it remains unclear how the experiences, needs, and access to social care among immigrants and refugees evolve over time</w:t>
      </w:r>
    </w:p>
    <w:p w14:paraId="3923645D" w14:textId="77777777" w:rsidR="006A7135" w:rsidRPr="008F6DB1" w:rsidRDefault="006A7135" w:rsidP="00876055">
      <w:pPr>
        <w:spacing w:before="100" w:beforeAutospacing="1" w:after="100" w:afterAutospacing="1" w:line="360" w:lineRule="auto"/>
        <w:jc w:val="both"/>
        <w:rPr>
          <w:rFonts w:ascii="Arial" w:hAnsi="Arial" w:cs="Arial"/>
          <w:color w:val="000000"/>
          <w:sz w:val="22"/>
          <w:szCs w:val="22"/>
        </w:rPr>
      </w:pPr>
    </w:p>
    <w:p w14:paraId="15C7122D" w14:textId="762D3916" w:rsidR="00D737EA" w:rsidRPr="008F6DB1" w:rsidRDefault="00D737EA" w:rsidP="001028D6">
      <w:pPr>
        <w:spacing w:before="100" w:beforeAutospacing="1" w:after="100" w:afterAutospacing="1" w:line="360" w:lineRule="auto"/>
        <w:ind w:firstLine="360"/>
        <w:jc w:val="both"/>
        <w:rPr>
          <w:rFonts w:ascii="Arial" w:hAnsi="Arial" w:cs="Arial"/>
          <w:color w:val="000000"/>
          <w:sz w:val="22"/>
          <w:szCs w:val="22"/>
        </w:rPr>
      </w:pPr>
      <w:r w:rsidRPr="008F6DB1">
        <w:rPr>
          <w:rFonts w:ascii="Arial" w:hAnsi="Arial" w:cs="Arial"/>
          <w:color w:val="000000"/>
          <w:sz w:val="22"/>
          <w:szCs w:val="22"/>
        </w:rPr>
        <w:t>Despite these limitations, the findings provide meaningful insights into the main barriers and facilitators affecting migrant access to social care. They highlight the importance of </w:t>
      </w:r>
      <w:r w:rsidRPr="00D72D0A">
        <w:rPr>
          <w:rFonts w:ascii="Arial" w:hAnsi="Arial" w:cs="Arial"/>
          <w:color w:val="000000"/>
          <w:sz w:val="22"/>
          <w:szCs w:val="22"/>
        </w:rPr>
        <w:t>culturally competent care, community-based interventions</w:t>
      </w:r>
      <w:r w:rsidRPr="008F6DB1">
        <w:rPr>
          <w:rFonts w:ascii="Arial" w:hAnsi="Arial" w:cs="Arial"/>
          <w:color w:val="000000"/>
          <w:sz w:val="22"/>
          <w:szCs w:val="22"/>
        </w:rPr>
        <w:t> such as health champions (Oliver et al., 2022), and inclusive policies that ensure equitable access for all migrants. Overall, this review emphasizes that improving access to social care requires a </w:t>
      </w:r>
      <w:r w:rsidRPr="00CF21B0">
        <w:rPr>
          <w:rFonts w:ascii="Arial" w:hAnsi="Arial" w:cs="Arial"/>
          <w:color w:val="000000"/>
          <w:sz w:val="22"/>
          <w:szCs w:val="22"/>
        </w:rPr>
        <w:t xml:space="preserve">holistic </w:t>
      </w:r>
      <w:r w:rsidRPr="00D72D0A">
        <w:rPr>
          <w:rFonts w:ascii="Arial" w:hAnsi="Arial" w:cs="Arial"/>
          <w:color w:val="000000"/>
          <w:sz w:val="22"/>
          <w:szCs w:val="22"/>
        </w:rPr>
        <w:t>approach</w:t>
      </w:r>
      <w:r w:rsidRPr="008F6DB1">
        <w:rPr>
          <w:rFonts w:ascii="Arial" w:hAnsi="Arial" w:cs="Arial"/>
          <w:color w:val="000000"/>
          <w:sz w:val="22"/>
          <w:szCs w:val="22"/>
        </w:rPr>
        <w:t>, addressing structural, communication, cultural, and trust-related barriers simultaneously.</w:t>
      </w:r>
    </w:p>
    <w:p w14:paraId="682D1769" w14:textId="77777777" w:rsidR="003E4ECF" w:rsidRPr="008F6DB1" w:rsidRDefault="003E4ECF" w:rsidP="001028D6">
      <w:pPr>
        <w:tabs>
          <w:tab w:val="left" w:pos="6540"/>
        </w:tabs>
        <w:spacing w:line="360" w:lineRule="auto"/>
        <w:jc w:val="both"/>
        <w:rPr>
          <w:rFonts w:ascii="Arial" w:hAnsi="Arial" w:cs="Arial"/>
          <w:sz w:val="22"/>
          <w:szCs w:val="22"/>
        </w:rPr>
      </w:pPr>
    </w:p>
    <w:p w14:paraId="298DB42E" w14:textId="77777777" w:rsidR="00165A9D" w:rsidRDefault="00165A9D" w:rsidP="001028D6">
      <w:pPr>
        <w:pStyle w:val="Heading1"/>
        <w:jc w:val="both"/>
        <w:rPr>
          <w:rFonts w:cs="Arial"/>
          <w:sz w:val="22"/>
          <w:szCs w:val="22"/>
        </w:rPr>
      </w:pPr>
    </w:p>
    <w:p w14:paraId="4371A9C5" w14:textId="04A2986A" w:rsidR="00F66E1B" w:rsidRPr="008F6DB1" w:rsidRDefault="004A736E" w:rsidP="003B07B6">
      <w:pPr>
        <w:pStyle w:val="Heading1"/>
        <w:jc w:val="both"/>
        <w:rPr>
          <w:rFonts w:cs="Arial"/>
          <w:sz w:val="22"/>
          <w:szCs w:val="22"/>
        </w:rPr>
      </w:pPr>
      <w:r w:rsidRPr="008F6DB1">
        <w:rPr>
          <w:rFonts w:cs="Arial"/>
          <w:sz w:val="22"/>
          <w:szCs w:val="22"/>
        </w:rPr>
        <w:t>6</w:t>
      </w:r>
      <w:r w:rsidR="003B07B6">
        <w:rPr>
          <w:rFonts w:cs="Arial"/>
          <w:sz w:val="22"/>
          <w:szCs w:val="22"/>
        </w:rPr>
        <w:t xml:space="preserve"> </w:t>
      </w:r>
      <w:r w:rsidR="00A8750C">
        <w:rPr>
          <w:rFonts w:cs="Arial"/>
          <w:sz w:val="22"/>
          <w:szCs w:val="22"/>
        </w:rPr>
        <w:t xml:space="preserve">Conclusion </w:t>
      </w:r>
    </w:p>
    <w:p w14:paraId="5CBDB28F" w14:textId="06517C26" w:rsidR="00203250" w:rsidRPr="00A1576B" w:rsidRDefault="003B07B6" w:rsidP="002D54F9">
      <w:pPr>
        <w:pStyle w:val="NormalWeb"/>
        <w:spacing w:line="360" w:lineRule="auto"/>
        <w:ind w:firstLine="720"/>
        <w:jc w:val="both"/>
        <w:rPr>
          <w:rFonts w:ascii="Arial" w:hAnsi="Arial" w:cs="Arial"/>
          <w:color w:val="000000"/>
          <w:sz w:val="22"/>
          <w:szCs w:val="22"/>
        </w:rPr>
      </w:pPr>
      <w:r w:rsidRPr="00A1576B">
        <w:rPr>
          <w:rFonts w:ascii="Arial" w:hAnsi="Arial" w:cs="Arial"/>
          <w:color w:val="000000"/>
          <w:sz w:val="22"/>
          <w:szCs w:val="22"/>
        </w:rPr>
        <w:t>This scoping review highlights that immigrants and refugees in the United Kingdom face multiple and interconnected barriers when accessing social care services. These include structural barriers related to immigration status, language and communication difficulties, discrimination and mistrust, and cultural differences in understandings of care. Despite these challenges, community-based interventions, particularly health champion models, play a significant role in improving access by enhancing trust, supporting navigation of services, and facilitating engagement. Overall, the findings indicate that although policy frameworks promote equality and person-centred care, significant inequalities persist in practice. Addressing these disparities requires a comprehensive and coordinated approach that considers structural, cultural, and communicative dimensions of access to social care.</w:t>
      </w:r>
    </w:p>
    <w:p w14:paraId="4F8D4C2C" w14:textId="77777777" w:rsidR="00C5147B" w:rsidRPr="00A1576B" w:rsidRDefault="00C5147B" w:rsidP="00A1576B">
      <w:pPr>
        <w:pStyle w:val="Heading1"/>
        <w:jc w:val="both"/>
        <w:rPr>
          <w:rFonts w:cs="Arial"/>
          <w:color w:val="000000"/>
          <w:sz w:val="22"/>
          <w:szCs w:val="22"/>
        </w:rPr>
      </w:pPr>
      <w:r w:rsidRPr="00A1576B">
        <w:rPr>
          <w:rStyle w:val="Strong"/>
          <w:rFonts w:cs="Arial"/>
          <w:b/>
          <w:bCs w:val="0"/>
          <w:color w:val="000000"/>
          <w:sz w:val="22"/>
          <w:szCs w:val="22"/>
        </w:rPr>
        <w:t>Recommendations</w:t>
      </w:r>
    </w:p>
    <w:p w14:paraId="7AB02293" w14:textId="77777777" w:rsidR="00C5147B" w:rsidRPr="00A1576B" w:rsidRDefault="00C5147B" w:rsidP="002D54F9">
      <w:pPr>
        <w:pStyle w:val="NormalWeb"/>
        <w:spacing w:line="360" w:lineRule="auto"/>
        <w:ind w:firstLine="720"/>
        <w:jc w:val="both"/>
        <w:rPr>
          <w:rFonts w:ascii="Arial" w:hAnsi="Arial" w:cs="Arial"/>
          <w:color w:val="000000"/>
          <w:sz w:val="22"/>
          <w:szCs w:val="22"/>
        </w:rPr>
      </w:pPr>
      <w:r w:rsidRPr="00A1576B">
        <w:rPr>
          <w:rFonts w:ascii="Arial" w:hAnsi="Arial" w:cs="Arial"/>
          <w:color w:val="000000"/>
          <w:sz w:val="22"/>
          <w:szCs w:val="22"/>
        </w:rPr>
        <w:t>The findings suggest that immigration-related eligibility criteria within social care should be reviewed to reduce structural exclusion and ensure equitable access to essential services. Clear and accessible communication of rights and entitlements should be provided in multiple languages to improve understanding among migrant populations. For example, local authorities could develop translated digital information packs and multilingual helplines to support newly arrived migrants. In addition, national and local policies should strengthen cultural competence requirements and embed anti-discrimination measures to promote fairness and trust within the system (Phillimore, 2015; Marmot et al., 2020; Spencer and Charsley, 2021).</w:t>
      </w:r>
    </w:p>
    <w:p w14:paraId="522B6580" w14:textId="77777777" w:rsidR="00C5147B" w:rsidRPr="00A1576B" w:rsidRDefault="00F1224B" w:rsidP="00A1576B">
      <w:pPr>
        <w:spacing w:line="360" w:lineRule="auto"/>
        <w:jc w:val="both"/>
        <w:rPr>
          <w:rFonts w:ascii="Arial" w:hAnsi="Arial" w:cs="Arial"/>
          <w:sz w:val="22"/>
          <w:szCs w:val="22"/>
        </w:rPr>
      </w:pPr>
      <w:r w:rsidRPr="00F1224B">
        <w:rPr>
          <w:rFonts w:ascii="Arial" w:hAnsi="Arial" w:cs="Arial"/>
          <w:noProof/>
          <w:sz w:val="22"/>
          <w:szCs w:val="22"/>
        </w:rPr>
        <w:pict w14:anchorId="6D03121C">
          <v:rect id="_x0000_i1026" alt="" style="width:451.3pt;height:.05pt;mso-width-percent:0;mso-height-percent:0;mso-width-percent:0;mso-height-percent:0" o:hralign="center" o:hrstd="t" o:hr="t" fillcolor="#a0a0a0" stroked="f"/>
        </w:pict>
      </w:r>
    </w:p>
    <w:p w14:paraId="65E1C254" w14:textId="77777777" w:rsidR="00C5147B" w:rsidRPr="00A1576B" w:rsidRDefault="00C5147B" w:rsidP="00A1576B">
      <w:pPr>
        <w:pStyle w:val="Heading1"/>
        <w:jc w:val="both"/>
        <w:rPr>
          <w:rFonts w:cs="Arial"/>
          <w:color w:val="000000"/>
          <w:sz w:val="22"/>
          <w:szCs w:val="22"/>
        </w:rPr>
      </w:pPr>
      <w:r w:rsidRPr="00A1576B">
        <w:rPr>
          <w:rStyle w:val="Strong"/>
          <w:rFonts w:cs="Arial"/>
          <w:b/>
          <w:bCs w:val="0"/>
          <w:color w:val="000000"/>
          <w:sz w:val="22"/>
          <w:szCs w:val="22"/>
        </w:rPr>
        <w:t>Practice Recommendations</w:t>
      </w:r>
    </w:p>
    <w:p w14:paraId="20E900C3" w14:textId="77777777" w:rsidR="00C5147B" w:rsidRPr="00A1576B" w:rsidRDefault="00C5147B" w:rsidP="002D54F9">
      <w:pPr>
        <w:pStyle w:val="NormalWeb"/>
        <w:spacing w:line="360" w:lineRule="auto"/>
        <w:ind w:firstLine="720"/>
        <w:jc w:val="both"/>
        <w:rPr>
          <w:rFonts w:ascii="Arial" w:hAnsi="Arial" w:cs="Arial"/>
          <w:color w:val="000000"/>
          <w:sz w:val="22"/>
          <w:szCs w:val="22"/>
        </w:rPr>
      </w:pPr>
      <w:r w:rsidRPr="00A1576B">
        <w:rPr>
          <w:rFonts w:ascii="Arial" w:hAnsi="Arial" w:cs="Arial"/>
          <w:color w:val="000000"/>
          <w:sz w:val="22"/>
          <w:szCs w:val="22"/>
        </w:rPr>
        <w:t xml:space="preserve">Social care practice should prioritise the development of cultural competence training for professionals to improve understanding of diverse migrant experiences. Interpreter and translation services should be expanded and made consistently available to reduce communication barriers. For example, employing trained community interpreters within social care teams could improve communication and service accessibility. Furthermore, support for community-based initiatives, such as health champions, should be strengthened, as these have been shown to improve trust, navigation of services, and engagement among migrants </w:t>
      </w:r>
      <w:r w:rsidRPr="00A1576B">
        <w:rPr>
          <w:rFonts w:ascii="Arial" w:hAnsi="Arial" w:cs="Arial"/>
          <w:color w:val="000000"/>
          <w:sz w:val="22"/>
          <w:szCs w:val="22"/>
        </w:rPr>
        <w:lastRenderedPageBreak/>
        <w:t>and refugees (Cai Kang, Tomkow and Farrington, 2019; Oliver et al., 2022; Hanley et al., 2019).</w:t>
      </w:r>
    </w:p>
    <w:p w14:paraId="25CEF010" w14:textId="77777777" w:rsidR="00C5147B" w:rsidRPr="00A1576B" w:rsidRDefault="00F1224B" w:rsidP="00A1576B">
      <w:pPr>
        <w:spacing w:line="360" w:lineRule="auto"/>
        <w:jc w:val="both"/>
        <w:rPr>
          <w:rFonts w:ascii="Arial" w:hAnsi="Arial" w:cs="Arial"/>
          <w:sz w:val="22"/>
          <w:szCs w:val="22"/>
        </w:rPr>
      </w:pPr>
      <w:r>
        <w:rPr>
          <w:noProof/>
        </w:rPr>
      </w:r>
      <w:r>
        <w:pict w14:anchorId="03D001B4">
          <v:rect id="Horizontal Line 6" o:spid="_x0000_s2050"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EDC6AA2" w14:textId="77777777" w:rsidR="00C5147B" w:rsidRPr="00A1576B" w:rsidRDefault="00C5147B" w:rsidP="00A1576B">
      <w:pPr>
        <w:pStyle w:val="Heading1"/>
        <w:jc w:val="both"/>
        <w:rPr>
          <w:rFonts w:cs="Arial"/>
          <w:color w:val="000000"/>
          <w:sz w:val="22"/>
          <w:szCs w:val="22"/>
        </w:rPr>
      </w:pPr>
      <w:r w:rsidRPr="00A1576B">
        <w:rPr>
          <w:rStyle w:val="Strong"/>
          <w:rFonts w:cs="Arial"/>
          <w:b/>
          <w:bCs w:val="0"/>
          <w:color w:val="000000"/>
          <w:sz w:val="22"/>
          <w:szCs w:val="22"/>
        </w:rPr>
        <w:t>Future Research Recommendations</w:t>
      </w:r>
    </w:p>
    <w:p w14:paraId="38F39401" w14:textId="77777777" w:rsidR="00C5147B" w:rsidRPr="00A1576B" w:rsidRDefault="00C5147B" w:rsidP="002D54F9">
      <w:pPr>
        <w:pStyle w:val="NormalWeb"/>
        <w:spacing w:line="360" w:lineRule="auto"/>
        <w:ind w:firstLine="720"/>
        <w:jc w:val="both"/>
        <w:rPr>
          <w:rFonts w:ascii="Arial" w:hAnsi="Arial" w:cs="Arial"/>
          <w:color w:val="000000"/>
          <w:sz w:val="22"/>
          <w:szCs w:val="22"/>
        </w:rPr>
      </w:pPr>
      <w:r w:rsidRPr="00A1576B">
        <w:rPr>
          <w:rFonts w:ascii="Arial" w:hAnsi="Arial" w:cs="Arial"/>
          <w:color w:val="000000"/>
          <w:sz w:val="22"/>
          <w:szCs w:val="22"/>
        </w:rPr>
        <w:t>Future research should focus on longitudinal studies to better understand how migrant experiences of social care access evolve over time. There is also a need for broader investigations across different areas of social care, including housing, welfare, and mental health support. Additionally, intersectional approaches considering factors such as age, gender, migration status, and socio-economic background would provide a more comprehensive understanding of inequalities and support the development of more targeted and effective interventions. For example, future studies could compare access to social care between asylum seekers in urban and rural areas to identify regional disparities (Hanwell, Finnerty and Richardson, 2025; Priebe et al., 2016).</w:t>
      </w:r>
    </w:p>
    <w:p w14:paraId="364D7618" w14:textId="54B8550D" w:rsidR="00F66E1B" w:rsidRPr="008F6DB1" w:rsidRDefault="00F66E1B" w:rsidP="001028D6">
      <w:pPr>
        <w:tabs>
          <w:tab w:val="left" w:pos="6540"/>
        </w:tabs>
        <w:spacing w:line="360" w:lineRule="auto"/>
        <w:jc w:val="both"/>
        <w:rPr>
          <w:rFonts w:ascii="Arial" w:hAnsi="Arial" w:cs="Arial"/>
          <w:sz w:val="22"/>
          <w:szCs w:val="22"/>
        </w:rPr>
      </w:pPr>
    </w:p>
    <w:p w14:paraId="2E01B28F" w14:textId="77777777" w:rsidR="00814A9E" w:rsidRPr="008F6DB1" w:rsidRDefault="00814A9E" w:rsidP="001028D6">
      <w:pPr>
        <w:tabs>
          <w:tab w:val="left" w:pos="6540"/>
        </w:tabs>
        <w:spacing w:line="360" w:lineRule="auto"/>
        <w:jc w:val="both"/>
        <w:rPr>
          <w:rFonts w:ascii="Arial" w:hAnsi="Arial" w:cs="Arial"/>
          <w:sz w:val="22"/>
          <w:szCs w:val="22"/>
        </w:rPr>
      </w:pPr>
    </w:p>
    <w:p w14:paraId="38B71D46" w14:textId="77777777" w:rsidR="00814A9E" w:rsidRPr="008F6DB1" w:rsidRDefault="00814A9E" w:rsidP="001028D6">
      <w:pPr>
        <w:tabs>
          <w:tab w:val="left" w:pos="6540"/>
        </w:tabs>
        <w:spacing w:line="360" w:lineRule="auto"/>
        <w:jc w:val="both"/>
        <w:rPr>
          <w:rFonts w:ascii="Arial" w:hAnsi="Arial" w:cs="Arial"/>
          <w:sz w:val="22"/>
          <w:szCs w:val="22"/>
        </w:rPr>
      </w:pPr>
    </w:p>
    <w:p w14:paraId="444BAD02" w14:textId="77777777" w:rsidR="00814A9E" w:rsidRPr="008F6DB1" w:rsidRDefault="00814A9E" w:rsidP="001028D6">
      <w:pPr>
        <w:tabs>
          <w:tab w:val="left" w:pos="6540"/>
        </w:tabs>
        <w:spacing w:line="360" w:lineRule="auto"/>
        <w:jc w:val="both"/>
        <w:rPr>
          <w:rFonts w:ascii="Arial" w:hAnsi="Arial" w:cs="Arial"/>
          <w:sz w:val="22"/>
          <w:szCs w:val="22"/>
        </w:rPr>
      </w:pPr>
    </w:p>
    <w:p w14:paraId="71022E41" w14:textId="77777777" w:rsidR="00814A9E" w:rsidRPr="008F6DB1" w:rsidRDefault="00814A9E" w:rsidP="001028D6">
      <w:pPr>
        <w:tabs>
          <w:tab w:val="left" w:pos="6540"/>
        </w:tabs>
        <w:spacing w:line="360" w:lineRule="auto"/>
        <w:jc w:val="both"/>
        <w:rPr>
          <w:rFonts w:ascii="Arial" w:hAnsi="Arial" w:cs="Arial"/>
          <w:sz w:val="22"/>
          <w:szCs w:val="22"/>
        </w:rPr>
      </w:pPr>
    </w:p>
    <w:p w14:paraId="3EA3C7DD" w14:textId="2C373198" w:rsidR="00F66E1B" w:rsidRPr="008F6DB1" w:rsidRDefault="00F66E1B" w:rsidP="00CD33A8">
      <w:pPr>
        <w:tabs>
          <w:tab w:val="left" w:pos="6540"/>
        </w:tabs>
        <w:spacing w:line="360" w:lineRule="auto"/>
        <w:rPr>
          <w:rFonts w:ascii="Arial" w:hAnsi="Arial" w:cs="Arial"/>
          <w:sz w:val="22"/>
          <w:szCs w:val="22"/>
        </w:rPr>
      </w:pPr>
    </w:p>
    <w:p w14:paraId="5C76528F" w14:textId="77777777" w:rsidR="00F66E1B" w:rsidRPr="008F6DB1" w:rsidRDefault="00F66E1B" w:rsidP="00CD33A8">
      <w:pPr>
        <w:tabs>
          <w:tab w:val="left" w:pos="6540"/>
        </w:tabs>
        <w:spacing w:line="360" w:lineRule="auto"/>
        <w:rPr>
          <w:rFonts w:ascii="Arial" w:hAnsi="Arial" w:cs="Arial"/>
          <w:sz w:val="22"/>
          <w:szCs w:val="22"/>
        </w:rPr>
      </w:pPr>
    </w:p>
    <w:p w14:paraId="18999130" w14:textId="77777777" w:rsidR="00CD33A8" w:rsidRPr="008F6DB1" w:rsidRDefault="00CD33A8">
      <w:pPr>
        <w:rPr>
          <w:rFonts w:ascii="Arial" w:eastAsiaTheme="majorEastAsia" w:hAnsi="Arial" w:cs="Arial"/>
          <w:b/>
          <w:sz w:val="22"/>
          <w:szCs w:val="22"/>
        </w:rPr>
      </w:pPr>
      <w:r w:rsidRPr="008F6DB1">
        <w:rPr>
          <w:rFonts w:ascii="Arial" w:hAnsi="Arial" w:cs="Arial"/>
          <w:sz w:val="22"/>
          <w:szCs w:val="22"/>
        </w:rPr>
        <w:br w:type="page"/>
      </w:r>
    </w:p>
    <w:p w14:paraId="33F8F0BD" w14:textId="597FD84B" w:rsidR="00B87E75" w:rsidRPr="008F6DB1" w:rsidRDefault="00B87E75" w:rsidP="00E620E7">
      <w:pPr>
        <w:pStyle w:val="Heading1"/>
        <w:rPr>
          <w:rFonts w:cs="Arial"/>
          <w:sz w:val="22"/>
          <w:szCs w:val="22"/>
        </w:rPr>
      </w:pPr>
      <w:r w:rsidRPr="008F6DB1">
        <w:rPr>
          <w:rFonts w:cs="Arial"/>
          <w:sz w:val="22"/>
          <w:szCs w:val="22"/>
        </w:rPr>
        <w:lastRenderedPageBreak/>
        <w:t>References</w:t>
      </w:r>
    </w:p>
    <w:p w14:paraId="645997C7"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Arksey, H. and O’Malley, L. (2005) ‘Scoping studies: towards a methodological framework’,</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International Journal of Social Research Methodology</w:t>
      </w:r>
      <w:r w:rsidRPr="003C14D1">
        <w:rPr>
          <w:rFonts w:ascii="Arial" w:hAnsi="Arial" w:cs="Arial"/>
          <w:color w:val="000000"/>
          <w:sz w:val="22"/>
          <w:szCs w:val="22"/>
        </w:rPr>
        <w:t>, 8(1), pp. 19–32. Available at:</w:t>
      </w:r>
      <w:r w:rsidRPr="003C14D1">
        <w:rPr>
          <w:rStyle w:val="apple-converted-space"/>
          <w:rFonts w:ascii="Arial" w:hAnsi="Arial" w:cs="Arial"/>
          <w:color w:val="000000"/>
          <w:sz w:val="22"/>
          <w:szCs w:val="22"/>
        </w:rPr>
        <w:t> </w:t>
      </w:r>
      <w:hyperlink r:id="rId9" w:tgtFrame="_new" w:history="1">
        <w:r w:rsidRPr="003C14D1">
          <w:rPr>
            <w:rStyle w:val="Hyperlink"/>
            <w:rFonts w:ascii="Arial" w:hAnsi="Arial" w:cs="Arial"/>
            <w:sz w:val="22"/>
            <w:szCs w:val="22"/>
          </w:rPr>
          <w:t>https://doi.org/10.1080/1364557032000119616</w:t>
        </w:r>
      </w:hyperlink>
      <w:r w:rsidRPr="003C14D1">
        <w:rPr>
          <w:rFonts w:ascii="Arial" w:hAnsi="Arial" w:cs="Arial"/>
          <w:color w:val="000000"/>
          <w:sz w:val="22"/>
          <w:szCs w:val="22"/>
        </w:rPr>
        <w:t>(Accessed: 21 April 2026).</w:t>
      </w:r>
    </w:p>
    <w:p w14:paraId="5C20A494"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Braun, V. and Clarke, V. (2006) Using thematic analysis in psychology. Available at:</w:t>
      </w:r>
      <w:r w:rsidRPr="003C14D1">
        <w:rPr>
          <w:rStyle w:val="apple-converted-space"/>
          <w:rFonts w:ascii="Arial" w:hAnsi="Arial" w:cs="Arial"/>
          <w:color w:val="000000"/>
          <w:sz w:val="22"/>
          <w:szCs w:val="22"/>
        </w:rPr>
        <w:t> </w:t>
      </w:r>
      <w:hyperlink r:id="rId10" w:tgtFrame="_new" w:history="1">
        <w:r w:rsidRPr="003C14D1">
          <w:rPr>
            <w:rStyle w:val="Hyperlink"/>
            <w:rFonts w:ascii="Arial" w:hAnsi="Arial" w:cs="Arial"/>
            <w:sz w:val="22"/>
            <w:szCs w:val="22"/>
          </w:rPr>
          <w:t>https://www.tandfonline.com/doi/abs/10.1191/1478088706qp063oa</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25 March 2026).</w:t>
      </w:r>
    </w:p>
    <w:p w14:paraId="6B56A232"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British Red Cross (2026) How we support refugees. Available at:</w:t>
      </w:r>
      <w:r w:rsidRPr="003C14D1">
        <w:rPr>
          <w:rStyle w:val="apple-converted-space"/>
          <w:rFonts w:ascii="Arial" w:hAnsi="Arial" w:cs="Arial"/>
          <w:color w:val="000000"/>
          <w:sz w:val="22"/>
          <w:szCs w:val="22"/>
        </w:rPr>
        <w:t> </w:t>
      </w:r>
      <w:hyperlink r:id="rId11" w:tgtFrame="_new" w:history="1">
        <w:r w:rsidRPr="003C14D1">
          <w:rPr>
            <w:rStyle w:val="Hyperlink"/>
            <w:rFonts w:ascii="Arial" w:hAnsi="Arial" w:cs="Arial"/>
            <w:sz w:val="22"/>
            <w:szCs w:val="22"/>
          </w:rPr>
          <w:t>https://www.redcross.org.uk/about-us/what-we-do/how-we-support-refugees</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1 April 2026).</w:t>
      </w:r>
    </w:p>
    <w:p w14:paraId="75994F99"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Cai Kang, Tomkow, L. and Farrington, R. (2019) Access to primary health care for asylum seekers and refugees: a qualitative study of service user experiences in the UK.</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British Journal of General Practice</w:t>
      </w:r>
      <w:r w:rsidRPr="003C14D1">
        <w:rPr>
          <w:rFonts w:ascii="Arial" w:hAnsi="Arial" w:cs="Arial"/>
          <w:color w:val="000000"/>
          <w:sz w:val="22"/>
          <w:szCs w:val="22"/>
        </w:rPr>
        <w:t>, 69(685), pp. e537–e545. Available at:</w:t>
      </w:r>
      <w:r w:rsidRPr="003C14D1">
        <w:rPr>
          <w:rStyle w:val="apple-converted-space"/>
          <w:rFonts w:ascii="Arial" w:hAnsi="Arial" w:cs="Arial"/>
          <w:color w:val="000000"/>
          <w:sz w:val="22"/>
          <w:szCs w:val="22"/>
        </w:rPr>
        <w:t> </w:t>
      </w:r>
      <w:hyperlink r:id="rId12" w:tgtFrame="_new" w:history="1">
        <w:r w:rsidRPr="003C14D1">
          <w:rPr>
            <w:rStyle w:val="Hyperlink"/>
            <w:rFonts w:ascii="Arial" w:hAnsi="Arial" w:cs="Arial"/>
            <w:sz w:val="22"/>
            <w:szCs w:val="22"/>
          </w:rPr>
          <w:t>https://pmc.ncbi.nlm.nih.gov/articles/PMC6617541</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1 April 2026).</w:t>
      </w:r>
    </w:p>
    <w:p w14:paraId="158F8EF4"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Department of Health and Social Care (2014)</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Care Act 2014</w:t>
      </w:r>
      <w:r w:rsidRPr="003C14D1">
        <w:rPr>
          <w:rFonts w:ascii="Arial" w:hAnsi="Arial" w:cs="Arial"/>
          <w:color w:val="000000"/>
          <w:sz w:val="22"/>
          <w:szCs w:val="22"/>
        </w:rPr>
        <w:t>. Available at:</w:t>
      </w:r>
      <w:r w:rsidRPr="003C14D1">
        <w:rPr>
          <w:rStyle w:val="apple-converted-space"/>
          <w:rFonts w:ascii="Arial" w:hAnsi="Arial" w:cs="Arial"/>
          <w:color w:val="000000"/>
          <w:sz w:val="22"/>
          <w:szCs w:val="22"/>
        </w:rPr>
        <w:t> </w:t>
      </w:r>
      <w:hyperlink r:id="rId13" w:tgtFrame="_new" w:history="1">
        <w:r w:rsidRPr="003C14D1">
          <w:rPr>
            <w:rStyle w:val="Hyperlink"/>
            <w:rFonts w:ascii="Arial" w:hAnsi="Arial" w:cs="Arial"/>
            <w:sz w:val="22"/>
            <w:szCs w:val="22"/>
          </w:rPr>
          <w:t>https://www.legislation.gov.uk/ukpga/2014/23/contents/enacted</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23 March 2026).</w:t>
      </w:r>
    </w:p>
    <w:p w14:paraId="3F6BEF8C"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Hanwell, K., Finnerty, F. and Richardson, D. (2025) ‘Asylum seekers’ and refugees’ experiences of violence and accessing healthcare in the UK: a systematic review’,</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Journal of Public Health</w:t>
      </w:r>
      <w:r w:rsidRPr="003C14D1">
        <w:rPr>
          <w:rFonts w:ascii="Arial" w:hAnsi="Arial" w:cs="Arial"/>
          <w:color w:val="000000"/>
          <w:sz w:val="22"/>
          <w:szCs w:val="22"/>
        </w:rPr>
        <w:t>, 47(2), pp. 207–216. Available at:</w:t>
      </w:r>
      <w:r w:rsidRPr="003C14D1">
        <w:rPr>
          <w:rStyle w:val="apple-converted-space"/>
          <w:rFonts w:ascii="Arial" w:hAnsi="Arial" w:cs="Arial"/>
          <w:color w:val="000000"/>
          <w:sz w:val="22"/>
          <w:szCs w:val="22"/>
        </w:rPr>
        <w:t> </w:t>
      </w:r>
      <w:hyperlink r:id="rId14" w:tgtFrame="_new" w:history="1">
        <w:r w:rsidRPr="003C14D1">
          <w:rPr>
            <w:rStyle w:val="Hyperlink"/>
            <w:rFonts w:ascii="Arial" w:hAnsi="Arial" w:cs="Arial"/>
            <w:sz w:val="22"/>
            <w:szCs w:val="22"/>
          </w:rPr>
          <w:t>https://academic.oup.com/jpubhealth/article/47/2/207/7976920</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27 March 2026).</w:t>
      </w:r>
    </w:p>
    <w:p w14:paraId="2AD19D96"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Home Office (2023) UK migration statistics. Available at:</w:t>
      </w:r>
      <w:r w:rsidRPr="003C14D1">
        <w:rPr>
          <w:rStyle w:val="apple-converted-space"/>
          <w:rFonts w:ascii="Arial" w:hAnsi="Arial" w:cs="Arial"/>
          <w:color w:val="000000"/>
          <w:sz w:val="22"/>
          <w:szCs w:val="22"/>
        </w:rPr>
        <w:t> </w:t>
      </w:r>
      <w:hyperlink r:id="rId15" w:tgtFrame="_new" w:history="1">
        <w:r w:rsidRPr="003C14D1">
          <w:rPr>
            <w:rStyle w:val="Hyperlink"/>
            <w:rFonts w:ascii="Arial" w:hAnsi="Arial" w:cs="Arial"/>
            <w:sz w:val="22"/>
            <w:szCs w:val="22"/>
          </w:rPr>
          <w:t>https://www.gov.uk/government/statistics</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 April 2026).</w:t>
      </w:r>
    </w:p>
    <w:p w14:paraId="46974128"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Levac, D., Colquhoun, H. and O’Brien, K.K. (2010) ‘Scoping studies: advancing the methodology’,</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Implementation Science</w:t>
      </w:r>
      <w:r w:rsidRPr="003C14D1">
        <w:rPr>
          <w:rFonts w:ascii="Arial" w:hAnsi="Arial" w:cs="Arial"/>
          <w:color w:val="000000"/>
          <w:sz w:val="22"/>
          <w:szCs w:val="22"/>
        </w:rPr>
        <w:t>, 5(69), pp. 1–9. Available at:</w:t>
      </w:r>
      <w:r w:rsidRPr="003C14D1">
        <w:rPr>
          <w:rStyle w:val="apple-converted-space"/>
          <w:rFonts w:ascii="Arial" w:hAnsi="Arial" w:cs="Arial"/>
          <w:color w:val="000000"/>
          <w:sz w:val="22"/>
          <w:szCs w:val="22"/>
        </w:rPr>
        <w:t> </w:t>
      </w:r>
      <w:hyperlink r:id="rId16" w:tgtFrame="_new" w:history="1">
        <w:r w:rsidRPr="003C14D1">
          <w:rPr>
            <w:rStyle w:val="Hyperlink"/>
            <w:rFonts w:ascii="Arial" w:hAnsi="Arial" w:cs="Arial"/>
            <w:sz w:val="22"/>
            <w:szCs w:val="22"/>
          </w:rPr>
          <w:t>https://implementationscience.biomedcentral.com/articles/10.1186/1748-5908-5-69</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21 April 2026).</w:t>
      </w:r>
    </w:p>
    <w:p w14:paraId="33AB882E"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lastRenderedPageBreak/>
        <w:t>Marmot, M. et al. (2020)</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Health equity in England: The Marmot Review 10 years on</w:t>
      </w:r>
      <w:r w:rsidRPr="003C14D1">
        <w:rPr>
          <w:rFonts w:ascii="Arial" w:hAnsi="Arial" w:cs="Arial"/>
          <w:color w:val="000000"/>
          <w:sz w:val="22"/>
          <w:szCs w:val="22"/>
        </w:rPr>
        <w:t>. Available at:</w:t>
      </w:r>
      <w:r w:rsidRPr="003C14D1">
        <w:rPr>
          <w:rStyle w:val="apple-converted-space"/>
          <w:rFonts w:ascii="Arial" w:hAnsi="Arial" w:cs="Arial"/>
          <w:color w:val="000000"/>
          <w:sz w:val="22"/>
          <w:szCs w:val="22"/>
        </w:rPr>
        <w:t> </w:t>
      </w:r>
      <w:hyperlink r:id="rId17" w:tgtFrame="_new" w:history="1">
        <w:r w:rsidRPr="003C14D1">
          <w:rPr>
            <w:rStyle w:val="Hyperlink"/>
            <w:rFonts w:ascii="Arial" w:hAnsi="Arial" w:cs="Arial"/>
            <w:sz w:val="22"/>
            <w:szCs w:val="22"/>
          </w:rPr>
          <w:t>https://www.health.org.uk/publications/reports/the-marmot-review-10-years-on</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28 March 2026).</w:t>
      </w:r>
    </w:p>
    <w:p w14:paraId="56940EB9"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Migration Observatory (2023) Migrants in the UK. Available at:</w:t>
      </w:r>
      <w:r w:rsidRPr="003C14D1">
        <w:rPr>
          <w:rStyle w:val="apple-converted-space"/>
          <w:rFonts w:ascii="Arial" w:hAnsi="Arial" w:cs="Arial"/>
          <w:color w:val="000000"/>
          <w:sz w:val="22"/>
          <w:szCs w:val="22"/>
        </w:rPr>
        <w:t> </w:t>
      </w:r>
      <w:hyperlink r:id="rId18" w:tgtFrame="_new" w:history="1">
        <w:r w:rsidRPr="003C14D1">
          <w:rPr>
            <w:rStyle w:val="Hyperlink"/>
            <w:rFonts w:ascii="Arial" w:hAnsi="Arial" w:cs="Arial"/>
            <w:sz w:val="22"/>
            <w:szCs w:val="22"/>
          </w:rPr>
          <w:t>https://migrationobservatory.ox.ac.uk/</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3 April 2026).</w:t>
      </w:r>
    </w:p>
    <w:p w14:paraId="0905AA06"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NHS England (2019)</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The NHS Long Term Plan</w:t>
      </w:r>
      <w:r w:rsidRPr="003C14D1">
        <w:rPr>
          <w:rFonts w:ascii="Arial" w:hAnsi="Arial" w:cs="Arial"/>
          <w:color w:val="000000"/>
          <w:sz w:val="22"/>
          <w:szCs w:val="22"/>
        </w:rPr>
        <w:t>. Available at:</w:t>
      </w:r>
      <w:r w:rsidRPr="003C14D1">
        <w:rPr>
          <w:rStyle w:val="apple-converted-space"/>
          <w:rFonts w:ascii="Arial" w:hAnsi="Arial" w:cs="Arial"/>
          <w:color w:val="000000"/>
          <w:sz w:val="22"/>
          <w:szCs w:val="22"/>
        </w:rPr>
        <w:t> </w:t>
      </w:r>
      <w:hyperlink r:id="rId19" w:tgtFrame="_new" w:history="1">
        <w:r w:rsidRPr="003C14D1">
          <w:rPr>
            <w:rStyle w:val="Hyperlink"/>
            <w:rFonts w:ascii="Arial" w:hAnsi="Arial" w:cs="Arial"/>
            <w:sz w:val="22"/>
            <w:szCs w:val="22"/>
          </w:rPr>
          <w:t>https://www.longtermplan.nhs.uk/</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28 March 2026).</w:t>
      </w:r>
    </w:p>
    <w:p w14:paraId="3958615A"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Oliver, M., Krishna, R., O’Donnell, S. and Simmonds, R. (2022) Refugee and immigrant community health champions: a qualitative study of perceived barriers to service access and utilisation of the NHS in the West Midlands, UK.</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Journal of Immigrant and Minority Health</w:t>
      </w:r>
      <w:r w:rsidRPr="003C14D1">
        <w:rPr>
          <w:rFonts w:ascii="Arial" w:hAnsi="Arial" w:cs="Arial"/>
          <w:color w:val="000000"/>
          <w:sz w:val="22"/>
          <w:szCs w:val="22"/>
        </w:rPr>
        <w:t>, 24(1), pp. 199–206. Available at:</w:t>
      </w:r>
      <w:r w:rsidRPr="003C14D1">
        <w:rPr>
          <w:rStyle w:val="apple-converted-space"/>
          <w:rFonts w:ascii="Arial" w:hAnsi="Arial" w:cs="Arial"/>
          <w:color w:val="000000"/>
          <w:sz w:val="22"/>
          <w:szCs w:val="22"/>
        </w:rPr>
        <w:t> </w:t>
      </w:r>
      <w:hyperlink r:id="rId20" w:tgtFrame="_new" w:history="1">
        <w:r w:rsidRPr="003C14D1">
          <w:rPr>
            <w:rStyle w:val="Hyperlink"/>
            <w:rFonts w:ascii="Arial" w:hAnsi="Arial" w:cs="Arial"/>
            <w:sz w:val="22"/>
            <w:szCs w:val="22"/>
          </w:rPr>
          <w:t>https://pubmed.ncbi.nlm.nih.gov/34143381/</w:t>
        </w:r>
      </w:hyperlink>
      <w:r w:rsidRPr="003C14D1">
        <w:rPr>
          <w:rFonts w:ascii="Arial" w:hAnsi="Arial" w:cs="Arial"/>
          <w:color w:val="000000"/>
          <w:sz w:val="22"/>
          <w:szCs w:val="22"/>
        </w:rPr>
        <w:t>(Accessed: 1 April 2026).</w:t>
      </w:r>
    </w:p>
    <w:p w14:paraId="0E9B83E1"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Phillimore, J. (2015) Migrant integration and social care. Available at:</w:t>
      </w:r>
      <w:r w:rsidRPr="003C14D1">
        <w:rPr>
          <w:rStyle w:val="apple-converted-space"/>
          <w:rFonts w:ascii="Arial" w:hAnsi="Arial" w:cs="Arial"/>
          <w:color w:val="000000"/>
          <w:sz w:val="22"/>
          <w:szCs w:val="22"/>
        </w:rPr>
        <w:t> </w:t>
      </w:r>
      <w:hyperlink r:id="rId21" w:tgtFrame="_new" w:history="1">
        <w:r w:rsidRPr="003C14D1">
          <w:rPr>
            <w:rStyle w:val="Hyperlink"/>
            <w:rFonts w:ascii="Arial" w:hAnsi="Arial" w:cs="Arial"/>
            <w:sz w:val="22"/>
            <w:szCs w:val="22"/>
          </w:rPr>
          <w:t>https://journals.sagepub.com/doi/10.1177/0261018315578661</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27 March 2026).</w:t>
      </w:r>
    </w:p>
    <w:p w14:paraId="7F1EFB78"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Priebe, S. et al. (2016) Barriers to healthcare for migrants.</w:t>
      </w:r>
      <w:r w:rsidRPr="003C14D1">
        <w:rPr>
          <w:rStyle w:val="apple-converted-space"/>
          <w:rFonts w:ascii="Arial" w:hAnsi="Arial" w:cs="Arial"/>
          <w:color w:val="000000"/>
          <w:sz w:val="22"/>
          <w:szCs w:val="22"/>
        </w:rPr>
        <w:t> </w:t>
      </w:r>
      <w:r w:rsidRPr="003C14D1">
        <w:rPr>
          <w:rStyle w:val="Emphasis"/>
          <w:rFonts w:ascii="Arial" w:hAnsi="Arial" w:cs="Arial"/>
          <w:color w:val="000000"/>
          <w:sz w:val="22"/>
          <w:szCs w:val="22"/>
        </w:rPr>
        <w:t>The Lancet Psychiatry</w:t>
      </w:r>
      <w:r w:rsidRPr="003C14D1">
        <w:rPr>
          <w:rFonts w:ascii="Arial" w:hAnsi="Arial" w:cs="Arial"/>
          <w:color w:val="000000"/>
          <w:sz w:val="22"/>
          <w:szCs w:val="22"/>
        </w:rPr>
        <w:t>. Available at:</w:t>
      </w:r>
      <w:r w:rsidRPr="003C14D1">
        <w:rPr>
          <w:rStyle w:val="apple-converted-space"/>
          <w:rFonts w:ascii="Arial" w:hAnsi="Arial" w:cs="Arial"/>
          <w:color w:val="000000"/>
          <w:sz w:val="22"/>
          <w:szCs w:val="22"/>
        </w:rPr>
        <w:t> </w:t>
      </w:r>
      <w:hyperlink r:id="rId22" w:tgtFrame="_new" w:history="1">
        <w:r w:rsidRPr="003C14D1">
          <w:rPr>
            <w:rStyle w:val="Hyperlink"/>
            <w:rFonts w:ascii="Arial" w:hAnsi="Arial" w:cs="Arial"/>
            <w:sz w:val="22"/>
            <w:szCs w:val="22"/>
          </w:rPr>
          <w:t>https://www.sciencedirect.com/science/article/pii/S2215036616300499</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30 March 2026).</w:t>
      </w:r>
    </w:p>
    <w:p w14:paraId="62A2154A"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Public Health England (2021) Migrant health guide. Available at:</w:t>
      </w:r>
      <w:r w:rsidRPr="003C14D1">
        <w:rPr>
          <w:rStyle w:val="apple-converted-space"/>
          <w:rFonts w:ascii="Arial" w:hAnsi="Arial" w:cs="Arial"/>
          <w:color w:val="000000"/>
          <w:sz w:val="22"/>
          <w:szCs w:val="22"/>
        </w:rPr>
        <w:t> </w:t>
      </w:r>
      <w:hyperlink r:id="rId23" w:tgtFrame="_new" w:history="1">
        <w:r w:rsidRPr="003C14D1">
          <w:rPr>
            <w:rStyle w:val="Hyperlink"/>
            <w:rFonts w:ascii="Arial" w:hAnsi="Arial" w:cs="Arial"/>
            <w:sz w:val="22"/>
            <w:szCs w:val="22"/>
          </w:rPr>
          <w:t>https://www.gov.uk/government/collections/migrant-health-guide</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29 March 2026).</w:t>
      </w:r>
    </w:p>
    <w:p w14:paraId="7F17AAE5"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Refugee Council (2022) Integration and support report. Available at:</w:t>
      </w:r>
      <w:r w:rsidRPr="003C14D1">
        <w:rPr>
          <w:rStyle w:val="apple-converted-space"/>
          <w:rFonts w:ascii="Arial" w:hAnsi="Arial" w:cs="Arial"/>
          <w:color w:val="000000"/>
          <w:sz w:val="22"/>
          <w:szCs w:val="22"/>
        </w:rPr>
        <w:t> </w:t>
      </w:r>
      <w:hyperlink r:id="rId24" w:tgtFrame="_new" w:history="1">
        <w:r w:rsidRPr="003C14D1">
          <w:rPr>
            <w:rStyle w:val="Hyperlink"/>
            <w:rFonts w:ascii="Arial" w:hAnsi="Arial" w:cs="Arial"/>
            <w:sz w:val="22"/>
            <w:szCs w:val="22"/>
          </w:rPr>
          <w:t>https://www.refugeecouncil.org.uk/</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3 April 2026).</w:t>
      </w:r>
    </w:p>
    <w:p w14:paraId="4A040C6D"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ScienceDirect (2025) Migrant health access study. Available at:</w:t>
      </w:r>
      <w:r w:rsidRPr="003C14D1">
        <w:rPr>
          <w:rStyle w:val="apple-converted-space"/>
          <w:rFonts w:ascii="Arial" w:hAnsi="Arial" w:cs="Arial"/>
          <w:color w:val="000000"/>
          <w:sz w:val="22"/>
          <w:szCs w:val="22"/>
        </w:rPr>
        <w:t> </w:t>
      </w:r>
      <w:hyperlink r:id="rId25" w:tgtFrame="_new" w:history="1">
        <w:r w:rsidRPr="003C14D1">
          <w:rPr>
            <w:rStyle w:val="Hyperlink"/>
            <w:rFonts w:ascii="Arial" w:hAnsi="Arial" w:cs="Arial"/>
            <w:sz w:val="22"/>
            <w:szCs w:val="22"/>
          </w:rPr>
          <w:t>https://www.sciencedirect.com/science/article/pii/S2666623525000881</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25 March 2026).</w:t>
      </w:r>
    </w:p>
    <w:p w14:paraId="185D8765"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t>Spencer, S. and Charsley, K. (2021) Migration and integration in the UK. Available at:</w:t>
      </w:r>
      <w:r w:rsidRPr="003C14D1">
        <w:rPr>
          <w:rStyle w:val="apple-converted-space"/>
          <w:rFonts w:ascii="Arial" w:hAnsi="Arial" w:cs="Arial"/>
          <w:color w:val="000000"/>
          <w:sz w:val="22"/>
          <w:szCs w:val="22"/>
        </w:rPr>
        <w:t> </w:t>
      </w:r>
      <w:hyperlink r:id="rId26" w:tgtFrame="_new" w:history="1">
        <w:r w:rsidRPr="003C14D1">
          <w:rPr>
            <w:rStyle w:val="Hyperlink"/>
            <w:rFonts w:ascii="Arial" w:hAnsi="Arial" w:cs="Arial"/>
            <w:sz w:val="22"/>
            <w:szCs w:val="22"/>
          </w:rPr>
          <w:t>https://migrationobservatory.ox.ac.uk/resources/briefings/integration/</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31 March 2026).</w:t>
      </w:r>
    </w:p>
    <w:p w14:paraId="571FE058" w14:textId="77777777" w:rsidR="003C14D1" w:rsidRPr="003C14D1" w:rsidRDefault="003C14D1" w:rsidP="003C14D1">
      <w:pPr>
        <w:pStyle w:val="NormalWeb"/>
        <w:spacing w:line="360" w:lineRule="auto"/>
        <w:rPr>
          <w:rFonts w:ascii="Arial" w:hAnsi="Arial" w:cs="Arial"/>
          <w:color w:val="000000"/>
          <w:sz w:val="22"/>
          <w:szCs w:val="22"/>
        </w:rPr>
      </w:pPr>
      <w:r w:rsidRPr="003C14D1">
        <w:rPr>
          <w:rFonts w:ascii="Arial" w:hAnsi="Arial" w:cs="Arial"/>
          <w:color w:val="000000"/>
          <w:sz w:val="22"/>
          <w:szCs w:val="22"/>
        </w:rPr>
        <w:lastRenderedPageBreak/>
        <w:t>UNHCR (2021) What is a refugee? Available at:</w:t>
      </w:r>
      <w:r w:rsidRPr="003C14D1">
        <w:rPr>
          <w:rStyle w:val="apple-converted-space"/>
          <w:rFonts w:ascii="Arial" w:hAnsi="Arial" w:cs="Arial"/>
          <w:color w:val="000000"/>
          <w:sz w:val="22"/>
          <w:szCs w:val="22"/>
        </w:rPr>
        <w:t> </w:t>
      </w:r>
      <w:hyperlink r:id="rId27" w:tgtFrame="_new" w:history="1">
        <w:r w:rsidRPr="003C14D1">
          <w:rPr>
            <w:rStyle w:val="Hyperlink"/>
            <w:rFonts w:ascii="Arial" w:hAnsi="Arial" w:cs="Arial"/>
            <w:sz w:val="22"/>
            <w:szCs w:val="22"/>
          </w:rPr>
          <w:t>https://www.unhcr.org/uk/what-is-a-refugee.html</w:t>
        </w:r>
      </w:hyperlink>
      <w:r w:rsidRPr="003C14D1">
        <w:rPr>
          <w:rStyle w:val="apple-converted-space"/>
          <w:rFonts w:ascii="Arial" w:hAnsi="Arial" w:cs="Arial"/>
          <w:color w:val="000000"/>
          <w:sz w:val="22"/>
          <w:szCs w:val="22"/>
        </w:rPr>
        <w:t> </w:t>
      </w:r>
      <w:r w:rsidRPr="003C14D1">
        <w:rPr>
          <w:rFonts w:ascii="Arial" w:hAnsi="Arial" w:cs="Arial"/>
          <w:color w:val="000000"/>
          <w:sz w:val="22"/>
          <w:szCs w:val="22"/>
        </w:rPr>
        <w:t>(Accessed: 23 March 2026).</w:t>
      </w:r>
    </w:p>
    <w:p w14:paraId="1425F4AC" w14:textId="38DAC7ED" w:rsidR="001D7C03" w:rsidRPr="008F6DB1" w:rsidRDefault="001D7C03" w:rsidP="0067354B">
      <w:pPr>
        <w:spacing w:before="100" w:beforeAutospacing="1" w:after="100" w:afterAutospacing="1"/>
        <w:rPr>
          <w:rFonts w:ascii="Arial" w:hAnsi="Arial" w:cs="Arial"/>
          <w:color w:val="000000"/>
          <w:sz w:val="22"/>
          <w:szCs w:val="22"/>
        </w:rPr>
      </w:pPr>
    </w:p>
    <w:sectPr w:rsidR="001D7C03" w:rsidRPr="008F6DB1" w:rsidSect="00E620E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6E428" w14:textId="77777777" w:rsidR="00F1224B" w:rsidRDefault="00F1224B" w:rsidP="003E4ECF">
      <w:r>
        <w:separator/>
      </w:r>
    </w:p>
  </w:endnote>
  <w:endnote w:type="continuationSeparator" w:id="0">
    <w:p w14:paraId="2F591F65" w14:textId="77777777" w:rsidR="00F1224B" w:rsidRDefault="00F1224B"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24339" w14:textId="77777777" w:rsidR="00F1224B" w:rsidRDefault="00F1224B" w:rsidP="003E4ECF">
      <w:r>
        <w:separator/>
      </w:r>
    </w:p>
  </w:footnote>
  <w:footnote w:type="continuationSeparator" w:id="0">
    <w:p w14:paraId="5581A7DF" w14:textId="77777777" w:rsidR="00F1224B" w:rsidRDefault="00F1224B"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29B7"/>
    <w:multiLevelType w:val="multilevel"/>
    <w:tmpl w:val="2ED6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65DBD"/>
    <w:multiLevelType w:val="multilevel"/>
    <w:tmpl w:val="CCA6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C649F"/>
    <w:multiLevelType w:val="multilevel"/>
    <w:tmpl w:val="F4A88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FB52A2"/>
    <w:multiLevelType w:val="multilevel"/>
    <w:tmpl w:val="BCC2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CA5FD0"/>
    <w:multiLevelType w:val="multilevel"/>
    <w:tmpl w:val="E00E04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E590D"/>
    <w:multiLevelType w:val="multilevel"/>
    <w:tmpl w:val="2982C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920CC6"/>
    <w:multiLevelType w:val="multilevel"/>
    <w:tmpl w:val="6DDE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750229"/>
    <w:multiLevelType w:val="multilevel"/>
    <w:tmpl w:val="226E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6326AE"/>
    <w:multiLevelType w:val="multilevel"/>
    <w:tmpl w:val="33F8F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2D2170"/>
    <w:multiLevelType w:val="multilevel"/>
    <w:tmpl w:val="D7EC1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314574"/>
    <w:multiLevelType w:val="multilevel"/>
    <w:tmpl w:val="6F7A1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9127CD"/>
    <w:multiLevelType w:val="multilevel"/>
    <w:tmpl w:val="1ACC5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4A2A23"/>
    <w:multiLevelType w:val="multilevel"/>
    <w:tmpl w:val="708E5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350246">
    <w:abstractNumId w:val="2"/>
  </w:num>
  <w:num w:numId="2" w16cid:durableId="1098673672">
    <w:abstractNumId w:val="12"/>
  </w:num>
  <w:num w:numId="3" w16cid:durableId="403258096">
    <w:abstractNumId w:val="10"/>
  </w:num>
  <w:num w:numId="4" w16cid:durableId="1077091840">
    <w:abstractNumId w:val="6"/>
  </w:num>
  <w:num w:numId="5" w16cid:durableId="288631502">
    <w:abstractNumId w:val="0"/>
  </w:num>
  <w:num w:numId="6" w16cid:durableId="1865554223">
    <w:abstractNumId w:val="11"/>
  </w:num>
  <w:num w:numId="7" w16cid:durableId="784082370">
    <w:abstractNumId w:val="7"/>
  </w:num>
  <w:num w:numId="8" w16cid:durableId="803546366">
    <w:abstractNumId w:val="1"/>
  </w:num>
  <w:num w:numId="9" w16cid:durableId="99954108">
    <w:abstractNumId w:val="8"/>
  </w:num>
  <w:num w:numId="10" w16cid:durableId="138428871">
    <w:abstractNumId w:val="9"/>
  </w:num>
  <w:num w:numId="11" w16cid:durableId="966667670">
    <w:abstractNumId w:val="5"/>
  </w:num>
  <w:num w:numId="12" w16cid:durableId="159347192">
    <w:abstractNumId w:val="3"/>
  </w:num>
  <w:num w:numId="13" w16cid:durableId="4702940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29E"/>
    <w:rsid w:val="00003D51"/>
    <w:rsid w:val="00027663"/>
    <w:rsid w:val="000345BA"/>
    <w:rsid w:val="00036A4E"/>
    <w:rsid w:val="000410AE"/>
    <w:rsid w:val="00055A25"/>
    <w:rsid w:val="00057187"/>
    <w:rsid w:val="000572BF"/>
    <w:rsid w:val="00073C37"/>
    <w:rsid w:val="00074353"/>
    <w:rsid w:val="00074402"/>
    <w:rsid w:val="00074FC6"/>
    <w:rsid w:val="00085CA4"/>
    <w:rsid w:val="00092810"/>
    <w:rsid w:val="000A7710"/>
    <w:rsid w:val="000B17C1"/>
    <w:rsid w:val="000E572F"/>
    <w:rsid w:val="000F6834"/>
    <w:rsid w:val="001028D6"/>
    <w:rsid w:val="00103040"/>
    <w:rsid w:val="00117665"/>
    <w:rsid w:val="00135028"/>
    <w:rsid w:val="001535AC"/>
    <w:rsid w:val="00165A9D"/>
    <w:rsid w:val="001762F5"/>
    <w:rsid w:val="0019023C"/>
    <w:rsid w:val="00195649"/>
    <w:rsid w:val="001C1FE6"/>
    <w:rsid w:val="001C3B1D"/>
    <w:rsid w:val="001C54EA"/>
    <w:rsid w:val="001C627C"/>
    <w:rsid w:val="001D2416"/>
    <w:rsid w:val="001D3424"/>
    <w:rsid w:val="001D3E31"/>
    <w:rsid w:val="001D7C03"/>
    <w:rsid w:val="001E15C6"/>
    <w:rsid w:val="001E2C83"/>
    <w:rsid w:val="001F2057"/>
    <w:rsid w:val="001F4458"/>
    <w:rsid w:val="00203250"/>
    <w:rsid w:val="002071F7"/>
    <w:rsid w:val="00216C85"/>
    <w:rsid w:val="00222FB5"/>
    <w:rsid w:val="00225FF3"/>
    <w:rsid w:val="0022702C"/>
    <w:rsid w:val="00231AAA"/>
    <w:rsid w:val="00236019"/>
    <w:rsid w:val="002367B0"/>
    <w:rsid w:val="00242B8B"/>
    <w:rsid w:val="0026393A"/>
    <w:rsid w:val="002664E2"/>
    <w:rsid w:val="00273EDD"/>
    <w:rsid w:val="0028310D"/>
    <w:rsid w:val="00292948"/>
    <w:rsid w:val="002B7969"/>
    <w:rsid w:val="002C346E"/>
    <w:rsid w:val="002C3965"/>
    <w:rsid w:val="002D54F9"/>
    <w:rsid w:val="002E3A5E"/>
    <w:rsid w:val="002F0610"/>
    <w:rsid w:val="002F324A"/>
    <w:rsid w:val="00304DFC"/>
    <w:rsid w:val="003060C9"/>
    <w:rsid w:val="00307A34"/>
    <w:rsid w:val="00313E6A"/>
    <w:rsid w:val="00321C4C"/>
    <w:rsid w:val="003312C6"/>
    <w:rsid w:val="003313EF"/>
    <w:rsid w:val="00340219"/>
    <w:rsid w:val="0035723B"/>
    <w:rsid w:val="00376A79"/>
    <w:rsid w:val="00385106"/>
    <w:rsid w:val="00392BBC"/>
    <w:rsid w:val="00397443"/>
    <w:rsid w:val="003B07B6"/>
    <w:rsid w:val="003B36BA"/>
    <w:rsid w:val="003C14D1"/>
    <w:rsid w:val="003C2D20"/>
    <w:rsid w:val="003D7C55"/>
    <w:rsid w:val="003E4ECF"/>
    <w:rsid w:val="003F283D"/>
    <w:rsid w:val="00403511"/>
    <w:rsid w:val="0040461E"/>
    <w:rsid w:val="004106E8"/>
    <w:rsid w:val="004505BD"/>
    <w:rsid w:val="00453176"/>
    <w:rsid w:val="00454E32"/>
    <w:rsid w:val="00457860"/>
    <w:rsid w:val="00460ED3"/>
    <w:rsid w:val="0046219B"/>
    <w:rsid w:val="00463515"/>
    <w:rsid w:val="00466921"/>
    <w:rsid w:val="00477094"/>
    <w:rsid w:val="004909AC"/>
    <w:rsid w:val="00496057"/>
    <w:rsid w:val="004A5142"/>
    <w:rsid w:val="004A736E"/>
    <w:rsid w:val="004B65F6"/>
    <w:rsid w:val="004C66DB"/>
    <w:rsid w:val="004D6813"/>
    <w:rsid w:val="004F2258"/>
    <w:rsid w:val="00501EE6"/>
    <w:rsid w:val="0051029E"/>
    <w:rsid w:val="00514A8C"/>
    <w:rsid w:val="00534B03"/>
    <w:rsid w:val="00534CE2"/>
    <w:rsid w:val="0054416E"/>
    <w:rsid w:val="00553767"/>
    <w:rsid w:val="005557D5"/>
    <w:rsid w:val="00557246"/>
    <w:rsid w:val="00557F9A"/>
    <w:rsid w:val="00573DC8"/>
    <w:rsid w:val="005A4F40"/>
    <w:rsid w:val="005B5BCB"/>
    <w:rsid w:val="005C063A"/>
    <w:rsid w:val="005C5B16"/>
    <w:rsid w:val="005C6FBA"/>
    <w:rsid w:val="005E396B"/>
    <w:rsid w:val="00601319"/>
    <w:rsid w:val="006035E0"/>
    <w:rsid w:val="00605E65"/>
    <w:rsid w:val="00607DCE"/>
    <w:rsid w:val="006116B9"/>
    <w:rsid w:val="00612096"/>
    <w:rsid w:val="00613627"/>
    <w:rsid w:val="00617A03"/>
    <w:rsid w:val="006200EA"/>
    <w:rsid w:val="00642EAC"/>
    <w:rsid w:val="00663CF3"/>
    <w:rsid w:val="00671FAC"/>
    <w:rsid w:val="0067354B"/>
    <w:rsid w:val="0067513F"/>
    <w:rsid w:val="006925AA"/>
    <w:rsid w:val="006A2CAB"/>
    <w:rsid w:val="006A5782"/>
    <w:rsid w:val="006A7135"/>
    <w:rsid w:val="006D2333"/>
    <w:rsid w:val="006D2493"/>
    <w:rsid w:val="006E023B"/>
    <w:rsid w:val="006E2AC1"/>
    <w:rsid w:val="006E38B5"/>
    <w:rsid w:val="006E7031"/>
    <w:rsid w:val="006F07F5"/>
    <w:rsid w:val="00713A01"/>
    <w:rsid w:val="00721B13"/>
    <w:rsid w:val="00725177"/>
    <w:rsid w:val="00730E1E"/>
    <w:rsid w:val="00735B01"/>
    <w:rsid w:val="00757B69"/>
    <w:rsid w:val="00762D93"/>
    <w:rsid w:val="00763C7C"/>
    <w:rsid w:val="00784AB6"/>
    <w:rsid w:val="007A0084"/>
    <w:rsid w:val="007A0F05"/>
    <w:rsid w:val="007A4B53"/>
    <w:rsid w:val="007B3584"/>
    <w:rsid w:val="007E2361"/>
    <w:rsid w:val="007E5351"/>
    <w:rsid w:val="007E6357"/>
    <w:rsid w:val="007E7917"/>
    <w:rsid w:val="007F2475"/>
    <w:rsid w:val="007F4CF6"/>
    <w:rsid w:val="008047D4"/>
    <w:rsid w:val="008125E7"/>
    <w:rsid w:val="00814A9E"/>
    <w:rsid w:val="00815111"/>
    <w:rsid w:val="00825B35"/>
    <w:rsid w:val="00836C90"/>
    <w:rsid w:val="00847E91"/>
    <w:rsid w:val="00870C98"/>
    <w:rsid w:val="00876055"/>
    <w:rsid w:val="008865DF"/>
    <w:rsid w:val="00886765"/>
    <w:rsid w:val="008C1B5E"/>
    <w:rsid w:val="008C44E8"/>
    <w:rsid w:val="008E3DE6"/>
    <w:rsid w:val="008F1249"/>
    <w:rsid w:val="008F56EC"/>
    <w:rsid w:val="008F6DB1"/>
    <w:rsid w:val="0090040D"/>
    <w:rsid w:val="00903970"/>
    <w:rsid w:val="00910840"/>
    <w:rsid w:val="00923CF0"/>
    <w:rsid w:val="00924D7E"/>
    <w:rsid w:val="00944BAB"/>
    <w:rsid w:val="0095574E"/>
    <w:rsid w:val="00993D71"/>
    <w:rsid w:val="00995701"/>
    <w:rsid w:val="009A3C0C"/>
    <w:rsid w:val="009B3642"/>
    <w:rsid w:val="009B50A9"/>
    <w:rsid w:val="009C471E"/>
    <w:rsid w:val="009D052C"/>
    <w:rsid w:val="009D1D1E"/>
    <w:rsid w:val="009F707A"/>
    <w:rsid w:val="00A035FD"/>
    <w:rsid w:val="00A04A8F"/>
    <w:rsid w:val="00A060D5"/>
    <w:rsid w:val="00A10C0A"/>
    <w:rsid w:val="00A1536B"/>
    <w:rsid w:val="00A1576B"/>
    <w:rsid w:val="00A168DD"/>
    <w:rsid w:val="00A1799D"/>
    <w:rsid w:val="00A409F8"/>
    <w:rsid w:val="00A40CF6"/>
    <w:rsid w:val="00A54C8F"/>
    <w:rsid w:val="00A5726A"/>
    <w:rsid w:val="00A731AA"/>
    <w:rsid w:val="00A73AD2"/>
    <w:rsid w:val="00A76178"/>
    <w:rsid w:val="00A8750C"/>
    <w:rsid w:val="00A95D59"/>
    <w:rsid w:val="00AB1319"/>
    <w:rsid w:val="00AB37BE"/>
    <w:rsid w:val="00AC5702"/>
    <w:rsid w:val="00AE2F44"/>
    <w:rsid w:val="00AF4B17"/>
    <w:rsid w:val="00B30F76"/>
    <w:rsid w:val="00B474CB"/>
    <w:rsid w:val="00B561AC"/>
    <w:rsid w:val="00B56AB5"/>
    <w:rsid w:val="00B6182E"/>
    <w:rsid w:val="00B80F96"/>
    <w:rsid w:val="00B87E75"/>
    <w:rsid w:val="00B94EC3"/>
    <w:rsid w:val="00BB29CB"/>
    <w:rsid w:val="00BB64A9"/>
    <w:rsid w:val="00BC3513"/>
    <w:rsid w:val="00BC77FA"/>
    <w:rsid w:val="00BD2432"/>
    <w:rsid w:val="00BE1CA0"/>
    <w:rsid w:val="00BF3520"/>
    <w:rsid w:val="00C07462"/>
    <w:rsid w:val="00C11E4D"/>
    <w:rsid w:val="00C14410"/>
    <w:rsid w:val="00C22238"/>
    <w:rsid w:val="00C328BB"/>
    <w:rsid w:val="00C333FF"/>
    <w:rsid w:val="00C41090"/>
    <w:rsid w:val="00C4543F"/>
    <w:rsid w:val="00C46721"/>
    <w:rsid w:val="00C5147B"/>
    <w:rsid w:val="00C517CD"/>
    <w:rsid w:val="00C532B5"/>
    <w:rsid w:val="00C554E7"/>
    <w:rsid w:val="00C60D0F"/>
    <w:rsid w:val="00C83711"/>
    <w:rsid w:val="00C903AD"/>
    <w:rsid w:val="00CB2165"/>
    <w:rsid w:val="00CC7588"/>
    <w:rsid w:val="00CD33A8"/>
    <w:rsid w:val="00CE38E0"/>
    <w:rsid w:val="00CF21B0"/>
    <w:rsid w:val="00D41341"/>
    <w:rsid w:val="00D41D4D"/>
    <w:rsid w:val="00D54F71"/>
    <w:rsid w:val="00D57FDC"/>
    <w:rsid w:val="00D62D53"/>
    <w:rsid w:val="00D71376"/>
    <w:rsid w:val="00D72D0A"/>
    <w:rsid w:val="00D737EA"/>
    <w:rsid w:val="00D77E87"/>
    <w:rsid w:val="00D84D16"/>
    <w:rsid w:val="00D85144"/>
    <w:rsid w:val="00DB1879"/>
    <w:rsid w:val="00DB3470"/>
    <w:rsid w:val="00DC379B"/>
    <w:rsid w:val="00DD3B9A"/>
    <w:rsid w:val="00DD655F"/>
    <w:rsid w:val="00DE0A70"/>
    <w:rsid w:val="00E11FCD"/>
    <w:rsid w:val="00E153C3"/>
    <w:rsid w:val="00E405A8"/>
    <w:rsid w:val="00E465E2"/>
    <w:rsid w:val="00E5048D"/>
    <w:rsid w:val="00E54282"/>
    <w:rsid w:val="00E569FD"/>
    <w:rsid w:val="00E57144"/>
    <w:rsid w:val="00E620E7"/>
    <w:rsid w:val="00E738CF"/>
    <w:rsid w:val="00E9291D"/>
    <w:rsid w:val="00EB039E"/>
    <w:rsid w:val="00ED7823"/>
    <w:rsid w:val="00EE1ABB"/>
    <w:rsid w:val="00F04B86"/>
    <w:rsid w:val="00F1224B"/>
    <w:rsid w:val="00F2111A"/>
    <w:rsid w:val="00F2124C"/>
    <w:rsid w:val="00F306C2"/>
    <w:rsid w:val="00F340F0"/>
    <w:rsid w:val="00F40EEC"/>
    <w:rsid w:val="00F4731C"/>
    <w:rsid w:val="00F52336"/>
    <w:rsid w:val="00F568EE"/>
    <w:rsid w:val="00F66E1B"/>
    <w:rsid w:val="00F85674"/>
    <w:rsid w:val="00F868BC"/>
    <w:rsid w:val="00F90F03"/>
    <w:rsid w:val="00F94F0A"/>
    <w:rsid w:val="00FB3FB6"/>
    <w:rsid w:val="00FB5399"/>
    <w:rsid w:val="00FC5C73"/>
    <w:rsid w:val="00FD6177"/>
    <w:rsid w:val="00FE1F8D"/>
    <w:rsid w:val="00FE56CB"/>
    <w:rsid w:val="00FE66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A03"/>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E620E7"/>
    <w:pPr>
      <w:keepNext/>
      <w:keepLines/>
      <w:spacing w:before="24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paragraph" w:styleId="Heading4">
    <w:name w:val="heading 4"/>
    <w:basedOn w:val="Normal"/>
    <w:next w:val="Normal"/>
    <w:link w:val="Heading4Char"/>
    <w:uiPriority w:val="9"/>
    <w:semiHidden/>
    <w:unhideWhenUsed/>
    <w:qFormat/>
    <w:rsid w:val="0091084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E023B"/>
    <w:pPr>
      <w:ind w:left="720"/>
      <w:contextualSpacing/>
    </w:pPr>
  </w:style>
  <w:style w:type="character" w:customStyle="1" w:styleId="Heading4Char">
    <w:name w:val="Heading 4 Char"/>
    <w:basedOn w:val="DefaultParagraphFont"/>
    <w:link w:val="Heading4"/>
    <w:uiPriority w:val="9"/>
    <w:semiHidden/>
    <w:rsid w:val="0091084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10840"/>
    <w:rPr>
      <w:b/>
      <w:bCs/>
    </w:rPr>
  </w:style>
  <w:style w:type="paragraph" w:customStyle="1" w:styleId="isselectedend">
    <w:name w:val="isselectedend"/>
    <w:basedOn w:val="Normal"/>
    <w:rsid w:val="00910840"/>
    <w:pPr>
      <w:spacing w:before="100" w:beforeAutospacing="1" w:after="100" w:afterAutospacing="1"/>
    </w:pPr>
  </w:style>
  <w:style w:type="paragraph" w:styleId="NormalWeb">
    <w:name w:val="Normal (Web)"/>
    <w:basedOn w:val="Normal"/>
    <w:uiPriority w:val="99"/>
    <w:unhideWhenUsed/>
    <w:rsid w:val="0028310D"/>
    <w:pPr>
      <w:spacing w:before="100" w:beforeAutospacing="1" w:after="100" w:afterAutospacing="1"/>
    </w:pPr>
  </w:style>
  <w:style w:type="character" w:customStyle="1" w:styleId="apple-converted-space">
    <w:name w:val="apple-converted-space"/>
    <w:basedOn w:val="DefaultParagraphFont"/>
    <w:rsid w:val="0028310D"/>
  </w:style>
  <w:style w:type="character" w:styleId="Emphasis">
    <w:name w:val="Emphasis"/>
    <w:basedOn w:val="DefaultParagraphFont"/>
    <w:uiPriority w:val="20"/>
    <w:qFormat/>
    <w:rsid w:val="002071F7"/>
    <w:rPr>
      <w:i/>
      <w:iCs/>
    </w:rPr>
  </w:style>
  <w:style w:type="character" w:styleId="Hyperlink">
    <w:name w:val="Hyperlink"/>
    <w:basedOn w:val="DefaultParagraphFont"/>
    <w:uiPriority w:val="99"/>
    <w:semiHidden/>
    <w:unhideWhenUsed/>
    <w:rsid w:val="002071F7"/>
    <w:rPr>
      <w:color w:val="0000FF"/>
      <w:u w:val="single"/>
    </w:rPr>
  </w:style>
  <w:style w:type="character" w:styleId="FollowedHyperlink">
    <w:name w:val="FollowedHyperlink"/>
    <w:basedOn w:val="DefaultParagraphFont"/>
    <w:uiPriority w:val="99"/>
    <w:semiHidden/>
    <w:unhideWhenUsed/>
    <w:rsid w:val="0035723B"/>
    <w:rPr>
      <w:color w:val="954F72" w:themeColor="followedHyperlink"/>
      <w:u w:val="single"/>
    </w:rPr>
  </w:style>
  <w:style w:type="character" w:customStyle="1" w:styleId="whitespace-normal">
    <w:name w:val="whitespace-normal"/>
    <w:basedOn w:val="DefaultParagraphFont"/>
    <w:rsid w:val="00A40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ukpga/2014/23/contents/enacted" TargetMode="External"/><Relationship Id="rId18" Type="http://schemas.openxmlformats.org/officeDocument/2006/relationships/hyperlink" Target="https://migrationobservatory.ox.ac.uk/" TargetMode="External"/><Relationship Id="rId26" Type="http://schemas.openxmlformats.org/officeDocument/2006/relationships/hyperlink" Target="https://migrationobservatory.ox.ac.uk/resources/briefings/integration/" TargetMode="External"/><Relationship Id="rId3" Type="http://schemas.openxmlformats.org/officeDocument/2006/relationships/settings" Target="settings.xml"/><Relationship Id="rId21" Type="http://schemas.openxmlformats.org/officeDocument/2006/relationships/hyperlink" Target="https://journals.sagepub.com/doi/10.1177/0261018315578661" TargetMode="External"/><Relationship Id="rId7" Type="http://schemas.openxmlformats.org/officeDocument/2006/relationships/image" Target="media/image1.png"/><Relationship Id="rId12" Type="http://schemas.openxmlformats.org/officeDocument/2006/relationships/hyperlink" Target="https://pmc.ncbi.nlm.nih.gov/articles/PMC6617541" TargetMode="External"/><Relationship Id="rId17" Type="http://schemas.openxmlformats.org/officeDocument/2006/relationships/hyperlink" Target="https://www.health.org.uk/publications/reports/the-marmot-review-10-years-on" TargetMode="External"/><Relationship Id="rId25" Type="http://schemas.openxmlformats.org/officeDocument/2006/relationships/hyperlink" Target="https://www.sciencedirect.com/science/article/pii/S2666623525000881" TargetMode="External"/><Relationship Id="rId2" Type="http://schemas.openxmlformats.org/officeDocument/2006/relationships/styles" Target="styles.xml"/><Relationship Id="rId16" Type="http://schemas.openxmlformats.org/officeDocument/2006/relationships/hyperlink" Target="https://implementationscience.biomedcentral.com/articles/10.1186/1748-5908-5-69" TargetMode="External"/><Relationship Id="rId20" Type="http://schemas.openxmlformats.org/officeDocument/2006/relationships/hyperlink" Target="https://pubmed.ncbi.nlm.nih.gov/3414338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dcross.org.uk/about-us/what-we-do/how-we-support-refugees" TargetMode="External"/><Relationship Id="rId24" Type="http://schemas.openxmlformats.org/officeDocument/2006/relationships/hyperlink" Target="https://www.refugeecouncil.org.uk/" TargetMode="External"/><Relationship Id="rId5" Type="http://schemas.openxmlformats.org/officeDocument/2006/relationships/footnotes" Target="footnotes.xml"/><Relationship Id="rId15" Type="http://schemas.openxmlformats.org/officeDocument/2006/relationships/hyperlink" Target="https://www.gov.uk/government/statistics" TargetMode="External"/><Relationship Id="rId23" Type="http://schemas.openxmlformats.org/officeDocument/2006/relationships/hyperlink" Target="https://www.gov.uk/government/collections/migrant-health-guide" TargetMode="External"/><Relationship Id="rId28" Type="http://schemas.openxmlformats.org/officeDocument/2006/relationships/footer" Target="footer1.xml"/><Relationship Id="rId10" Type="http://schemas.openxmlformats.org/officeDocument/2006/relationships/hyperlink" Target="https://www.tandfonline.com/doi/abs/10.1191/1478088706qp063oa" TargetMode="External"/><Relationship Id="rId19"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doi.org/10.1080/1364557032000119616" TargetMode="External"/><Relationship Id="rId14" Type="http://schemas.openxmlformats.org/officeDocument/2006/relationships/hyperlink" Target="https://academic.oup.com/jpubhealth/article/47/2/207/7976920" TargetMode="External"/><Relationship Id="rId22" Type="http://schemas.openxmlformats.org/officeDocument/2006/relationships/hyperlink" Target="https://www.sciencedirect.com/science/article/pii/S2215036616300499" TargetMode="External"/><Relationship Id="rId27" Type="http://schemas.openxmlformats.org/officeDocument/2006/relationships/hyperlink" Target="https://www.unhcr.org/uk/what-is-a-refugee.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365</TotalTime>
  <Pages>19</Pages>
  <Words>4472</Words>
  <Characters>31040</Characters>
  <Application>Microsoft Office Word</Application>
  <DocSecurity>0</DocSecurity>
  <Lines>608</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Deborah Flores Rodrigues (2336878)</cp:lastModifiedBy>
  <cp:revision>275</cp:revision>
  <dcterms:created xsi:type="dcterms:W3CDTF">2026-03-27T10:30:00Z</dcterms:created>
  <dcterms:modified xsi:type="dcterms:W3CDTF">2026-04-22T14:58:00Z</dcterms:modified>
</cp:coreProperties>
</file>