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E0A557" w14:textId="111FEE6D" w:rsidR="00E654B4" w:rsidRDefault="00E654B4" w:rsidP="00E654B4">
      <w:pPr>
        <w:spacing w:line="360" w:lineRule="auto"/>
        <w:jc w:val="both"/>
        <w:rPr>
          <w:rFonts w:ascii="Arial" w:hAnsi="Arial" w:cs="Arial"/>
          <w:sz w:val="24"/>
          <w:szCs w:val="24"/>
        </w:rPr>
      </w:pPr>
      <w:r w:rsidRPr="00257CB6">
        <w:rPr>
          <w:rFonts w:ascii="Arial" w:hAnsi="Arial" w:cs="Arial"/>
          <w:noProof/>
          <w:sz w:val="24"/>
          <w:szCs w:val="24"/>
          <w:lang w:bidi="ar-SA"/>
        </w:rPr>
        <w:drawing>
          <wp:anchor distT="0" distB="0" distL="114300" distR="114300" simplePos="0" relativeHeight="251658240" behindDoc="1" locked="0" layoutInCell="1" allowOverlap="1" wp14:anchorId="2D3686A1" wp14:editId="3D12E060">
            <wp:simplePos x="0" y="0"/>
            <wp:positionH relativeFrom="column">
              <wp:posOffset>1798320</wp:posOffset>
            </wp:positionH>
            <wp:positionV relativeFrom="paragraph">
              <wp:posOffset>0</wp:posOffset>
            </wp:positionV>
            <wp:extent cx="1854244" cy="1030044"/>
            <wp:effectExtent l="0" t="0" r="0" b="0"/>
            <wp:wrapTight wrapText="bothSides">
              <wp:wrapPolygon edited="0">
                <wp:start x="0" y="0"/>
                <wp:lineTo x="0" y="21174"/>
                <wp:lineTo x="21304" y="21174"/>
                <wp:lineTo x="2130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versity-of-wales-trinity-saint-david-logo-vector.png"/>
                    <pic:cNvPicPr/>
                  </pic:nvPicPr>
                  <pic:blipFill>
                    <a:blip r:embed="rId4" cstate="print">
                      <a:extLst>
                        <a:ext uri="{28A0092B-C50C-407E-A947-70E740481C1C}">
                          <a14:useLocalDpi xmlns:a14="http://schemas.microsoft.com/office/drawing/2010/main" val="0"/>
                        </a:ext>
                      </a:extLst>
                    </a:blip>
                    <a:stretch>
                      <a:fillRect/>
                    </a:stretch>
                  </pic:blipFill>
                  <pic:spPr>
                    <a:xfrm>
                      <a:off x="0" y="0"/>
                      <a:ext cx="1854244" cy="1030044"/>
                    </a:xfrm>
                    <a:prstGeom prst="rect">
                      <a:avLst/>
                    </a:prstGeom>
                  </pic:spPr>
                </pic:pic>
              </a:graphicData>
            </a:graphic>
          </wp:anchor>
        </w:drawing>
      </w:r>
    </w:p>
    <w:p w14:paraId="42859CBD" w14:textId="77777777" w:rsidR="00E654B4" w:rsidRDefault="00E654B4" w:rsidP="00E654B4">
      <w:pPr>
        <w:spacing w:line="360" w:lineRule="auto"/>
        <w:jc w:val="both"/>
        <w:rPr>
          <w:rFonts w:ascii="Arial" w:hAnsi="Arial" w:cs="Arial"/>
          <w:sz w:val="24"/>
          <w:szCs w:val="24"/>
        </w:rPr>
      </w:pPr>
    </w:p>
    <w:tbl>
      <w:tblPr>
        <w:tblStyle w:val="TableGrid"/>
        <w:tblpPr w:leftFromText="180" w:rightFromText="180" w:vertAnchor="text" w:horzAnchor="margin" w:tblpXSpec="center" w:tblpY="1801"/>
        <w:tblW w:w="9625" w:type="dxa"/>
        <w:tblLook w:val="04A0" w:firstRow="1" w:lastRow="0" w:firstColumn="1" w:lastColumn="0" w:noHBand="0" w:noVBand="1"/>
      </w:tblPr>
      <w:tblGrid>
        <w:gridCol w:w="1975"/>
        <w:gridCol w:w="2430"/>
        <w:gridCol w:w="2430"/>
        <w:gridCol w:w="2790"/>
      </w:tblGrid>
      <w:tr w:rsidR="00E446A5" w:rsidRPr="00257CB6" w14:paraId="3A93674D" w14:textId="77777777" w:rsidTr="00CD5AB2">
        <w:tc>
          <w:tcPr>
            <w:tcW w:w="1975" w:type="dxa"/>
            <w:shd w:val="clear" w:color="auto" w:fill="BFBFBF" w:themeFill="background1" w:themeFillShade="BF"/>
            <w:tcMar>
              <w:top w:w="113" w:type="dxa"/>
              <w:bottom w:w="113" w:type="dxa"/>
            </w:tcMar>
          </w:tcPr>
          <w:p w14:paraId="1BDE18A7" w14:textId="77777777" w:rsidR="00E446A5" w:rsidRPr="00257CB6" w:rsidRDefault="00E446A5" w:rsidP="00CD5AB2">
            <w:pPr>
              <w:spacing w:line="360" w:lineRule="auto"/>
              <w:jc w:val="both"/>
              <w:rPr>
                <w:rFonts w:ascii="Arial" w:hAnsi="Arial" w:cs="Arial"/>
                <w:sz w:val="24"/>
                <w:szCs w:val="24"/>
              </w:rPr>
            </w:pPr>
            <w:r w:rsidRPr="00257CB6">
              <w:rPr>
                <w:rFonts w:ascii="Arial" w:hAnsi="Arial" w:cs="Arial"/>
                <w:sz w:val="24"/>
                <w:szCs w:val="24"/>
              </w:rPr>
              <w:t>Student Name</w:t>
            </w:r>
          </w:p>
        </w:tc>
        <w:tc>
          <w:tcPr>
            <w:tcW w:w="2430" w:type="dxa"/>
            <w:tcMar>
              <w:top w:w="113" w:type="dxa"/>
              <w:bottom w:w="113" w:type="dxa"/>
            </w:tcMar>
          </w:tcPr>
          <w:p w14:paraId="32648733" w14:textId="77777777" w:rsidR="00E446A5" w:rsidRPr="00257CB6" w:rsidRDefault="00E446A5" w:rsidP="00CD5AB2">
            <w:pPr>
              <w:spacing w:line="360" w:lineRule="auto"/>
              <w:jc w:val="both"/>
              <w:rPr>
                <w:rFonts w:ascii="Arial" w:hAnsi="Arial" w:cs="Arial"/>
                <w:sz w:val="24"/>
                <w:szCs w:val="24"/>
              </w:rPr>
            </w:pPr>
            <w:proofErr w:type="spellStart"/>
            <w:r w:rsidRPr="00257CB6">
              <w:rPr>
                <w:rFonts w:ascii="Arial" w:hAnsi="Arial" w:cs="Arial"/>
                <w:sz w:val="24"/>
                <w:szCs w:val="24"/>
              </w:rPr>
              <w:t>Khalilur</w:t>
            </w:r>
            <w:proofErr w:type="spellEnd"/>
            <w:r w:rsidRPr="00257CB6">
              <w:rPr>
                <w:rFonts w:ascii="Arial" w:hAnsi="Arial" w:cs="Arial"/>
                <w:sz w:val="24"/>
                <w:szCs w:val="24"/>
              </w:rPr>
              <w:t xml:space="preserve"> Rahman</w:t>
            </w:r>
          </w:p>
        </w:tc>
        <w:tc>
          <w:tcPr>
            <w:tcW w:w="2430" w:type="dxa"/>
            <w:shd w:val="clear" w:color="auto" w:fill="BFBFBF" w:themeFill="background1" w:themeFillShade="BF"/>
            <w:tcMar>
              <w:top w:w="113" w:type="dxa"/>
              <w:bottom w:w="113" w:type="dxa"/>
            </w:tcMar>
          </w:tcPr>
          <w:p w14:paraId="55A382C6" w14:textId="77777777" w:rsidR="00E446A5" w:rsidRPr="00257CB6" w:rsidRDefault="00E446A5" w:rsidP="00CD5AB2">
            <w:pPr>
              <w:spacing w:line="360" w:lineRule="auto"/>
              <w:jc w:val="both"/>
              <w:rPr>
                <w:rFonts w:ascii="Arial" w:hAnsi="Arial" w:cs="Arial"/>
                <w:sz w:val="24"/>
                <w:szCs w:val="24"/>
              </w:rPr>
            </w:pPr>
            <w:r w:rsidRPr="00257CB6">
              <w:rPr>
                <w:rFonts w:ascii="Arial" w:hAnsi="Arial" w:cs="Arial"/>
                <w:sz w:val="24"/>
                <w:szCs w:val="24"/>
              </w:rPr>
              <w:t>Student ID</w:t>
            </w:r>
          </w:p>
        </w:tc>
        <w:tc>
          <w:tcPr>
            <w:tcW w:w="2790" w:type="dxa"/>
            <w:tcMar>
              <w:top w:w="113" w:type="dxa"/>
              <w:bottom w:w="113" w:type="dxa"/>
            </w:tcMar>
          </w:tcPr>
          <w:p w14:paraId="7CDCB833" w14:textId="77777777" w:rsidR="00E446A5" w:rsidRPr="00257CB6" w:rsidRDefault="00E446A5" w:rsidP="00CD5AB2">
            <w:pPr>
              <w:spacing w:line="360" w:lineRule="auto"/>
              <w:jc w:val="both"/>
              <w:rPr>
                <w:rFonts w:ascii="Arial" w:hAnsi="Arial" w:cs="Arial"/>
                <w:sz w:val="24"/>
                <w:szCs w:val="24"/>
              </w:rPr>
            </w:pPr>
            <w:r w:rsidRPr="005B4E3C">
              <w:rPr>
                <w:rFonts w:ascii="Arial" w:hAnsi="Arial" w:cs="Arial"/>
                <w:sz w:val="24"/>
                <w:szCs w:val="24"/>
              </w:rPr>
              <w:t>2211971</w:t>
            </w:r>
          </w:p>
        </w:tc>
      </w:tr>
      <w:tr w:rsidR="00E446A5" w:rsidRPr="00257CB6" w14:paraId="4DFBDA41" w14:textId="77777777" w:rsidTr="00CD5AB2">
        <w:tc>
          <w:tcPr>
            <w:tcW w:w="1975" w:type="dxa"/>
            <w:shd w:val="clear" w:color="auto" w:fill="BFBFBF" w:themeFill="background1" w:themeFillShade="BF"/>
            <w:tcMar>
              <w:top w:w="113" w:type="dxa"/>
              <w:bottom w:w="113" w:type="dxa"/>
            </w:tcMar>
          </w:tcPr>
          <w:p w14:paraId="43EEC8AB" w14:textId="77777777" w:rsidR="00E446A5" w:rsidRPr="00257CB6" w:rsidRDefault="00E446A5" w:rsidP="00CD5AB2">
            <w:pPr>
              <w:spacing w:line="360" w:lineRule="auto"/>
              <w:jc w:val="both"/>
              <w:rPr>
                <w:rFonts w:ascii="Arial" w:hAnsi="Arial" w:cs="Arial"/>
                <w:sz w:val="24"/>
                <w:szCs w:val="24"/>
              </w:rPr>
            </w:pPr>
            <w:proofErr w:type="spellStart"/>
            <w:r w:rsidRPr="00257CB6">
              <w:rPr>
                <w:rFonts w:ascii="Arial" w:hAnsi="Arial" w:cs="Arial"/>
                <w:sz w:val="24"/>
                <w:szCs w:val="24"/>
              </w:rPr>
              <w:t>Programme</w:t>
            </w:r>
            <w:proofErr w:type="spellEnd"/>
            <w:r w:rsidRPr="00257CB6">
              <w:rPr>
                <w:rFonts w:ascii="Arial" w:hAnsi="Arial" w:cs="Arial"/>
                <w:sz w:val="24"/>
                <w:szCs w:val="24"/>
              </w:rPr>
              <w:t xml:space="preserve"> </w:t>
            </w:r>
          </w:p>
        </w:tc>
        <w:tc>
          <w:tcPr>
            <w:tcW w:w="2430" w:type="dxa"/>
            <w:tcMar>
              <w:top w:w="113" w:type="dxa"/>
              <w:bottom w:w="113" w:type="dxa"/>
            </w:tcMar>
          </w:tcPr>
          <w:p w14:paraId="3A951DD7" w14:textId="77777777" w:rsidR="00E446A5" w:rsidRPr="00257CB6" w:rsidRDefault="00E446A5" w:rsidP="00CD5AB2">
            <w:pPr>
              <w:spacing w:line="360" w:lineRule="auto"/>
              <w:jc w:val="both"/>
              <w:rPr>
                <w:rFonts w:ascii="Arial" w:hAnsi="Arial" w:cs="Arial"/>
                <w:sz w:val="24"/>
                <w:szCs w:val="24"/>
              </w:rPr>
            </w:pPr>
            <w:r w:rsidRPr="00257CB6">
              <w:rPr>
                <w:rFonts w:ascii="Arial" w:hAnsi="Arial" w:cs="Arial"/>
                <w:sz w:val="24"/>
                <w:szCs w:val="24"/>
              </w:rPr>
              <w:t>BA International Hotel Management</w:t>
            </w:r>
          </w:p>
        </w:tc>
        <w:tc>
          <w:tcPr>
            <w:tcW w:w="2430" w:type="dxa"/>
            <w:shd w:val="clear" w:color="auto" w:fill="BFBFBF" w:themeFill="background1" w:themeFillShade="BF"/>
            <w:tcMar>
              <w:top w:w="113" w:type="dxa"/>
              <w:bottom w:w="113" w:type="dxa"/>
            </w:tcMar>
          </w:tcPr>
          <w:p w14:paraId="05A69328" w14:textId="77777777" w:rsidR="00E446A5" w:rsidRPr="00257CB6" w:rsidRDefault="00E446A5" w:rsidP="00CD5AB2">
            <w:pPr>
              <w:spacing w:line="360" w:lineRule="auto"/>
              <w:jc w:val="both"/>
              <w:rPr>
                <w:rFonts w:ascii="Arial" w:hAnsi="Arial" w:cs="Arial"/>
                <w:sz w:val="24"/>
                <w:szCs w:val="24"/>
              </w:rPr>
            </w:pPr>
            <w:r w:rsidRPr="00257CB6">
              <w:rPr>
                <w:rFonts w:ascii="Arial" w:hAnsi="Arial" w:cs="Arial"/>
                <w:sz w:val="24"/>
                <w:szCs w:val="24"/>
              </w:rPr>
              <w:t>Internal Verifier:</w:t>
            </w:r>
          </w:p>
        </w:tc>
        <w:tc>
          <w:tcPr>
            <w:tcW w:w="2790" w:type="dxa"/>
            <w:tcMar>
              <w:top w:w="113" w:type="dxa"/>
              <w:bottom w:w="113" w:type="dxa"/>
            </w:tcMar>
          </w:tcPr>
          <w:p w14:paraId="62681509" w14:textId="77777777" w:rsidR="00E446A5" w:rsidRPr="00257CB6" w:rsidRDefault="00E446A5" w:rsidP="00CD5AB2">
            <w:pPr>
              <w:spacing w:line="360" w:lineRule="auto"/>
              <w:jc w:val="both"/>
              <w:rPr>
                <w:rFonts w:ascii="Arial" w:hAnsi="Arial" w:cs="Arial"/>
                <w:sz w:val="24"/>
                <w:szCs w:val="24"/>
                <w:highlight w:val="yellow"/>
              </w:rPr>
            </w:pPr>
            <w:r w:rsidRPr="00257CB6">
              <w:rPr>
                <w:rFonts w:ascii="Arial" w:hAnsi="Arial" w:cs="Arial"/>
                <w:sz w:val="24"/>
                <w:szCs w:val="24"/>
              </w:rPr>
              <w:t>Charlotte Joyner</w:t>
            </w:r>
          </w:p>
        </w:tc>
      </w:tr>
      <w:tr w:rsidR="00E446A5" w:rsidRPr="00257CB6" w14:paraId="0B129B7A" w14:textId="77777777" w:rsidTr="00CD5AB2">
        <w:tc>
          <w:tcPr>
            <w:tcW w:w="1975" w:type="dxa"/>
            <w:shd w:val="clear" w:color="auto" w:fill="BFBFBF" w:themeFill="background1" w:themeFillShade="BF"/>
            <w:tcMar>
              <w:top w:w="113" w:type="dxa"/>
              <w:bottom w:w="113" w:type="dxa"/>
            </w:tcMar>
          </w:tcPr>
          <w:p w14:paraId="51F0BD3D" w14:textId="77777777" w:rsidR="00E446A5" w:rsidRPr="00257CB6" w:rsidRDefault="00E446A5" w:rsidP="00CD5AB2">
            <w:pPr>
              <w:spacing w:line="360" w:lineRule="auto"/>
              <w:jc w:val="both"/>
              <w:rPr>
                <w:rFonts w:ascii="Arial" w:hAnsi="Arial" w:cs="Arial"/>
                <w:sz w:val="24"/>
                <w:szCs w:val="24"/>
              </w:rPr>
            </w:pPr>
            <w:r w:rsidRPr="00257CB6">
              <w:rPr>
                <w:rFonts w:ascii="Arial" w:hAnsi="Arial" w:cs="Arial"/>
                <w:sz w:val="24"/>
                <w:szCs w:val="24"/>
              </w:rPr>
              <w:t>Module</w:t>
            </w:r>
          </w:p>
        </w:tc>
        <w:tc>
          <w:tcPr>
            <w:tcW w:w="2430" w:type="dxa"/>
            <w:tcMar>
              <w:top w:w="113" w:type="dxa"/>
              <w:bottom w:w="113" w:type="dxa"/>
            </w:tcMar>
          </w:tcPr>
          <w:p w14:paraId="1B98ADE5" w14:textId="77777777" w:rsidR="00E446A5" w:rsidRPr="00257CB6" w:rsidRDefault="00E446A5" w:rsidP="00CD5AB2">
            <w:pPr>
              <w:spacing w:line="360" w:lineRule="auto"/>
              <w:jc w:val="both"/>
              <w:rPr>
                <w:rFonts w:ascii="Arial" w:hAnsi="Arial" w:cs="Arial"/>
                <w:sz w:val="24"/>
                <w:szCs w:val="24"/>
              </w:rPr>
            </w:pPr>
            <w:r w:rsidRPr="00257CB6">
              <w:rPr>
                <w:rFonts w:ascii="Arial" w:hAnsi="Arial" w:cs="Arial"/>
                <w:sz w:val="24"/>
                <w:szCs w:val="24"/>
              </w:rPr>
              <w:t>Food &amp; Beverage Operations</w:t>
            </w:r>
          </w:p>
        </w:tc>
        <w:tc>
          <w:tcPr>
            <w:tcW w:w="2430" w:type="dxa"/>
            <w:shd w:val="clear" w:color="auto" w:fill="BFBFBF" w:themeFill="background1" w:themeFillShade="BF"/>
            <w:tcMar>
              <w:top w:w="113" w:type="dxa"/>
              <w:bottom w:w="113" w:type="dxa"/>
            </w:tcMar>
          </w:tcPr>
          <w:p w14:paraId="4B53F0C6" w14:textId="77777777" w:rsidR="00E446A5" w:rsidRPr="00257CB6" w:rsidRDefault="00E446A5" w:rsidP="00CD5AB2">
            <w:pPr>
              <w:spacing w:line="360" w:lineRule="auto"/>
              <w:jc w:val="both"/>
              <w:rPr>
                <w:rFonts w:ascii="Arial" w:hAnsi="Arial" w:cs="Arial"/>
                <w:sz w:val="24"/>
                <w:szCs w:val="24"/>
              </w:rPr>
            </w:pPr>
            <w:r w:rsidRPr="00257CB6">
              <w:rPr>
                <w:rFonts w:ascii="Arial" w:hAnsi="Arial" w:cs="Arial"/>
                <w:sz w:val="24"/>
                <w:szCs w:val="24"/>
              </w:rPr>
              <w:t xml:space="preserve">Lecturer </w:t>
            </w:r>
          </w:p>
        </w:tc>
        <w:tc>
          <w:tcPr>
            <w:tcW w:w="2790" w:type="dxa"/>
            <w:tcMar>
              <w:top w:w="113" w:type="dxa"/>
              <w:bottom w:w="113" w:type="dxa"/>
            </w:tcMar>
          </w:tcPr>
          <w:p w14:paraId="54F30BA5" w14:textId="537E9F3C" w:rsidR="00E446A5" w:rsidRPr="00385A95" w:rsidRDefault="00E446A5" w:rsidP="00CD5AB2">
            <w:pPr>
              <w:spacing w:line="360" w:lineRule="auto"/>
              <w:jc w:val="both"/>
              <w:rPr>
                <w:rFonts w:ascii="Arial" w:hAnsi="Arial" w:cs="Arial"/>
                <w:sz w:val="24"/>
                <w:szCs w:val="24"/>
              </w:rPr>
            </w:pPr>
            <w:proofErr w:type="spellStart"/>
            <w:r w:rsidRPr="00257CB6">
              <w:rPr>
                <w:rFonts w:ascii="Arial" w:hAnsi="Arial" w:cs="Arial"/>
                <w:sz w:val="24"/>
                <w:szCs w:val="24"/>
              </w:rPr>
              <w:t>Jaliya</w:t>
            </w:r>
            <w:proofErr w:type="spellEnd"/>
            <w:r w:rsidR="00385A95">
              <w:rPr>
                <w:rFonts w:ascii="Arial" w:hAnsi="Arial" w:cs="Arial"/>
                <w:sz w:val="24"/>
                <w:szCs w:val="24"/>
              </w:rPr>
              <w:t xml:space="preserve"> </w:t>
            </w:r>
            <w:r w:rsidRPr="00257CB6">
              <w:rPr>
                <w:rFonts w:ascii="Arial" w:hAnsi="Arial" w:cs="Arial"/>
                <w:sz w:val="24"/>
                <w:szCs w:val="24"/>
              </w:rPr>
              <w:t>De</w:t>
            </w:r>
            <w:r w:rsidR="00385A95">
              <w:rPr>
                <w:rFonts w:ascii="Arial" w:hAnsi="Arial" w:cs="Arial"/>
                <w:sz w:val="24"/>
                <w:szCs w:val="24"/>
              </w:rPr>
              <w:t>-</w:t>
            </w:r>
            <w:bookmarkStart w:id="0" w:name="_GoBack"/>
            <w:bookmarkEnd w:id="0"/>
            <w:r w:rsidRPr="00257CB6">
              <w:rPr>
                <w:rFonts w:ascii="Arial" w:hAnsi="Arial" w:cs="Arial"/>
                <w:sz w:val="24"/>
                <w:szCs w:val="24"/>
              </w:rPr>
              <w:t>Silva</w:t>
            </w:r>
          </w:p>
        </w:tc>
      </w:tr>
      <w:tr w:rsidR="00E446A5" w:rsidRPr="00257CB6" w14:paraId="6CDC4AE4" w14:textId="77777777" w:rsidTr="00CD5AB2">
        <w:tc>
          <w:tcPr>
            <w:tcW w:w="1975" w:type="dxa"/>
            <w:shd w:val="clear" w:color="auto" w:fill="BFBFBF" w:themeFill="background1" w:themeFillShade="BF"/>
            <w:tcMar>
              <w:top w:w="113" w:type="dxa"/>
              <w:bottom w:w="113" w:type="dxa"/>
            </w:tcMar>
          </w:tcPr>
          <w:p w14:paraId="63E34553" w14:textId="77777777" w:rsidR="00E446A5" w:rsidRPr="00257CB6" w:rsidRDefault="00E446A5" w:rsidP="00CD5AB2">
            <w:pPr>
              <w:spacing w:line="360" w:lineRule="auto"/>
              <w:jc w:val="both"/>
              <w:rPr>
                <w:rFonts w:ascii="Arial" w:hAnsi="Arial" w:cs="Arial"/>
                <w:sz w:val="24"/>
                <w:szCs w:val="24"/>
              </w:rPr>
            </w:pPr>
            <w:r w:rsidRPr="00257CB6">
              <w:rPr>
                <w:rFonts w:ascii="Arial" w:hAnsi="Arial" w:cs="Arial"/>
                <w:sz w:val="24"/>
                <w:szCs w:val="24"/>
              </w:rPr>
              <w:t>Submission</w:t>
            </w:r>
          </w:p>
          <w:p w14:paraId="20E76F39" w14:textId="77777777" w:rsidR="00E446A5" w:rsidRPr="00257CB6" w:rsidRDefault="00E446A5" w:rsidP="00CD5AB2">
            <w:pPr>
              <w:spacing w:line="360" w:lineRule="auto"/>
              <w:jc w:val="both"/>
              <w:rPr>
                <w:rFonts w:ascii="Arial" w:hAnsi="Arial" w:cs="Arial"/>
                <w:sz w:val="24"/>
                <w:szCs w:val="24"/>
              </w:rPr>
            </w:pPr>
            <w:r w:rsidRPr="00257CB6">
              <w:rPr>
                <w:rFonts w:ascii="Arial" w:hAnsi="Arial" w:cs="Arial"/>
                <w:sz w:val="24"/>
                <w:szCs w:val="24"/>
              </w:rPr>
              <w:t>deadline:</w:t>
            </w:r>
          </w:p>
        </w:tc>
        <w:tc>
          <w:tcPr>
            <w:tcW w:w="2430" w:type="dxa"/>
            <w:tcMar>
              <w:top w:w="113" w:type="dxa"/>
              <w:bottom w:w="113" w:type="dxa"/>
            </w:tcMar>
          </w:tcPr>
          <w:p w14:paraId="69A2B106" w14:textId="77777777" w:rsidR="00E446A5" w:rsidRPr="00257CB6" w:rsidRDefault="00E446A5" w:rsidP="00CD5AB2">
            <w:pPr>
              <w:spacing w:line="360" w:lineRule="auto"/>
              <w:jc w:val="both"/>
              <w:rPr>
                <w:rFonts w:ascii="Arial" w:hAnsi="Arial" w:cs="Arial"/>
                <w:bCs/>
                <w:sz w:val="24"/>
                <w:szCs w:val="24"/>
              </w:rPr>
            </w:pPr>
            <w:r w:rsidRPr="00257CB6">
              <w:rPr>
                <w:rFonts w:ascii="Arial" w:hAnsi="Arial" w:cs="Arial"/>
                <w:bCs/>
                <w:sz w:val="24"/>
                <w:szCs w:val="24"/>
              </w:rPr>
              <w:t>Friday 19th of May 23.59 2023</w:t>
            </w:r>
          </w:p>
        </w:tc>
        <w:tc>
          <w:tcPr>
            <w:tcW w:w="2430" w:type="dxa"/>
            <w:shd w:val="clear" w:color="auto" w:fill="BFBFBF" w:themeFill="background1" w:themeFillShade="BF"/>
            <w:tcMar>
              <w:top w:w="113" w:type="dxa"/>
              <w:bottom w:w="113" w:type="dxa"/>
            </w:tcMar>
          </w:tcPr>
          <w:p w14:paraId="216E32C9" w14:textId="77777777" w:rsidR="00E446A5" w:rsidRPr="00257CB6" w:rsidRDefault="00E446A5" w:rsidP="00CD5AB2">
            <w:pPr>
              <w:spacing w:line="360" w:lineRule="auto"/>
              <w:jc w:val="both"/>
              <w:rPr>
                <w:rFonts w:ascii="Arial" w:hAnsi="Arial" w:cs="Arial"/>
                <w:sz w:val="24"/>
                <w:szCs w:val="24"/>
              </w:rPr>
            </w:pPr>
            <w:r w:rsidRPr="00257CB6">
              <w:rPr>
                <w:rFonts w:ascii="Arial" w:hAnsi="Arial" w:cs="Arial"/>
                <w:sz w:val="24"/>
                <w:szCs w:val="24"/>
              </w:rPr>
              <w:t>Word Count</w:t>
            </w:r>
          </w:p>
        </w:tc>
        <w:tc>
          <w:tcPr>
            <w:tcW w:w="2790" w:type="dxa"/>
            <w:tcMar>
              <w:top w:w="113" w:type="dxa"/>
              <w:bottom w:w="113" w:type="dxa"/>
            </w:tcMar>
          </w:tcPr>
          <w:p w14:paraId="1B9F0950" w14:textId="77777777" w:rsidR="00E446A5" w:rsidRPr="00257CB6" w:rsidRDefault="00E446A5" w:rsidP="00CD5AB2">
            <w:pPr>
              <w:spacing w:line="360" w:lineRule="auto"/>
              <w:jc w:val="both"/>
              <w:rPr>
                <w:rFonts w:ascii="Arial" w:hAnsi="Arial" w:cs="Arial"/>
                <w:sz w:val="24"/>
                <w:szCs w:val="24"/>
              </w:rPr>
            </w:pPr>
            <w:r w:rsidRPr="00257CB6">
              <w:rPr>
                <w:rFonts w:ascii="Arial" w:hAnsi="Arial" w:cs="Arial"/>
                <w:sz w:val="24"/>
                <w:szCs w:val="24"/>
              </w:rPr>
              <w:t>8</w:t>
            </w:r>
            <w:r>
              <w:rPr>
                <w:rFonts w:ascii="Arial" w:hAnsi="Arial" w:cs="Arial"/>
                <w:sz w:val="24"/>
                <w:szCs w:val="24"/>
              </w:rPr>
              <w:t>02</w:t>
            </w:r>
          </w:p>
          <w:p w14:paraId="3F34EFB2" w14:textId="77777777" w:rsidR="00E446A5" w:rsidRPr="00257CB6" w:rsidRDefault="00E446A5" w:rsidP="00CD5AB2">
            <w:pPr>
              <w:spacing w:line="360" w:lineRule="auto"/>
              <w:jc w:val="both"/>
              <w:rPr>
                <w:rFonts w:ascii="Arial" w:hAnsi="Arial" w:cs="Arial"/>
                <w:sz w:val="24"/>
                <w:szCs w:val="24"/>
              </w:rPr>
            </w:pPr>
          </w:p>
        </w:tc>
      </w:tr>
    </w:tbl>
    <w:p w14:paraId="347CE64B" w14:textId="77777777" w:rsidR="00E654B4" w:rsidRDefault="00E654B4" w:rsidP="00E654B4">
      <w:pPr>
        <w:spacing w:line="360" w:lineRule="auto"/>
        <w:jc w:val="both"/>
        <w:rPr>
          <w:rFonts w:ascii="Arial" w:hAnsi="Arial" w:cs="Arial"/>
          <w:sz w:val="24"/>
          <w:szCs w:val="24"/>
        </w:rPr>
      </w:pPr>
    </w:p>
    <w:p w14:paraId="369BA8C2" w14:textId="77777777" w:rsidR="00E654B4" w:rsidRPr="00257CB6" w:rsidRDefault="00E654B4" w:rsidP="00E654B4">
      <w:pPr>
        <w:spacing w:line="360" w:lineRule="auto"/>
        <w:jc w:val="both"/>
        <w:rPr>
          <w:rFonts w:ascii="Arial" w:hAnsi="Arial" w:cs="Arial"/>
          <w:sz w:val="24"/>
          <w:szCs w:val="24"/>
        </w:rPr>
      </w:pPr>
    </w:p>
    <w:p w14:paraId="0CA5E855" w14:textId="77777777" w:rsidR="00E654B4" w:rsidRPr="00257CB6" w:rsidRDefault="00E654B4" w:rsidP="00E654B4">
      <w:pPr>
        <w:spacing w:line="360" w:lineRule="auto"/>
        <w:rPr>
          <w:rFonts w:ascii="Arial" w:hAnsi="Arial" w:cs="Arial"/>
          <w:sz w:val="24"/>
          <w:szCs w:val="24"/>
        </w:rPr>
      </w:pPr>
    </w:p>
    <w:p w14:paraId="53CEADCA" w14:textId="77777777" w:rsidR="00E654B4" w:rsidRPr="00257CB6" w:rsidRDefault="00E654B4" w:rsidP="00E654B4">
      <w:pPr>
        <w:spacing w:line="360" w:lineRule="auto"/>
        <w:rPr>
          <w:rStyle w:val="Strong"/>
          <w:rFonts w:ascii="Arial" w:hAnsi="Arial" w:cs="Arial"/>
          <w:color w:val="0E101A"/>
          <w:sz w:val="24"/>
          <w:szCs w:val="24"/>
          <w:lang w:bidi="bn-BD"/>
        </w:rPr>
      </w:pPr>
      <w:r w:rsidRPr="00257CB6">
        <w:rPr>
          <w:rStyle w:val="Strong"/>
          <w:rFonts w:ascii="Arial" w:hAnsi="Arial" w:cs="Arial"/>
          <w:color w:val="0E101A"/>
        </w:rPr>
        <w:br w:type="page"/>
      </w:r>
    </w:p>
    <w:p w14:paraId="3AEDFEF7" w14:textId="670C5BBF" w:rsidR="00E654B4" w:rsidRDefault="00E654B4" w:rsidP="00E654B4">
      <w:pPr>
        <w:pStyle w:val="NormalWeb"/>
        <w:spacing w:before="0" w:beforeAutospacing="0" w:after="0" w:afterAutospacing="0" w:line="360" w:lineRule="auto"/>
        <w:jc w:val="center"/>
        <w:rPr>
          <w:rStyle w:val="Strong"/>
          <w:rFonts w:ascii="Arial" w:eastAsiaTheme="minorEastAsia" w:hAnsi="Arial" w:cs="Arial"/>
          <w:color w:val="0E101A"/>
          <w:sz w:val="26"/>
          <w:szCs w:val="26"/>
          <w:lang w:val="en-GB"/>
        </w:rPr>
      </w:pPr>
      <w:r w:rsidRPr="00E446A5">
        <w:rPr>
          <w:rStyle w:val="Strong"/>
          <w:rFonts w:ascii="Arial" w:eastAsiaTheme="minorEastAsia" w:hAnsi="Arial" w:cs="Arial"/>
          <w:color w:val="0E101A"/>
          <w:sz w:val="26"/>
          <w:szCs w:val="26"/>
          <w:lang w:val="en-GB"/>
        </w:rPr>
        <w:lastRenderedPageBreak/>
        <w:t>“The required skill set of a Food &amp; Beverage employee changes based on the type of business and the type of service that is offered”</w:t>
      </w:r>
    </w:p>
    <w:p w14:paraId="6028AEBD" w14:textId="77777777" w:rsidR="00E446A5" w:rsidRPr="00E446A5" w:rsidRDefault="00E446A5" w:rsidP="00E654B4">
      <w:pPr>
        <w:pStyle w:val="NormalWeb"/>
        <w:spacing w:before="0" w:beforeAutospacing="0" w:after="0" w:afterAutospacing="0" w:line="360" w:lineRule="auto"/>
        <w:jc w:val="center"/>
        <w:rPr>
          <w:rFonts w:ascii="Arial" w:hAnsi="Arial" w:cs="Arial"/>
          <w:b/>
          <w:color w:val="0E101A"/>
          <w:sz w:val="26"/>
          <w:szCs w:val="26"/>
          <w:lang w:val="en-GB"/>
        </w:rPr>
      </w:pPr>
    </w:p>
    <w:p w14:paraId="575B28BD" w14:textId="77777777" w:rsidR="00E654B4" w:rsidRPr="005C29AA" w:rsidRDefault="00E654B4" w:rsidP="00E654B4">
      <w:pPr>
        <w:pStyle w:val="NormalWeb"/>
        <w:spacing w:before="0" w:beforeAutospacing="0" w:after="0" w:afterAutospacing="0" w:line="360" w:lineRule="auto"/>
        <w:jc w:val="both"/>
        <w:rPr>
          <w:rFonts w:ascii="Arial" w:hAnsi="Arial" w:cs="Arial"/>
          <w:color w:val="0E101A"/>
          <w:lang w:val="en-GB"/>
        </w:rPr>
      </w:pPr>
      <w:r w:rsidRPr="005C29AA">
        <w:rPr>
          <w:rFonts w:ascii="Arial" w:hAnsi="Arial" w:cs="Arial"/>
          <w:color w:val="0E101A"/>
          <w:lang w:val="en-GB"/>
        </w:rPr>
        <w:t xml:space="preserve">This essay describes various skills needed to play a different role at the restaurant (Cousins, 2020). Here mention the Unites Kingdom-based restaurant and what skills are required to play the role of a waiter or waitress at </w:t>
      </w:r>
      <w:proofErr w:type="spellStart"/>
      <w:r w:rsidRPr="005C29AA">
        <w:rPr>
          <w:rFonts w:ascii="Arial" w:hAnsi="Arial" w:cs="Arial"/>
          <w:color w:val="0E101A"/>
          <w:lang w:val="en-GB"/>
        </w:rPr>
        <w:t>Eshott</w:t>
      </w:r>
      <w:proofErr w:type="spellEnd"/>
      <w:r w:rsidRPr="005C29AA">
        <w:rPr>
          <w:rFonts w:ascii="Arial" w:hAnsi="Arial" w:cs="Arial"/>
          <w:color w:val="0E101A"/>
          <w:lang w:val="en-GB"/>
        </w:rPr>
        <w:t xml:space="preserve"> Hall and Fulham Tavern restaurant. Skills vary from job to job. The skills manager has different from waiters and waitresses. Moreover, skill also varies from restaurant to food and beverage.  </w:t>
      </w:r>
    </w:p>
    <w:p w14:paraId="5F36C0C9" w14:textId="77777777" w:rsidR="00E654B4" w:rsidRPr="005C29AA" w:rsidRDefault="00E654B4" w:rsidP="00E654B4">
      <w:pPr>
        <w:pStyle w:val="NormalWeb"/>
        <w:spacing w:before="0" w:beforeAutospacing="0" w:after="0" w:afterAutospacing="0" w:line="360" w:lineRule="auto"/>
        <w:jc w:val="both"/>
        <w:rPr>
          <w:rFonts w:ascii="Arial" w:hAnsi="Arial" w:cs="Arial"/>
          <w:color w:val="0E101A"/>
          <w:lang w:val="en-GB"/>
        </w:rPr>
      </w:pPr>
      <w:r w:rsidRPr="005C29AA">
        <w:rPr>
          <w:rFonts w:ascii="Arial" w:hAnsi="Arial" w:cs="Arial"/>
          <w:color w:val="0E101A"/>
          <w:lang w:val="en-GB"/>
        </w:rPr>
        <w:t xml:space="preserve">The chosen restaurants are </w:t>
      </w:r>
      <w:proofErr w:type="spellStart"/>
      <w:r w:rsidRPr="005C29AA">
        <w:rPr>
          <w:rFonts w:ascii="Arial" w:hAnsi="Arial" w:cs="Arial"/>
          <w:color w:val="0E101A"/>
          <w:lang w:val="en-GB"/>
        </w:rPr>
        <w:t>Eshott</w:t>
      </w:r>
      <w:proofErr w:type="spellEnd"/>
      <w:r w:rsidRPr="005C29AA">
        <w:rPr>
          <w:rFonts w:ascii="Arial" w:hAnsi="Arial" w:cs="Arial"/>
          <w:color w:val="0E101A"/>
          <w:lang w:val="en-GB"/>
        </w:rPr>
        <w:t xml:space="preserve"> Hall and Fulham Tavern; both are famous in the United Kingdom. Both restaurants have a certain number of waiters or waitresses to serve the customer. Their job role is not the same in every restaurant (Davis </w:t>
      </w:r>
      <w:r w:rsidRPr="005C29AA">
        <w:rPr>
          <w:rFonts w:ascii="Arial" w:hAnsi="Arial" w:cs="Arial"/>
          <w:i/>
          <w:iCs/>
          <w:color w:val="0E101A"/>
          <w:lang w:val="en-GB"/>
        </w:rPr>
        <w:t>et al.,</w:t>
      </w:r>
      <w:r w:rsidRPr="005C29AA">
        <w:rPr>
          <w:rFonts w:ascii="Arial" w:hAnsi="Arial" w:cs="Arial"/>
          <w:color w:val="0E101A"/>
          <w:lang w:val="en-GB"/>
        </w:rPr>
        <w:t xml:space="preserve"> 2018). A waiter or waitress is crucial to delivering excellent customer service and guaranteeing a satisfying dining experience in a restaurant. They are in charge of welcoming visitors, collecting orders for food and drinks, bringing orders to the kitchen, serving customers' food and drinks, and managing financial transactions. Waiters and waitresses must know the menu, daily specials, and any dietary requirements or food allergies (Johnston, 2021). Additionally, they must be able to respond to inquiries regarding dish preparation and provide suggestions depending on the client's tastes. They must also be able to deal diplomatically and tactfully with client complaints or requests and collaborate closely with the kitchen staff to guarantee that orders are appropriately cooked and delivered on time. In addition to their core responsibilities, waiters and waitresses often set up and remove tables, ensure the dining space is tidy and attractive, and replenish supplies such as condiments, napkins, and silverware (</w:t>
      </w:r>
      <w:proofErr w:type="spellStart"/>
      <w:r w:rsidRPr="005C29AA">
        <w:rPr>
          <w:rFonts w:ascii="Arial" w:hAnsi="Arial" w:cs="Arial"/>
          <w:color w:val="0E101A"/>
          <w:lang w:val="en-GB"/>
        </w:rPr>
        <w:t>Motarjemi</w:t>
      </w:r>
      <w:proofErr w:type="spellEnd"/>
      <w:r w:rsidRPr="005C29AA">
        <w:rPr>
          <w:rFonts w:ascii="Arial" w:hAnsi="Arial" w:cs="Arial"/>
          <w:color w:val="0E101A"/>
          <w:lang w:val="en-GB"/>
        </w:rPr>
        <w:t xml:space="preserve"> &amp; </w:t>
      </w:r>
      <w:proofErr w:type="spellStart"/>
      <w:r w:rsidRPr="005C29AA">
        <w:rPr>
          <w:rFonts w:ascii="Arial" w:hAnsi="Arial" w:cs="Arial"/>
          <w:color w:val="0E101A"/>
          <w:lang w:val="en-GB"/>
        </w:rPr>
        <w:t>Lelieveld</w:t>
      </w:r>
      <w:proofErr w:type="spellEnd"/>
      <w:r w:rsidRPr="005C29AA">
        <w:rPr>
          <w:rFonts w:ascii="Arial" w:hAnsi="Arial" w:cs="Arial"/>
          <w:color w:val="0E101A"/>
          <w:lang w:val="en-GB"/>
        </w:rPr>
        <w:t>, 2017). Additionally, they must perform well under pressure since a crowded restaurant's service pace may require more effort. </w:t>
      </w:r>
    </w:p>
    <w:p w14:paraId="528ECEF6" w14:textId="77777777" w:rsidR="00E654B4" w:rsidRPr="005C29AA" w:rsidRDefault="00E654B4" w:rsidP="00E654B4">
      <w:pPr>
        <w:pStyle w:val="NormalWeb"/>
        <w:spacing w:before="0" w:beforeAutospacing="0" w:after="0" w:afterAutospacing="0" w:line="360" w:lineRule="auto"/>
        <w:jc w:val="both"/>
        <w:rPr>
          <w:rFonts w:ascii="Arial" w:hAnsi="Arial" w:cs="Arial"/>
          <w:color w:val="0E101A"/>
          <w:lang w:val="en-GB"/>
        </w:rPr>
      </w:pPr>
      <w:r w:rsidRPr="005C29AA">
        <w:rPr>
          <w:rFonts w:ascii="Arial" w:hAnsi="Arial" w:cs="Arial"/>
          <w:color w:val="0E101A"/>
          <w:lang w:val="en-GB"/>
        </w:rPr>
        <w:t>Various skills are necessary for waiters and waitresses to do their jobs efficiently. Good communication and interpersonal skills, attention to detail, and the capacity for multitasking are just a few of the skills needed to be the best waiter or waitress (</w:t>
      </w:r>
      <w:proofErr w:type="spellStart"/>
      <w:r w:rsidRPr="005C29AA">
        <w:rPr>
          <w:rFonts w:ascii="Arial" w:hAnsi="Arial" w:cs="Arial"/>
          <w:color w:val="0E101A"/>
          <w:lang w:val="en-GB"/>
        </w:rPr>
        <w:t>Zutshi</w:t>
      </w:r>
      <w:proofErr w:type="spellEnd"/>
      <w:r w:rsidRPr="005C29AA">
        <w:rPr>
          <w:rFonts w:ascii="Arial" w:hAnsi="Arial" w:cs="Arial"/>
          <w:color w:val="0E101A"/>
          <w:lang w:val="en-GB"/>
        </w:rPr>
        <w:t xml:space="preserve">, 2019). They must be able to kindly welcome clients, take precise orders, respond to inquiries regarding menu items, and deal with client complaints or requests. Additionally, waiters and waitresses must be well-organised and perform well under pressure, especially during busy dining times because they must serve many customers simultaneously. To ensure that orders are delivered on schedule and </w:t>
      </w:r>
      <w:r w:rsidRPr="005C29AA">
        <w:rPr>
          <w:rFonts w:ascii="Arial" w:hAnsi="Arial" w:cs="Arial"/>
          <w:color w:val="0E101A"/>
          <w:lang w:val="en-GB"/>
        </w:rPr>
        <w:lastRenderedPageBreak/>
        <w:t>precisely, they must be able to prioritise work and manage their time well (Brown, 2016). The precise work abilities needed by a waiter or waitress may differ based on the type of restaurant in addition to these general skills. For instance, a fine dining establishment would demand more formal table service and a focus on wine knowledge.</w:t>
      </w:r>
    </w:p>
    <w:p w14:paraId="4BA69B71" w14:textId="77777777" w:rsidR="00E654B4" w:rsidRPr="005C29AA" w:rsidRDefault="00E654B4" w:rsidP="00E654B4">
      <w:pPr>
        <w:pStyle w:val="NormalWeb"/>
        <w:spacing w:before="0" w:beforeAutospacing="0" w:after="0" w:afterAutospacing="0" w:line="360" w:lineRule="auto"/>
        <w:jc w:val="both"/>
        <w:rPr>
          <w:rFonts w:ascii="Arial" w:hAnsi="Arial" w:cs="Arial"/>
          <w:color w:val="0E101A"/>
          <w:lang w:val="en-GB"/>
        </w:rPr>
      </w:pPr>
      <w:r w:rsidRPr="005C29AA">
        <w:rPr>
          <w:rFonts w:ascii="Arial" w:hAnsi="Arial" w:cs="Arial"/>
          <w:color w:val="0E101A"/>
          <w:lang w:val="en-GB"/>
        </w:rPr>
        <w:t xml:space="preserve">In contrast, a casual eatery might prioritise speed and efficiency to shift tables rapidly. Additionally, certain eateries could need an expert understanding of specific cuisines or techniques, like sushi or barbeque (Cousins </w:t>
      </w:r>
      <w:r w:rsidRPr="005C29AA">
        <w:rPr>
          <w:rFonts w:ascii="Arial" w:hAnsi="Arial" w:cs="Arial"/>
          <w:i/>
          <w:iCs/>
          <w:color w:val="0E101A"/>
          <w:lang w:val="en-GB"/>
        </w:rPr>
        <w:t>et al.,</w:t>
      </w:r>
      <w:r w:rsidRPr="005C29AA">
        <w:rPr>
          <w:rFonts w:ascii="Arial" w:hAnsi="Arial" w:cs="Arial"/>
          <w:color w:val="0E101A"/>
          <w:lang w:val="en-GB"/>
        </w:rPr>
        <w:t xml:space="preserve"> 2020). Overall, depending on the kind of restaurant and its unique requirements, the work abilities needed by a waiter or waitress may change. The ability to work well under pressure, attention to detail, and good organisational and communication skills are necessary for anybody in this position.</w:t>
      </w:r>
    </w:p>
    <w:p w14:paraId="51A6235A" w14:textId="77777777" w:rsidR="00E654B4" w:rsidRPr="005C29AA" w:rsidRDefault="00E654B4" w:rsidP="00E654B4">
      <w:pPr>
        <w:pStyle w:val="NormalWeb"/>
        <w:spacing w:before="0" w:beforeAutospacing="0" w:after="0" w:afterAutospacing="0" w:line="360" w:lineRule="auto"/>
        <w:jc w:val="both"/>
        <w:rPr>
          <w:rFonts w:ascii="Arial" w:hAnsi="Arial" w:cs="Arial"/>
          <w:color w:val="0E101A"/>
          <w:lang w:val="en-GB"/>
        </w:rPr>
      </w:pPr>
      <w:r w:rsidRPr="005C29AA">
        <w:rPr>
          <w:rFonts w:ascii="Arial" w:hAnsi="Arial" w:cs="Arial"/>
          <w:color w:val="0E101A"/>
          <w:lang w:val="en-GB"/>
        </w:rPr>
        <w:t>Depending on the service, waiter staff at restaurants need various skills. Fine dining establishments usually have more formal table service. Thus, fine dining waiters and waitresses must be well-versed in the menu, wine pairings and good communicators (</w:t>
      </w:r>
      <w:proofErr w:type="spellStart"/>
      <w:r w:rsidRPr="005C29AA">
        <w:rPr>
          <w:rFonts w:ascii="Arial" w:hAnsi="Arial" w:cs="Arial"/>
          <w:color w:val="0E101A"/>
          <w:lang w:val="en-GB"/>
        </w:rPr>
        <w:t>Foskett</w:t>
      </w:r>
      <w:proofErr w:type="spellEnd"/>
      <w:r w:rsidRPr="005C29AA">
        <w:rPr>
          <w:rFonts w:ascii="Arial" w:hAnsi="Arial" w:cs="Arial"/>
          <w:color w:val="0E101A"/>
          <w:lang w:val="en-GB"/>
        </w:rPr>
        <w:t xml:space="preserve"> </w:t>
      </w:r>
      <w:r w:rsidRPr="005C29AA">
        <w:rPr>
          <w:rFonts w:ascii="Arial" w:hAnsi="Arial" w:cs="Arial"/>
          <w:i/>
          <w:iCs/>
          <w:color w:val="0E101A"/>
          <w:lang w:val="en-GB"/>
        </w:rPr>
        <w:t>et al.,</w:t>
      </w:r>
      <w:r w:rsidRPr="005C29AA">
        <w:rPr>
          <w:rFonts w:ascii="Arial" w:hAnsi="Arial" w:cs="Arial"/>
          <w:color w:val="0E101A"/>
          <w:lang w:val="en-GB"/>
        </w:rPr>
        <w:t xml:space="preserve"> 2021). They should confidently describe menu items and give guest suggestions. Casual dining establishments may prioritise speed and efficiency to turn tables faster. These waiters and waitresses must take orders quickly, input them correctly, and rapidly bring food and beverages to clients. To serve visitors quickly, they must manage several tables and time well (</w:t>
      </w:r>
      <w:proofErr w:type="spellStart"/>
      <w:r w:rsidRPr="005C29AA">
        <w:rPr>
          <w:rFonts w:ascii="Arial" w:hAnsi="Arial" w:cs="Arial"/>
          <w:color w:val="0E101A"/>
          <w:lang w:val="en-GB"/>
        </w:rPr>
        <w:t>Boussard</w:t>
      </w:r>
      <w:proofErr w:type="spellEnd"/>
      <w:r w:rsidRPr="005C29AA">
        <w:rPr>
          <w:rFonts w:ascii="Arial" w:hAnsi="Arial" w:cs="Arial"/>
          <w:color w:val="0E101A"/>
          <w:lang w:val="en-GB"/>
        </w:rPr>
        <w:t>, 2021). Besides these broad characteristics, different cuisines may demand diverse expertise. A sushi restaurant may require waiters and waitresses to know sushi preparation and presentation, whereas a barbecue restaurant may request smoking and grilling skills. The skills necessary affect both employees and restaurant operations. Service-specific skills may need further training or certification of employees (Walker, 2017). At Food and Beverage, employees need to know about different types of packaged food. Some skills are the same in every industry, like communication and interpersonal skills.</w:t>
      </w:r>
    </w:p>
    <w:p w14:paraId="6DA723B6" w14:textId="77777777" w:rsidR="00E654B4" w:rsidRPr="005C29AA" w:rsidRDefault="00E654B4" w:rsidP="00E654B4">
      <w:pPr>
        <w:pStyle w:val="NormalWeb"/>
        <w:spacing w:before="0" w:beforeAutospacing="0" w:after="0" w:afterAutospacing="0" w:line="360" w:lineRule="auto"/>
        <w:jc w:val="both"/>
        <w:rPr>
          <w:rFonts w:ascii="Arial" w:hAnsi="Arial" w:cs="Arial"/>
          <w:color w:val="0E101A"/>
          <w:lang w:val="en-GB"/>
        </w:rPr>
      </w:pPr>
      <w:r w:rsidRPr="005C29AA">
        <w:rPr>
          <w:rFonts w:ascii="Arial" w:hAnsi="Arial" w:cs="Arial"/>
          <w:color w:val="0E101A"/>
          <w:lang w:val="en-GB"/>
        </w:rPr>
        <w:t xml:space="preserve">In conclusion, the essay emphasises the different skill types required for a job in the restaurant business. Skill may vary from job role to </w:t>
      </w:r>
      <w:proofErr w:type="spellStart"/>
      <w:r w:rsidRPr="005C29AA">
        <w:rPr>
          <w:rFonts w:ascii="Arial" w:hAnsi="Arial" w:cs="Arial"/>
          <w:color w:val="0E101A"/>
          <w:lang w:val="en-GB"/>
        </w:rPr>
        <w:t>role</w:t>
      </w:r>
      <w:proofErr w:type="spellEnd"/>
      <w:r w:rsidRPr="005C29AA">
        <w:rPr>
          <w:rFonts w:ascii="Arial" w:hAnsi="Arial" w:cs="Arial"/>
          <w:color w:val="0E101A"/>
          <w:lang w:val="en-GB"/>
        </w:rPr>
        <w:t xml:space="preserve"> or industry category to category (Wood, 2016). Restaurant restaurants need solid interpersonal skills, whereas chefs need fewer interpersonal skills. Moreover, restaurant waiters or waitresses need to be habituated to serving so many customers and having good knowledge about food and allergy-related facts (</w:t>
      </w:r>
      <w:proofErr w:type="spellStart"/>
      <w:r w:rsidRPr="005C29AA">
        <w:rPr>
          <w:rFonts w:ascii="Arial" w:hAnsi="Arial" w:cs="Arial"/>
          <w:color w:val="0E101A"/>
          <w:lang w:val="en-GB"/>
        </w:rPr>
        <w:t>Filimonau</w:t>
      </w:r>
      <w:proofErr w:type="spellEnd"/>
      <w:r w:rsidRPr="005C29AA">
        <w:rPr>
          <w:rFonts w:ascii="Arial" w:hAnsi="Arial" w:cs="Arial"/>
          <w:color w:val="0E101A"/>
          <w:lang w:val="en-GB"/>
        </w:rPr>
        <w:t xml:space="preserve"> &amp; Brown, 2018). On the other hand, food and beverage employees do not need a broader understanding of </w:t>
      </w:r>
      <w:r w:rsidRPr="005C29AA">
        <w:rPr>
          <w:rFonts w:ascii="Arial" w:hAnsi="Arial" w:cs="Arial"/>
          <w:color w:val="0E101A"/>
          <w:lang w:val="en-GB"/>
        </w:rPr>
        <w:lastRenderedPageBreak/>
        <w:t>nutrition and allergy because they sell packaged food, and every piece of information is written in the packet.   </w:t>
      </w:r>
    </w:p>
    <w:p w14:paraId="4011EC29" w14:textId="77777777" w:rsidR="00E654B4" w:rsidRPr="005C29AA" w:rsidRDefault="00E654B4" w:rsidP="00E654B4">
      <w:pPr>
        <w:spacing w:line="360" w:lineRule="auto"/>
        <w:rPr>
          <w:rFonts w:ascii="Arial" w:eastAsia="Times New Roman" w:hAnsi="Arial" w:cs="Arial"/>
          <w:bCs/>
          <w:sz w:val="24"/>
          <w:szCs w:val="24"/>
          <w:lang w:val="en-GB" w:bidi="bn-BD"/>
        </w:rPr>
      </w:pPr>
      <w:r w:rsidRPr="005C29AA">
        <w:rPr>
          <w:rFonts w:ascii="Arial" w:hAnsi="Arial" w:cs="Arial"/>
          <w:bCs/>
          <w:sz w:val="24"/>
          <w:szCs w:val="24"/>
          <w:lang w:val="en-GB"/>
        </w:rPr>
        <w:br w:type="page"/>
      </w:r>
    </w:p>
    <w:p w14:paraId="0A9DC23B" w14:textId="77777777" w:rsidR="00E654B4" w:rsidRPr="00E446A5" w:rsidRDefault="00E654B4" w:rsidP="00E654B4">
      <w:pPr>
        <w:pStyle w:val="NormalWeb"/>
        <w:spacing w:before="0" w:beforeAutospacing="0" w:after="0" w:afterAutospacing="0" w:line="360" w:lineRule="auto"/>
        <w:rPr>
          <w:rFonts w:ascii="Arial" w:hAnsi="Arial" w:cs="Arial"/>
          <w:b/>
          <w:lang w:val="en-GB"/>
        </w:rPr>
      </w:pPr>
      <w:r w:rsidRPr="00E446A5">
        <w:rPr>
          <w:rFonts w:ascii="Arial" w:hAnsi="Arial" w:cs="Arial"/>
          <w:b/>
          <w:lang w:val="en-GB"/>
        </w:rPr>
        <w:lastRenderedPageBreak/>
        <w:t xml:space="preserve">Reference </w:t>
      </w:r>
    </w:p>
    <w:p w14:paraId="61310309" w14:textId="77777777" w:rsidR="00E654B4" w:rsidRPr="005C29AA" w:rsidRDefault="00E654B4" w:rsidP="00E654B4">
      <w:pPr>
        <w:pStyle w:val="NormalWeb"/>
        <w:spacing w:line="360" w:lineRule="auto"/>
        <w:ind w:left="567" w:hanging="567"/>
        <w:jc w:val="both"/>
        <w:rPr>
          <w:rFonts w:ascii="Arial" w:hAnsi="Arial" w:cs="Arial"/>
          <w:lang w:val="en-GB"/>
        </w:rPr>
      </w:pPr>
      <w:proofErr w:type="spellStart"/>
      <w:r w:rsidRPr="005C29AA">
        <w:rPr>
          <w:rFonts w:ascii="Arial" w:hAnsi="Arial" w:cs="Arial"/>
          <w:lang w:val="en-GB"/>
        </w:rPr>
        <w:t>Boussard</w:t>
      </w:r>
      <w:proofErr w:type="spellEnd"/>
      <w:r w:rsidRPr="005C29AA">
        <w:rPr>
          <w:rFonts w:ascii="Arial" w:hAnsi="Arial" w:cs="Arial"/>
          <w:lang w:val="en-GB"/>
        </w:rPr>
        <w:t xml:space="preserve">, S. (2021) </w:t>
      </w:r>
      <w:r w:rsidRPr="005C29AA">
        <w:rPr>
          <w:rFonts w:ascii="Arial" w:hAnsi="Arial" w:cs="Arial"/>
          <w:i/>
          <w:iCs/>
          <w:lang w:val="en-GB"/>
        </w:rPr>
        <w:t>Food and beverage management in the luxury hotel industry</w:t>
      </w:r>
      <w:r w:rsidRPr="005C29AA">
        <w:rPr>
          <w:rFonts w:ascii="Arial" w:hAnsi="Arial" w:cs="Arial"/>
          <w:lang w:val="en-GB"/>
        </w:rPr>
        <w:t xml:space="preserve">. 6th ed. New York, United States of America: Business Expert Press, LLC. </w:t>
      </w:r>
    </w:p>
    <w:p w14:paraId="304E538D" w14:textId="77777777" w:rsidR="00E654B4" w:rsidRPr="005C29AA" w:rsidRDefault="00E654B4" w:rsidP="00E654B4">
      <w:pPr>
        <w:pStyle w:val="NormalWeb"/>
        <w:spacing w:line="360" w:lineRule="auto"/>
        <w:ind w:left="567" w:hanging="567"/>
        <w:jc w:val="both"/>
        <w:rPr>
          <w:rFonts w:ascii="Arial" w:hAnsi="Arial" w:cs="Arial"/>
          <w:lang w:val="en-GB"/>
        </w:rPr>
      </w:pPr>
      <w:r w:rsidRPr="005C29AA">
        <w:rPr>
          <w:rFonts w:ascii="Arial" w:hAnsi="Arial" w:cs="Arial"/>
          <w:lang w:val="en-GB"/>
        </w:rPr>
        <w:t xml:space="preserve">Brown, D.R. (2016) </w:t>
      </w:r>
      <w:r w:rsidRPr="005C29AA">
        <w:rPr>
          <w:rFonts w:ascii="Arial" w:hAnsi="Arial" w:cs="Arial"/>
          <w:i/>
          <w:iCs/>
          <w:lang w:val="en-GB"/>
        </w:rPr>
        <w:t>The restaurant manager’s handbook: How to set up, operate, and manage a financially successful food service operation</w:t>
      </w:r>
      <w:r w:rsidRPr="005C29AA">
        <w:rPr>
          <w:rFonts w:ascii="Arial" w:hAnsi="Arial" w:cs="Arial"/>
          <w:lang w:val="en-GB"/>
        </w:rPr>
        <w:t xml:space="preserve">. 4th ed. Ocala, FL: Atlantic Publishing Group, Inc. </w:t>
      </w:r>
    </w:p>
    <w:p w14:paraId="47E8158C" w14:textId="77777777" w:rsidR="00E654B4" w:rsidRPr="005C29AA" w:rsidRDefault="00E654B4" w:rsidP="00E654B4">
      <w:pPr>
        <w:pStyle w:val="NormalWeb"/>
        <w:spacing w:line="360" w:lineRule="auto"/>
        <w:ind w:left="567" w:hanging="567"/>
        <w:jc w:val="both"/>
        <w:rPr>
          <w:rFonts w:ascii="Arial" w:hAnsi="Arial" w:cs="Arial"/>
          <w:lang w:val="en-GB"/>
        </w:rPr>
      </w:pPr>
      <w:r w:rsidRPr="005C29AA">
        <w:rPr>
          <w:rFonts w:ascii="Arial" w:hAnsi="Arial" w:cs="Arial"/>
          <w:lang w:val="en-GB"/>
        </w:rPr>
        <w:t xml:space="preserve">Cousins, J.A. (2020) </w:t>
      </w:r>
      <w:r w:rsidRPr="005C29AA">
        <w:rPr>
          <w:rFonts w:ascii="Arial" w:hAnsi="Arial" w:cs="Arial"/>
          <w:i/>
          <w:iCs/>
          <w:lang w:val="en-GB"/>
        </w:rPr>
        <w:t>Food and beverage service</w:t>
      </w:r>
      <w:r w:rsidRPr="005C29AA">
        <w:rPr>
          <w:rFonts w:ascii="Arial" w:hAnsi="Arial" w:cs="Arial"/>
          <w:lang w:val="en-GB"/>
        </w:rPr>
        <w:t xml:space="preserve">. 9th ed. London: Hodder Education Group. </w:t>
      </w:r>
    </w:p>
    <w:p w14:paraId="2D8F8715" w14:textId="77777777" w:rsidR="00E654B4" w:rsidRPr="005C29AA" w:rsidRDefault="00E654B4" w:rsidP="00E654B4">
      <w:pPr>
        <w:pStyle w:val="NormalWeb"/>
        <w:spacing w:line="360" w:lineRule="auto"/>
        <w:ind w:left="567" w:hanging="567"/>
        <w:jc w:val="both"/>
        <w:rPr>
          <w:rFonts w:ascii="Arial" w:hAnsi="Arial" w:cs="Arial"/>
          <w:lang w:val="en-GB"/>
        </w:rPr>
      </w:pPr>
      <w:r w:rsidRPr="005C29AA">
        <w:rPr>
          <w:rFonts w:ascii="Arial" w:hAnsi="Arial" w:cs="Arial"/>
          <w:color w:val="000000" w:themeColor="text1"/>
          <w:lang w:val="en-GB"/>
        </w:rPr>
        <w:t xml:space="preserve">Cousins, J. A., </w:t>
      </w:r>
      <w:proofErr w:type="spellStart"/>
      <w:r w:rsidRPr="005C29AA">
        <w:rPr>
          <w:rFonts w:ascii="Arial" w:hAnsi="Arial" w:cs="Arial"/>
          <w:color w:val="000000" w:themeColor="text1"/>
          <w:lang w:val="en-GB"/>
        </w:rPr>
        <w:t>Foskett</w:t>
      </w:r>
      <w:proofErr w:type="spellEnd"/>
      <w:r w:rsidRPr="005C29AA">
        <w:rPr>
          <w:rFonts w:ascii="Arial" w:hAnsi="Arial" w:cs="Arial"/>
          <w:color w:val="000000" w:themeColor="text1"/>
          <w:lang w:val="en-GB"/>
        </w:rPr>
        <w:t xml:space="preserve">, D., Graham, D. and Hollier, A., </w:t>
      </w:r>
      <w:r w:rsidRPr="005C29AA">
        <w:rPr>
          <w:rFonts w:ascii="Arial" w:hAnsi="Arial" w:cs="Arial"/>
          <w:lang w:val="en-GB"/>
        </w:rPr>
        <w:t xml:space="preserve">(2020) </w:t>
      </w:r>
      <w:r w:rsidRPr="005C29AA">
        <w:rPr>
          <w:rFonts w:ascii="Arial" w:hAnsi="Arial" w:cs="Arial"/>
          <w:i/>
          <w:iCs/>
          <w:lang w:val="en-GB"/>
        </w:rPr>
        <w:t xml:space="preserve">Food and beverage management: For </w:t>
      </w:r>
      <w:proofErr w:type="gramStart"/>
      <w:r w:rsidRPr="005C29AA">
        <w:rPr>
          <w:rFonts w:ascii="Arial" w:hAnsi="Arial" w:cs="Arial"/>
          <w:i/>
          <w:iCs/>
          <w:lang w:val="en-GB"/>
        </w:rPr>
        <w:t>The</w:t>
      </w:r>
      <w:proofErr w:type="gramEnd"/>
      <w:r w:rsidRPr="005C29AA">
        <w:rPr>
          <w:rFonts w:ascii="Arial" w:hAnsi="Arial" w:cs="Arial"/>
          <w:i/>
          <w:iCs/>
          <w:lang w:val="en-GB"/>
        </w:rPr>
        <w:t xml:space="preserve"> Hospitality, Tourism and Event Industries</w:t>
      </w:r>
      <w:r w:rsidRPr="005C29AA">
        <w:rPr>
          <w:rFonts w:ascii="Arial" w:hAnsi="Arial" w:cs="Arial"/>
          <w:lang w:val="en-GB"/>
        </w:rPr>
        <w:t xml:space="preserve">. 6th ed. Oxford: Goodfellow Publishers Ltd. </w:t>
      </w:r>
    </w:p>
    <w:p w14:paraId="763E07B1" w14:textId="77777777" w:rsidR="00E654B4" w:rsidRPr="005C29AA" w:rsidRDefault="00E654B4" w:rsidP="00E654B4">
      <w:pPr>
        <w:pStyle w:val="NormalWeb"/>
        <w:spacing w:line="360" w:lineRule="auto"/>
        <w:ind w:left="567" w:hanging="567"/>
        <w:jc w:val="both"/>
        <w:rPr>
          <w:rFonts w:ascii="Arial" w:hAnsi="Arial" w:cs="Arial"/>
          <w:lang w:val="en-GB"/>
        </w:rPr>
      </w:pPr>
      <w:r w:rsidRPr="005C29AA">
        <w:rPr>
          <w:rFonts w:ascii="Arial" w:hAnsi="Arial" w:cs="Arial"/>
          <w:color w:val="000000" w:themeColor="text1"/>
          <w:lang w:val="en-GB"/>
        </w:rPr>
        <w:t xml:space="preserve">Davis, B., Lockwood, A., </w:t>
      </w:r>
      <w:proofErr w:type="spellStart"/>
      <w:r w:rsidRPr="005C29AA">
        <w:rPr>
          <w:rFonts w:ascii="Arial" w:hAnsi="Arial" w:cs="Arial"/>
          <w:color w:val="000000" w:themeColor="text1"/>
          <w:lang w:val="en-GB"/>
        </w:rPr>
        <w:t>Pantelidis</w:t>
      </w:r>
      <w:proofErr w:type="spellEnd"/>
      <w:r w:rsidRPr="005C29AA">
        <w:rPr>
          <w:rFonts w:ascii="Arial" w:hAnsi="Arial" w:cs="Arial"/>
          <w:color w:val="000000" w:themeColor="text1"/>
          <w:lang w:val="en-GB"/>
        </w:rPr>
        <w:t xml:space="preserve">, I.S., Alcott, Peter., </w:t>
      </w:r>
      <w:r w:rsidRPr="005C29AA">
        <w:rPr>
          <w:rFonts w:ascii="Arial" w:hAnsi="Arial" w:cs="Arial"/>
          <w:lang w:val="en-GB"/>
        </w:rPr>
        <w:t xml:space="preserve">(2018) </w:t>
      </w:r>
      <w:r w:rsidRPr="005C29AA">
        <w:rPr>
          <w:rFonts w:ascii="Arial" w:hAnsi="Arial" w:cs="Arial"/>
          <w:i/>
          <w:iCs/>
          <w:lang w:val="en-GB"/>
        </w:rPr>
        <w:t>Food and beverage management</w:t>
      </w:r>
      <w:r w:rsidRPr="005C29AA">
        <w:rPr>
          <w:rFonts w:ascii="Arial" w:hAnsi="Arial" w:cs="Arial"/>
          <w:lang w:val="en-GB"/>
        </w:rPr>
        <w:t xml:space="preserve">. 6th ed. London: Routledge. </w:t>
      </w:r>
    </w:p>
    <w:p w14:paraId="44BA140D" w14:textId="77777777" w:rsidR="00E654B4" w:rsidRPr="005C29AA" w:rsidRDefault="00E654B4" w:rsidP="00E654B4">
      <w:pPr>
        <w:pStyle w:val="NormalWeb"/>
        <w:spacing w:line="360" w:lineRule="auto"/>
        <w:ind w:left="567" w:hanging="567"/>
        <w:jc w:val="both"/>
        <w:rPr>
          <w:rFonts w:ascii="Arial" w:hAnsi="Arial" w:cs="Arial"/>
          <w:lang w:val="en-GB"/>
        </w:rPr>
      </w:pPr>
      <w:proofErr w:type="spellStart"/>
      <w:r w:rsidRPr="005C29AA">
        <w:rPr>
          <w:rFonts w:ascii="Arial" w:hAnsi="Arial" w:cs="Arial"/>
          <w:lang w:val="en-GB"/>
        </w:rPr>
        <w:t>Filimonau</w:t>
      </w:r>
      <w:proofErr w:type="spellEnd"/>
      <w:r w:rsidRPr="005C29AA">
        <w:rPr>
          <w:rFonts w:ascii="Arial" w:hAnsi="Arial" w:cs="Arial"/>
          <w:lang w:val="en-GB"/>
        </w:rPr>
        <w:t xml:space="preserve">, V. and Brown, L. (2018) '"Last hospitality" as an overlooked dimension in contemporary hospitality theory and Practice', </w:t>
      </w:r>
      <w:r w:rsidRPr="005C29AA">
        <w:rPr>
          <w:rFonts w:ascii="Arial" w:hAnsi="Arial" w:cs="Arial"/>
          <w:i/>
          <w:iCs/>
          <w:lang w:val="en-GB"/>
        </w:rPr>
        <w:t>International Journal of Hospitality Management</w:t>
      </w:r>
      <w:r w:rsidRPr="005C29AA">
        <w:rPr>
          <w:rFonts w:ascii="Arial" w:hAnsi="Arial" w:cs="Arial"/>
          <w:lang w:val="en-GB"/>
        </w:rPr>
        <w:t xml:space="preserve">, 74, pp. 67–74. </w:t>
      </w:r>
      <w:proofErr w:type="gramStart"/>
      <w:r w:rsidRPr="005C29AA">
        <w:rPr>
          <w:rFonts w:ascii="Arial" w:hAnsi="Arial" w:cs="Arial"/>
          <w:lang w:val="en-GB"/>
        </w:rPr>
        <w:t>doi:10.1016/j.ijhm</w:t>
      </w:r>
      <w:proofErr w:type="gramEnd"/>
      <w:r w:rsidRPr="005C29AA">
        <w:rPr>
          <w:rFonts w:ascii="Arial" w:hAnsi="Arial" w:cs="Arial"/>
          <w:lang w:val="en-GB"/>
        </w:rPr>
        <w:t xml:space="preserve">.2018.02.019. </w:t>
      </w:r>
    </w:p>
    <w:p w14:paraId="31A00F37" w14:textId="77777777" w:rsidR="00E654B4" w:rsidRPr="005C29AA" w:rsidRDefault="00E654B4" w:rsidP="00E654B4">
      <w:pPr>
        <w:pStyle w:val="NormalWeb"/>
        <w:spacing w:line="360" w:lineRule="auto"/>
        <w:ind w:left="567" w:hanging="567"/>
        <w:jc w:val="both"/>
        <w:rPr>
          <w:rFonts w:ascii="Arial" w:hAnsi="Arial" w:cs="Arial"/>
          <w:lang w:val="en-GB"/>
        </w:rPr>
      </w:pPr>
      <w:proofErr w:type="spellStart"/>
      <w:r w:rsidRPr="005C29AA">
        <w:rPr>
          <w:rFonts w:ascii="Arial" w:hAnsi="Arial" w:cs="Arial"/>
          <w:color w:val="000000" w:themeColor="text1"/>
          <w:lang w:val="en-GB"/>
        </w:rPr>
        <w:t>Foskett</w:t>
      </w:r>
      <w:proofErr w:type="spellEnd"/>
      <w:r w:rsidRPr="005C29AA">
        <w:rPr>
          <w:rFonts w:ascii="Arial" w:hAnsi="Arial" w:cs="Arial"/>
          <w:color w:val="000000" w:themeColor="text1"/>
          <w:lang w:val="en-GB"/>
        </w:rPr>
        <w:t xml:space="preserve">, D., Paskins, P., Pennington, A., </w:t>
      </w:r>
      <w:proofErr w:type="spellStart"/>
      <w:r w:rsidRPr="005C29AA">
        <w:rPr>
          <w:rFonts w:ascii="Arial" w:hAnsi="Arial" w:cs="Arial"/>
          <w:color w:val="000000" w:themeColor="text1"/>
          <w:lang w:val="en-GB"/>
        </w:rPr>
        <w:t>Rippington</w:t>
      </w:r>
      <w:proofErr w:type="spellEnd"/>
      <w:r w:rsidRPr="005C29AA">
        <w:rPr>
          <w:rFonts w:ascii="Arial" w:hAnsi="Arial" w:cs="Arial"/>
          <w:color w:val="000000" w:themeColor="text1"/>
          <w:lang w:val="en-GB"/>
        </w:rPr>
        <w:t xml:space="preserve">, N., </w:t>
      </w:r>
      <w:r w:rsidRPr="005C29AA">
        <w:rPr>
          <w:rFonts w:ascii="Arial" w:hAnsi="Arial" w:cs="Arial"/>
          <w:lang w:val="en-GB"/>
        </w:rPr>
        <w:t xml:space="preserve">(2021) </w:t>
      </w:r>
      <w:r w:rsidRPr="005C29AA">
        <w:rPr>
          <w:rFonts w:ascii="Arial" w:hAnsi="Arial" w:cs="Arial"/>
          <w:i/>
          <w:iCs/>
          <w:lang w:val="en-GB"/>
        </w:rPr>
        <w:t>The theory of hospitality and catering</w:t>
      </w:r>
      <w:r w:rsidRPr="005C29AA">
        <w:rPr>
          <w:rFonts w:ascii="Arial" w:hAnsi="Arial" w:cs="Arial"/>
          <w:lang w:val="en-GB"/>
        </w:rPr>
        <w:t xml:space="preserve">. 14th ed. London, England: Dynamic Learning. </w:t>
      </w:r>
    </w:p>
    <w:p w14:paraId="6474784F" w14:textId="77777777" w:rsidR="00E654B4" w:rsidRPr="005C29AA" w:rsidRDefault="00E654B4" w:rsidP="00E654B4">
      <w:pPr>
        <w:pStyle w:val="NormalWeb"/>
        <w:spacing w:line="360" w:lineRule="auto"/>
        <w:ind w:left="567" w:hanging="567"/>
        <w:jc w:val="both"/>
        <w:rPr>
          <w:rFonts w:ascii="Arial" w:hAnsi="Arial" w:cs="Arial"/>
          <w:lang w:val="en-GB"/>
        </w:rPr>
      </w:pPr>
      <w:r w:rsidRPr="005C29AA">
        <w:rPr>
          <w:rFonts w:ascii="Arial" w:hAnsi="Arial" w:cs="Arial"/>
          <w:lang w:val="en-GB"/>
        </w:rPr>
        <w:t xml:space="preserve">Johnston, R. (2021) </w:t>
      </w:r>
      <w:r w:rsidRPr="005C29AA">
        <w:rPr>
          <w:rFonts w:ascii="Arial" w:hAnsi="Arial" w:cs="Arial"/>
          <w:i/>
          <w:iCs/>
          <w:lang w:val="en-GB"/>
        </w:rPr>
        <w:t>Service Operations Management: Improving Service Delivery</w:t>
      </w:r>
      <w:r w:rsidRPr="005C29AA">
        <w:rPr>
          <w:rFonts w:ascii="Arial" w:hAnsi="Arial" w:cs="Arial"/>
          <w:lang w:val="en-GB"/>
        </w:rPr>
        <w:t xml:space="preserve">. 4th ed. Harlow, England: Pearson. </w:t>
      </w:r>
    </w:p>
    <w:p w14:paraId="63386BE7" w14:textId="77777777" w:rsidR="00E654B4" w:rsidRPr="005C29AA" w:rsidRDefault="00E654B4" w:rsidP="00E654B4">
      <w:pPr>
        <w:pStyle w:val="NormalWeb"/>
        <w:spacing w:line="360" w:lineRule="auto"/>
        <w:ind w:left="567" w:hanging="567"/>
        <w:jc w:val="both"/>
        <w:rPr>
          <w:rFonts w:ascii="Arial" w:hAnsi="Arial" w:cs="Arial"/>
          <w:lang w:val="en-GB"/>
        </w:rPr>
      </w:pPr>
      <w:proofErr w:type="spellStart"/>
      <w:r w:rsidRPr="005C29AA">
        <w:rPr>
          <w:rFonts w:ascii="Arial" w:hAnsi="Arial" w:cs="Arial"/>
          <w:lang w:val="en-GB"/>
        </w:rPr>
        <w:t>Motarjemi</w:t>
      </w:r>
      <w:proofErr w:type="spellEnd"/>
      <w:r w:rsidRPr="005C29AA">
        <w:rPr>
          <w:rFonts w:ascii="Arial" w:hAnsi="Arial" w:cs="Arial"/>
          <w:lang w:val="en-GB"/>
        </w:rPr>
        <w:t xml:space="preserve">, Y. and </w:t>
      </w:r>
      <w:proofErr w:type="spellStart"/>
      <w:r w:rsidRPr="005C29AA">
        <w:rPr>
          <w:rFonts w:ascii="Arial" w:hAnsi="Arial" w:cs="Arial"/>
          <w:lang w:val="en-GB"/>
        </w:rPr>
        <w:t>Lelieveld</w:t>
      </w:r>
      <w:proofErr w:type="spellEnd"/>
      <w:r w:rsidRPr="005C29AA">
        <w:rPr>
          <w:rFonts w:ascii="Arial" w:hAnsi="Arial" w:cs="Arial"/>
          <w:lang w:val="en-GB"/>
        </w:rPr>
        <w:t xml:space="preserve">, H. (2017) </w:t>
      </w:r>
      <w:r w:rsidRPr="005C29AA">
        <w:rPr>
          <w:rFonts w:ascii="Arial" w:hAnsi="Arial" w:cs="Arial"/>
          <w:i/>
          <w:iCs/>
          <w:lang w:val="en-GB"/>
        </w:rPr>
        <w:t>Food Safety Management: A practical guide for the food Industry</w:t>
      </w:r>
      <w:r w:rsidRPr="005C29AA">
        <w:rPr>
          <w:rFonts w:ascii="Arial" w:hAnsi="Arial" w:cs="Arial"/>
          <w:lang w:val="en-GB"/>
        </w:rPr>
        <w:t xml:space="preserve">. 6th ed. Amsterdam: Academic Press. </w:t>
      </w:r>
    </w:p>
    <w:p w14:paraId="06906AC4" w14:textId="77777777" w:rsidR="00E654B4" w:rsidRPr="005C29AA" w:rsidRDefault="00E654B4" w:rsidP="00E654B4">
      <w:pPr>
        <w:pStyle w:val="NormalWeb"/>
        <w:spacing w:line="360" w:lineRule="auto"/>
        <w:ind w:left="567" w:hanging="567"/>
        <w:jc w:val="both"/>
        <w:rPr>
          <w:rFonts w:ascii="Arial" w:hAnsi="Arial" w:cs="Arial"/>
          <w:lang w:val="en-GB"/>
        </w:rPr>
      </w:pPr>
      <w:r w:rsidRPr="005C29AA">
        <w:rPr>
          <w:rFonts w:ascii="Arial" w:hAnsi="Arial" w:cs="Arial"/>
          <w:lang w:val="en-GB"/>
        </w:rPr>
        <w:t xml:space="preserve">Walker, J.R. (2017) </w:t>
      </w:r>
      <w:r w:rsidRPr="005C29AA">
        <w:rPr>
          <w:rFonts w:ascii="Arial" w:hAnsi="Arial" w:cs="Arial"/>
          <w:i/>
          <w:iCs/>
          <w:lang w:val="en-GB"/>
        </w:rPr>
        <w:t>Introduction to hospitality</w:t>
      </w:r>
      <w:r w:rsidRPr="005C29AA">
        <w:rPr>
          <w:rFonts w:ascii="Arial" w:hAnsi="Arial" w:cs="Arial"/>
          <w:lang w:val="en-GB"/>
        </w:rPr>
        <w:t xml:space="preserve">. 9th ed. Harlow, England: Pearson. </w:t>
      </w:r>
    </w:p>
    <w:p w14:paraId="6D5C9F9E" w14:textId="77777777" w:rsidR="00E654B4" w:rsidRPr="005C29AA" w:rsidRDefault="00E654B4" w:rsidP="00E654B4">
      <w:pPr>
        <w:pStyle w:val="NormalWeb"/>
        <w:spacing w:line="360" w:lineRule="auto"/>
        <w:ind w:left="567" w:hanging="567"/>
        <w:jc w:val="both"/>
        <w:rPr>
          <w:rFonts w:ascii="Arial" w:hAnsi="Arial" w:cs="Arial"/>
          <w:lang w:val="en-GB"/>
        </w:rPr>
      </w:pPr>
      <w:r w:rsidRPr="005C29AA">
        <w:rPr>
          <w:rFonts w:ascii="Arial" w:hAnsi="Arial" w:cs="Arial"/>
          <w:lang w:val="en-GB"/>
        </w:rPr>
        <w:t xml:space="preserve">Wood, R.C. (2016) </w:t>
      </w:r>
      <w:r w:rsidRPr="005C29AA">
        <w:rPr>
          <w:rFonts w:ascii="Arial" w:hAnsi="Arial" w:cs="Arial"/>
          <w:i/>
          <w:iCs/>
          <w:lang w:val="en-GB"/>
        </w:rPr>
        <w:t>Key concepts in hospitality management</w:t>
      </w:r>
      <w:r w:rsidRPr="005C29AA">
        <w:rPr>
          <w:rFonts w:ascii="Arial" w:hAnsi="Arial" w:cs="Arial"/>
          <w:lang w:val="en-GB"/>
        </w:rPr>
        <w:t xml:space="preserve">. 6th ed. Los Angeles: SAGE. </w:t>
      </w:r>
    </w:p>
    <w:p w14:paraId="15645601" w14:textId="77777777" w:rsidR="00E654B4" w:rsidRPr="005C29AA" w:rsidRDefault="00E654B4" w:rsidP="00E654B4">
      <w:pPr>
        <w:pStyle w:val="NormalWeb"/>
        <w:spacing w:line="360" w:lineRule="auto"/>
        <w:ind w:left="567" w:hanging="567"/>
        <w:jc w:val="both"/>
        <w:rPr>
          <w:rFonts w:ascii="Arial" w:hAnsi="Arial" w:cs="Arial"/>
        </w:rPr>
      </w:pPr>
      <w:proofErr w:type="spellStart"/>
      <w:r w:rsidRPr="005C29AA">
        <w:rPr>
          <w:rFonts w:ascii="Arial" w:hAnsi="Arial" w:cs="Arial"/>
          <w:lang w:val="en-GB"/>
        </w:rPr>
        <w:lastRenderedPageBreak/>
        <w:t>Zutshi</w:t>
      </w:r>
      <w:proofErr w:type="spellEnd"/>
      <w:r w:rsidRPr="005C29AA">
        <w:rPr>
          <w:rFonts w:ascii="Arial" w:hAnsi="Arial" w:cs="Arial"/>
          <w:lang w:val="en-GB"/>
        </w:rPr>
        <w:t>, A. (2019</w:t>
      </w:r>
      <w:r w:rsidRPr="005C29AA">
        <w:rPr>
          <w:rFonts w:ascii="Arial" w:hAnsi="Arial" w:cs="Arial"/>
        </w:rPr>
        <w:t xml:space="preserve">) ‘How to develop well-informed and assured teams to embed food safety compliance in the UK catering and Hospitality Industry’, </w:t>
      </w:r>
      <w:r w:rsidRPr="005C29AA">
        <w:rPr>
          <w:rFonts w:ascii="Arial" w:hAnsi="Arial" w:cs="Arial"/>
          <w:i/>
          <w:iCs/>
        </w:rPr>
        <w:t>Perspectives in Public Health</w:t>
      </w:r>
      <w:r w:rsidRPr="005C29AA">
        <w:rPr>
          <w:rFonts w:ascii="Arial" w:hAnsi="Arial" w:cs="Arial"/>
        </w:rPr>
        <w:t xml:space="preserve">, 139(6), pp. 294–295.   Doi: 10.1177/1757913919872783. </w:t>
      </w:r>
    </w:p>
    <w:p w14:paraId="45442387" w14:textId="77777777" w:rsidR="00E654B4" w:rsidRPr="005C29AA" w:rsidRDefault="00E654B4" w:rsidP="00E654B4">
      <w:pPr>
        <w:spacing w:line="360" w:lineRule="auto"/>
        <w:jc w:val="both"/>
        <w:rPr>
          <w:rFonts w:ascii="Arial" w:hAnsi="Arial" w:cs="Arial"/>
          <w:sz w:val="24"/>
          <w:szCs w:val="24"/>
        </w:rPr>
      </w:pPr>
    </w:p>
    <w:p w14:paraId="6213D09A" w14:textId="77777777" w:rsidR="00E654B4" w:rsidRPr="005C29AA" w:rsidRDefault="00E654B4" w:rsidP="00E654B4">
      <w:pPr>
        <w:spacing w:line="360" w:lineRule="auto"/>
        <w:jc w:val="both"/>
        <w:rPr>
          <w:rFonts w:ascii="Arial" w:hAnsi="Arial" w:cs="Arial"/>
          <w:sz w:val="24"/>
          <w:szCs w:val="24"/>
        </w:rPr>
      </w:pPr>
    </w:p>
    <w:p w14:paraId="6492AD78" w14:textId="7A39297D" w:rsidR="0000311F" w:rsidRPr="00E654B4" w:rsidRDefault="0000311F" w:rsidP="00E654B4"/>
    <w:sectPr w:rsidR="0000311F" w:rsidRPr="00E654B4">
      <w:footerReference w:type="default" r:id="rId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1001451"/>
      <w:docPartObj>
        <w:docPartGallery w:val="Page Numbers (Bottom of Page)"/>
        <w:docPartUnique/>
      </w:docPartObj>
    </w:sdtPr>
    <w:sdtEndPr>
      <w:rPr>
        <w:noProof/>
      </w:rPr>
    </w:sdtEndPr>
    <w:sdtContent>
      <w:p w14:paraId="2AE683CA" w14:textId="77777777" w:rsidR="00AB36AF" w:rsidRDefault="00385A95">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685AB073" w14:textId="77777777" w:rsidR="00AB36AF" w:rsidRDefault="00385A95">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C44"/>
    <w:rsid w:val="0000311F"/>
    <w:rsid w:val="003645C3"/>
    <w:rsid w:val="00385A95"/>
    <w:rsid w:val="00596A76"/>
    <w:rsid w:val="005D5C44"/>
    <w:rsid w:val="00647B04"/>
    <w:rsid w:val="00713339"/>
    <w:rsid w:val="00873CA2"/>
    <w:rsid w:val="00873E0A"/>
    <w:rsid w:val="00AD3BBD"/>
    <w:rsid w:val="00E446A5"/>
    <w:rsid w:val="00E654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3B9BE"/>
  <w15:chartTrackingRefBased/>
  <w15:docId w15:val="{F0C17D5F-2B46-4782-B115-296DD534F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54B4"/>
    <w:rPr>
      <w:rFonts w:eastAsiaTheme="minorEastAsia" w:cs="Vrinda"/>
      <w:szCs w:val="28"/>
      <w:lang w:val="en-US"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654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E654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4B4"/>
    <w:rPr>
      <w:rFonts w:eastAsiaTheme="minorEastAsia" w:cs="Vrinda"/>
      <w:szCs w:val="28"/>
      <w:lang w:val="en-US" w:bidi="bn-IN"/>
    </w:rPr>
  </w:style>
  <w:style w:type="paragraph" w:styleId="NormalWeb">
    <w:name w:val="Normal (Web)"/>
    <w:basedOn w:val="Normal"/>
    <w:uiPriority w:val="99"/>
    <w:unhideWhenUsed/>
    <w:rsid w:val="00E654B4"/>
    <w:pPr>
      <w:spacing w:before="100" w:beforeAutospacing="1" w:after="100" w:afterAutospacing="1" w:line="240" w:lineRule="auto"/>
    </w:pPr>
    <w:rPr>
      <w:rFonts w:ascii="Times New Roman" w:eastAsia="Times New Roman" w:hAnsi="Times New Roman" w:cs="Times New Roman"/>
      <w:sz w:val="24"/>
      <w:szCs w:val="24"/>
      <w:lang w:bidi="bn-BD"/>
    </w:rPr>
  </w:style>
  <w:style w:type="character" w:styleId="Strong">
    <w:name w:val="Strong"/>
    <w:basedOn w:val="DefaultParagraphFont"/>
    <w:uiPriority w:val="22"/>
    <w:qFormat/>
    <w:rsid w:val="00E654B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214</TotalTime>
  <Pages>6</Pages>
  <Words>1121</Words>
  <Characters>6390</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12</cp:revision>
  <dcterms:created xsi:type="dcterms:W3CDTF">2023-05-19T17:31:00Z</dcterms:created>
  <dcterms:modified xsi:type="dcterms:W3CDTF">2023-05-19T21:07:00Z</dcterms:modified>
</cp:coreProperties>
</file>