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15F70" w14:textId="77777777" w:rsidR="003050AC" w:rsidRDefault="00000000">
      <w:pPr>
        <w:spacing w:after="360"/>
        <w:jc w:val="center"/>
      </w:pPr>
      <w:r>
        <w:rPr>
          <w:noProof/>
        </w:rPr>
        <w:drawing>
          <wp:inline distT="0" distB="0" distL="0" distR="0" wp14:anchorId="4402D408" wp14:editId="3B8D1C96">
            <wp:extent cx="1645920" cy="6583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645920" cy="658368"/>
                    </a:xfrm>
                    <a:prstGeom prst="rect">
                      <a:avLst/>
                    </a:prstGeom>
                  </pic:spPr>
                </pic:pic>
              </a:graphicData>
            </a:graphic>
          </wp:inline>
        </w:drawing>
      </w:r>
    </w:p>
    <w:p w14:paraId="505712F2" w14:textId="77777777" w:rsidR="003050AC" w:rsidRDefault="00000000">
      <w:pPr>
        <w:spacing w:before="360" w:after="160"/>
        <w:jc w:val="center"/>
      </w:pPr>
      <w:r>
        <w:rPr>
          <w:rFonts w:eastAsia="Arial"/>
          <w:b/>
          <w:color w:val="00754A"/>
          <w:sz w:val="26"/>
        </w:rPr>
        <w:t>INTERNATIONAL BUSINESS CONCEPTS</w:t>
      </w:r>
    </w:p>
    <w:p w14:paraId="377E9DCA" w14:textId="77777777" w:rsidR="003050AC" w:rsidRDefault="00000000">
      <w:pPr>
        <w:spacing w:after="160"/>
        <w:jc w:val="center"/>
      </w:pPr>
      <w:r>
        <w:rPr>
          <w:rFonts w:eastAsia="Arial"/>
          <w:b/>
          <w:color w:val="1E3932"/>
          <w:sz w:val="50"/>
        </w:rPr>
        <w:t>Starbucks Corporation's Entry into Bangladesh</w:t>
      </w:r>
    </w:p>
    <w:p w14:paraId="0F7819FD" w14:textId="77777777" w:rsidR="003050AC" w:rsidRDefault="00000000">
      <w:pPr>
        <w:spacing w:after="480"/>
        <w:jc w:val="center"/>
      </w:pPr>
      <w:r>
        <w:rPr>
          <w:rFonts w:eastAsia="Arial"/>
          <w:i/>
          <w:color w:val="5B6661"/>
          <w:sz w:val="30"/>
        </w:rPr>
        <w:t>International Strategy, Market Attractiveness and Entry Mode</w:t>
      </w:r>
    </w:p>
    <w:p w14:paraId="0D89BCF4" w14:textId="77777777" w:rsidR="003050AC" w:rsidRDefault="00000000">
      <w:pPr>
        <w:spacing w:after="440"/>
        <w:jc w:val="center"/>
      </w:pPr>
      <w:r>
        <w:rPr>
          <w:rFonts w:eastAsia="Arial"/>
          <w:color w:val="CBA258"/>
          <w:sz w:val="20"/>
        </w:rPr>
        <w:t>━━━━━━━━━━━━━━━━━━━━━━━━━━━━━━━━━━━━</w:t>
      </w:r>
    </w:p>
    <w:p w14:paraId="78229F66" w14:textId="77777777" w:rsidR="003050AC" w:rsidRDefault="00000000">
      <w:pPr>
        <w:spacing w:after="60"/>
        <w:jc w:val="center"/>
      </w:pPr>
      <w:proofErr w:type="spellStart"/>
      <w:r>
        <w:rPr>
          <w:rFonts w:eastAsia="Arial"/>
          <w:b/>
          <w:color w:val="1E3932"/>
          <w:sz w:val="22"/>
        </w:rPr>
        <w:t>Programme</w:t>
      </w:r>
      <w:proofErr w:type="spellEnd"/>
      <w:r>
        <w:rPr>
          <w:rFonts w:eastAsia="Arial"/>
          <w:b/>
          <w:color w:val="1E3932"/>
          <w:sz w:val="22"/>
        </w:rPr>
        <w:t xml:space="preserve">: </w:t>
      </w:r>
      <w:r>
        <w:rPr>
          <w:rFonts w:eastAsia="Arial"/>
          <w:sz w:val="22"/>
        </w:rPr>
        <w:t>Master of Business Administration</w:t>
      </w:r>
    </w:p>
    <w:p w14:paraId="634A0630" w14:textId="77777777" w:rsidR="003050AC" w:rsidRDefault="00000000">
      <w:pPr>
        <w:spacing w:after="60"/>
        <w:jc w:val="center"/>
      </w:pPr>
      <w:r>
        <w:rPr>
          <w:rFonts w:eastAsia="Arial"/>
          <w:b/>
          <w:color w:val="1E3932"/>
          <w:sz w:val="22"/>
        </w:rPr>
        <w:t xml:space="preserve">Module: </w:t>
      </w:r>
      <w:r>
        <w:rPr>
          <w:rFonts w:eastAsia="Arial"/>
          <w:sz w:val="22"/>
        </w:rPr>
        <w:t>International Business Concepts</w:t>
      </w:r>
    </w:p>
    <w:p w14:paraId="29DC3C46" w14:textId="77777777" w:rsidR="003050AC" w:rsidRDefault="00000000">
      <w:pPr>
        <w:spacing w:after="60"/>
        <w:jc w:val="center"/>
      </w:pPr>
      <w:r>
        <w:rPr>
          <w:rFonts w:eastAsia="Arial"/>
          <w:b/>
          <w:color w:val="1E3932"/>
          <w:sz w:val="22"/>
        </w:rPr>
        <w:t xml:space="preserve">Module code: </w:t>
      </w:r>
      <w:r>
        <w:rPr>
          <w:rFonts w:eastAsia="Arial"/>
          <w:sz w:val="22"/>
        </w:rPr>
        <w:t>LCMB7034</w:t>
      </w:r>
    </w:p>
    <w:p w14:paraId="0101254C" w14:textId="4925076D" w:rsidR="003050AC" w:rsidRDefault="00000000">
      <w:pPr>
        <w:spacing w:after="60"/>
        <w:jc w:val="center"/>
      </w:pPr>
      <w:r>
        <w:rPr>
          <w:rFonts w:eastAsia="Arial"/>
          <w:b/>
          <w:color w:val="1E3932"/>
          <w:sz w:val="22"/>
        </w:rPr>
        <w:t>Lecturers:</w:t>
      </w:r>
      <w:r w:rsidR="00A2772F">
        <w:rPr>
          <w:rFonts w:eastAsia="Arial"/>
          <w:sz w:val="22"/>
        </w:rPr>
        <w:t xml:space="preserve"> Professor</w:t>
      </w:r>
      <w:r>
        <w:rPr>
          <w:rFonts w:eastAsia="Arial"/>
          <w:sz w:val="22"/>
        </w:rPr>
        <w:t xml:space="preserve"> </w:t>
      </w:r>
      <w:proofErr w:type="spellStart"/>
      <w:r>
        <w:rPr>
          <w:rFonts w:eastAsia="Arial"/>
          <w:sz w:val="22"/>
        </w:rPr>
        <w:t>Mansoob</w:t>
      </w:r>
      <w:proofErr w:type="spellEnd"/>
      <w:r>
        <w:rPr>
          <w:rFonts w:eastAsia="Arial"/>
          <w:sz w:val="22"/>
        </w:rPr>
        <w:t xml:space="preserve"> Murshed </w:t>
      </w:r>
    </w:p>
    <w:p w14:paraId="5146D636" w14:textId="77777777" w:rsidR="00713892" w:rsidRPr="00713892" w:rsidRDefault="00000000" w:rsidP="00713892">
      <w:pPr>
        <w:spacing w:after="60"/>
        <w:jc w:val="center"/>
        <w:rPr>
          <w:rFonts w:eastAsia="Arial"/>
          <w:sz w:val="22"/>
        </w:rPr>
      </w:pPr>
      <w:r>
        <w:rPr>
          <w:rFonts w:eastAsia="Arial"/>
          <w:b/>
          <w:color w:val="1E3932"/>
          <w:sz w:val="22"/>
        </w:rPr>
        <w:t xml:space="preserve">Student name: </w:t>
      </w:r>
      <w:r w:rsidR="00713892" w:rsidRPr="00713892">
        <w:rPr>
          <w:rFonts w:eastAsia="Arial"/>
          <w:sz w:val="22"/>
        </w:rPr>
        <w:t>Joy Deb</w:t>
      </w:r>
    </w:p>
    <w:p w14:paraId="65AC54EC" w14:textId="7F6F6F93" w:rsidR="003050AC" w:rsidRDefault="00000000" w:rsidP="00A2772F">
      <w:pPr>
        <w:spacing w:after="60"/>
        <w:jc w:val="center"/>
      </w:pPr>
      <w:r>
        <w:rPr>
          <w:rFonts w:eastAsia="Arial"/>
          <w:b/>
          <w:color w:val="1E3932"/>
          <w:sz w:val="22"/>
        </w:rPr>
        <w:t xml:space="preserve">Student ID: </w:t>
      </w:r>
      <w:r w:rsidR="00713892" w:rsidRPr="00713892">
        <w:rPr>
          <w:rFonts w:eastAsia="Arial"/>
          <w:sz w:val="22"/>
        </w:rPr>
        <w:t>2505865</w:t>
      </w:r>
    </w:p>
    <w:p w14:paraId="61394482" w14:textId="1B8F102F" w:rsidR="003050AC" w:rsidRDefault="00000000" w:rsidP="00A2772F">
      <w:pPr>
        <w:spacing w:after="60"/>
        <w:jc w:val="center"/>
        <w:sectPr w:rsidR="003050AC" w:rsidSect="00593F23">
          <w:pgSz w:w="11906" w:h="16838" w:code="9"/>
          <w:pgMar w:top="1440" w:right="1440" w:bottom="1440" w:left="1440" w:header="706" w:footer="706" w:gutter="0"/>
          <w:cols w:space="720"/>
          <w:vAlign w:val="center"/>
          <w:titlePg/>
          <w:docGrid w:linePitch="360"/>
        </w:sectPr>
      </w:pPr>
      <w:r>
        <w:rPr>
          <w:rFonts w:eastAsia="Arial"/>
          <w:b/>
          <w:color w:val="1E3932"/>
          <w:sz w:val="22"/>
        </w:rPr>
        <w:t>Submission date:</w:t>
      </w:r>
      <w:r w:rsidR="00A2772F">
        <w:rPr>
          <w:rFonts w:eastAsia="Arial"/>
          <w:b/>
          <w:color w:val="1E3932"/>
          <w:sz w:val="22"/>
        </w:rPr>
        <w:t>28/07/2026</w:t>
      </w:r>
    </w:p>
    <w:p w14:paraId="6D061A39" w14:textId="77777777" w:rsidR="003050AC" w:rsidRDefault="00000000">
      <w:pPr>
        <w:spacing w:after="280"/>
        <w:jc w:val="center"/>
      </w:pPr>
      <w:r>
        <w:rPr>
          <w:rFonts w:eastAsia="Arial"/>
          <w:b/>
          <w:color w:val="1E3932"/>
          <w:sz w:val="36"/>
        </w:rPr>
        <w:lastRenderedPageBreak/>
        <w:t>Table of Contents</w:t>
      </w:r>
    </w:p>
    <w:p w14:paraId="2A61DA33" w14:textId="1AA78D74" w:rsidR="00497D58" w:rsidRDefault="00000000">
      <w:pPr>
        <w:pStyle w:val="TOC1"/>
        <w:tabs>
          <w:tab w:val="right" w:leader="dot" w:pos="9016"/>
        </w:tabs>
        <w:rPr>
          <w:rFonts w:asciiTheme="minorHAnsi" w:hAnsiTheme="minorHAnsi"/>
          <w:noProof/>
          <w:color w:val="auto"/>
          <w:kern w:val="2"/>
          <w:szCs w:val="24"/>
          <w14:ligatures w14:val="standardContextual"/>
        </w:rPr>
      </w:pPr>
      <w:r>
        <w:rPr>
          <w:rFonts w:eastAsia="Arial"/>
          <w:color w:val="5B6661"/>
          <w:sz w:val="20"/>
        </w:rPr>
        <w:fldChar w:fldCharType="begin"/>
      </w:r>
      <w:r>
        <w:rPr>
          <w:rFonts w:eastAsia="Arial"/>
          <w:color w:val="5B6661"/>
          <w:sz w:val="20"/>
        </w:rPr>
        <w:instrText xml:space="preserve"> TOC \o "1-3" \h \z \u </w:instrText>
      </w:r>
      <w:r>
        <w:rPr>
          <w:rFonts w:eastAsia="Arial"/>
          <w:color w:val="5B6661"/>
          <w:sz w:val="20"/>
        </w:rPr>
        <w:fldChar w:fldCharType="separate"/>
      </w:r>
      <w:hyperlink w:anchor="_Toc234634946" w:history="1">
        <w:r w:rsidR="00497D58" w:rsidRPr="00463AD3">
          <w:rPr>
            <w:rStyle w:val="Hyperlink"/>
            <w:noProof/>
          </w:rPr>
          <w:t>1. Introduction and Case Scope</w:t>
        </w:r>
        <w:r w:rsidR="00497D58">
          <w:rPr>
            <w:noProof/>
            <w:webHidden/>
          </w:rPr>
          <w:tab/>
        </w:r>
        <w:r w:rsidR="00497D58">
          <w:rPr>
            <w:noProof/>
            <w:webHidden/>
          </w:rPr>
          <w:fldChar w:fldCharType="begin"/>
        </w:r>
        <w:r w:rsidR="00497D58">
          <w:rPr>
            <w:noProof/>
            <w:webHidden/>
          </w:rPr>
          <w:instrText xml:space="preserve"> PAGEREF _Toc234634946 \h </w:instrText>
        </w:r>
        <w:r w:rsidR="00497D58">
          <w:rPr>
            <w:noProof/>
            <w:webHidden/>
          </w:rPr>
        </w:r>
        <w:r w:rsidR="00497D58">
          <w:rPr>
            <w:noProof/>
            <w:webHidden/>
          </w:rPr>
          <w:fldChar w:fldCharType="separate"/>
        </w:r>
        <w:r w:rsidR="00497D58">
          <w:rPr>
            <w:noProof/>
            <w:webHidden/>
          </w:rPr>
          <w:t>2</w:t>
        </w:r>
        <w:r w:rsidR="00497D58">
          <w:rPr>
            <w:noProof/>
            <w:webHidden/>
          </w:rPr>
          <w:fldChar w:fldCharType="end"/>
        </w:r>
      </w:hyperlink>
    </w:p>
    <w:p w14:paraId="06FC96F8" w14:textId="427496F0" w:rsidR="00497D58" w:rsidRDefault="00497D58">
      <w:pPr>
        <w:pStyle w:val="TOC1"/>
        <w:tabs>
          <w:tab w:val="right" w:leader="dot" w:pos="9016"/>
        </w:tabs>
        <w:rPr>
          <w:rFonts w:asciiTheme="minorHAnsi" w:hAnsiTheme="minorHAnsi"/>
          <w:noProof/>
          <w:color w:val="auto"/>
          <w:kern w:val="2"/>
          <w:szCs w:val="24"/>
          <w14:ligatures w14:val="standardContextual"/>
        </w:rPr>
      </w:pPr>
      <w:hyperlink w:anchor="_Toc234634947" w:history="1">
        <w:r w:rsidRPr="00463AD3">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_Toc234634947 \h </w:instrText>
        </w:r>
        <w:r>
          <w:rPr>
            <w:noProof/>
            <w:webHidden/>
          </w:rPr>
        </w:r>
        <w:r>
          <w:rPr>
            <w:noProof/>
            <w:webHidden/>
          </w:rPr>
          <w:fldChar w:fldCharType="separate"/>
        </w:r>
        <w:r>
          <w:rPr>
            <w:noProof/>
            <w:webHidden/>
          </w:rPr>
          <w:t>2</w:t>
        </w:r>
        <w:r>
          <w:rPr>
            <w:noProof/>
            <w:webHidden/>
          </w:rPr>
          <w:fldChar w:fldCharType="end"/>
        </w:r>
      </w:hyperlink>
    </w:p>
    <w:p w14:paraId="233863AA" w14:textId="64DB33EE"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48" w:history="1">
        <w:r w:rsidRPr="00463AD3">
          <w:rPr>
            <w:rStyle w:val="Hyperlink"/>
            <w:noProof/>
          </w:rPr>
          <w:t>2.1 Strategic categorisation</w:t>
        </w:r>
        <w:r>
          <w:rPr>
            <w:noProof/>
            <w:webHidden/>
          </w:rPr>
          <w:tab/>
        </w:r>
        <w:r>
          <w:rPr>
            <w:noProof/>
            <w:webHidden/>
          </w:rPr>
          <w:fldChar w:fldCharType="begin"/>
        </w:r>
        <w:r>
          <w:rPr>
            <w:noProof/>
            <w:webHidden/>
          </w:rPr>
          <w:instrText xml:space="preserve"> PAGEREF _Toc234634948 \h </w:instrText>
        </w:r>
        <w:r>
          <w:rPr>
            <w:noProof/>
            <w:webHidden/>
          </w:rPr>
        </w:r>
        <w:r>
          <w:rPr>
            <w:noProof/>
            <w:webHidden/>
          </w:rPr>
          <w:fldChar w:fldCharType="separate"/>
        </w:r>
        <w:r>
          <w:rPr>
            <w:noProof/>
            <w:webHidden/>
          </w:rPr>
          <w:t>2</w:t>
        </w:r>
        <w:r>
          <w:rPr>
            <w:noProof/>
            <w:webHidden/>
          </w:rPr>
          <w:fldChar w:fldCharType="end"/>
        </w:r>
      </w:hyperlink>
    </w:p>
    <w:p w14:paraId="455433BE" w14:textId="4279AA7B"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49" w:history="1">
        <w:r w:rsidRPr="00463AD3">
          <w:rPr>
            <w:rStyle w:val="Hyperlink"/>
            <w:noProof/>
          </w:rPr>
          <w:t>2.2 Global configuration and value creation</w:t>
        </w:r>
        <w:r>
          <w:rPr>
            <w:noProof/>
            <w:webHidden/>
          </w:rPr>
          <w:tab/>
        </w:r>
        <w:r>
          <w:rPr>
            <w:noProof/>
            <w:webHidden/>
          </w:rPr>
          <w:fldChar w:fldCharType="begin"/>
        </w:r>
        <w:r>
          <w:rPr>
            <w:noProof/>
            <w:webHidden/>
          </w:rPr>
          <w:instrText xml:space="preserve"> PAGEREF _Toc234634949 \h </w:instrText>
        </w:r>
        <w:r>
          <w:rPr>
            <w:noProof/>
            <w:webHidden/>
          </w:rPr>
        </w:r>
        <w:r>
          <w:rPr>
            <w:noProof/>
            <w:webHidden/>
          </w:rPr>
          <w:fldChar w:fldCharType="separate"/>
        </w:r>
        <w:r>
          <w:rPr>
            <w:noProof/>
            <w:webHidden/>
          </w:rPr>
          <w:t>3</w:t>
        </w:r>
        <w:r>
          <w:rPr>
            <w:noProof/>
            <w:webHidden/>
          </w:rPr>
          <w:fldChar w:fldCharType="end"/>
        </w:r>
      </w:hyperlink>
    </w:p>
    <w:p w14:paraId="4A51E8B3" w14:textId="71AFC572" w:rsidR="00497D58" w:rsidRDefault="00497D58">
      <w:pPr>
        <w:pStyle w:val="TOC1"/>
        <w:tabs>
          <w:tab w:val="right" w:leader="dot" w:pos="9016"/>
        </w:tabs>
        <w:rPr>
          <w:rFonts w:asciiTheme="minorHAnsi" w:hAnsiTheme="minorHAnsi"/>
          <w:noProof/>
          <w:color w:val="auto"/>
          <w:kern w:val="2"/>
          <w:szCs w:val="24"/>
          <w14:ligatures w14:val="standardContextual"/>
        </w:rPr>
      </w:pPr>
      <w:hyperlink w:anchor="_Toc234634950" w:history="1">
        <w:r w:rsidRPr="00463AD3">
          <w:rPr>
            <w:rStyle w:val="Hyperlink"/>
            <w:rFonts w:eastAsia="Arial"/>
            <w:noProof/>
          </w:rPr>
          <w:t>3. Macro-Environmental Appraisal and Market Attractiveness</w:t>
        </w:r>
        <w:r>
          <w:rPr>
            <w:noProof/>
            <w:webHidden/>
          </w:rPr>
          <w:tab/>
        </w:r>
        <w:r>
          <w:rPr>
            <w:noProof/>
            <w:webHidden/>
          </w:rPr>
          <w:fldChar w:fldCharType="begin"/>
        </w:r>
        <w:r>
          <w:rPr>
            <w:noProof/>
            <w:webHidden/>
          </w:rPr>
          <w:instrText xml:space="preserve"> PAGEREF _Toc234634950 \h </w:instrText>
        </w:r>
        <w:r>
          <w:rPr>
            <w:noProof/>
            <w:webHidden/>
          </w:rPr>
        </w:r>
        <w:r>
          <w:rPr>
            <w:noProof/>
            <w:webHidden/>
          </w:rPr>
          <w:fldChar w:fldCharType="separate"/>
        </w:r>
        <w:r>
          <w:rPr>
            <w:noProof/>
            <w:webHidden/>
          </w:rPr>
          <w:t>5</w:t>
        </w:r>
        <w:r>
          <w:rPr>
            <w:noProof/>
            <w:webHidden/>
          </w:rPr>
          <w:fldChar w:fldCharType="end"/>
        </w:r>
      </w:hyperlink>
    </w:p>
    <w:p w14:paraId="4358EB5A" w14:textId="6F8BA298"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1" w:history="1">
        <w:r w:rsidRPr="00463AD3">
          <w:rPr>
            <w:rStyle w:val="Hyperlink"/>
            <w:rFonts w:eastAsia="Arial"/>
            <w:noProof/>
          </w:rPr>
          <w:t>3.1 Political and institutional conditions</w:t>
        </w:r>
        <w:r>
          <w:rPr>
            <w:noProof/>
            <w:webHidden/>
          </w:rPr>
          <w:tab/>
        </w:r>
        <w:r>
          <w:rPr>
            <w:noProof/>
            <w:webHidden/>
          </w:rPr>
          <w:fldChar w:fldCharType="begin"/>
        </w:r>
        <w:r>
          <w:rPr>
            <w:noProof/>
            <w:webHidden/>
          </w:rPr>
          <w:instrText xml:space="preserve"> PAGEREF _Toc234634951 \h </w:instrText>
        </w:r>
        <w:r>
          <w:rPr>
            <w:noProof/>
            <w:webHidden/>
          </w:rPr>
        </w:r>
        <w:r>
          <w:rPr>
            <w:noProof/>
            <w:webHidden/>
          </w:rPr>
          <w:fldChar w:fldCharType="separate"/>
        </w:r>
        <w:r>
          <w:rPr>
            <w:noProof/>
            <w:webHidden/>
          </w:rPr>
          <w:t>5</w:t>
        </w:r>
        <w:r>
          <w:rPr>
            <w:noProof/>
            <w:webHidden/>
          </w:rPr>
          <w:fldChar w:fldCharType="end"/>
        </w:r>
      </w:hyperlink>
    </w:p>
    <w:p w14:paraId="4549AABF" w14:textId="4BCC2D0E"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2" w:history="1">
        <w:r w:rsidRPr="00463AD3">
          <w:rPr>
            <w:rStyle w:val="Hyperlink"/>
            <w:noProof/>
          </w:rPr>
          <w:t>3.2 Economic and commercial conditions</w:t>
        </w:r>
        <w:r>
          <w:rPr>
            <w:noProof/>
            <w:webHidden/>
          </w:rPr>
          <w:tab/>
        </w:r>
        <w:r>
          <w:rPr>
            <w:noProof/>
            <w:webHidden/>
          </w:rPr>
          <w:fldChar w:fldCharType="begin"/>
        </w:r>
        <w:r>
          <w:rPr>
            <w:noProof/>
            <w:webHidden/>
          </w:rPr>
          <w:instrText xml:space="preserve"> PAGEREF _Toc234634952 \h </w:instrText>
        </w:r>
        <w:r>
          <w:rPr>
            <w:noProof/>
            <w:webHidden/>
          </w:rPr>
        </w:r>
        <w:r>
          <w:rPr>
            <w:noProof/>
            <w:webHidden/>
          </w:rPr>
          <w:fldChar w:fldCharType="separate"/>
        </w:r>
        <w:r>
          <w:rPr>
            <w:noProof/>
            <w:webHidden/>
          </w:rPr>
          <w:t>6</w:t>
        </w:r>
        <w:r>
          <w:rPr>
            <w:noProof/>
            <w:webHidden/>
          </w:rPr>
          <w:fldChar w:fldCharType="end"/>
        </w:r>
      </w:hyperlink>
    </w:p>
    <w:p w14:paraId="36282D11" w14:textId="7CA222CA"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3" w:history="1">
        <w:r w:rsidRPr="00463AD3">
          <w:rPr>
            <w:rStyle w:val="Hyperlink"/>
            <w:noProof/>
          </w:rPr>
          <w:t>3.3 Legal and regulatory conditions</w:t>
        </w:r>
        <w:r>
          <w:rPr>
            <w:noProof/>
            <w:webHidden/>
          </w:rPr>
          <w:tab/>
        </w:r>
        <w:r>
          <w:rPr>
            <w:noProof/>
            <w:webHidden/>
          </w:rPr>
          <w:fldChar w:fldCharType="begin"/>
        </w:r>
        <w:r>
          <w:rPr>
            <w:noProof/>
            <w:webHidden/>
          </w:rPr>
          <w:instrText xml:space="preserve"> PAGEREF _Toc234634953 \h </w:instrText>
        </w:r>
        <w:r>
          <w:rPr>
            <w:noProof/>
            <w:webHidden/>
          </w:rPr>
        </w:r>
        <w:r>
          <w:rPr>
            <w:noProof/>
            <w:webHidden/>
          </w:rPr>
          <w:fldChar w:fldCharType="separate"/>
        </w:r>
        <w:r>
          <w:rPr>
            <w:noProof/>
            <w:webHidden/>
          </w:rPr>
          <w:t>8</w:t>
        </w:r>
        <w:r>
          <w:rPr>
            <w:noProof/>
            <w:webHidden/>
          </w:rPr>
          <w:fldChar w:fldCharType="end"/>
        </w:r>
      </w:hyperlink>
    </w:p>
    <w:p w14:paraId="3E55AA2F" w14:textId="52D64B5C"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4" w:history="1">
        <w:r w:rsidRPr="00463AD3">
          <w:rPr>
            <w:rStyle w:val="Hyperlink"/>
            <w:noProof/>
          </w:rPr>
          <w:t>3.4 Cultural conditions and consumer fit</w:t>
        </w:r>
        <w:r>
          <w:rPr>
            <w:noProof/>
            <w:webHidden/>
          </w:rPr>
          <w:tab/>
        </w:r>
        <w:r>
          <w:rPr>
            <w:noProof/>
            <w:webHidden/>
          </w:rPr>
          <w:fldChar w:fldCharType="begin"/>
        </w:r>
        <w:r>
          <w:rPr>
            <w:noProof/>
            <w:webHidden/>
          </w:rPr>
          <w:instrText xml:space="preserve"> PAGEREF _Toc234634954 \h </w:instrText>
        </w:r>
        <w:r>
          <w:rPr>
            <w:noProof/>
            <w:webHidden/>
          </w:rPr>
        </w:r>
        <w:r>
          <w:rPr>
            <w:noProof/>
            <w:webHidden/>
          </w:rPr>
          <w:fldChar w:fldCharType="separate"/>
        </w:r>
        <w:r>
          <w:rPr>
            <w:noProof/>
            <w:webHidden/>
          </w:rPr>
          <w:t>9</w:t>
        </w:r>
        <w:r>
          <w:rPr>
            <w:noProof/>
            <w:webHidden/>
          </w:rPr>
          <w:fldChar w:fldCharType="end"/>
        </w:r>
      </w:hyperlink>
    </w:p>
    <w:p w14:paraId="776EB213" w14:textId="1C4B3960"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5" w:history="1">
        <w:r w:rsidRPr="00463AD3">
          <w:rPr>
            <w:rStyle w:val="Hyperlink"/>
            <w:noProof/>
          </w:rPr>
          <w:t>3.5 OLI synthesis and market attractiveness</w:t>
        </w:r>
        <w:r>
          <w:rPr>
            <w:noProof/>
            <w:webHidden/>
          </w:rPr>
          <w:tab/>
        </w:r>
        <w:r>
          <w:rPr>
            <w:noProof/>
            <w:webHidden/>
          </w:rPr>
          <w:fldChar w:fldCharType="begin"/>
        </w:r>
        <w:r>
          <w:rPr>
            <w:noProof/>
            <w:webHidden/>
          </w:rPr>
          <w:instrText xml:space="preserve"> PAGEREF _Toc234634955 \h </w:instrText>
        </w:r>
        <w:r>
          <w:rPr>
            <w:noProof/>
            <w:webHidden/>
          </w:rPr>
        </w:r>
        <w:r>
          <w:rPr>
            <w:noProof/>
            <w:webHidden/>
          </w:rPr>
          <w:fldChar w:fldCharType="separate"/>
        </w:r>
        <w:r>
          <w:rPr>
            <w:noProof/>
            <w:webHidden/>
          </w:rPr>
          <w:t>11</w:t>
        </w:r>
        <w:r>
          <w:rPr>
            <w:noProof/>
            <w:webHidden/>
          </w:rPr>
          <w:fldChar w:fldCharType="end"/>
        </w:r>
      </w:hyperlink>
    </w:p>
    <w:p w14:paraId="6CB27D68" w14:textId="44D7F0A4" w:rsidR="00497D58" w:rsidRDefault="00497D58">
      <w:pPr>
        <w:pStyle w:val="TOC1"/>
        <w:tabs>
          <w:tab w:val="right" w:leader="dot" w:pos="9016"/>
        </w:tabs>
        <w:rPr>
          <w:rFonts w:asciiTheme="minorHAnsi" w:hAnsiTheme="minorHAnsi"/>
          <w:noProof/>
          <w:color w:val="auto"/>
          <w:kern w:val="2"/>
          <w:szCs w:val="24"/>
          <w14:ligatures w14:val="standardContextual"/>
        </w:rPr>
      </w:pPr>
      <w:hyperlink w:anchor="_Toc234634956" w:history="1">
        <w:r w:rsidRPr="00463AD3">
          <w:rPr>
            <w:rStyle w:val="Hyperlink"/>
            <w:noProof/>
          </w:rPr>
          <w:t>4. Entry Mode Strategy and Strategic Synthesis</w:t>
        </w:r>
        <w:r>
          <w:rPr>
            <w:noProof/>
            <w:webHidden/>
          </w:rPr>
          <w:tab/>
        </w:r>
        <w:r>
          <w:rPr>
            <w:noProof/>
            <w:webHidden/>
          </w:rPr>
          <w:fldChar w:fldCharType="begin"/>
        </w:r>
        <w:r>
          <w:rPr>
            <w:noProof/>
            <w:webHidden/>
          </w:rPr>
          <w:instrText xml:space="preserve"> PAGEREF _Toc234634956 \h </w:instrText>
        </w:r>
        <w:r>
          <w:rPr>
            <w:noProof/>
            <w:webHidden/>
          </w:rPr>
        </w:r>
        <w:r>
          <w:rPr>
            <w:noProof/>
            <w:webHidden/>
          </w:rPr>
          <w:fldChar w:fldCharType="separate"/>
        </w:r>
        <w:r>
          <w:rPr>
            <w:noProof/>
            <w:webHidden/>
          </w:rPr>
          <w:t>13</w:t>
        </w:r>
        <w:r>
          <w:rPr>
            <w:noProof/>
            <w:webHidden/>
          </w:rPr>
          <w:fldChar w:fldCharType="end"/>
        </w:r>
      </w:hyperlink>
    </w:p>
    <w:p w14:paraId="1681FE63" w14:textId="0E5FD1E7"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7" w:history="1">
        <w:r w:rsidRPr="00463AD3">
          <w:rPr>
            <w:rStyle w:val="Hyperlink"/>
            <w:noProof/>
          </w:rPr>
          <w:t>4.1 Historical entry-mode pattern</w:t>
        </w:r>
        <w:r>
          <w:rPr>
            <w:noProof/>
            <w:webHidden/>
          </w:rPr>
          <w:tab/>
        </w:r>
        <w:r>
          <w:rPr>
            <w:noProof/>
            <w:webHidden/>
          </w:rPr>
          <w:fldChar w:fldCharType="begin"/>
        </w:r>
        <w:r>
          <w:rPr>
            <w:noProof/>
            <w:webHidden/>
          </w:rPr>
          <w:instrText xml:space="preserve"> PAGEREF _Toc234634957 \h </w:instrText>
        </w:r>
        <w:r>
          <w:rPr>
            <w:noProof/>
            <w:webHidden/>
          </w:rPr>
        </w:r>
        <w:r>
          <w:rPr>
            <w:noProof/>
            <w:webHidden/>
          </w:rPr>
          <w:fldChar w:fldCharType="separate"/>
        </w:r>
        <w:r>
          <w:rPr>
            <w:noProof/>
            <w:webHidden/>
          </w:rPr>
          <w:t>13</w:t>
        </w:r>
        <w:r>
          <w:rPr>
            <w:noProof/>
            <w:webHidden/>
          </w:rPr>
          <w:fldChar w:fldCharType="end"/>
        </w:r>
      </w:hyperlink>
    </w:p>
    <w:p w14:paraId="1408DC55" w14:textId="7659202E"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8" w:history="1">
        <w:r w:rsidRPr="00463AD3">
          <w:rPr>
            <w:rStyle w:val="Hyperlink"/>
            <w:noProof/>
          </w:rPr>
          <w:t>4.2 Strategic fit and mode comparison</w:t>
        </w:r>
        <w:r>
          <w:rPr>
            <w:noProof/>
            <w:webHidden/>
          </w:rPr>
          <w:tab/>
        </w:r>
        <w:r>
          <w:rPr>
            <w:noProof/>
            <w:webHidden/>
          </w:rPr>
          <w:fldChar w:fldCharType="begin"/>
        </w:r>
        <w:r>
          <w:rPr>
            <w:noProof/>
            <w:webHidden/>
          </w:rPr>
          <w:instrText xml:space="preserve"> PAGEREF _Toc234634958 \h </w:instrText>
        </w:r>
        <w:r>
          <w:rPr>
            <w:noProof/>
            <w:webHidden/>
          </w:rPr>
        </w:r>
        <w:r>
          <w:rPr>
            <w:noProof/>
            <w:webHidden/>
          </w:rPr>
          <w:fldChar w:fldCharType="separate"/>
        </w:r>
        <w:r>
          <w:rPr>
            <w:noProof/>
            <w:webHidden/>
          </w:rPr>
          <w:t>13</w:t>
        </w:r>
        <w:r>
          <w:rPr>
            <w:noProof/>
            <w:webHidden/>
          </w:rPr>
          <w:fldChar w:fldCharType="end"/>
        </w:r>
      </w:hyperlink>
    </w:p>
    <w:p w14:paraId="32F95D7B" w14:textId="7CD64272"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59" w:history="1">
        <w:r w:rsidRPr="00463AD3">
          <w:rPr>
            <w:rStyle w:val="Hyperlink"/>
            <w:noProof/>
          </w:rPr>
          <w:t>4.3 Recommendation and implementation</w:t>
        </w:r>
        <w:r>
          <w:rPr>
            <w:noProof/>
            <w:webHidden/>
          </w:rPr>
          <w:tab/>
        </w:r>
        <w:r>
          <w:rPr>
            <w:noProof/>
            <w:webHidden/>
          </w:rPr>
          <w:fldChar w:fldCharType="begin"/>
        </w:r>
        <w:r>
          <w:rPr>
            <w:noProof/>
            <w:webHidden/>
          </w:rPr>
          <w:instrText xml:space="preserve"> PAGEREF _Toc234634959 \h </w:instrText>
        </w:r>
        <w:r>
          <w:rPr>
            <w:noProof/>
            <w:webHidden/>
          </w:rPr>
        </w:r>
        <w:r>
          <w:rPr>
            <w:noProof/>
            <w:webHidden/>
          </w:rPr>
          <w:fldChar w:fldCharType="separate"/>
        </w:r>
        <w:r>
          <w:rPr>
            <w:noProof/>
            <w:webHidden/>
          </w:rPr>
          <w:t>14</w:t>
        </w:r>
        <w:r>
          <w:rPr>
            <w:noProof/>
            <w:webHidden/>
          </w:rPr>
          <w:fldChar w:fldCharType="end"/>
        </w:r>
      </w:hyperlink>
    </w:p>
    <w:p w14:paraId="2383FECB" w14:textId="5BC821DE"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0" w:history="1">
        <w:r w:rsidRPr="00463AD3">
          <w:rPr>
            <w:rStyle w:val="Hyperlink"/>
            <w:noProof/>
          </w:rPr>
          <w:t>4.4 Conclusion</w:t>
        </w:r>
        <w:r>
          <w:rPr>
            <w:noProof/>
            <w:webHidden/>
          </w:rPr>
          <w:tab/>
        </w:r>
        <w:r>
          <w:rPr>
            <w:noProof/>
            <w:webHidden/>
          </w:rPr>
          <w:fldChar w:fldCharType="begin"/>
        </w:r>
        <w:r>
          <w:rPr>
            <w:noProof/>
            <w:webHidden/>
          </w:rPr>
          <w:instrText xml:space="preserve"> PAGEREF _Toc234634960 \h </w:instrText>
        </w:r>
        <w:r>
          <w:rPr>
            <w:noProof/>
            <w:webHidden/>
          </w:rPr>
        </w:r>
        <w:r>
          <w:rPr>
            <w:noProof/>
            <w:webHidden/>
          </w:rPr>
          <w:fldChar w:fldCharType="separate"/>
        </w:r>
        <w:r>
          <w:rPr>
            <w:noProof/>
            <w:webHidden/>
          </w:rPr>
          <w:t>16</w:t>
        </w:r>
        <w:r>
          <w:rPr>
            <w:noProof/>
            <w:webHidden/>
          </w:rPr>
          <w:fldChar w:fldCharType="end"/>
        </w:r>
      </w:hyperlink>
    </w:p>
    <w:p w14:paraId="19D273B0" w14:textId="44D5E4EF" w:rsidR="00497D58" w:rsidRDefault="00497D58">
      <w:pPr>
        <w:pStyle w:val="TOC1"/>
        <w:tabs>
          <w:tab w:val="right" w:leader="dot" w:pos="9016"/>
        </w:tabs>
        <w:rPr>
          <w:rFonts w:asciiTheme="minorHAnsi" w:hAnsiTheme="minorHAnsi"/>
          <w:noProof/>
          <w:color w:val="auto"/>
          <w:kern w:val="2"/>
          <w:szCs w:val="24"/>
          <w14:ligatures w14:val="standardContextual"/>
        </w:rPr>
      </w:pPr>
      <w:hyperlink w:anchor="_Toc234634961" w:history="1">
        <w:r w:rsidRPr="00463AD3">
          <w:rPr>
            <w:rStyle w:val="Hyperlink"/>
            <w:noProof/>
          </w:rPr>
          <w:t>5. Reflective Account Using Gibbs' Reflective Cycle</w:t>
        </w:r>
        <w:r>
          <w:rPr>
            <w:noProof/>
            <w:webHidden/>
          </w:rPr>
          <w:tab/>
        </w:r>
        <w:r>
          <w:rPr>
            <w:noProof/>
            <w:webHidden/>
          </w:rPr>
          <w:fldChar w:fldCharType="begin"/>
        </w:r>
        <w:r>
          <w:rPr>
            <w:noProof/>
            <w:webHidden/>
          </w:rPr>
          <w:instrText xml:space="preserve"> PAGEREF _Toc234634961 \h </w:instrText>
        </w:r>
        <w:r>
          <w:rPr>
            <w:noProof/>
            <w:webHidden/>
          </w:rPr>
        </w:r>
        <w:r>
          <w:rPr>
            <w:noProof/>
            <w:webHidden/>
          </w:rPr>
          <w:fldChar w:fldCharType="separate"/>
        </w:r>
        <w:r>
          <w:rPr>
            <w:noProof/>
            <w:webHidden/>
          </w:rPr>
          <w:t>17</w:t>
        </w:r>
        <w:r>
          <w:rPr>
            <w:noProof/>
            <w:webHidden/>
          </w:rPr>
          <w:fldChar w:fldCharType="end"/>
        </w:r>
      </w:hyperlink>
    </w:p>
    <w:p w14:paraId="39ACD46B" w14:textId="44F28156"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2" w:history="1">
        <w:r w:rsidRPr="00463AD3">
          <w:rPr>
            <w:rStyle w:val="Hyperlink"/>
            <w:noProof/>
          </w:rPr>
          <w:t>5.1 Description</w:t>
        </w:r>
        <w:r>
          <w:rPr>
            <w:noProof/>
            <w:webHidden/>
          </w:rPr>
          <w:tab/>
        </w:r>
        <w:r>
          <w:rPr>
            <w:noProof/>
            <w:webHidden/>
          </w:rPr>
          <w:fldChar w:fldCharType="begin"/>
        </w:r>
        <w:r>
          <w:rPr>
            <w:noProof/>
            <w:webHidden/>
          </w:rPr>
          <w:instrText xml:space="preserve"> PAGEREF _Toc234634962 \h </w:instrText>
        </w:r>
        <w:r>
          <w:rPr>
            <w:noProof/>
            <w:webHidden/>
          </w:rPr>
        </w:r>
        <w:r>
          <w:rPr>
            <w:noProof/>
            <w:webHidden/>
          </w:rPr>
          <w:fldChar w:fldCharType="separate"/>
        </w:r>
        <w:r>
          <w:rPr>
            <w:noProof/>
            <w:webHidden/>
          </w:rPr>
          <w:t>17</w:t>
        </w:r>
        <w:r>
          <w:rPr>
            <w:noProof/>
            <w:webHidden/>
          </w:rPr>
          <w:fldChar w:fldCharType="end"/>
        </w:r>
      </w:hyperlink>
    </w:p>
    <w:p w14:paraId="365DF087" w14:textId="3143FBFB"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3" w:history="1">
        <w:r w:rsidRPr="00463AD3">
          <w:rPr>
            <w:rStyle w:val="Hyperlink"/>
            <w:noProof/>
          </w:rPr>
          <w:t>5.2 Feelings</w:t>
        </w:r>
        <w:r>
          <w:rPr>
            <w:noProof/>
            <w:webHidden/>
          </w:rPr>
          <w:tab/>
        </w:r>
        <w:r>
          <w:rPr>
            <w:noProof/>
            <w:webHidden/>
          </w:rPr>
          <w:fldChar w:fldCharType="begin"/>
        </w:r>
        <w:r>
          <w:rPr>
            <w:noProof/>
            <w:webHidden/>
          </w:rPr>
          <w:instrText xml:space="preserve"> PAGEREF _Toc234634963 \h </w:instrText>
        </w:r>
        <w:r>
          <w:rPr>
            <w:noProof/>
            <w:webHidden/>
          </w:rPr>
        </w:r>
        <w:r>
          <w:rPr>
            <w:noProof/>
            <w:webHidden/>
          </w:rPr>
          <w:fldChar w:fldCharType="separate"/>
        </w:r>
        <w:r>
          <w:rPr>
            <w:noProof/>
            <w:webHidden/>
          </w:rPr>
          <w:t>17</w:t>
        </w:r>
        <w:r>
          <w:rPr>
            <w:noProof/>
            <w:webHidden/>
          </w:rPr>
          <w:fldChar w:fldCharType="end"/>
        </w:r>
      </w:hyperlink>
    </w:p>
    <w:p w14:paraId="4CE134D9" w14:textId="1D4BEAE6"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4" w:history="1">
        <w:r w:rsidRPr="00463AD3">
          <w:rPr>
            <w:rStyle w:val="Hyperlink"/>
            <w:noProof/>
          </w:rPr>
          <w:t>5.3 Evaluation</w:t>
        </w:r>
        <w:r>
          <w:rPr>
            <w:noProof/>
            <w:webHidden/>
          </w:rPr>
          <w:tab/>
        </w:r>
        <w:r>
          <w:rPr>
            <w:noProof/>
            <w:webHidden/>
          </w:rPr>
          <w:fldChar w:fldCharType="begin"/>
        </w:r>
        <w:r>
          <w:rPr>
            <w:noProof/>
            <w:webHidden/>
          </w:rPr>
          <w:instrText xml:space="preserve"> PAGEREF _Toc234634964 \h </w:instrText>
        </w:r>
        <w:r>
          <w:rPr>
            <w:noProof/>
            <w:webHidden/>
          </w:rPr>
        </w:r>
        <w:r>
          <w:rPr>
            <w:noProof/>
            <w:webHidden/>
          </w:rPr>
          <w:fldChar w:fldCharType="separate"/>
        </w:r>
        <w:r>
          <w:rPr>
            <w:noProof/>
            <w:webHidden/>
          </w:rPr>
          <w:t>17</w:t>
        </w:r>
        <w:r>
          <w:rPr>
            <w:noProof/>
            <w:webHidden/>
          </w:rPr>
          <w:fldChar w:fldCharType="end"/>
        </w:r>
      </w:hyperlink>
    </w:p>
    <w:p w14:paraId="76B53F72" w14:textId="1EF4F1D0"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5" w:history="1">
        <w:r w:rsidRPr="00463AD3">
          <w:rPr>
            <w:rStyle w:val="Hyperlink"/>
            <w:noProof/>
          </w:rPr>
          <w:t>5.4 Analysis</w:t>
        </w:r>
        <w:r>
          <w:rPr>
            <w:noProof/>
            <w:webHidden/>
          </w:rPr>
          <w:tab/>
        </w:r>
        <w:r>
          <w:rPr>
            <w:noProof/>
            <w:webHidden/>
          </w:rPr>
          <w:fldChar w:fldCharType="begin"/>
        </w:r>
        <w:r>
          <w:rPr>
            <w:noProof/>
            <w:webHidden/>
          </w:rPr>
          <w:instrText xml:space="preserve"> PAGEREF _Toc234634965 \h </w:instrText>
        </w:r>
        <w:r>
          <w:rPr>
            <w:noProof/>
            <w:webHidden/>
          </w:rPr>
        </w:r>
        <w:r>
          <w:rPr>
            <w:noProof/>
            <w:webHidden/>
          </w:rPr>
          <w:fldChar w:fldCharType="separate"/>
        </w:r>
        <w:r>
          <w:rPr>
            <w:noProof/>
            <w:webHidden/>
          </w:rPr>
          <w:t>18</w:t>
        </w:r>
        <w:r>
          <w:rPr>
            <w:noProof/>
            <w:webHidden/>
          </w:rPr>
          <w:fldChar w:fldCharType="end"/>
        </w:r>
      </w:hyperlink>
    </w:p>
    <w:p w14:paraId="224FF7B8" w14:textId="718FDF35"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6" w:history="1">
        <w:r w:rsidRPr="00463AD3">
          <w:rPr>
            <w:rStyle w:val="Hyperlink"/>
            <w:noProof/>
          </w:rPr>
          <w:t>5.5 Conclusion</w:t>
        </w:r>
        <w:r>
          <w:rPr>
            <w:noProof/>
            <w:webHidden/>
          </w:rPr>
          <w:tab/>
        </w:r>
        <w:r>
          <w:rPr>
            <w:noProof/>
            <w:webHidden/>
          </w:rPr>
          <w:fldChar w:fldCharType="begin"/>
        </w:r>
        <w:r>
          <w:rPr>
            <w:noProof/>
            <w:webHidden/>
          </w:rPr>
          <w:instrText xml:space="preserve"> PAGEREF _Toc234634966 \h </w:instrText>
        </w:r>
        <w:r>
          <w:rPr>
            <w:noProof/>
            <w:webHidden/>
          </w:rPr>
        </w:r>
        <w:r>
          <w:rPr>
            <w:noProof/>
            <w:webHidden/>
          </w:rPr>
          <w:fldChar w:fldCharType="separate"/>
        </w:r>
        <w:r>
          <w:rPr>
            <w:noProof/>
            <w:webHidden/>
          </w:rPr>
          <w:t>19</w:t>
        </w:r>
        <w:r>
          <w:rPr>
            <w:noProof/>
            <w:webHidden/>
          </w:rPr>
          <w:fldChar w:fldCharType="end"/>
        </w:r>
      </w:hyperlink>
    </w:p>
    <w:p w14:paraId="70DF18B2" w14:textId="4BF44E0C" w:rsidR="00497D58" w:rsidRDefault="00497D58">
      <w:pPr>
        <w:pStyle w:val="TOC2"/>
        <w:tabs>
          <w:tab w:val="right" w:leader="dot" w:pos="9016"/>
        </w:tabs>
        <w:rPr>
          <w:rFonts w:asciiTheme="minorHAnsi" w:hAnsiTheme="minorHAnsi"/>
          <w:noProof/>
          <w:color w:val="auto"/>
          <w:kern w:val="2"/>
          <w:szCs w:val="24"/>
          <w14:ligatures w14:val="standardContextual"/>
        </w:rPr>
      </w:pPr>
      <w:hyperlink w:anchor="_Toc234634967" w:history="1">
        <w:r w:rsidRPr="00463AD3">
          <w:rPr>
            <w:rStyle w:val="Hyperlink"/>
            <w:noProof/>
          </w:rPr>
          <w:t>5.6 Action plan</w:t>
        </w:r>
        <w:r>
          <w:rPr>
            <w:noProof/>
            <w:webHidden/>
          </w:rPr>
          <w:tab/>
        </w:r>
        <w:r>
          <w:rPr>
            <w:noProof/>
            <w:webHidden/>
          </w:rPr>
          <w:fldChar w:fldCharType="begin"/>
        </w:r>
        <w:r>
          <w:rPr>
            <w:noProof/>
            <w:webHidden/>
          </w:rPr>
          <w:instrText xml:space="preserve"> PAGEREF _Toc234634967 \h </w:instrText>
        </w:r>
        <w:r>
          <w:rPr>
            <w:noProof/>
            <w:webHidden/>
          </w:rPr>
        </w:r>
        <w:r>
          <w:rPr>
            <w:noProof/>
            <w:webHidden/>
          </w:rPr>
          <w:fldChar w:fldCharType="separate"/>
        </w:r>
        <w:r>
          <w:rPr>
            <w:noProof/>
            <w:webHidden/>
          </w:rPr>
          <w:t>19</w:t>
        </w:r>
        <w:r>
          <w:rPr>
            <w:noProof/>
            <w:webHidden/>
          </w:rPr>
          <w:fldChar w:fldCharType="end"/>
        </w:r>
      </w:hyperlink>
    </w:p>
    <w:p w14:paraId="39C3501D" w14:textId="4E63A2D8" w:rsidR="00497D58" w:rsidRDefault="00497D58">
      <w:pPr>
        <w:pStyle w:val="TOC1"/>
        <w:tabs>
          <w:tab w:val="right" w:leader="dot" w:pos="9016"/>
        </w:tabs>
        <w:rPr>
          <w:rFonts w:asciiTheme="minorHAnsi" w:hAnsiTheme="minorHAnsi"/>
          <w:noProof/>
          <w:color w:val="auto"/>
          <w:kern w:val="2"/>
          <w:szCs w:val="24"/>
          <w14:ligatures w14:val="standardContextual"/>
        </w:rPr>
      </w:pPr>
      <w:hyperlink w:anchor="_Toc234634968" w:history="1">
        <w:r w:rsidRPr="00463AD3">
          <w:rPr>
            <w:rStyle w:val="Hyperlink"/>
            <w:noProof/>
          </w:rPr>
          <w:t>References</w:t>
        </w:r>
        <w:r>
          <w:rPr>
            <w:noProof/>
            <w:webHidden/>
          </w:rPr>
          <w:tab/>
        </w:r>
        <w:r>
          <w:rPr>
            <w:noProof/>
            <w:webHidden/>
          </w:rPr>
          <w:fldChar w:fldCharType="begin"/>
        </w:r>
        <w:r>
          <w:rPr>
            <w:noProof/>
            <w:webHidden/>
          </w:rPr>
          <w:instrText xml:space="preserve"> PAGEREF _Toc234634968 \h </w:instrText>
        </w:r>
        <w:r>
          <w:rPr>
            <w:noProof/>
            <w:webHidden/>
          </w:rPr>
        </w:r>
        <w:r>
          <w:rPr>
            <w:noProof/>
            <w:webHidden/>
          </w:rPr>
          <w:fldChar w:fldCharType="separate"/>
        </w:r>
        <w:r>
          <w:rPr>
            <w:noProof/>
            <w:webHidden/>
          </w:rPr>
          <w:t>21</w:t>
        </w:r>
        <w:r>
          <w:rPr>
            <w:noProof/>
            <w:webHidden/>
          </w:rPr>
          <w:fldChar w:fldCharType="end"/>
        </w:r>
      </w:hyperlink>
    </w:p>
    <w:p w14:paraId="4E0E3C32" w14:textId="14E52E4C" w:rsidR="003050AC" w:rsidRDefault="00000000">
      <w:pPr>
        <w:tabs>
          <w:tab w:val="right" w:leader="dot" w:pos="8856"/>
        </w:tabs>
        <w:spacing w:after="40" w:line="240" w:lineRule="auto"/>
      </w:pPr>
      <w:r>
        <w:fldChar w:fldCharType="end"/>
      </w:r>
    </w:p>
    <w:p w14:paraId="132836BD" w14:textId="77777777" w:rsidR="003050AC" w:rsidRDefault="00000000">
      <w:r>
        <w:br w:type="page"/>
      </w:r>
    </w:p>
    <w:p w14:paraId="45D74B34" w14:textId="77777777" w:rsidR="000E784A" w:rsidRPr="000E784A" w:rsidRDefault="000E784A" w:rsidP="000E784A">
      <w:pPr>
        <w:pStyle w:val="Heading1"/>
      </w:pPr>
      <w:bookmarkStart w:id="0" w:name="_Toc234634946"/>
      <w:r w:rsidRPr="000E784A">
        <w:lastRenderedPageBreak/>
        <w:t>1. Introduction and Case Scope</w:t>
      </w:r>
      <w:bookmarkEnd w:id="0"/>
    </w:p>
    <w:p w14:paraId="6F6CD950" w14:textId="77777777" w:rsidR="000E784A" w:rsidRPr="000E784A" w:rsidRDefault="000E784A" w:rsidP="000E784A">
      <w:pPr>
        <w:rPr>
          <w:rFonts w:eastAsia="Arial"/>
        </w:rPr>
      </w:pPr>
      <w:r w:rsidRPr="000E784A">
        <w:rPr>
          <w:rFonts w:eastAsia="Arial"/>
        </w:rPr>
        <w:t xml:space="preserve">The assessment of Starbucks Corporation's viability to enter Bangladesh is based on publicly available information until 1 June 2026. No sign of its official store or company disclosures revealed that the company has a store or subsidiary in Bangladesh or a production facility, or any formal entry into the country. An indirect trade presence of imported Starbucks products would result from the isolated resale of these imported products, which would not be a controlled market presence. Bangladesh is a strategically important test case as it has a large, young and growing urban population, and is plagued by affordability, foreign-exchange, institutional and brand-perception risks. </w:t>
      </w:r>
      <w:proofErr w:type="gramStart"/>
      <w:r w:rsidRPr="000E784A">
        <w:rPr>
          <w:rFonts w:eastAsia="Arial"/>
        </w:rPr>
        <w:t>Thus</w:t>
      </w:r>
      <w:proofErr w:type="gramEnd"/>
      <w:r w:rsidRPr="000E784A">
        <w:rPr>
          <w:rFonts w:eastAsia="Arial"/>
        </w:rPr>
        <w:t xml:space="preserve"> it is not a question of whether or not there is demand for coffee, but whether Starbucks can develop a premium position to defend while avoiding a problematic cost structure (Starbucks Corporation, 2024; Starbucks Corporation, 2026).</w:t>
      </w:r>
    </w:p>
    <w:p w14:paraId="3DD9C095" w14:textId="77777777" w:rsidR="000E784A" w:rsidRPr="000E784A" w:rsidRDefault="000E784A" w:rsidP="000E784A">
      <w:pPr>
        <w:rPr>
          <w:rFonts w:eastAsia="Arial"/>
        </w:rPr>
      </w:pPr>
      <w:r w:rsidRPr="000E784A">
        <w:rPr>
          <w:rFonts w:eastAsia="Arial"/>
        </w:rPr>
        <w:t xml:space="preserve">The analysis assumes that the entry mode is the result of the strategy, host conditions and needs for governance. This is done by using Bartlett and Ghoshal's integration-responsiveness framework to determine the firm's international configuration and then </w:t>
      </w:r>
      <w:proofErr w:type="spellStart"/>
      <w:r w:rsidRPr="000E784A">
        <w:rPr>
          <w:rFonts w:eastAsia="Arial"/>
        </w:rPr>
        <w:t>synthesising</w:t>
      </w:r>
      <w:proofErr w:type="spellEnd"/>
      <w:r w:rsidRPr="000E784A">
        <w:rPr>
          <w:rFonts w:eastAsia="Arial"/>
        </w:rPr>
        <w:t xml:space="preserve"> the political, economic, legal and cultural evidence using Dunning's ownership-location-</w:t>
      </w:r>
      <w:proofErr w:type="spellStart"/>
      <w:r w:rsidRPr="000E784A">
        <w:rPr>
          <w:rFonts w:eastAsia="Arial"/>
        </w:rPr>
        <w:t>internalisation</w:t>
      </w:r>
      <w:proofErr w:type="spellEnd"/>
      <w:r w:rsidRPr="000E784A">
        <w:rPr>
          <w:rFonts w:eastAsia="Arial"/>
        </w:rPr>
        <w:t xml:space="preserve"> logic. The recommendation is for a minority equity licensed joint venture with a phased expansion depending on compliance, repeat demand and the store level economics and not an immediate national roll-out (Bartlett and Ghoshal, 1989; Dunning, 1988).</w:t>
      </w:r>
    </w:p>
    <w:p w14:paraId="65BDEAF8" w14:textId="77777777" w:rsidR="000E784A" w:rsidRPr="000E784A" w:rsidRDefault="000E784A" w:rsidP="000E784A">
      <w:pPr>
        <w:pStyle w:val="Heading1"/>
      </w:pPr>
      <w:bookmarkStart w:id="1" w:name="_Toc234634947"/>
      <w:r w:rsidRPr="000E784A">
        <w:t xml:space="preserve">2. </w:t>
      </w:r>
      <w:proofErr w:type="spellStart"/>
      <w:r w:rsidRPr="000E784A">
        <w:t>Organisational</w:t>
      </w:r>
      <w:proofErr w:type="spellEnd"/>
      <w:r w:rsidRPr="000E784A">
        <w:t xml:space="preserve"> Classification and Global Strategy</w:t>
      </w:r>
      <w:bookmarkEnd w:id="1"/>
    </w:p>
    <w:p w14:paraId="41EC19F0" w14:textId="77777777" w:rsidR="000E784A" w:rsidRPr="000E784A" w:rsidRDefault="000E784A" w:rsidP="000E784A">
      <w:pPr>
        <w:pStyle w:val="Heading2"/>
      </w:pPr>
      <w:bookmarkStart w:id="2" w:name="_Toc234634948"/>
      <w:r w:rsidRPr="000E784A">
        <w:t xml:space="preserve">2.1 Strategic </w:t>
      </w:r>
      <w:proofErr w:type="spellStart"/>
      <w:r w:rsidRPr="000E784A">
        <w:t>categorisation</w:t>
      </w:r>
      <w:bookmarkEnd w:id="2"/>
      <w:proofErr w:type="spellEnd"/>
    </w:p>
    <w:p w14:paraId="19ABF0F8" w14:textId="77777777" w:rsidR="000E784A" w:rsidRPr="000E784A" w:rsidRDefault="000E784A" w:rsidP="000E784A">
      <w:pPr>
        <w:rPr>
          <w:rFonts w:eastAsia="Arial"/>
        </w:rPr>
      </w:pPr>
      <w:r w:rsidRPr="000E784A">
        <w:rPr>
          <w:rFonts w:eastAsia="Arial"/>
        </w:rPr>
        <w:t xml:space="preserve">Starbucks is an example of a transnational firm that has a core that is integrated globally and interfaces with the market locally. Integration can be seen in the centrally protected trademarks, coffee standards, sourcing, roasting, equipment, training and store procedures and digital capabilities. Such common assets maintain a familiar customer promise, and generate scale economies which a loose multidomestic federation would not generate. Local responsiveness is still relevant as retail format, food, price and how to do things with properties and partners are </w:t>
      </w:r>
      <w:r w:rsidRPr="000E784A">
        <w:rPr>
          <w:rFonts w:eastAsia="Arial"/>
        </w:rPr>
        <w:lastRenderedPageBreak/>
        <w:t xml:space="preserve">different in the markets. Thus, it is more accurate to say that Starbucks is not just global, but </w:t>
      </w:r>
      <w:proofErr w:type="spellStart"/>
      <w:r w:rsidRPr="000E784A">
        <w:rPr>
          <w:rFonts w:eastAsia="Arial"/>
        </w:rPr>
        <w:t>standardised</w:t>
      </w:r>
      <w:proofErr w:type="spellEnd"/>
      <w:r w:rsidRPr="000E784A">
        <w:rPr>
          <w:rFonts w:eastAsia="Arial"/>
        </w:rPr>
        <w:t>, while consumption is local, and is part of local social routines and retail institutions (Bartlett and Ghoshal, 1989; Verbeke and Kano, 2016).</w:t>
      </w:r>
    </w:p>
    <w:p w14:paraId="74481955" w14:textId="77777777" w:rsidR="000E784A" w:rsidRPr="000E784A" w:rsidRDefault="000E784A" w:rsidP="000E784A">
      <w:pPr>
        <w:rPr>
          <w:rFonts w:eastAsia="Arial"/>
        </w:rPr>
      </w:pPr>
      <w:r w:rsidRPr="000E784A">
        <w:rPr>
          <w:rFonts w:eastAsia="Arial"/>
        </w:rPr>
        <w:t>The transnational label needs to be qualified, too. Not all subsidiaries are equal in terms of knowledge transfer and North America still has an over-arching influence on revenues and strategy. However, the market can be made to learn and change the system. The local meaning is integrated without losing the global identity in the community-specific stores' design and consumption spaces adapted to local conditions by Starbucks. The Starbucks in China study also showed how the coffeehouse was adapted by the consumers in the form of appropriation of space as a locally meaningful status and social space, as well as in the menu choices (Aiello and Dickinson, 2014; Venkatraman and Nelson, 2008).</w:t>
      </w:r>
    </w:p>
    <w:p w14:paraId="0D00B769" w14:textId="77777777" w:rsidR="000E784A" w:rsidRPr="000E784A" w:rsidRDefault="000E784A" w:rsidP="000E784A">
      <w:pPr>
        <w:pStyle w:val="Heading2"/>
      </w:pPr>
      <w:bookmarkStart w:id="3" w:name="_Toc234634949"/>
      <w:r w:rsidRPr="000E784A">
        <w:t>2.2 Global configuration and value creation</w:t>
      </w:r>
      <w:bookmarkEnd w:id="3"/>
    </w:p>
    <w:p w14:paraId="2A40FC3B" w14:textId="73559F27" w:rsidR="003050AC" w:rsidRDefault="000E784A" w:rsidP="000E784A">
      <w:r w:rsidRPr="000E784A">
        <w:rPr>
          <w:rFonts w:eastAsia="Arial"/>
        </w:rPr>
        <w:t>At 29 September 2024, Starbucks had 40,199 stores: 18,424 in North America and 21,775 internationally. The international operations were more partner driven, with 11,918 stores being licensed and 9,857 stores being company operated. The opposite trend was observed for North America. The hybrid model brings together control when scale and/or local infrastructure and support are warranted, and licensing where partners own the property and/or have local knowledge and capital. Revenue was lower with a higher operating margin in the licensed stores as the licensees invested in operating expenses and Starbucks received product margins, royalties and fees. So, as Figure 1 shows, it is not an inconsistent expansion of a portfolio of governance modes</w:t>
      </w:r>
      <w:r>
        <w:rPr>
          <w:rFonts w:eastAsia="Arial"/>
        </w:rPr>
        <w:t xml:space="preserve"> (Starbucks Corporation, 2024).</w:t>
      </w:r>
    </w:p>
    <w:p w14:paraId="1A19370E" w14:textId="77777777" w:rsidR="003050AC" w:rsidRDefault="00000000">
      <w:pPr>
        <w:keepNext/>
        <w:jc w:val="center"/>
      </w:pPr>
      <w:r>
        <w:rPr>
          <w:noProof/>
        </w:rPr>
        <w:lastRenderedPageBreak/>
        <w:drawing>
          <wp:inline distT="0" distB="0" distL="0" distR="0" wp14:anchorId="2F8E7817" wp14:editId="07A1DCC8">
            <wp:extent cx="5623560" cy="20806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bucks_store_mix.png"/>
                    <pic:cNvPicPr/>
                  </pic:nvPicPr>
                  <pic:blipFill>
                    <a:blip r:embed="rId9"/>
                    <a:stretch>
                      <a:fillRect/>
                    </a:stretch>
                  </pic:blipFill>
                  <pic:spPr>
                    <a:xfrm>
                      <a:off x="0" y="0"/>
                      <a:ext cx="5623560" cy="2080629"/>
                    </a:xfrm>
                    <a:prstGeom prst="rect">
                      <a:avLst/>
                    </a:prstGeom>
                  </pic:spPr>
                </pic:pic>
              </a:graphicData>
            </a:graphic>
          </wp:inline>
        </w:drawing>
      </w:r>
    </w:p>
    <w:p w14:paraId="5461E2D6" w14:textId="77777777" w:rsidR="003050AC" w:rsidRPr="000E784A" w:rsidRDefault="00000000" w:rsidP="000E784A">
      <w:pPr>
        <w:spacing w:after="0"/>
        <w:jc w:val="center"/>
        <w:rPr>
          <w:i/>
          <w:iCs/>
          <w:sz w:val="22"/>
          <w:szCs w:val="20"/>
        </w:rPr>
      </w:pPr>
      <w:r w:rsidRPr="000E784A">
        <w:rPr>
          <w:i/>
          <w:iCs/>
          <w:sz w:val="22"/>
          <w:szCs w:val="20"/>
        </w:rPr>
        <w:t>Figure 1. Starbucks store configuration by region and ownership mode</w:t>
      </w:r>
    </w:p>
    <w:p w14:paraId="4A4801E9" w14:textId="77777777" w:rsidR="003050AC" w:rsidRPr="000E784A" w:rsidRDefault="00000000" w:rsidP="000E784A">
      <w:pPr>
        <w:spacing w:after="0"/>
        <w:jc w:val="center"/>
        <w:rPr>
          <w:i/>
          <w:iCs/>
          <w:sz w:val="22"/>
          <w:szCs w:val="20"/>
        </w:rPr>
      </w:pPr>
      <w:r w:rsidRPr="000E784A">
        <w:rPr>
          <w:i/>
          <w:iCs/>
          <w:sz w:val="22"/>
          <w:szCs w:val="20"/>
        </w:rPr>
        <w:t>Source: Starbucks Corporation (2024).</w:t>
      </w:r>
    </w:p>
    <w:p w14:paraId="477E1D23" w14:textId="43AEA804" w:rsidR="003050AC" w:rsidRDefault="000E784A">
      <w:r w:rsidRPr="000E784A">
        <w:rPr>
          <w:rFonts w:eastAsia="Arial"/>
        </w:rPr>
        <w:t>Stores are not the only value creators, a network is. Starbucks has a significant influence over the coffee system, handling a large share of the coffee purchases, roasting and packaging for the stores, while the Nestle alliance will bring the Starbucks brand to retail outlets. Stores provide experience, customer data and habitual demand, global procurement and IP provide consistency and local licensees provide scarce locations and institutional access. The softness is in concentration</w:t>
      </w:r>
      <w:r>
        <w:rPr>
          <w:rFonts w:eastAsia="Arial"/>
        </w:rPr>
        <w:t xml:space="preserve"> </w:t>
      </w:r>
      <w:r w:rsidRPr="000E784A">
        <w:rPr>
          <w:rFonts w:eastAsia="Arial"/>
        </w:rPr>
        <w:t>North America accounted for 75 per cent of fiscal 2024 revenue, even as international markets edged out North America in the number of stores. International growth increases option value and royalty income, however currency exposure and differential unit economics and local competition can limit the growth of stores to be equal to the growth of profits</w:t>
      </w:r>
      <w:r>
        <w:rPr>
          <w:rFonts w:eastAsia="Arial"/>
        </w:rPr>
        <w:t xml:space="preserve"> (Starbucks Corporation, 2024).</w:t>
      </w:r>
    </w:p>
    <w:p w14:paraId="4C30AB38" w14:textId="77777777" w:rsidR="003050AC" w:rsidRDefault="00000000" w:rsidP="000E784A">
      <w:r w:rsidRPr="000E784A">
        <w:rPr>
          <w:b/>
          <w:bCs/>
        </w:rPr>
        <w:t>Table 1.</w:t>
      </w:r>
      <w:r>
        <w:t xml:space="preserve"> Global configuration and competitive value</w:t>
      </w:r>
    </w:p>
    <w:tbl>
      <w:tblPr>
        <w:tblStyle w:val="TableGrid"/>
        <w:tblW w:w="9029" w:type="dxa"/>
        <w:tblInd w:w="120" w:type="dxa"/>
        <w:tblBorders>
          <w:top w:val="single" w:sz="6" w:space="0" w:color="B9C5C0"/>
          <w:left w:val="single" w:sz="6" w:space="0" w:color="B9C5C0"/>
          <w:bottom w:val="single" w:sz="6" w:space="0" w:color="B9C5C0"/>
          <w:right w:val="single" w:sz="6" w:space="0" w:color="B9C5C0"/>
          <w:insideH w:val="single" w:sz="6" w:space="0" w:color="B9C5C0"/>
          <w:insideV w:val="single" w:sz="6" w:space="0" w:color="B9C5C0"/>
        </w:tblBorders>
        <w:tblLayout w:type="fixed"/>
        <w:tblLook w:val="04A0" w:firstRow="1" w:lastRow="0" w:firstColumn="1" w:lastColumn="0" w:noHBand="0" w:noVBand="1"/>
      </w:tblPr>
      <w:tblGrid>
        <w:gridCol w:w="1500"/>
        <w:gridCol w:w="2500"/>
        <w:gridCol w:w="2500"/>
        <w:gridCol w:w="2529"/>
      </w:tblGrid>
      <w:tr w:rsidR="003050AC" w14:paraId="7883FCB1" w14:textId="77777777">
        <w:trPr>
          <w:cantSplit/>
          <w:tblHeader/>
        </w:trPr>
        <w:tc>
          <w:tcPr>
            <w:tcW w:w="1500" w:type="dxa"/>
            <w:shd w:val="clear" w:color="auto" w:fill="1E3932"/>
            <w:tcMar>
              <w:top w:w="100" w:type="dxa"/>
              <w:left w:w="120" w:type="dxa"/>
              <w:bottom w:w="100" w:type="dxa"/>
              <w:right w:w="120" w:type="dxa"/>
            </w:tcMar>
            <w:vAlign w:val="center"/>
          </w:tcPr>
          <w:p w14:paraId="02256594" w14:textId="77777777" w:rsidR="003050AC" w:rsidRPr="000E784A" w:rsidRDefault="00000000" w:rsidP="000E784A">
            <w:pPr>
              <w:jc w:val="center"/>
              <w:rPr>
                <w:b/>
                <w:bCs/>
                <w:color w:val="FFFFFF" w:themeColor="background1"/>
              </w:rPr>
            </w:pPr>
            <w:r w:rsidRPr="000E784A">
              <w:rPr>
                <w:b/>
                <w:bCs/>
                <w:color w:val="FFFFFF" w:themeColor="background1"/>
              </w:rPr>
              <w:t>Configuration</w:t>
            </w:r>
          </w:p>
        </w:tc>
        <w:tc>
          <w:tcPr>
            <w:tcW w:w="2500" w:type="dxa"/>
            <w:shd w:val="clear" w:color="auto" w:fill="1E3932"/>
            <w:tcMar>
              <w:top w:w="100" w:type="dxa"/>
              <w:left w:w="120" w:type="dxa"/>
              <w:bottom w:w="100" w:type="dxa"/>
              <w:right w:w="120" w:type="dxa"/>
            </w:tcMar>
            <w:vAlign w:val="center"/>
          </w:tcPr>
          <w:p w14:paraId="6FB69742" w14:textId="77777777" w:rsidR="003050AC" w:rsidRPr="000E784A" w:rsidRDefault="00000000" w:rsidP="000E784A">
            <w:pPr>
              <w:jc w:val="center"/>
              <w:rPr>
                <w:b/>
                <w:bCs/>
                <w:color w:val="FFFFFF" w:themeColor="background1"/>
              </w:rPr>
            </w:pPr>
            <w:r w:rsidRPr="000E784A">
              <w:rPr>
                <w:b/>
                <w:bCs/>
                <w:color w:val="FFFFFF" w:themeColor="background1"/>
              </w:rPr>
              <w:t>Evidence</w:t>
            </w:r>
          </w:p>
        </w:tc>
        <w:tc>
          <w:tcPr>
            <w:tcW w:w="2500" w:type="dxa"/>
            <w:shd w:val="clear" w:color="auto" w:fill="1E3932"/>
            <w:tcMar>
              <w:top w:w="100" w:type="dxa"/>
              <w:left w:w="120" w:type="dxa"/>
              <w:bottom w:w="100" w:type="dxa"/>
              <w:right w:w="120" w:type="dxa"/>
            </w:tcMar>
            <w:vAlign w:val="center"/>
          </w:tcPr>
          <w:p w14:paraId="4AD5BD88" w14:textId="77777777" w:rsidR="003050AC" w:rsidRPr="000E784A" w:rsidRDefault="00000000" w:rsidP="000E784A">
            <w:pPr>
              <w:jc w:val="center"/>
              <w:rPr>
                <w:b/>
                <w:bCs/>
                <w:color w:val="FFFFFF" w:themeColor="background1"/>
              </w:rPr>
            </w:pPr>
            <w:r w:rsidRPr="000E784A">
              <w:rPr>
                <w:b/>
                <w:bCs/>
                <w:color w:val="FFFFFF" w:themeColor="background1"/>
              </w:rPr>
              <w:t>Value contribution</w:t>
            </w:r>
          </w:p>
        </w:tc>
        <w:tc>
          <w:tcPr>
            <w:tcW w:w="2529" w:type="dxa"/>
            <w:shd w:val="clear" w:color="auto" w:fill="1E3932"/>
            <w:tcMar>
              <w:top w:w="100" w:type="dxa"/>
              <w:left w:w="120" w:type="dxa"/>
              <w:bottom w:w="100" w:type="dxa"/>
              <w:right w:w="120" w:type="dxa"/>
            </w:tcMar>
            <w:vAlign w:val="center"/>
          </w:tcPr>
          <w:p w14:paraId="04D4F33C" w14:textId="77777777" w:rsidR="003050AC" w:rsidRPr="000E784A" w:rsidRDefault="00000000" w:rsidP="000E784A">
            <w:pPr>
              <w:jc w:val="center"/>
              <w:rPr>
                <w:b/>
                <w:bCs/>
                <w:color w:val="FFFFFF" w:themeColor="background1"/>
              </w:rPr>
            </w:pPr>
            <w:r w:rsidRPr="000E784A">
              <w:rPr>
                <w:b/>
                <w:bCs/>
                <w:color w:val="FFFFFF" w:themeColor="background1"/>
              </w:rPr>
              <w:t>Strategic tension</w:t>
            </w:r>
          </w:p>
        </w:tc>
      </w:tr>
      <w:tr w:rsidR="003050AC" w14:paraId="00945B63" w14:textId="77777777">
        <w:tc>
          <w:tcPr>
            <w:tcW w:w="1500" w:type="dxa"/>
          </w:tcPr>
          <w:p w14:paraId="7A81FF78" w14:textId="77777777" w:rsidR="003050AC" w:rsidRDefault="00000000" w:rsidP="000E784A">
            <w:r>
              <w:rPr>
                <w:rFonts w:eastAsia="Arial"/>
                <w:b/>
                <w:sz w:val="21"/>
              </w:rPr>
              <w:t>Brand core</w:t>
            </w:r>
          </w:p>
        </w:tc>
        <w:tc>
          <w:tcPr>
            <w:tcW w:w="2500" w:type="dxa"/>
          </w:tcPr>
          <w:p w14:paraId="68329175" w14:textId="77777777" w:rsidR="003050AC" w:rsidRDefault="00000000" w:rsidP="000E784A">
            <w:r>
              <w:rPr>
                <w:rFonts w:eastAsia="Arial"/>
                <w:sz w:val="21"/>
              </w:rPr>
              <w:t>Protected brand, recipes, equipment and operating routines</w:t>
            </w:r>
          </w:p>
        </w:tc>
        <w:tc>
          <w:tcPr>
            <w:tcW w:w="2500" w:type="dxa"/>
          </w:tcPr>
          <w:p w14:paraId="770320E0" w14:textId="77777777" w:rsidR="003050AC" w:rsidRDefault="00000000" w:rsidP="000E784A">
            <w:r>
              <w:rPr>
                <w:rFonts w:eastAsia="Arial"/>
                <w:sz w:val="21"/>
              </w:rPr>
              <w:t>Consistency, premium positioning and transferable know-how</w:t>
            </w:r>
          </w:p>
        </w:tc>
        <w:tc>
          <w:tcPr>
            <w:tcW w:w="2529" w:type="dxa"/>
          </w:tcPr>
          <w:p w14:paraId="4E111661" w14:textId="77777777" w:rsidR="003050AC" w:rsidRDefault="00000000" w:rsidP="000E784A">
            <w:r>
              <w:rPr>
                <w:rFonts w:eastAsia="Arial"/>
                <w:sz w:val="21"/>
              </w:rPr>
              <w:t xml:space="preserve">Excess </w:t>
            </w:r>
            <w:proofErr w:type="spellStart"/>
            <w:r>
              <w:rPr>
                <w:rFonts w:eastAsia="Arial"/>
                <w:sz w:val="21"/>
              </w:rPr>
              <w:t>standardisation</w:t>
            </w:r>
            <w:proofErr w:type="spellEnd"/>
            <w:r>
              <w:rPr>
                <w:rFonts w:eastAsia="Arial"/>
                <w:sz w:val="21"/>
              </w:rPr>
              <w:t xml:space="preserve"> may weaken local relevance</w:t>
            </w:r>
          </w:p>
        </w:tc>
      </w:tr>
      <w:tr w:rsidR="003050AC" w14:paraId="5758D0C6" w14:textId="77777777">
        <w:tc>
          <w:tcPr>
            <w:tcW w:w="1500" w:type="dxa"/>
            <w:shd w:val="clear" w:color="auto" w:fill="F2F4F3"/>
          </w:tcPr>
          <w:p w14:paraId="568297C4" w14:textId="77777777" w:rsidR="003050AC" w:rsidRDefault="00000000" w:rsidP="000E784A">
            <w:r>
              <w:rPr>
                <w:rFonts w:eastAsia="Arial"/>
                <w:b/>
                <w:sz w:val="21"/>
              </w:rPr>
              <w:t>Supply network</w:t>
            </w:r>
          </w:p>
        </w:tc>
        <w:tc>
          <w:tcPr>
            <w:tcW w:w="2500" w:type="dxa"/>
            <w:shd w:val="clear" w:color="auto" w:fill="F2F4F3"/>
          </w:tcPr>
          <w:p w14:paraId="6B0519E3" w14:textId="77777777" w:rsidR="003050AC" w:rsidRDefault="00000000" w:rsidP="000E784A">
            <w:r>
              <w:rPr>
                <w:rFonts w:eastAsia="Arial"/>
                <w:sz w:val="21"/>
              </w:rPr>
              <w:t>Central coffee sourcing, roasting and distribution control</w:t>
            </w:r>
          </w:p>
        </w:tc>
        <w:tc>
          <w:tcPr>
            <w:tcW w:w="2500" w:type="dxa"/>
            <w:shd w:val="clear" w:color="auto" w:fill="F2F4F3"/>
          </w:tcPr>
          <w:p w14:paraId="3DBEFD0C" w14:textId="77777777" w:rsidR="003050AC" w:rsidRDefault="00000000" w:rsidP="000E784A">
            <w:r>
              <w:rPr>
                <w:rFonts w:eastAsia="Arial"/>
                <w:sz w:val="21"/>
              </w:rPr>
              <w:t>Quality assurance and purchasing scale</w:t>
            </w:r>
          </w:p>
        </w:tc>
        <w:tc>
          <w:tcPr>
            <w:tcW w:w="2529" w:type="dxa"/>
            <w:shd w:val="clear" w:color="auto" w:fill="F2F4F3"/>
          </w:tcPr>
          <w:p w14:paraId="62FE7845" w14:textId="77777777" w:rsidR="003050AC" w:rsidRDefault="00000000" w:rsidP="000E784A">
            <w:r>
              <w:rPr>
                <w:rFonts w:eastAsia="Arial"/>
                <w:sz w:val="21"/>
              </w:rPr>
              <w:t>Commodity, freight and exchange-rate exposure</w:t>
            </w:r>
          </w:p>
        </w:tc>
      </w:tr>
      <w:tr w:rsidR="003050AC" w14:paraId="15B9C4F7" w14:textId="77777777">
        <w:tc>
          <w:tcPr>
            <w:tcW w:w="1500" w:type="dxa"/>
          </w:tcPr>
          <w:p w14:paraId="054E1061" w14:textId="77777777" w:rsidR="003050AC" w:rsidRDefault="00000000" w:rsidP="000E784A">
            <w:r>
              <w:rPr>
                <w:rFonts w:eastAsia="Arial"/>
                <w:b/>
                <w:sz w:val="21"/>
              </w:rPr>
              <w:t xml:space="preserve">Owned </w:t>
            </w:r>
            <w:r>
              <w:rPr>
                <w:rFonts w:eastAsia="Arial"/>
                <w:b/>
                <w:sz w:val="21"/>
              </w:rPr>
              <w:lastRenderedPageBreak/>
              <w:t>stores</w:t>
            </w:r>
          </w:p>
        </w:tc>
        <w:tc>
          <w:tcPr>
            <w:tcW w:w="2500" w:type="dxa"/>
          </w:tcPr>
          <w:p w14:paraId="1ED7018D" w14:textId="77777777" w:rsidR="003050AC" w:rsidRDefault="00000000" w:rsidP="000E784A">
            <w:r>
              <w:rPr>
                <w:rFonts w:eastAsia="Arial"/>
                <w:sz w:val="21"/>
              </w:rPr>
              <w:lastRenderedPageBreak/>
              <w:t xml:space="preserve">21,018 stores globally in </w:t>
            </w:r>
            <w:r>
              <w:rPr>
                <w:rFonts w:eastAsia="Arial"/>
                <w:sz w:val="21"/>
              </w:rPr>
              <w:lastRenderedPageBreak/>
              <w:t>FY2024</w:t>
            </w:r>
          </w:p>
        </w:tc>
        <w:tc>
          <w:tcPr>
            <w:tcW w:w="2500" w:type="dxa"/>
          </w:tcPr>
          <w:p w14:paraId="39634D6C" w14:textId="77777777" w:rsidR="003050AC" w:rsidRDefault="00000000" w:rsidP="000E784A">
            <w:r>
              <w:rPr>
                <w:rFonts w:eastAsia="Arial"/>
                <w:sz w:val="21"/>
              </w:rPr>
              <w:lastRenderedPageBreak/>
              <w:t xml:space="preserve">Direct experience control, data and full </w:t>
            </w:r>
            <w:r>
              <w:rPr>
                <w:rFonts w:eastAsia="Arial"/>
                <w:sz w:val="21"/>
              </w:rPr>
              <w:lastRenderedPageBreak/>
              <w:t>retail margin</w:t>
            </w:r>
          </w:p>
        </w:tc>
        <w:tc>
          <w:tcPr>
            <w:tcW w:w="2529" w:type="dxa"/>
          </w:tcPr>
          <w:p w14:paraId="319E01DA" w14:textId="77777777" w:rsidR="003050AC" w:rsidRDefault="00000000" w:rsidP="000E784A">
            <w:r>
              <w:rPr>
                <w:rFonts w:eastAsia="Arial"/>
                <w:sz w:val="21"/>
              </w:rPr>
              <w:lastRenderedPageBreak/>
              <w:t xml:space="preserve">High capital and fixed </w:t>
            </w:r>
            <w:r>
              <w:rPr>
                <w:rFonts w:eastAsia="Arial"/>
                <w:sz w:val="21"/>
              </w:rPr>
              <w:lastRenderedPageBreak/>
              <w:t>operating risk</w:t>
            </w:r>
          </w:p>
        </w:tc>
      </w:tr>
      <w:tr w:rsidR="003050AC" w14:paraId="2C916BA4" w14:textId="77777777">
        <w:tc>
          <w:tcPr>
            <w:tcW w:w="1500" w:type="dxa"/>
            <w:shd w:val="clear" w:color="auto" w:fill="F2F4F3"/>
          </w:tcPr>
          <w:p w14:paraId="12C5F71F" w14:textId="77777777" w:rsidR="003050AC" w:rsidRDefault="00000000" w:rsidP="000E784A">
            <w:r>
              <w:rPr>
                <w:rFonts w:eastAsia="Arial"/>
                <w:b/>
                <w:sz w:val="21"/>
              </w:rPr>
              <w:lastRenderedPageBreak/>
              <w:t>Licensed stores</w:t>
            </w:r>
          </w:p>
        </w:tc>
        <w:tc>
          <w:tcPr>
            <w:tcW w:w="2500" w:type="dxa"/>
            <w:shd w:val="clear" w:color="auto" w:fill="F2F4F3"/>
          </w:tcPr>
          <w:p w14:paraId="4FA62D5D" w14:textId="77777777" w:rsidR="003050AC" w:rsidRDefault="00000000" w:rsidP="000E784A">
            <w:r>
              <w:rPr>
                <w:rFonts w:eastAsia="Arial"/>
                <w:sz w:val="21"/>
              </w:rPr>
              <w:t>19,181 stores globally; 55% of international estate</w:t>
            </w:r>
          </w:p>
        </w:tc>
        <w:tc>
          <w:tcPr>
            <w:tcW w:w="2500" w:type="dxa"/>
            <w:shd w:val="clear" w:color="auto" w:fill="F2F4F3"/>
          </w:tcPr>
          <w:p w14:paraId="35271F1B" w14:textId="77777777" w:rsidR="003050AC" w:rsidRDefault="00000000" w:rsidP="000E784A">
            <w:r>
              <w:rPr>
                <w:rFonts w:eastAsia="Arial"/>
                <w:sz w:val="21"/>
              </w:rPr>
              <w:t>Local access, faster growth and capital efficiency</w:t>
            </w:r>
          </w:p>
        </w:tc>
        <w:tc>
          <w:tcPr>
            <w:tcW w:w="2529" w:type="dxa"/>
            <w:shd w:val="clear" w:color="auto" w:fill="F2F4F3"/>
          </w:tcPr>
          <w:p w14:paraId="38E10BE0" w14:textId="77777777" w:rsidR="003050AC" w:rsidRDefault="00000000" w:rsidP="000E784A">
            <w:r>
              <w:rPr>
                <w:rFonts w:eastAsia="Arial"/>
                <w:sz w:val="21"/>
              </w:rPr>
              <w:t>Partner dependence and quality leakage risk</w:t>
            </w:r>
          </w:p>
        </w:tc>
      </w:tr>
    </w:tbl>
    <w:p w14:paraId="61DB2F32" w14:textId="77777777" w:rsidR="003050AC" w:rsidRPr="000E784A" w:rsidRDefault="00000000" w:rsidP="000E784A">
      <w:pPr>
        <w:rPr>
          <w:i/>
          <w:iCs/>
          <w:sz w:val="22"/>
          <w:szCs w:val="20"/>
        </w:rPr>
      </w:pPr>
      <w:r w:rsidRPr="000E784A">
        <w:rPr>
          <w:i/>
          <w:iCs/>
          <w:sz w:val="22"/>
          <w:szCs w:val="20"/>
        </w:rPr>
        <w:t xml:space="preserve">Source: </w:t>
      </w:r>
      <w:proofErr w:type="spellStart"/>
      <w:r w:rsidRPr="000E784A">
        <w:rPr>
          <w:i/>
          <w:iCs/>
          <w:sz w:val="22"/>
          <w:szCs w:val="20"/>
        </w:rPr>
        <w:t>Synthesised</w:t>
      </w:r>
      <w:proofErr w:type="spellEnd"/>
      <w:r w:rsidRPr="000E784A">
        <w:rPr>
          <w:i/>
          <w:iCs/>
          <w:sz w:val="22"/>
          <w:szCs w:val="20"/>
        </w:rPr>
        <w:t xml:space="preserve"> from Starbucks Corporation (2024), Thompson and </w:t>
      </w:r>
      <w:proofErr w:type="spellStart"/>
      <w:r w:rsidRPr="000E784A">
        <w:rPr>
          <w:i/>
          <w:iCs/>
          <w:sz w:val="22"/>
          <w:szCs w:val="20"/>
        </w:rPr>
        <w:t>Arsel</w:t>
      </w:r>
      <w:proofErr w:type="spellEnd"/>
      <w:r w:rsidRPr="000E784A">
        <w:rPr>
          <w:i/>
          <w:iCs/>
          <w:sz w:val="22"/>
          <w:szCs w:val="20"/>
        </w:rPr>
        <w:t xml:space="preserve"> (2004) and Zaheer (1995).</w:t>
      </w:r>
    </w:p>
    <w:p w14:paraId="30AE68FB" w14:textId="77777777" w:rsidR="003050AC" w:rsidRDefault="00000000">
      <w:pPr>
        <w:pStyle w:val="Heading1"/>
        <w:jc w:val="left"/>
      </w:pPr>
      <w:bookmarkStart w:id="4" w:name="_Toc234634950"/>
      <w:r>
        <w:rPr>
          <w:rFonts w:eastAsia="Arial"/>
        </w:rPr>
        <w:t>3. Macro-Environmental Appraisal and Market Attractiveness</w:t>
      </w:r>
      <w:bookmarkEnd w:id="4"/>
    </w:p>
    <w:p w14:paraId="2DFE3A87" w14:textId="77777777" w:rsidR="003050AC" w:rsidRDefault="00000000">
      <w:pPr>
        <w:pStyle w:val="Heading2"/>
        <w:jc w:val="left"/>
      </w:pPr>
      <w:bookmarkStart w:id="5" w:name="_Toc234634951"/>
      <w:r>
        <w:rPr>
          <w:rFonts w:eastAsia="Arial"/>
          <w:sz w:val="26"/>
        </w:rPr>
        <w:t>3.1 Political and institutional conditions</w:t>
      </w:r>
      <w:bookmarkEnd w:id="5"/>
    </w:p>
    <w:p w14:paraId="01BEE7A5" w14:textId="77777777" w:rsidR="000E784A" w:rsidRPr="000E784A" w:rsidRDefault="000E784A" w:rsidP="000E784A">
      <w:pPr>
        <w:rPr>
          <w:rFonts w:eastAsia="Arial"/>
        </w:rPr>
      </w:pPr>
      <w:r w:rsidRPr="000E784A">
        <w:rPr>
          <w:rFonts w:eastAsia="Arial"/>
        </w:rPr>
        <w:t>In 2026, Bangladesh has started with a number of institutional changes and political disruptions. While the election might have alleviated some of the short-term uncertainty, the World Bank's warnings on the need for continued stability and rapid structural reforms remain in force. Demonstrations and sudden administrative decisions and turmoil during politically sensitive times would pose a risk to Starbucks. A coffeehouse network is vulnerable due to the visibility of stores, the urban context and the regular operating hours, the use of imported inputs and the mobility of the people working in the stores. Entry should also be made reversible – two pilot sites plus contractual guarantees against extended periods of force majeure – as opposed to a large sunk investment (World Bank 2026).</w:t>
      </w:r>
    </w:p>
    <w:p w14:paraId="13C95B0B" w14:textId="77777777" w:rsidR="000E784A" w:rsidRPr="000E784A" w:rsidRDefault="000E784A" w:rsidP="000E784A">
      <w:pPr>
        <w:rPr>
          <w:rFonts w:eastAsia="Arial"/>
        </w:rPr>
      </w:pPr>
      <w:r w:rsidRPr="000E784A">
        <w:rPr>
          <w:rFonts w:eastAsia="Arial"/>
        </w:rPr>
        <w:t xml:space="preserve">A second worry is integrity within administration. Bangladesh earned 24/100 points and came out at 150th position among the 182 jurisdictions in the Corruption Perceptions Index 2025 (CPI). The index is not an indicator of misconduct for a particular </w:t>
      </w:r>
      <w:proofErr w:type="spellStart"/>
      <w:r w:rsidRPr="000E784A">
        <w:rPr>
          <w:rFonts w:eastAsia="Arial"/>
        </w:rPr>
        <w:t>licence</w:t>
      </w:r>
      <w:proofErr w:type="spellEnd"/>
      <w:r w:rsidRPr="000E784A">
        <w:rPr>
          <w:rFonts w:eastAsia="Arial"/>
        </w:rPr>
        <w:t>, but is an indicator of increased exposure in the areas of permits, customs, leases and inspections. Informal facilitation can be particularly damaging for Starbucks, in view of its reputation. Therefore, dual sign-off for government interactions, beneficial-ownership checks for agents, no-cash policy which is auditable and entry conditions such as central approval registers should be considered (Transparency International, 2026).</w:t>
      </w:r>
    </w:p>
    <w:p w14:paraId="2EB66E05" w14:textId="77777777" w:rsidR="000E784A" w:rsidRPr="000E784A" w:rsidRDefault="000E784A" w:rsidP="000E784A">
      <w:pPr>
        <w:rPr>
          <w:rFonts w:eastAsia="Arial"/>
        </w:rPr>
      </w:pPr>
      <w:r w:rsidRPr="000E784A">
        <w:rPr>
          <w:rFonts w:eastAsia="Arial"/>
        </w:rPr>
        <w:lastRenderedPageBreak/>
        <w:t>The government's policy is a policy "in search for investment. One-stop registration, foreign and joint-venture projects and visas and regulatory facilitation is promoted by BIDA. However, the performance of the promotion shouldn't be confused with the execution quality. The separation between declarative access and application creates a significant value for a good local partner, at the same time, it means the brand, legal and tax matters will need to be monitored first-hand by Starbucks. A local partner should not become a platform for say politics (Bangladesh Investment Development Authority, 2025a), rather minimize the information cost.</w:t>
      </w:r>
    </w:p>
    <w:p w14:paraId="27A78910" w14:textId="77777777" w:rsidR="000E784A" w:rsidRPr="000E784A" w:rsidRDefault="000E784A" w:rsidP="000E784A">
      <w:pPr>
        <w:rPr>
          <w:rFonts w:eastAsia="Arial"/>
        </w:rPr>
      </w:pPr>
      <w:r w:rsidRPr="000E784A">
        <w:rPr>
          <w:rFonts w:eastAsia="Arial"/>
        </w:rPr>
        <w:t>Geopolitical ‘brand spillovers' have an unusually tangible character. Boycotts tied to the Gaza conflict impacted Starbucks' franchise business in the Middle East that is run by Alshaya, but did not necessarily mean that this translated into consumer boycotts. There is a strong social media and the majority of the Bangladeshi population is Muslim, so it is likely that if similar beliefs spread among the population, they could spread quickly. Monitoring of local sentiment and communication with the local community in a way that is credible to them needs to precede market entry, covering aspects of ownership, employment, sourcing &amp; community investment. Political ads or over-stating the ‘threat to democracy' increases, not decreases, the threat (Reuters, 2024; Bangladesh Bureau of Statistics, 2023).</w:t>
      </w:r>
    </w:p>
    <w:p w14:paraId="6141FD15" w14:textId="77777777" w:rsidR="000E784A" w:rsidRPr="000E784A" w:rsidRDefault="000E784A" w:rsidP="000E784A">
      <w:pPr>
        <w:pStyle w:val="Heading2"/>
      </w:pPr>
      <w:bookmarkStart w:id="6" w:name="_Toc234634952"/>
      <w:r w:rsidRPr="000E784A">
        <w:t>3.2 Economic and commercial conditions</w:t>
      </w:r>
      <w:bookmarkEnd w:id="6"/>
    </w:p>
    <w:p w14:paraId="3B96F967" w14:textId="77777777" w:rsidR="000E784A" w:rsidRPr="000E784A" w:rsidRDefault="000E784A" w:rsidP="000E784A">
      <w:pPr>
        <w:rPr>
          <w:rFonts w:eastAsia="Arial"/>
        </w:rPr>
      </w:pPr>
      <w:r w:rsidRPr="000E784A">
        <w:rPr>
          <w:rFonts w:eastAsia="Arial"/>
        </w:rPr>
        <w:t xml:space="preserve">Structural demand case is very important but it is focused. BIDA's median age is 26 and there are an estimated 34 million middle and affluent urban consumers; the IFC estimates that the urban population increases by around 2 million per year. These numbers validate a Dhaka-first approach to the internationally exposed professionals, students, well-heeled families and visitors than a mass-market offer for the country. While high market demand is one measure, a large national population is insufficient as well-being prior to its actual consumption is a key determinant of demand for premium </w:t>
      </w:r>
      <w:proofErr w:type="spellStart"/>
      <w:r w:rsidRPr="000E784A">
        <w:rPr>
          <w:rFonts w:eastAsia="Arial"/>
        </w:rPr>
        <w:t>cae</w:t>
      </w:r>
      <w:proofErr w:type="spellEnd"/>
      <w:r w:rsidRPr="000E784A">
        <w:rPr>
          <w:rFonts w:eastAsia="Arial"/>
        </w:rPr>
        <w:t>; the willingness to pay for experience in addition to the beverage product; and suitable commercial location (Bangladesh Investment Development Authority, 2025a; International Finance Corporation, 2025).</w:t>
      </w:r>
    </w:p>
    <w:p w14:paraId="29EAB80A" w14:textId="77777777" w:rsidR="000E784A" w:rsidRPr="000E784A" w:rsidRDefault="000E784A" w:rsidP="000E784A">
      <w:pPr>
        <w:rPr>
          <w:rFonts w:eastAsia="Arial"/>
        </w:rPr>
      </w:pPr>
      <w:r w:rsidRPr="000E784A">
        <w:rPr>
          <w:rFonts w:eastAsia="Arial"/>
        </w:rPr>
        <w:t xml:space="preserve">The primary constraint is the purchasing power in the near term. Bangladesh Development Update (Boutme-2026) in April 2026 forecast inflation at 8.5 per cent and increase in poverty to 21.4 per cent in 2025 with a very low growth rate of 3.9 </w:t>
      </w:r>
      <w:r w:rsidRPr="000E784A">
        <w:rPr>
          <w:rFonts w:eastAsia="Arial"/>
        </w:rPr>
        <w:lastRenderedPageBreak/>
        <w:t xml:space="preserve">per cent in FY26. Foreign exchange buffers were low and the non-performing loan ratio of the banking system amounted to 30.6 per cent in December 2025. A dollar-based cost base, together with taka revenues, could squeeze margins especially as the consumers are unwilling to accept higher prices. Hence, Starbucks ought to adopt the smaller, </w:t>
      </w:r>
      <w:proofErr w:type="spellStart"/>
      <w:r w:rsidRPr="000E784A">
        <w:rPr>
          <w:rFonts w:eastAsia="Arial"/>
        </w:rPr>
        <w:t>localised</w:t>
      </w:r>
      <w:proofErr w:type="spellEnd"/>
      <w:r w:rsidRPr="000E784A">
        <w:rPr>
          <w:rFonts w:eastAsia="Arial"/>
        </w:rPr>
        <w:t>-priced menu, their stores' disciplined footprints and quarterly exchange-rate stress tests (World Bank, 2026).</w:t>
      </w:r>
    </w:p>
    <w:p w14:paraId="2CA32662" w14:textId="77777777" w:rsidR="000E784A" w:rsidRPr="000E784A" w:rsidRDefault="000E784A" w:rsidP="000E784A">
      <w:pPr>
        <w:rPr>
          <w:rFonts w:eastAsia="Arial"/>
        </w:rPr>
      </w:pPr>
      <w:r w:rsidRPr="000E784A">
        <w:rPr>
          <w:rFonts w:eastAsia="Arial"/>
        </w:rPr>
        <w:t xml:space="preserve">As witnessed in </w:t>
      </w:r>
      <w:proofErr w:type="spellStart"/>
      <w:r w:rsidRPr="000E784A">
        <w:rPr>
          <w:rFonts w:eastAsia="Arial"/>
        </w:rPr>
        <w:t>neighbouring</w:t>
      </w:r>
      <w:proofErr w:type="spellEnd"/>
      <w:r w:rsidRPr="000E784A">
        <w:rPr>
          <w:rFonts w:eastAsia="Arial"/>
        </w:rPr>
        <w:t xml:space="preserve"> India, it is not wise to connect growth with profit. While Tata Starbucks reported losses increasing significantly in FY25 due to costs of growth exceeding the revenues, the sales were up by approximately 5 per cent. The average purchasing power and existence of premium coffee is lower in Bangladesh than in India also there is no such a size of shops like in India, which is risky to replicate the price in India. What matters in the context of the relevant lesson isn't that there's something wrong with the concept of premium coffee, but rather that growth should come based on established contribution economics, and repeat </w:t>
      </w:r>
      <w:proofErr w:type="spellStart"/>
      <w:proofErr w:type="gramStart"/>
      <w:r w:rsidRPr="000E784A">
        <w:rPr>
          <w:rFonts w:eastAsia="Arial"/>
        </w:rPr>
        <w:t>demand.The</w:t>
      </w:r>
      <w:proofErr w:type="spellEnd"/>
      <w:proofErr w:type="gramEnd"/>
      <w:r w:rsidRPr="000E784A">
        <w:rPr>
          <w:rFonts w:eastAsia="Arial"/>
        </w:rPr>
        <w:t xml:space="preserve"> lesson isn't that there's something wrong with the idea of premium coffee but it's growth should be based on verified contribution economics and repeat demand (Economic Times, 2025).</w:t>
      </w:r>
    </w:p>
    <w:p w14:paraId="0A0453C6" w14:textId="77777777" w:rsidR="000E784A" w:rsidRPr="000E784A" w:rsidRDefault="000E784A" w:rsidP="000E784A">
      <w:pPr>
        <w:rPr>
          <w:rFonts w:eastAsia="Arial"/>
        </w:rPr>
      </w:pPr>
      <w:r w:rsidRPr="000E784A">
        <w:rPr>
          <w:rFonts w:eastAsia="Arial"/>
        </w:rPr>
        <w:t xml:space="preserve">Selective </w:t>
      </w:r>
      <w:proofErr w:type="spellStart"/>
      <w:r w:rsidRPr="000E784A">
        <w:rPr>
          <w:rFonts w:eastAsia="Arial"/>
        </w:rPr>
        <w:t>localisation</w:t>
      </w:r>
      <w:proofErr w:type="spellEnd"/>
      <w:r w:rsidRPr="000E784A">
        <w:rPr>
          <w:rFonts w:eastAsia="Arial"/>
        </w:rPr>
        <w:t xml:space="preserve"> is using the laws of supply and demand. Starbucks' system is normally in charge of the purchasing, roasting and distribution of the coffee, ensuring taste and the ethical sourcing of coffee. However, there are good local roasters and food-service providers in Bangladesh. North End said that besides importing Arabica beans quality, they roast around six </w:t>
      </w:r>
      <w:proofErr w:type="spellStart"/>
      <w:r w:rsidRPr="000E784A">
        <w:rPr>
          <w:rFonts w:eastAsia="Arial"/>
        </w:rPr>
        <w:t>tonnes</w:t>
      </w:r>
      <w:proofErr w:type="spellEnd"/>
      <w:r w:rsidRPr="000E784A">
        <w:rPr>
          <w:rFonts w:eastAsia="Arial"/>
        </w:rPr>
        <w:t xml:space="preserve"> per month, and sell to high end cafes and hotels; they even purchase minimal amounts of coffee grown locally. Starbucks should implement initial supply of approved coffee via the regional system; supply of milk, bakery ingredients, tea, and packaging and selected ingredients locally based on audited specifications. However, for local coffee to be considered a seasonal limited product, it needs to be validated in terms of agronomic, quality and quantity (Starbucks Corporation, 2024; Kanya, 2021).</w:t>
      </w:r>
    </w:p>
    <w:p w14:paraId="630E820F" w14:textId="77777777" w:rsidR="000E784A" w:rsidRPr="000E784A" w:rsidRDefault="000E784A" w:rsidP="000E784A">
      <w:pPr>
        <w:rPr>
          <w:rFonts w:eastAsia="Arial"/>
        </w:rPr>
      </w:pPr>
      <w:r w:rsidRPr="000E784A">
        <w:rPr>
          <w:rFonts w:eastAsia="Arial"/>
        </w:rPr>
        <w:t xml:space="preserve">Whilst it is a true ‘place advantage’ digital capability is not automatic. DFS adoption is on the rise and mobile payments can be used to facilitate app-based loyalty and delivery and demand analysis. But, the lack of integration in the payment rails, inconsistent customer data and emerging regulations add up integration and privacy expenses. The pilot should allow the pilot to accept major local wallets and cards via </w:t>
      </w:r>
      <w:r w:rsidRPr="000E784A">
        <w:rPr>
          <w:rFonts w:eastAsia="Arial"/>
        </w:rPr>
        <w:lastRenderedPageBreak/>
        <w:t>the partner compliant infrastructure; introduction of global loyalty platform – only after consent, and the cybersecurity and data-transfer controls have been verified (International Finance Corporation, 2025).</w:t>
      </w:r>
    </w:p>
    <w:p w14:paraId="3EA05CF4" w14:textId="77777777" w:rsidR="000E784A" w:rsidRPr="000E784A" w:rsidRDefault="000E784A" w:rsidP="000E784A">
      <w:pPr>
        <w:pStyle w:val="Heading2"/>
      </w:pPr>
      <w:bookmarkStart w:id="7" w:name="_Toc234634953"/>
      <w:r w:rsidRPr="000E784A">
        <w:t>3.3 Legal and regulatory conditions</w:t>
      </w:r>
      <w:bookmarkEnd w:id="7"/>
    </w:p>
    <w:p w14:paraId="291ADEE0" w14:textId="77777777" w:rsidR="000E784A" w:rsidRPr="000E784A" w:rsidRDefault="000E784A" w:rsidP="000E784A">
      <w:pPr>
        <w:rPr>
          <w:rFonts w:eastAsia="Arial"/>
        </w:rPr>
      </w:pPr>
      <w:r w:rsidRPr="000E784A">
        <w:rPr>
          <w:rFonts w:eastAsia="Arial"/>
        </w:rPr>
        <w:t xml:space="preserve">There is no equity restriction which compels a partner-based entry in Bangladesh as both 100% foreign investment and joint ventures are allowed. The level of permissions stays as is. The documents needed to incorporate BIDA include incorporation documents, a trade </w:t>
      </w:r>
      <w:proofErr w:type="spellStart"/>
      <w:r w:rsidRPr="000E784A">
        <w:rPr>
          <w:rFonts w:eastAsia="Arial"/>
        </w:rPr>
        <w:t>licence</w:t>
      </w:r>
      <w:proofErr w:type="spellEnd"/>
      <w:r w:rsidRPr="000E784A">
        <w:rPr>
          <w:rFonts w:eastAsia="Arial"/>
        </w:rPr>
        <w:t>, premises documentation, sectoral clearance (if applicable) and tax identification. In addition to the interface in the one-stop portal, there are multiple interfaces such as import registration, fire local approval and environmental local approval, work permits and local-authority permissions. There is thus an open opportunity in the legal context and a need for coordination between agencies and renewal cycles, as stated by the Bangladesh Investment Development Authority 2025b.</w:t>
      </w:r>
    </w:p>
    <w:p w14:paraId="06E4EFE0" w14:textId="65DB9B08" w:rsidR="000E784A" w:rsidRPr="000E784A" w:rsidRDefault="000E784A" w:rsidP="000E784A">
      <w:pPr>
        <w:rPr>
          <w:rFonts w:eastAsia="Arial"/>
        </w:rPr>
      </w:pPr>
      <w:r w:rsidRPr="000E784A">
        <w:rPr>
          <w:rFonts w:eastAsia="Arial"/>
        </w:rPr>
        <w:t xml:space="preserve">Particular attention is needed on the remittances of the franchises and royalties. In BIDA's published process, they require the technology-transfer/franchise agreement, audited account, tax clearance and invoice and proof of local trademark, all signatories of which must be for remittance. A pure master </w:t>
      </w:r>
      <w:proofErr w:type="spellStart"/>
      <w:r w:rsidRPr="000E784A">
        <w:rPr>
          <w:rFonts w:eastAsia="Arial"/>
        </w:rPr>
        <w:t>licence</w:t>
      </w:r>
      <w:proofErr w:type="spellEnd"/>
      <w:r w:rsidRPr="000E784A">
        <w:rPr>
          <w:rFonts w:eastAsia="Arial"/>
        </w:rPr>
        <w:t xml:space="preserve"> would minimize the capital risk of Starbucks, but the risk of foreign exchange and approval of the product cannot be eliminated as product payment and fees have to go out of Bangladesh. Taking advantage of the fact that the taka is a royalty, the payment of which can be deferred rather than defaulted if currency conversion is temporarily limited, the joint venture should have a royalty reserve in taka, pre-agreed transfer documentation and a contractual mechanism to defer rather than default when currency conversion is temporarily constrained (Bangladesh Investment Development Authority, 2025b).</w:t>
      </w:r>
    </w:p>
    <w:p w14:paraId="17D31635" w14:textId="77777777" w:rsidR="000E784A" w:rsidRPr="000E784A" w:rsidRDefault="000E784A" w:rsidP="000E784A">
      <w:pPr>
        <w:rPr>
          <w:rFonts w:eastAsia="Arial"/>
        </w:rPr>
      </w:pPr>
      <w:r w:rsidRPr="000E784A">
        <w:rPr>
          <w:rFonts w:eastAsia="Arial"/>
        </w:rPr>
        <w:t xml:space="preserve">Food and consumers compliance and hence brand promise. The Food Safety Act 2013 provides for national control of unsafe and adulterated food and the consumer law has provisions against deceptive pricing, quality or promotional practices. In addition to this, the Starbucks company would have to register several other trademarks, comply with employment laws, have traceable suppliers, control allergens, ensure fire safety and always keep records of the VAT. These obligations </w:t>
      </w:r>
      <w:r w:rsidRPr="000E784A">
        <w:rPr>
          <w:rFonts w:eastAsia="Arial"/>
        </w:rPr>
        <w:lastRenderedPageBreak/>
        <w:t xml:space="preserve">can be best </w:t>
      </w:r>
      <w:proofErr w:type="spellStart"/>
      <w:r w:rsidRPr="000E784A">
        <w:rPr>
          <w:rFonts w:eastAsia="Arial"/>
        </w:rPr>
        <w:t>realised</w:t>
      </w:r>
      <w:proofErr w:type="spellEnd"/>
      <w:r w:rsidRPr="000E784A">
        <w:rPr>
          <w:rFonts w:eastAsia="Arial"/>
        </w:rPr>
        <w:t xml:space="preserve"> with a partner who already has systems in place in the restaurants but it is advisable that the approval of the supplier and unannounced auditing should not stop at </w:t>
      </w:r>
      <w:proofErr w:type="spellStart"/>
      <w:r w:rsidRPr="000E784A">
        <w:rPr>
          <w:rFonts w:eastAsia="Arial"/>
        </w:rPr>
        <w:t>licence</w:t>
      </w:r>
      <w:proofErr w:type="spellEnd"/>
      <w:r w:rsidRPr="000E784A">
        <w:rPr>
          <w:rFonts w:eastAsia="Arial"/>
        </w:rPr>
        <w:t xml:space="preserve"> boundary (Government of Bangladesh, 2013; Government of Bangladesh, 2009).</w:t>
      </w:r>
    </w:p>
    <w:p w14:paraId="18079AB7" w14:textId="77777777" w:rsidR="000E784A" w:rsidRPr="000E784A" w:rsidRDefault="000E784A" w:rsidP="000E784A">
      <w:pPr>
        <w:rPr>
          <w:rFonts w:eastAsia="Arial"/>
        </w:rPr>
      </w:pPr>
      <w:r w:rsidRPr="000E784A">
        <w:rPr>
          <w:rFonts w:eastAsia="Arial"/>
        </w:rPr>
        <w:t xml:space="preserve">The regulatory landscape is therefore relatively easy to deal with, but not frictionless. Incorporation and licensing aspects can be taken care of, whereas the aspects of inconsistent administration </w:t>
      </w:r>
      <w:proofErr w:type="gramStart"/>
      <w:r w:rsidRPr="000E784A">
        <w:rPr>
          <w:rFonts w:eastAsia="Arial"/>
        </w:rPr>
        <w:t>is</w:t>
      </w:r>
      <w:proofErr w:type="gramEnd"/>
      <w:r w:rsidRPr="000E784A">
        <w:rPr>
          <w:rFonts w:eastAsia="Arial"/>
        </w:rPr>
        <w:t xml:space="preserve"> more difficult to encompass. A schedule of conditions precedent should be included in the contract to prevent the construction of a store until there is written confirmation of the trademark, food, fire, import, tax and franchise-remittance routes. Also to be agreed prior to the launch should be the arbitration, audit rights, termination assistance and step-in provisions. Such safeguards reduce institutional uncertainty into an actual response, in the form of governance, instead of a discount rate (Meyer et al., 2009).</w:t>
      </w:r>
    </w:p>
    <w:p w14:paraId="76C71F71" w14:textId="77777777" w:rsidR="000E784A" w:rsidRPr="000E784A" w:rsidRDefault="000E784A" w:rsidP="000E784A">
      <w:pPr>
        <w:pStyle w:val="Heading2"/>
      </w:pPr>
      <w:bookmarkStart w:id="8" w:name="_Toc234634954"/>
      <w:r w:rsidRPr="000E784A">
        <w:t>3.4 Cultural conditions and consumer fit</w:t>
      </w:r>
      <w:bookmarkEnd w:id="8"/>
    </w:p>
    <w:p w14:paraId="500E1E65" w14:textId="77777777" w:rsidR="000E784A" w:rsidRPr="000E784A" w:rsidRDefault="000E784A" w:rsidP="000E784A">
      <w:pPr>
        <w:rPr>
          <w:rFonts w:eastAsia="Arial"/>
        </w:rPr>
      </w:pPr>
      <w:r w:rsidRPr="000E784A">
        <w:rPr>
          <w:rFonts w:eastAsia="Arial"/>
        </w:rPr>
        <w:t xml:space="preserve">While culturally tea is the leader, the demand for coffeehouse is no more hypothetical in Bangladesh. Expatriate customers were the first ones to investigate North End's presence which registered from 1 Dhaka branch in 2011 to multiple outlets with the impetus from the students of the area and corporate customers. The cafes are filling up customers' third place needs very similarly to Starbucks' as their customers use the locations to work, make very long conversations, and socialize and be part of the community. This is a strong location advantage, as Starbucks would not have to spend the time, resources and effort it would normally have to invest in introducing new consumption behaviors. It's also one that serves as a warning—local players know length, price, food, and warmth of service and </w:t>
      </w:r>
      <w:proofErr w:type="spellStart"/>
      <w:r w:rsidRPr="000E784A">
        <w:rPr>
          <w:rFonts w:eastAsia="Arial"/>
        </w:rPr>
        <w:t>neighbourhood</w:t>
      </w:r>
      <w:proofErr w:type="spellEnd"/>
      <w:r w:rsidRPr="000E784A">
        <w:rPr>
          <w:rFonts w:eastAsia="Arial"/>
        </w:rPr>
        <w:t xml:space="preserve"> habits (Kanya, 2021).</w:t>
      </w:r>
    </w:p>
    <w:p w14:paraId="48B0FBB5" w14:textId="77777777" w:rsidR="000E784A" w:rsidRPr="000E784A" w:rsidRDefault="000E784A" w:rsidP="000E784A">
      <w:pPr>
        <w:rPr>
          <w:rFonts w:eastAsia="Arial"/>
        </w:rPr>
      </w:pPr>
      <w:r w:rsidRPr="000E784A">
        <w:rPr>
          <w:rFonts w:eastAsia="Arial"/>
        </w:rPr>
        <w:t xml:space="preserve">Premium symbolism can engender a distance although the global brand can instill aspirations and trust. As with all appropriations, Starbucks has already been a site of appropriation as a status and lifestyle place, but </w:t>
      </w:r>
      <w:proofErr w:type="spellStart"/>
      <w:r w:rsidRPr="000E784A">
        <w:rPr>
          <w:rFonts w:eastAsia="Arial"/>
        </w:rPr>
        <w:t>brandscapes</w:t>
      </w:r>
      <w:proofErr w:type="spellEnd"/>
      <w:r w:rsidRPr="000E784A">
        <w:rPr>
          <w:rFonts w:eastAsia="Arial"/>
        </w:rPr>
        <w:t xml:space="preserve"> around the world can produce resistance as well when it seems like they are eroding local culture. The best is an internationally </w:t>
      </w:r>
      <w:proofErr w:type="spellStart"/>
      <w:r w:rsidRPr="000E784A">
        <w:rPr>
          <w:rFonts w:eastAsia="Arial"/>
        </w:rPr>
        <w:t>recognised</w:t>
      </w:r>
      <w:proofErr w:type="spellEnd"/>
      <w:r w:rsidRPr="000E784A">
        <w:rPr>
          <w:rFonts w:eastAsia="Arial"/>
        </w:rPr>
        <w:t xml:space="preserve"> coffeehouse quality where there is involvement in the local community in Dhaka. Locally developed </w:t>
      </w:r>
      <w:proofErr w:type="spellStart"/>
      <w:r w:rsidRPr="000E784A">
        <w:rPr>
          <w:rFonts w:eastAsia="Arial"/>
        </w:rPr>
        <w:t>savoury</w:t>
      </w:r>
      <w:proofErr w:type="spellEnd"/>
      <w:r w:rsidRPr="000E784A">
        <w:rPr>
          <w:rFonts w:eastAsia="Arial"/>
        </w:rPr>
        <w:t xml:space="preserve"> and sweet food, tea-based options, smaller sizes of beverages and locally relevant/seasonal options </w:t>
      </w:r>
      <w:r w:rsidRPr="000E784A">
        <w:rPr>
          <w:rFonts w:eastAsia="Arial"/>
        </w:rPr>
        <w:lastRenderedPageBreak/>
        <w:t>should surround a protected core of coffee (Thompson and Arsel, 2004; Venkatraman and Nelson, 2008).</w:t>
      </w:r>
    </w:p>
    <w:p w14:paraId="48B521A0" w14:textId="190BDB6D" w:rsidR="000E784A" w:rsidRPr="000E784A" w:rsidRDefault="000E784A" w:rsidP="000E784A">
      <w:pPr>
        <w:rPr>
          <w:rFonts w:eastAsia="Arial"/>
        </w:rPr>
      </w:pPr>
      <w:r w:rsidRPr="000E784A">
        <w:rPr>
          <w:rFonts w:eastAsia="Arial"/>
        </w:rPr>
        <w:t>Product and operating calendar are impacted by religious and social expectations. Commercial needs such as halal guaranteed ingredients, supplier traceability, modest-advertising, Ramadan trading plan and careful considerations of religious events are required. The cafe should be inclusive for women, families, students and mixed groups and not be about cultural 'correction'. This does not mean a "checklist" handed down from the other Muslim dominated markets (Bangladesh Bureau of Statistics, 2023), but local consultation - which involves staff judgement.</w:t>
      </w:r>
    </w:p>
    <w:p w14:paraId="520558F9" w14:textId="5CDD2C62" w:rsidR="003050AC" w:rsidRDefault="000E784A" w:rsidP="000E784A">
      <w:r w:rsidRPr="000E784A">
        <w:rPr>
          <w:rFonts w:eastAsia="Arial"/>
        </w:rPr>
        <w:t xml:space="preserve">At country level Cultural Distance scores can identify uncertainty, but not provide any insights into consumer </w:t>
      </w:r>
      <w:proofErr w:type="spellStart"/>
      <w:r w:rsidRPr="000E784A">
        <w:rPr>
          <w:rFonts w:eastAsia="Arial"/>
        </w:rPr>
        <w:t>behaviour</w:t>
      </w:r>
      <w:proofErr w:type="spellEnd"/>
      <w:r w:rsidRPr="000E784A">
        <w:rPr>
          <w:rFonts w:eastAsia="Arial"/>
        </w:rPr>
        <w:t xml:space="preserve"> within Dhaka. Based on results from meta-analytical studies, cultural distance in its impact on outcomes of </w:t>
      </w:r>
      <w:proofErr w:type="spellStart"/>
      <w:r w:rsidRPr="000E784A">
        <w:rPr>
          <w:rFonts w:eastAsia="Arial"/>
        </w:rPr>
        <w:t>internationalisation</w:t>
      </w:r>
      <w:proofErr w:type="spellEnd"/>
      <w:r w:rsidRPr="000E784A">
        <w:rPr>
          <w:rFonts w:eastAsia="Arial"/>
        </w:rPr>
        <w:t xml:space="preserve"> has a contingent, sometimes conflicting, effect. Starbucks should, therefore, abandon the assumptions and conduct field experiments, such as: blind beverage tests, acceptable-price-ranges, food pairing tests and observation and social-listening analysis of dwell-time within different </w:t>
      </w:r>
      <w:proofErr w:type="spellStart"/>
      <w:r w:rsidRPr="000E784A">
        <w:rPr>
          <w:rFonts w:eastAsia="Arial"/>
        </w:rPr>
        <w:t>Dhka</w:t>
      </w:r>
      <w:proofErr w:type="spellEnd"/>
      <w:r w:rsidRPr="000E784A">
        <w:rPr>
          <w:rFonts w:eastAsia="Arial"/>
        </w:rPr>
        <w:t xml:space="preserve"> catchments. Guidance from pilots is less contestable than one could imagine for countries to be uniform</w:t>
      </w:r>
      <w:r>
        <w:rPr>
          <w:rFonts w:eastAsia="Arial"/>
        </w:rPr>
        <w:t xml:space="preserve"> (</w:t>
      </w:r>
      <w:proofErr w:type="spellStart"/>
      <w:r>
        <w:rPr>
          <w:rFonts w:eastAsia="Arial"/>
        </w:rPr>
        <w:t>Beugelsdijk</w:t>
      </w:r>
      <w:proofErr w:type="spellEnd"/>
      <w:r>
        <w:rPr>
          <w:rFonts w:eastAsia="Arial"/>
        </w:rPr>
        <w:t xml:space="preserve"> et al., 2018; Kogut and Singh, 1988).</w:t>
      </w:r>
    </w:p>
    <w:p w14:paraId="3233284B" w14:textId="77777777" w:rsidR="003050AC" w:rsidRDefault="00000000" w:rsidP="000E784A">
      <w:r w:rsidRPr="000E784A">
        <w:rPr>
          <w:b/>
          <w:bCs/>
        </w:rPr>
        <w:t>Table 2.</w:t>
      </w:r>
      <w:r>
        <w:t xml:space="preserve"> Host-country opportunity and risk synthesis</w:t>
      </w:r>
    </w:p>
    <w:tbl>
      <w:tblPr>
        <w:tblStyle w:val="TableGrid"/>
        <w:tblW w:w="9029" w:type="dxa"/>
        <w:tblInd w:w="120" w:type="dxa"/>
        <w:tblBorders>
          <w:top w:val="single" w:sz="6" w:space="0" w:color="B9C5C0"/>
          <w:left w:val="single" w:sz="6" w:space="0" w:color="B9C5C0"/>
          <w:bottom w:val="single" w:sz="6" w:space="0" w:color="B9C5C0"/>
          <w:right w:val="single" w:sz="6" w:space="0" w:color="B9C5C0"/>
          <w:insideH w:val="single" w:sz="6" w:space="0" w:color="B9C5C0"/>
          <w:insideV w:val="single" w:sz="6" w:space="0" w:color="B9C5C0"/>
        </w:tblBorders>
        <w:tblLayout w:type="fixed"/>
        <w:tblLook w:val="04A0" w:firstRow="1" w:lastRow="0" w:firstColumn="1" w:lastColumn="0" w:noHBand="0" w:noVBand="1"/>
      </w:tblPr>
      <w:tblGrid>
        <w:gridCol w:w="1200"/>
        <w:gridCol w:w="2800"/>
        <w:gridCol w:w="2550"/>
        <w:gridCol w:w="2479"/>
      </w:tblGrid>
      <w:tr w:rsidR="003050AC" w14:paraId="0DC5D7C6" w14:textId="77777777">
        <w:trPr>
          <w:cantSplit/>
          <w:tblHeader/>
        </w:trPr>
        <w:tc>
          <w:tcPr>
            <w:tcW w:w="1200" w:type="dxa"/>
            <w:shd w:val="clear" w:color="auto" w:fill="1E3932"/>
            <w:tcMar>
              <w:top w:w="100" w:type="dxa"/>
              <w:left w:w="120" w:type="dxa"/>
              <w:bottom w:w="100" w:type="dxa"/>
              <w:right w:w="120" w:type="dxa"/>
            </w:tcMar>
            <w:vAlign w:val="center"/>
          </w:tcPr>
          <w:p w14:paraId="6F9D84EF" w14:textId="77777777" w:rsidR="003050AC" w:rsidRPr="000E784A" w:rsidRDefault="00000000" w:rsidP="000E784A">
            <w:pPr>
              <w:jc w:val="center"/>
              <w:rPr>
                <w:b/>
                <w:bCs/>
                <w:color w:val="FFFFFF" w:themeColor="background1"/>
              </w:rPr>
            </w:pPr>
            <w:r w:rsidRPr="000E784A">
              <w:rPr>
                <w:b/>
                <w:bCs/>
                <w:color w:val="FFFFFF" w:themeColor="background1"/>
              </w:rPr>
              <w:t>Domain</w:t>
            </w:r>
          </w:p>
        </w:tc>
        <w:tc>
          <w:tcPr>
            <w:tcW w:w="2800" w:type="dxa"/>
            <w:shd w:val="clear" w:color="auto" w:fill="1E3932"/>
            <w:tcMar>
              <w:top w:w="100" w:type="dxa"/>
              <w:left w:w="120" w:type="dxa"/>
              <w:bottom w:w="100" w:type="dxa"/>
              <w:right w:w="120" w:type="dxa"/>
            </w:tcMar>
            <w:vAlign w:val="center"/>
          </w:tcPr>
          <w:p w14:paraId="0901ADCD" w14:textId="77777777" w:rsidR="003050AC" w:rsidRPr="000E784A" w:rsidRDefault="00000000" w:rsidP="000E784A">
            <w:pPr>
              <w:jc w:val="center"/>
              <w:rPr>
                <w:b/>
                <w:bCs/>
                <w:color w:val="FFFFFF" w:themeColor="background1"/>
              </w:rPr>
            </w:pPr>
            <w:r w:rsidRPr="000E784A">
              <w:rPr>
                <w:b/>
                <w:bCs/>
                <w:color w:val="FFFFFF" w:themeColor="background1"/>
              </w:rPr>
              <w:t>Most material evidence</w:t>
            </w:r>
          </w:p>
        </w:tc>
        <w:tc>
          <w:tcPr>
            <w:tcW w:w="2550" w:type="dxa"/>
            <w:shd w:val="clear" w:color="auto" w:fill="1E3932"/>
            <w:tcMar>
              <w:top w:w="100" w:type="dxa"/>
              <w:left w:w="120" w:type="dxa"/>
              <w:bottom w:w="100" w:type="dxa"/>
              <w:right w:w="120" w:type="dxa"/>
            </w:tcMar>
            <w:vAlign w:val="center"/>
          </w:tcPr>
          <w:p w14:paraId="20755762" w14:textId="77777777" w:rsidR="003050AC" w:rsidRPr="000E784A" w:rsidRDefault="00000000" w:rsidP="000E784A">
            <w:pPr>
              <w:jc w:val="center"/>
              <w:rPr>
                <w:b/>
                <w:bCs/>
                <w:color w:val="FFFFFF" w:themeColor="background1"/>
              </w:rPr>
            </w:pPr>
            <w:r w:rsidRPr="000E784A">
              <w:rPr>
                <w:b/>
                <w:bCs/>
                <w:color w:val="FFFFFF" w:themeColor="background1"/>
              </w:rPr>
              <w:t>Entry implication</w:t>
            </w:r>
          </w:p>
        </w:tc>
        <w:tc>
          <w:tcPr>
            <w:tcW w:w="2479" w:type="dxa"/>
            <w:shd w:val="clear" w:color="auto" w:fill="1E3932"/>
            <w:tcMar>
              <w:top w:w="100" w:type="dxa"/>
              <w:left w:w="120" w:type="dxa"/>
              <w:bottom w:w="100" w:type="dxa"/>
              <w:right w:w="120" w:type="dxa"/>
            </w:tcMar>
            <w:vAlign w:val="center"/>
          </w:tcPr>
          <w:p w14:paraId="50A61022" w14:textId="77777777" w:rsidR="003050AC" w:rsidRPr="000E784A" w:rsidRDefault="00000000" w:rsidP="000E784A">
            <w:pPr>
              <w:jc w:val="center"/>
              <w:rPr>
                <w:b/>
                <w:bCs/>
                <w:color w:val="FFFFFF" w:themeColor="background1"/>
              </w:rPr>
            </w:pPr>
            <w:r w:rsidRPr="000E784A">
              <w:rPr>
                <w:b/>
                <w:bCs/>
                <w:color w:val="FFFFFF" w:themeColor="background1"/>
              </w:rPr>
              <w:t>Required response</w:t>
            </w:r>
          </w:p>
        </w:tc>
      </w:tr>
      <w:tr w:rsidR="003050AC" w14:paraId="27AC6751" w14:textId="77777777">
        <w:tc>
          <w:tcPr>
            <w:tcW w:w="1200" w:type="dxa"/>
          </w:tcPr>
          <w:p w14:paraId="79F37E39" w14:textId="77777777" w:rsidR="003050AC" w:rsidRDefault="00000000" w:rsidP="000E784A">
            <w:r>
              <w:t>Political</w:t>
            </w:r>
          </w:p>
        </w:tc>
        <w:tc>
          <w:tcPr>
            <w:tcW w:w="2800" w:type="dxa"/>
          </w:tcPr>
          <w:p w14:paraId="0D3E52DC" w14:textId="77777777" w:rsidR="003050AC" w:rsidRDefault="00000000" w:rsidP="000E784A">
            <w:r>
              <w:t>Post-transition stability remains reform-dependent; corruption exposure is high</w:t>
            </w:r>
          </w:p>
        </w:tc>
        <w:tc>
          <w:tcPr>
            <w:tcW w:w="2550" w:type="dxa"/>
          </w:tcPr>
          <w:p w14:paraId="2AFD8908" w14:textId="77777777" w:rsidR="003050AC" w:rsidRDefault="00000000" w:rsidP="000E784A">
            <w:r>
              <w:t>Visible stores and permits are exposed to disruption and integrity risk</w:t>
            </w:r>
          </w:p>
        </w:tc>
        <w:tc>
          <w:tcPr>
            <w:tcW w:w="2479" w:type="dxa"/>
          </w:tcPr>
          <w:p w14:paraId="5B7EB9D8" w14:textId="77777777" w:rsidR="003050AC" w:rsidRDefault="00000000" w:rsidP="000E784A">
            <w:r>
              <w:t>Two-site pilot, no-cash compliance and force-majeure protection</w:t>
            </w:r>
          </w:p>
        </w:tc>
      </w:tr>
      <w:tr w:rsidR="003050AC" w14:paraId="730042A0" w14:textId="77777777">
        <w:tc>
          <w:tcPr>
            <w:tcW w:w="1200" w:type="dxa"/>
            <w:shd w:val="clear" w:color="auto" w:fill="F2F4F3"/>
          </w:tcPr>
          <w:p w14:paraId="1C044BB8" w14:textId="77777777" w:rsidR="003050AC" w:rsidRDefault="00000000" w:rsidP="000E784A">
            <w:r>
              <w:t>Economic</w:t>
            </w:r>
          </w:p>
        </w:tc>
        <w:tc>
          <w:tcPr>
            <w:tcW w:w="2800" w:type="dxa"/>
            <w:shd w:val="clear" w:color="auto" w:fill="F2F4F3"/>
          </w:tcPr>
          <w:p w14:paraId="6BD99BA5" w14:textId="77777777" w:rsidR="003050AC" w:rsidRDefault="00000000" w:rsidP="000E784A">
            <w:r>
              <w:t>Young urban demand contrasts with 8.5% inflation, FX constraints and weak banks</w:t>
            </w:r>
          </w:p>
        </w:tc>
        <w:tc>
          <w:tcPr>
            <w:tcW w:w="2550" w:type="dxa"/>
            <w:shd w:val="clear" w:color="auto" w:fill="F2F4F3"/>
          </w:tcPr>
          <w:p w14:paraId="163505ED" w14:textId="77777777" w:rsidR="003050AC" w:rsidRDefault="00000000" w:rsidP="000E784A">
            <w:r>
              <w:t>Premium demand exists but is narrow and margin-sensitive</w:t>
            </w:r>
          </w:p>
        </w:tc>
        <w:tc>
          <w:tcPr>
            <w:tcW w:w="2479" w:type="dxa"/>
            <w:shd w:val="clear" w:color="auto" w:fill="F2F4F3"/>
          </w:tcPr>
          <w:p w14:paraId="0B3107AE" w14:textId="77777777" w:rsidR="003050AC" w:rsidRDefault="00000000" w:rsidP="000E784A">
            <w:r>
              <w:t>Dhaka focus, compact formats, local costs and FX stress testing</w:t>
            </w:r>
          </w:p>
        </w:tc>
      </w:tr>
      <w:tr w:rsidR="003050AC" w14:paraId="5F8D06D7" w14:textId="77777777">
        <w:tc>
          <w:tcPr>
            <w:tcW w:w="1200" w:type="dxa"/>
          </w:tcPr>
          <w:p w14:paraId="6C08D89A" w14:textId="77777777" w:rsidR="003050AC" w:rsidRDefault="00000000" w:rsidP="000E784A">
            <w:r>
              <w:t>Legal</w:t>
            </w:r>
          </w:p>
        </w:tc>
        <w:tc>
          <w:tcPr>
            <w:tcW w:w="2800" w:type="dxa"/>
          </w:tcPr>
          <w:p w14:paraId="2A6A7C1D" w14:textId="77777777" w:rsidR="003050AC" w:rsidRDefault="00000000" w:rsidP="000E784A">
            <w:r>
              <w:t xml:space="preserve">Foreign and JV entry are allowed; approvals </w:t>
            </w:r>
            <w:r>
              <w:lastRenderedPageBreak/>
              <w:t>and remittances are document-intensive</w:t>
            </w:r>
          </w:p>
        </w:tc>
        <w:tc>
          <w:tcPr>
            <w:tcW w:w="2550" w:type="dxa"/>
          </w:tcPr>
          <w:p w14:paraId="52283B3A" w14:textId="77777777" w:rsidR="003050AC" w:rsidRDefault="00000000" w:rsidP="000E784A">
            <w:r>
              <w:lastRenderedPageBreak/>
              <w:t xml:space="preserve">Ownership is open, but execution </w:t>
            </w:r>
            <w:r>
              <w:lastRenderedPageBreak/>
              <w:t>requires institutional capability</w:t>
            </w:r>
          </w:p>
        </w:tc>
        <w:tc>
          <w:tcPr>
            <w:tcW w:w="2479" w:type="dxa"/>
          </w:tcPr>
          <w:p w14:paraId="6C74FFFA" w14:textId="77777777" w:rsidR="003050AC" w:rsidRDefault="00000000" w:rsidP="000E784A">
            <w:r>
              <w:lastRenderedPageBreak/>
              <w:t xml:space="preserve">Conditions precedent, </w:t>
            </w:r>
            <w:r>
              <w:lastRenderedPageBreak/>
              <w:t>trademark protection and audited royalty process</w:t>
            </w:r>
          </w:p>
        </w:tc>
      </w:tr>
      <w:tr w:rsidR="003050AC" w14:paraId="488B63E1" w14:textId="77777777">
        <w:tc>
          <w:tcPr>
            <w:tcW w:w="1200" w:type="dxa"/>
            <w:shd w:val="clear" w:color="auto" w:fill="F2F4F3"/>
          </w:tcPr>
          <w:p w14:paraId="404C4B09" w14:textId="77777777" w:rsidR="003050AC" w:rsidRDefault="00000000" w:rsidP="000E784A">
            <w:r>
              <w:lastRenderedPageBreak/>
              <w:t>Cultural</w:t>
            </w:r>
          </w:p>
        </w:tc>
        <w:tc>
          <w:tcPr>
            <w:tcW w:w="2800" w:type="dxa"/>
            <w:shd w:val="clear" w:color="auto" w:fill="F2F4F3"/>
          </w:tcPr>
          <w:p w14:paraId="49E76572" w14:textId="77777777" w:rsidR="003050AC" w:rsidRDefault="00000000" w:rsidP="000E784A">
            <w:r>
              <w:t>Tea dominance coexists with a proven cafe community and long-dwell social use</w:t>
            </w:r>
          </w:p>
        </w:tc>
        <w:tc>
          <w:tcPr>
            <w:tcW w:w="2550" w:type="dxa"/>
            <w:shd w:val="clear" w:color="auto" w:fill="F2F4F3"/>
          </w:tcPr>
          <w:p w14:paraId="4D2BA3B3" w14:textId="77777777" w:rsidR="003050AC" w:rsidRDefault="00000000" w:rsidP="000E784A">
            <w:r>
              <w:t xml:space="preserve">The third-place concept fits if price, food and communication are </w:t>
            </w:r>
            <w:proofErr w:type="spellStart"/>
            <w:r>
              <w:t>localised</w:t>
            </w:r>
            <w:proofErr w:type="spellEnd"/>
          </w:p>
        </w:tc>
        <w:tc>
          <w:tcPr>
            <w:tcW w:w="2479" w:type="dxa"/>
            <w:shd w:val="clear" w:color="auto" w:fill="F2F4F3"/>
          </w:tcPr>
          <w:p w14:paraId="1E33E957" w14:textId="77777777" w:rsidR="003050AC" w:rsidRDefault="00000000" w:rsidP="000E784A">
            <w:r>
              <w:t>Halal assurance, local menu layer and customer experiments</w:t>
            </w:r>
          </w:p>
        </w:tc>
      </w:tr>
    </w:tbl>
    <w:p w14:paraId="26838E33" w14:textId="77777777" w:rsidR="003050AC" w:rsidRPr="000E784A" w:rsidRDefault="00000000" w:rsidP="000E784A">
      <w:pPr>
        <w:rPr>
          <w:i/>
          <w:iCs/>
          <w:sz w:val="22"/>
          <w:szCs w:val="20"/>
        </w:rPr>
      </w:pPr>
      <w:r w:rsidRPr="000E784A">
        <w:rPr>
          <w:i/>
          <w:iCs/>
          <w:sz w:val="22"/>
          <w:szCs w:val="20"/>
        </w:rPr>
        <w:t xml:space="preserve">Source: </w:t>
      </w:r>
      <w:proofErr w:type="spellStart"/>
      <w:r w:rsidRPr="000E784A">
        <w:rPr>
          <w:i/>
          <w:iCs/>
          <w:sz w:val="22"/>
          <w:szCs w:val="20"/>
        </w:rPr>
        <w:t>Synthesised</w:t>
      </w:r>
      <w:proofErr w:type="spellEnd"/>
      <w:r w:rsidRPr="000E784A">
        <w:rPr>
          <w:i/>
          <w:iCs/>
          <w:sz w:val="22"/>
          <w:szCs w:val="20"/>
        </w:rPr>
        <w:t xml:space="preserve"> from World Bank (2026), Transparency International (2026), Bangladesh Investment Development Authority (2025a; 2025b), Bangladesh Bureau of Statistics (2023), International Finance Corporation (2025) and Kanya (2021).</w:t>
      </w:r>
    </w:p>
    <w:p w14:paraId="1FF2FDBE" w14:textId="77777777" w:rsidR="003050AC" w:rsidRDefault="00000000" w:rsidP="000E784A">
      <w:pPr>
        <w:pStyle w:val="Heading2"/>
      </w:pPr>
      <w:bookmarkStart w:id="9" w:name="_Toc234634955"/>
      <w:r>
        <w:t xml:space="preserve">3.5 OLI </w:t>
      </w:r>
      <w:r w:rsidRPr="000E784A">
        <w:t>synthesis</w:t>
      </w:r>
      <w:r>
        <w:t xml:space="preserve"> and market attractiveness</w:t>
      </w:r>
      <w:bookmarkEnd w:id="9"/>
    </w:p>
    <w:p w14:paraId="468D384F" w14:textId="77777777" w:rsidR="000E784A" w:rsidRPr="000E784A" w:rsidRDefault="000E784A" w:rsidP="000E784A">
      <w:pPr>
        <w:rPr>
          <w:rFonts w:eastAsia="Arial"/>
        </w:rPr>
      </w:pPr>
      <w:r w:rsidRPr="000E784A">
        <w:rPr>
          <w:rFonts w:eastAsia="Arial"/>
        </w:rPr>
        <w:t>Ownership advantages are substantial. Starbucks offers a world-renowned trademark, coffee purchasing and roasting expertise, product development, training, equipment specifications, digital systems and a replicable coffeehouse experience. Being knowledge and system based, these assets can be transferred. On their own they are not enough, however, as premium pricing and foreignness can become a burden when consumers demand value and/or political message. Ownership advantage should thus be defined as the capacity to provide a locally credible offer, rather than just brand fame, as suggested by Dunning (1988) and Zaheer (1995).</w:t>
      </w:r>
    </w:p>
    <w:p w14:paraId="32B60A30" w14:textId="77777777" w:rsidR="000E784A" w:rsidRPr="000E784A" w:rsidRDefault="000E784A" w:rsidP="000E784A">
      <w:pPr>
        <w:rPr>
          <w:rFonts w:eastAsia="Arial"/>
        </w:rPr>
      </w:pPr>
      <w:r w:rsidRPr="000E784A">
        <w:rPr>
          <w:rFonts w:eastAsia="Arial"/>
        </w:rPr>
        <w:t>Positive but conditional location advantages. Dhaka has lots of densely targeted customers, optimal high-end retail locations, e-payments and a growing coffee culture as well as restaurant skills. Bangladesh in addition, possesses a strategic opportunity: Early entry prior to the market is crowded by global specialty chains. The drawbacks are also tangible: low purchasing power, inflation, foreign exchange risk, coordination of regulations, congestion, and poor utility services and political sensitivity. The local level is suitable for urban scale engagement, but not national scale commitment (Bangladesh Investment Development Authority, 2025a, World Bank, 2026).</w:t>
      </w:r>
    </w:p>
    <w:p w14:paraId="2B497434" w14:textId="16123CD3" w:rsidR="003050AC" w:rsidRDefault="000E784A" w:rsidP="000E784A">
      <w:r w:rsidRPr="000E784A">
        <w:rPr>
          <w:rFonts w:eastAsia="Arial"/>
        </w:rPr>
        <w:lastRenderedPageBreak/>
        <w:t xml:space="preserve">In a hybrid organization the </w:t>
      </w:r>
      <w:proofErr w:type="spellStart"/>
      <w:r w:rsidRPr="000E784A">
        <w:rPr>
          <w:rFonts w:eastAsia="Arial"/>
        </w:rPr>
        <w:t>internalisation</w:t>
      </w:r>
      <w:proofErr w:type="spellEnd"/>
      <w:r w:rsidRPr="000E784A">
        <w:rPr>
          <w:rFonts w:eastAsia="Arial"/>
        </w:rPr>
        <w:t xml:space="preserve"> advantages outweigh the disadvantages. While this would mean full control over quality, data and customer experience, the operating, property and regulatory risks would all be brought on with full ownership which Starbucks has yet to experience. A pure </w:t>
      </w:r>
      <w:proofErr w:type="spellStart"/>
      <w:r w:rsidRPr="000E784A">
        <w:rPr>
          <w:rFonts w:eastAsia="Arial"/>
        </w:rPr>
        <w:t>licence</w:t>
      </w:r>
      <w:proofErr w:type="spellEnd"/>
      <w:r w:rsidRPr="000E784A">
        <w:rPr>
          <w:rFonts w:eastAsia="Arial"/>
        </w:rPr>
        <w:t xml:space="preserve"> would be the most flexible option, but would have an agency risk in sourcing, </w:t>
      </w:r>
      <w:proofErr w:type="spellStart"/>
      <w:r w:rsidRPr="000E784A">
        <w:rPr>
          <w:rFonts w:eastAsia="Arial"/>
        </w:rPr>
        <w:t>labour</w:t>
      </w:r>
      <w:proofErr w:type="spellEnd"/>
      <w:r w:rsidRPr="000E784A">
        <w:rPr>
          <w:rFonts w:eastAsia="Arial"/>
        </w:rPr>
        <w:t xml:space="preserve">, service and brand communication. An exclusive retail </w:t>
      </w:r>
      <w:proofErr w:type="spellStart"/>
      <w:r w:rsidRPr="000E784A">
        <w:rPr>
          <w:rFonts w:eastAsia="Arial"/>
        </w:rPr>
        <w:t>licence</w:t>
      </w:r>
      <w:proofErr w:type="spellEnd"/>
      <w:r w:rsidRPr="000E784A">
        <w:rPr>
          <w:rFonts w:eastAsia="Arial"/>
        </w:rPr>
        <w:t xml:space="preserve"> and equity partnership with Starbucks gives the local partner the ability to control or guarantee reserved brand issues, as the local partner brings sites, capital, know-how in the government approval process and an ability to execute. The importance of this alignment increases the greater the institutional distance and/or market uncertainty</w:t>
      </w:r>
      <w:r>
        <w:rPr>
          <w:rFonts w:eastAsia="Arial"/>
        </w:rPr>
        <w:t xml:space="preserve"> (</w:t>
      </w:r>
      <w:proofErr w:type="spellStart"/>
      <w:r>
        <w:rPr>
          <w:rFonts w:eastAsia="Arial"/>
        </w:rPr>
        <w:t>Brouthers</w:t>
      </w:r>
      <w:proofErr w:type="spellEnd"/>
      <w:r>
        <w:rPr>
          <w:rFonts w:eastAsia="Arial"/>
        </w:rPr>
        <w:t>, 2002; Hill, Hwang and Kim, 1990).</w:t>
      </w:r>
    </w:p>
    <w:p w14:paraId="3BFBB001" w14:textId="77777777" w:rsidR="003050AC" w:rsidRDefault="00000000">
      <w:pPr>
        <w:keepNext/>
        <w:jc w:val="center"/>
      </w:pPr>
      <w:r>
        <w:rPr>
          <w:noProof/>
        </w:rPr>
        <w:drawing>
          <wp:inline distT="0" distB="0" distL="0" distR="0" wp14:anchorId="679F90A3" wp14:editId="02048120">
            <wp:extent cx="5622290" cy="144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li_bangladesh_pathway.png"/>
                    <pic:cNvPicPr/>
                  </pic:nvPicPr>
                  <pic:blipFill rotWithShape="1">
                    <a:blip r:embed="rId10"/>
                    <a:srcRect t="17769" b="19415"/>
                    <a:stretch>
                      <a:fillRect/>
                    </a:stretch>
                  </pic:blipFill>
                  <pic:spPr bwMode="auto">
                    <a:xfrm>
                      <a:off x="0" y="0"/>
                      <a:ext cx="5623560" cy="1448127"/>
                    </a:xfrm>
                    <a:prstGeom prst="rect">
                      <a:avLst/>
                    </a:prstGeom>
                    <a:ln>
                      <a:noFill/>
                    </a:ln>
                    <a:extLst>
                      <a:ext uri="{53640926-AAD7-44D8-BBD7-CCE9431645EC}">
                        <a14:shadowObscured xmlns:a14="http://schemas.microsoft.com/office/drawing/2010/main"/>
                      </a:ext>
                    </a:extLst>
                  </pic:spPr>
                </pic:pic>
              </a:graphicData>
            </a:graphic>
          </wp:inline>
        </w:drawing>
      </w:r>
    </w:p>
    <w:p w14:paraId="419BEA48" w14:textId="77777777" w:rsidR="003050AC" w:rsidRPr="000E784A" w:rsidRDefault="00000000" w:rsidP="000E784A">
      <w:pPr>
        <w:spacing w:after="0"/>
        <w:jc w:val="center"/>
        <w:rPr>
          <w:i/>
          <w:iCs/>
          <w:sz w:val="22"/>
          <w:szCs w:val="20"/>
        </w:rPr>
      </w:pPr>
      <w:r w:rsidRPr="000E784A">
        <w:rPr>
          <w:i/>
          <w:iCs/>
          <w:sz w:val="22"/>
          <w:szCs w:val="20"/>
        </w:rPr>
        <w:t>Figure 2. OLI decision pathway for Starbucks in Bangladesh</w:t>
      </w:r>
    </w:p>
    <w:p w14:paraId="1577B6C8" w14:textId="77777777" w:rsidR="003050AC" w:rsidRPr="000E784A" w:rsidRDefault="00000000" w:rsidP="000E784A">
      <w:pPr>
        <w:spacing w:after="0"/>
        <w:jc w:val="center"/>
        <w:rPr>
          <w:i/>
          <w:iCs/>
          <w:sz w:val="22"/>
          <w:szCs w:val="20"/>
        </w:rPr>
      </w:pPr>
      <w:r w:rsidRPr="000E784A">
        <w:rPr>
          <w:i/>
          <w:iCs/>
          <w:sz w:val="22"/>
          <w:szCs w:val="20"/>
        </w:rPr>
        <w:t xml:space="preserve">Source: Synthesis based on Dunning (1988), </w:t>
      </w:r>
      <w:proofErr w:type="spellStart"/>
      <w:r w:rsidRPr="000E784A">
        <w:rPr>
          <w:i/>
          <w:iCs/>
          <w:sz w:val="22"/>
          <w:szCs w:val="20"/>
        </w:rPr>
        <w:t>Brouthers</w:t>
      </w:r>
      <w:proofErr w:type="spellEnd"/>
      <w:r w:rsidRPr="000E784A">
        <w:rPr>
          <w:i/>
          <w:iCs/>
          <w:sz w:val="22"/>
          <w:szCs w:val="20"/>
        </w:rPr>
        <w:t xml:space="preserve"> (2002), Starbucks Corporation (2024) and World Bank (2026).</w:t>
      </w:r>
    </w:p>
    <w:p w14:paraId="6DCE127A" w14:textId="77777777" w:rsidR="000E784A" w:rsidRPr="000E784A" w:rsidRDefault="000E784A" w:rsidP="000E784A">
      <w:pPr>
        <w:rPr>
          <w:rFonts w:eastAsia="Arial"/>
        </w:rPr>
      </w:pPr>
      <w:r w:rsidRPr="000E784A">
        <w:rPr>
          <w:rFonts w:eastAsia="Arial"/>
        </w:rPr>
        <w:t>Market attractiveness is thus at a moderate level and the option value is high. The opportunity is a small urban premium and assuming a global cost structure can be transferred to the population level. Only enter, if it maintains the possibility for stopping, adapting or accelerating. Minority-equity licensed joint venture seems to reflect that conclusion best since it includes more control than conventional franchising (Agarwal and Ramaswami, 1992; Johanson and Vahlne, 1977) does, and reduces the uncertainty to staged learning.</w:t>
      </w:r>
    </w:p>
    <w:p w14:paraId="1EE017C1" w14:textId="77777777" w:rsidR="000E784A" w:rsidRDefault="000E784A">
      <w:pPr>
        <w:spacing w:after="200" w:line="276" w:lineRule="auto"/>
        <w:jc w:val="left"/>
        <w:rPr>
          <w:rFonts w:eastAsiaTheme="majorEastAsia" w:cstheme="majorBidi"/>
          <w:b/>
          <w:bCs/>
          <w:color w:val="1E3932"/>
          <w:sz w:val="32"/>
          <w:szCs w:val="28"/>
        </w:rPr>
      </w:pPr>
      <w:r>
        <w:br w:type="page"/>
      </w:r>
    </w:p>
    <w:p w14:paraId="15A7B8AD" w14:textId="3698CC3D" w:rsidR="000E784A" w:rsidRPr="000E784A" w:rsidRDefault="000E784A" w:rsidP="000E784A">
      <w:pPr>
        <w:pStyle w:val="Heading1"/>
      </w:pPr>
      <w:bookmarkStart w:id="10" w:name="_Toc234634956"/>
      <w:r w:rsidRPr="000E784A">
        <w:lastRenderedPageBreak/>
        <w:t>4. Entry Mode Strategy and Strategic Synthesis</w:t>
      </w:r>
      <w:bookmarkEnd w:id="10"/>
    </w:p>
    <w:p w14:paraId="5E647D1E" w14:textId="77777777" w:rsidR="000E784A" w:rsidRPr="000E784A" w:rsidRDefault="000E784A" w:rsidP="000E784A">
      <w:pPr>
        <w:pStyle w:val="Heading2"/>
      </w:pPr>
      <w:bookmarkStart w:id="11" w:name="_Toc234634957"/>
      <w:r w:rsidRPr="000E784A">
        <w:t>4.1 Historical entry-mode pattern</w:t>
      </w:r>
      <w:bookmarkEnd w:id="11"/>
    </w:p>
    <w:p w14:paraId="5020D18C" w14:textId="77777777" w:rsidR="000E784A" w:rsidRPr="000E784A" w:rsidRDefault="000E784A" w:rsidP="000E784A">
      <w:pPr>
        <w:rPr>
          <w:rFonts w:eastAsia="Arial"/>
        </w:rPr>
      </w:pPr>
      <w:r w:rsidRPr="000E784A">
        <w:rPr>
          <w:rFonts w:eastAsia="Arial"/>
        </w:rPr>
        <w:t xml:space="preserve">Starbucks has not been dependent on any one of their past modes. It has a partner-led growth and selective </w:t>
      </w:r>
      <w:proofErr w:type="spellStart"/>
      <w:r w:rsidRPr="000E784A">
        <w:rPr>
          <w:rFonts w:eastAsia="Arial"/>
        </w:rPr>
        <w:t>internalisation</w:t>
      </w:r>
      <w:proofErr w:type="spellEnd"/>
      <w:r w:rsidRPr="000E784A">
        <w:rPr>
          <w:rFonts w:eastAsia="Arial"/>
        </w:rPr>
        <w:t xml:space="preserve"> as its main international strategy. 55 per cent of the international stores were licensed in fiscal 2024. The licensees paid for capital investments and operating expenses, and gave Starbucks market knowledge and retail location, while Starbucks gave the licensees products and procedures, training and brand control. There was a 50-50 partnership with Tata in India, while Alshaya was the source of growth in the Middle East and partners were later divested in established markets where the control was more important. This route looks like a true possibilities sequence: companion to learn and grow, then tweak ownership as uncertainty and capacity evolves (Starbucks Corporation, 2024; Tata Customer Merchandise, 2025).</w:t>
      </w:r>
    </w:p>
    <w:p w14:paraId="1613C60C" w14:textId="77777777" w:rsidR="000E784A" w:rsidRPr="000E784A" w:rsidRDefault="000E784A" w:rsidP="000E784A">
      <w:pPr>
        <w:rPr>
          <w:rFonts w:eastAsia="Arial"/>
        </w:rPr>
      </w:pPr>
      <w:r w:rsidRPr="000E784A">
        <w:rPr>
          <w:rFonts w:eastAsia="Arial"/>
        </w:rPr>
        <w:t xml:space="preserve">The evidence cut-off showed a continuation of the pattern. In April 2026, Starbucks </w:t>
      </w:r>
      <w:proofErr w:type="spellStart"/>
      <w:r w:rsidRPr="000E784A">
        <w:rPr>
          <w:rFonts w:eastAsia="Arial"/>
        </w:rPr>
        <w:t>finalised</w:t>
      </w:r>
      <w:proofErr w:type="spellEnd"/>
      <w:r w:rsidRPr="000E784A">
        <w:rPr>
          <w:rFonts w:eastAsia="Arial"/>
        </w:rPr>
        <w:t xml:space="preserve"> the handover of 60 per cent of its retail business in China to Boyu Capital, which it will continue to own 40 per cent of, while also licensing the brand and intellectual property. This was a reaction to the fact that there is very strong competition in the region and a desire to </w:t>
      </w:r>
      <w:proofErr w:type="spellStart"/>
      <w:r w:rsidRPr="000E784A">
        <w:rPr>
          <w:rFonts w:eastAsia="Arial"/>
        </w:rPr>
        <w:t>localise</w:t>
      </w:r>
      <w:proofErr w:type="spellEnd"/>
      <w:r w:rsidRPr="000E784A">
        <w:rPr>
          <w:rFonts w:eastAsia="Arial"/>
        </w:rPr>
        <w:t>. It shows that partner ownership is not just a stepping stone tactic, but can be used as a solution even when a company has been fully owned for decades (Reuters, 2026).</w:t>
      </w:r>
    </w:p>
    <w:p w14:paraId="0FA17A34" w14:textId="77777777" w:rsidR="000E784A" w:rsidRPr="000E784A" w:rsidRDefault="000E784A" w:rsidP="000E784A">
      <w:pPr>
        <w:pStyle w:val="Heading2"/>
      </w:pPr>
      <w:bookmarkStart w:id="12" w:name="_Toc234634958"/>
      <w:r w:rsidRPr="000E784A">
        <w:t>4.2 Strategic fit and mode comparison</w:t>
      </w:r>
      <w:bookmarkEnd w:id="12"/>
    </w:p>
    <w:p w14:paraId="0D31CB1A" w14:textId="3E4EC27B" w:rsidR="003050AC" w:rsidRDefault="000E784A" w:rsidP="000E784A">
      <w:r w:rsidRPr="000E784A">
        <w:rPr>
          <w:rFonts w:eastAsia="Arial"/>
        </w:rPr>
        <w:t xml:space="preserve">A company owned greenfield subsidiary provides the highest level of control, but is low on capital exposure and local knowledge and reversibility. Avoiding the integration risk, no Bangladeshi specialty chain is clearly in the right direction of scale, systems and clean strategic fit to make the investment worthwhile. Food-safety, perception-political and service risks, while contractual control is too floppy, are all features of a pure master </w:t>
      </w:r>
      <w:proofErr w:type="spellStart"/>
      <w:r w:rsidRPr="000E784A">
        <w:rPr>
          <w:rFonts w:eastAsia="Arial"/>
        </w:rPr>
        <w:t>licence</w:t>
      </w:r>
      <w:proofErr w:type="spellEnd"/>
      <w:r w:rsidRPr="000E784A">
        <w:rPr>
          <w:rFonts w:eastAsia="Arial"/>
        </w:rPr>
        <w:t>, which is fast and capital-light. In a minority-equity licensed joint venture, the best balance is achieved as incentives are aligned and Starbucks is not responsible for the full cost base locally</w:t>
      </w:r>
      <w:r>
        <w:rPr>
          <w:rFonts w:eastAsia="Arial"/>
        </w:rPr>
        <w:t xml:space="preserve"> (Meyer et al., 2009).</w:t>
      </w:r>
    </w:p>
    <w:p w14:paraId="4A496482" w14:textId="77777777" w:rsidR="003050AC" w:rsidRDefault="00000000" w:rsidP="000E784A">
      <w:r w:rsidRPr="000E784A">
        <w:rPr>
          <w:b/>
          <w:bCs/>
        </w:rPr>
        <w:t>Table 3</w:t>
      </w:r>
      <w:r>
        <w:t>. Entry-mode decision matrix</w:t>
      </w:r>
    </w:p>
    <w:tbl>
      <w:tblPr>
        <w:tblStyle w:val="TableGrid"/>
        <w:tblW w:w="9029" w:type="dxa"/>
        <w:tblInd w:w="120" w:type="dxa"/>
        <w:tblBorders>
          <w:top w:val="single" w:sz="6" w:space="0" w:color="B9C5C0"/>
          <w:left w:val="single" w:sz="6" w:space="0" w:color="B9C5C0"/>
          <w:bottom w:val="single" w:sz="6" w:space="0" w:color="B9C5C0"/>
          <w:right w:val="single" w:sz="6" w:space="0" w:color="B9C5C0"/>
          <w:insideH w:val="single" w:sz="6" w:space="0" w:color="B9C5C0"/>
          <w:insideV w:val="single" w:sz="6" w:space="0" w:color="B9C5C0"/>
        </w:tblBorders>
        <w:tblLayout w:type="fixed"/>
        <w:tblLook w:val="04A0" w:firstRow="1" w:lastRow="0" w:firstColumn="1" w:lastColumn="0" w:noHBand="0" w:noVBand="1"/>
      </w:tblPr>
      <w:tblGrid>
        <w:gridCol w:w="1600"/>
        <w:gridCol w:w="2550"/>
        <w:gridCol w:w="3200"/>
        <w:gridCol w:w="1679"/>
      </w:tblGrid>
      <w:tr w:rsidR="003050AC" w14:paraId="1F9DFCAA" w14:textId="77777777">
        <w:trPr>
          <w:cantSplit/>
          <w:tblHeader/>
        </w:trPr>
        <w:tc>
          <w:tcPr>
            <w:tcW w:w="1600" w:type="dxa"/>
            <w:shd w:val="clear" w:color="auto" w:fill="1E3932"/>
            <w:tcMar>
              <w:top w:w="100" w:type="dxa"/>
              <w:left w:w="120" w:type="dxa"/>
              <w:bottom w:w="100" w:type="dxa"/>
              <w:right w:w="120" w:type="dxa"/>
            </w:tcMar>
            <w:vAlign w:val="center"/>
          </w:tcPr>
          <w:p w14:paraId="7CA1B4AD" w14:textId="77777777" w:rsidR="003050AC" w:rsidRPr="000E784A" w:rsidRDefault="00000000" w:rsidP="000E784A">
            <w:pPr>
              <w:jc w:val="center"/>
              <w:rPr>
                <w:b/>
                <w:bCs/>
                <w:color w:val="FFFFFF" w:themeColor="background1"/>
              </w:rPr>
            </w:pPr>
            <w:r w:rsidRPr="000E784A">
              <w:rPr>
                <w:b/>
                <w:bCs/>
                <w:color w:val="FFFFFF" w:themeColor="background1"/>
              </w:rPr>
              <w:lastRenderedPageBreak/>
              <w:t>Mode</w:t>
            </w:r>
          </w:p>
        </w:tc>
        <w:tc>
          <w:tcPr>
            <w:tcW w:w="2550" w:type="dxa"/>
            <w:shd w:val="clear" w:color="auto" w:fill="1E3932"/>
            <w:tcMar>
              <w:top w:w="100" w:type="dxa"/>
              <w:left w:w="120" w:type="dxa"/>
              <w:bottom w:w="100" w:type="dxa"/>
              <w:right w:w="120" w:type="dxa"/>
            </w:tcMar>
            <w:vAlign w:val="center"/>
          </w:tcPr>
          <w:p w14:paraId="629D4ECD" w14:textId="77777777" w:rsidR="003050AC" w:rsidRPr="000E784A" w:rsidRDefault="00000000" w:rsidP="000E784A">
            <w:pPr>
              <w:jc w:val="center"/>
              <w:rPr>
                <w:b/>
                <w:bCs/>
                <w:color w:val="FFFFFF" w:themeColor="background1"/>
              </w:rPr>
            </w:pPr>
            <w:r w:rsidRPr="000E784A">
              <w:rPr>
                <w:b/>
                <w:bCs/>
                <w:color w:val="FFFFFF" w:themeColor="background1"/>
              </w:rPr>
              <w:t>Principal advantage</w:t>
            </w:r>
          </w:p>
        </w:tc>
        <w:tc>
          <w:tcPr>
            <w:tcW w:w="3200" w:type="dxa"/>
            <w:shd w:val="clear" w:color="auto" w:fill="1E3932"/>
            <w:tcMar>
              <w:top w:w="100" w:type="dxa"/>
              <w:left w:w="120" w:type="dxa"/>
              <w:bottom w:w="100" w:type="dxa"/>
              <w:right w:w="120" w:type="dxa"/>
            </w:tcMar>
            <w:vAlign w:val="center"/>
          </w:tcPr>
          <w:p w14:paraId="47E4F559" w14:textId="77777777" w:rsidR="003050AC" w:rsidRPr="000E784A" w:rsidRDefault="00000000" w:rsidP="000E784A">
            <w:pPr>
              <w:jc w:val="center"/>
              <w:rPr>
                <w:b/>
                <w:bCs/>
                <w:color w:val="FFFFFF" w:themeColor="background1"/>
              </w:rPr>
            </w:pPr>
            <w:r w:rsidRPr="000E784A">
              <w:rPr>
                <w:b/>
                <w:bCs/>
                <w:color w:val="FFFFFF" w:themeColor="background1"/>
              </w:rPr>
              <w:t>Decisive limitation in Bangladesh</w:t>
            </w:r>
          </w:p>
        </w:tc>
        <w:tc>
          <w:tcPr>
            <w:tcW w:w="1679" w:type="dxa"/>
            <w:shd w:val="clear" w:color="auto" w:fill="1E3932"/>
            <w:tcMar>
              <w:top w:w="100" w:type="dxa"/>
              <w:left w:w="120" w:type="dxa"/>
              <w:bottom w:w="100" w:type="dxa"/>
              <w:right w:w="120" w:type="dxa"/>
            </w:tcMar>
            <w:vAlign w:val="center"/>
          </w:tcPr>
          <w:p w14:paraId="35A5403C" w14:textId="77777777" w:rsidR="003050AC" w:rsidRPr="000E784A" w:rsidRDefault="00000000" w:rsidP="000E784A">
            <w:pPr>
              <w:jc w:val="center"/>
              <w:rPr>
                <w:b/>
                <w:bCs/>
                <w:color w:val="FFFFFF" w:themeColor="background1"/>
              </w:rPr>
            </w:pPr>
            <w:r w:rsidRPr="000E784A">
              <w:rPr>
                <w:b/>
                <w:bCs/>
                <w:color w:val="FFFFFF" w:themeColor="background1"/>
              </w:rPr>
              <w:t>Weighted result</w:t>
            </w:r>
          </w:p>
        </w:tc>
      </w:tr>
      <w:tr w:rsidR="003050AC" w14:paraId="600F74A9" w14:textId="77777777">
        <w:tc>
          <w:tcPr>
            <w:tcW w:w="1600" w:type="dxa"/>
          </w:tcPr>
          <w:p w14:paraId="0AF2C873" w14:textId="77777777" w:rsidR="003050AC" w:rsidRDefault="00000000" w:rsidP="000E784A">
            <w:r>
              <w:t>Wholly owned</w:t>
            </w:r>
          </w:p>
        </w:tc>
        <w:tc>
          <w:tcPr>
            <w:tcW w:w="2550" w:type="dxa"/>
          </w:tcPr>
          <w:p w14:paraId="1F008A38" w14:textId="77777777" w:rsidR="003050AC" w:rsidRDefault="00000000" w:rsidP="000E784A">
            <w:r>
              <w:t>Maximum experience, data and brand control</w:t>
            </w:r>
          </w:p>
        </w:tc>
        <w:tc>
          <w:tcPr>
            <w:tcW w:w="3200" w:type="dxa"/>
          </w:tcPr>
          <w:p w14:paraId="72C340C9" w14:textId="77777777" w:rsidR="003050AC" w:rsidRDefault="00000000" w:rsidP="000E784A">
            <w:r>
              <w:t>High capital, FX and institutional exposure</w:t>
            </w:r>
          </w:p>
        </w:tc>
        <w:tc>
          <w:tcPr>
            <w:tcW w:w="1679" w:type="dxa"/>
          </w:tcPr>
          <w:p w14:paraId="479952EF" w14:textId="77777777" w:rsidR="003050AC" w:rsidRDefault="00000000" w:rsidP="000E784A">
            <w:r>
              <w:t>2.55 / 5</w:t>
            </w:r>
          </w:p>
        </w:tc>
      </w:tr>
      <w:tr w:rsidR="003050AC" w14:paraId="1AE3CE64" w14:textId="77777777">
        <w:tc>
          <w:tcPr>
            <w:tcW w:w="1600" w:type="dxa"/>
            <w:shd w:val="clear" w:color="auto" w:fill="F2F4F3"/>
          </w:tcPr>
          <w:p w14:paraId="4BFB6F6E" w14:textId="77777777" w:rsidR="003050AC" w:rsidRDefault="00000000" w:rsidP="000E784A">
            <w:r>
              <w:t>Acquisition</w:t>
            </w:r>
          </w:p>
        </w:tc>
        <w:tc>
          <w:tcPr>
            <w:tcW w:w="2550" w:type="dxa"/>
            <w:shd w:val="clear" w:color="auto" w:fill="F2F4F3"/>
          </w:tcPr>
          <w:p w14:paraId="07EEA85B" w14:textId="77777777" w:rsidR="003050AC" w:rsidRDefault="00000000" w:rsidP="000E784A">
            <w:r>
              <w:t>Faster access to sites and staff</w:t>
            </w:r>
          </w:p>
        </w:tc>
        <w:tc>
          <w:tcPr>
            <w:tcW w:w="3200" w:type="dxa"/>
            <w:shd w:val="clear" w:color="auto" w:fill="F2F4F3"/>
          </w:tcPr>
          <w:p w14:paraId="69BD52EB" w14:textId="77777777" w:rsidR="003050AC" w:rsidRDefault="00000000" w:rsidP="000E784A">
            <w:r>
              <w:t>No obvious target; integration and legacy risk</w:t>
            </w:r>
          </w:p>
        </w:tc>
        <w:tc>
          <w:tcPr>
            <w:tcW w:w="1679" w:type="dxa"/>
            <w:shd w:val="clear" w:color="auto" w:fill="F2F4F3"/>
          </w:tcPr>
          <w:p w14:paraId="1F22F37D" w14:textId="77777777" w:rsidR="003050AC" w:rsidRDefault="00000000" w:rsidP="000E784A">
            <w:r>
              <w:t>2.90 / 5</w:t>
            </w:r>
          </w:p>
        </w:tc>
      </w:tr>
      <w:tr w:rsidR="003050AC" w14:paraId="39A78290" w14:textId="77777777">
        <w:tc>
          <w:tcPr>
            <w:tcW w:w="1600" w:type="dxa"/>
          </w:tcPr>
          <w:p w14:paraId="30718CD9" w14:textId="77777777" w:rsidR="003050AC" w:rsidRDefault="00000000" w:rsidP="000E784A">
            <w:r>
              <w:t xml:space="preserve">Master </w:t>
            </w:r>
            <w:proofErr w:type="spellStart"/>
            <w:r>
              <w:t>licence</w:t>
            </w:r>
            <w:proofErr w:type="spellEnd"/>
          </w:p>
        </w:tc>
        <w:tc>
          <w:tcPr>
            <w:tcW w:w="2550" w:type="dxa"/>
          </w:tcPr>
          <w:p w14:paraId="0F35355B" w14:textId="77777777" w:rsidR="003050AC" w:rsidRDefault="00000000" w:rsidP="000E784A">
            <w:r>
              <w:t>Fast, flexible and capital-light</w:t>
            </w:r>
          </w:p>
        </w:tc>
        <w:tc>
          <w:tcPr>
            <w:tcW w:w="3200" w:type="dxa"/>
          </w:tcPr>
          <w:p w14:paraId="074C9358" w14:textId="77777777" w:rsidR="003050AC" w:rsidRDefault="00000000" w:rsidP="000E784A">
            <w:r>
              <w:t>Weakest direct control over service and reputation</w:t>
            </w:r>
          </w:p>
        </w:tc>
        <w:tc>
          <w:tcPr>
            <w:tcW w:w="1679" w:type="dxa"/>
          </w:tcPr>
          <w:p w14:paraId="1FBD3BB0" w14:textId="77777777" w:rsidR="003050AC" w:rsidRDefault="00000000" w:rsidP="000E784A">
            <w:r>
              <w:t>3.65 / 5</w:t>
            </w:r>
          </w:p>
        </w:tc>
      </w:tr>
      <w:tr w:rsidR="003050AC" w14:paraId="600E1A6A" w14:textId="77777777">
        <w:tc>
          <w:tcPr>
            <w:tcW w:w="1600" w:type="dxa"/>
            <w:shd w:val="clear" w:color="auto" w:fill="F2F4F3"/>
          </w:tcPr>
          <w:p w14:paraId="6A48ADEB" w14:textId="77777777" w:rsidR="003050AC" w:rsidRDefault="00000000" w:rsidP="000E784A">
            <w:r>
              <w:t xml:space="preserve">Minority JV + </w:t>
            </w:r>
            <w:proofErr w:type="spellStart"/>
            <w:r>
              <w:t>licence</w:t>
            </w:r>
            <w:proofErr w:type="spellEnd"/>
          </w:p>
        </w:tc>
        <w:tc>
          <w:tcPr>
            <w:tcW w:w="2550" w:type="dxa"/>
            <w:shd w:val="clear" w:color="auto" w:fill="F2F4F3"/>
          </w:tcPr>
          <w:p w14:paraId="014507E3" w14:textId="77777777" w:rsidR="003050AC" w:rsidRDefault="00000000" w:rsidP="000E784A">
            <w:r>
              <w:t>Local execution with equity alignment and reserved controls</w:t>
            </w:r>
          </w:p>
        </w:tc>
        <w:tc>
          <w:tcPr>
            <w:tcW w:w="3200" w:type="dxa"/>
            <w:shd w:val="clear" w:color="auto" w:fill="F2F4F3"/>
          </w:tcPr>
          <w:p w14:paraId="504C3813" w14:textId="77777777" w:rsidR="003050AC" w:rsidRDefault="00000000" w:rsidP="000E784A">
            <w:r>
              <w:t>Partner selection and governance complexity</w:t>
            </w:r>
          </w:p>
        </w:tc>
        <w:tc>
          <w:tcPr>
            <w:tcW w:w="1679" w:type="dxa"/>
            <w:shd w:val="clear" w:color="auto" w:fill="F2F4F3"/>
          </w:tcPr>
          <w:p w14:paraId="17101BFB" w14:textId="77777777" w:rsidR="003050AC" w:rsidRDefault="00000000" w:rsidP="000E784A">
            <w:r>
              <w:t>4.25 / 5</w:t>
            </w:r>
          </w:p>
        </w:tc>
      </w:tr>
    </w:tbl>
    <w:p w14:paraId="1818311F" w14:textId="77777777" w:rsidR="003050AC" w:rsidRPr="000E784A" w:rsidRDefault="00000000" w:rsidP="000E784A">
      <w:pPr>
        <w:rPr>
          <w:i/>
          <w:iCs/>
          <w:sz w:val="22"/>
          <w:szCs w:val="20"/>
        </w:rPr>
      </w:pPr>
      <w:r w:rsidRPr="000E784A">
        <w:rPr>
          <w:i/>
          <w:iCs/>
          <w:sz w:val="22"/>
          <w:szCs w:val="20"/>
        </w:rPr>
        <w:t xml:space="preserve">Source: Evidence-weighted assessment. Weights: local access 20%, control 20%, capital and risk 20%, speed 10%, quality and IP 15%, long-term flexibility 15%. Framework informed by Agarwal and Ramaswami (1992), </w:t>
      </w:r>
      <w:proofErr w:type="spellStart"/>
      <w:r w:rsidRPr="000E784A">
        <w:rPr>
          <w:i/>
          <w:iCs/>
          <w:sz w:val="22"/>
          <w:szCs w:val="20"/>
        </w:rPr>
        <w:t>Brouthers</w:t>
      </w:r>
      <w:proofErr w:type="spellEnd"/>
      <w:r w:rsidRPr="000E784A">
        <w:rPr>
          <w:i/>
          <w:iCs/>
          <w:sz w:val="22"/>
          <w:szCs w:val="20"/>
        </w:rPr>
        <w:t xml:space="preserve"> (2002) and Hill, Hwang and Kim (1990).</w:t>
      </w:r>
    </w:p>
    <w:p w14:paraId="73213937" w14:textId="77777777" w:rsidR="003050AC" w:rsidRDefault="00000000" w:rsidP="000E784A">
      <w:pPr>
        <w:pStyle w:val="Heading2"/>
      </w:pPr>
      <w:bookmarkStart w:id="13" w:name="_Toc234634959"/>
      <w:r>
        <w:t>4.3 Recommendation and implementation</w:t>
      </w:r>
      <w:bookmarkEnd w:id="13"/>
    </w:p>
    <w:p w14:paraId="007E6FAD" w14:textId="77777777" w:rsidR="000E784A" w:rsidRPr="000E784A" w:rsidRDefault="000E784A" w:rsidP="000E784A">
      <w:pPr>
        <w:rPr>
          <w:rFonts w:eastAsia="Arial"/>
        </w:rPr>
      </w:pPr>
      <w:r w:rsidRPr="000E784A">
        <w:rPr>
          <w:rFonts w:eastAsia="Arial"/>
        </w:rPr>
        <w:t xml:space="preserve">The recommended strategy for Starbucks is to set up a Starbucks Corporation in Bangladesh that is 60% owned by a local partner while the remaining 40% is owned by Starbucks itself, and to be accompanied by an exclusive Starbucks retail </w:t>
      </w:r>
      <w:proofErr w:type="spellStart"/>
      <w:r w:rsidRPr="000E784A">
        <w:rPr>
          <w:rFonts w:eastAsia="Arial"/>
        </w:rPr>
        <w:t>licence</w:t>
      </w:r>
      <w:proofErr w:type="spellEnd"/>
      <w:r w:rsidRPr="000E784A">
        <w:rPr>
          <w:rFonts w:eastAsia="Arial"/>
        </w:rPr>
        <w:t xml:space="preserve"> based on performance. The structure is similar to Starbucks' proven ability to operate under minority ownership, while maintaining the brand and intellectual property. Starbucks should name the quality and brand director and maintain control over trademarks, store design, coffee supply, core recipes, standards for digital, senior operating leadership, related party transactions and expansion. Most of the store capital and property, employment, distribution and regulatory execution should be done by the local partner (Reuters, 2026).</w:t>
      </w:r>
    </w:p>
    <w:p w14:paraId="0D8EDD99" w14:textId="77777777" w:rsidR="000E784A" w:rsidRPr="000E784A" w:rsidRDefault="000E784A" w:rsidP="000E784A">
      <w:pPr>
        <w:rPr>
          <w:rFonts w:eastAsia="Arial"/>
        </w:rPr>
      </w:pPr>
      <w:r w:rsidRPr="000E784A">
        <w:rPr>
          <w:rFonts w:eastAsia="Arial"/>
        </w:rPr>
        <w:t xml:space="preserve">Appointments of partners should be done in a competitive manner and not for convenience. Transcom Foods should be shortlisted as it has international restaurant franchises and has adjacent beverage and distribution capabilities but </w:t>
      </w:r>
      <w:r w:rsidRPr="000E784A">
        <w:rPr>
          <w:rFonts w:eastAsia="Arial"/>
        </w:rPr>
        <w:lastRenderedPageBreak/>
        <w:t xml:space="preserve">must be subject to beneficial-ownership, financial, litigation, </w:t>
      </w:r>
      <w:proofErr w:type="spellStart"/>
      <w:r w:rsidRPr="000E784A">
        <w:rPr>
          <w:rFonts w:eastAsia="Arial"/>
        </w:rPr>
        <w:t>labour</w:t>
      </w:r>
      <w:proofErr w:type="spellEnd"/>
      <w:r w:rsidRPr="000E784A">
        <w:rPr>
          <w:rFonts w:eastAsia="Arial"/>
        </w:rPr>
        <w:t>, tax, cyber, property and integrity due diligence. This should involve audit and step-in rights, deadlock escalation, minimum development obligations, anti-bribery termination, brand-damage remedy and performance-related call and put options (Transcom Group, 2025).</w:t>
      </w:r>
    </w:p>
    <w:p w14:paraId="4B9CD4C0" w14:textId="42DEF740" w:rsidR="003050AC" w:rsidRDefault="000E784A" w:rsidP="000E784A">
      <w:r w:rsidRPr="000E784A">
        <w:rPr>
          <w:rFonts w:eastAsia="Arial"/>
        </w:rPr>
        <w:t xml:space="preserve">Two distinct Dhaka stores should be considered for the commercial launch: a large store (flagship) in a high-income mixed-use catchment and a smaller store for students and professionals. Coffee is the core product, which needs to be consistent worldwide, and the local milk, bakery, tea and packaging </w:t>
      </w:r>
      <w:proofErr w:type="spellStart"/>
      <w:r w:rsidRPr="000E784A">
        <w:rPr>
          <w:rFonts w:eastAsia="Arial"/>
        </w:rPr>
        <w:t>minimise</w:t>
      </w:r>
      <w:proofErr w:type="spellEnd"/>
      <w:r w:rsidRPr="000E784A">
        <w:rPr>
          <w:rFonts w:eastAsia="Arial"/>
        </w:rPr>
        <w:t xml:space="preserve"> currency exposure. Prices to maintain a premium level, with smaller entry sizes and bundles. Coffee, hospitality and local jobs and community should be the first thing marketing focuses on, not foreign celebrity. Bangladesh loyalty proposition should start with local payments that can be interoperable and then move towards the global app</w:t>
      </w:r>
      <w:r>
        <w:rPr>
          <w:rFonts w:eastAsia="Arial"/>
        </w:rPr>
        <w:t xml:space="preserve"> (International Finance Corporation, 2025).</w:t>
      </w:r>
    </w:p>
    <w:p w14:paraId="5A9AB8B8" w14:textId="77777777" w:rsidR="003050AC" w:rsidRDefault="00000000">
      <w:pPr>
        <w:keepNext/>
        <w:jc w:val="center"/>
      </w:pPr>
      <w:r>
        <w:rPr>
          <w:noProof/>
        </w:rPr>
        <w:drawing>
          <wp:inline distT="0" distB="0" distL="0" distR="0" wp14:anchorId="1D50BC81" wp14:editId="0033B9AD">
            <wp:extent cx="5622925" cy="1847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gladesh_entry_roadmap.png"/>
                    <pic:cNvPicPr/>
                  </pic:nvPicPr>
                  <pic:blipFill rotWithShape="1">
                    <a:blip r:embed="rId11"/>
                    <a:srcRect t="16092" b="9576"/>
                    <a:stretch>
                      <a:fillRect/>
                    </a:stretch>
                  </pic:blipFill>
                  <pic:spPr bwMode="auto">
                    <a:xfrm>
                      <a:off x="0" y="0"/>
                      <a:ext cx="5623560" cy="1848059"/>
                    </a:xfrm>
                    <a:prstGeom prst="rect">
                      <a:avLst/>
                    </a:prstGeom>
                    <a:ln>
                      <a:noFill/>
                    </a:ln>
                    <a:extLst>
                      <a:ext uri="{53640926-AAD7-44D8-BBD7-CCE9431645EC}">
                        <a14:shadowObscured xmlns:a14="http://schemas.microsoft.com/office/drawing/2010/main"/>
                      </a:ext>
                    </a:extLst>
                  </pic:spPr>
                </pic:pic>
              </a:graphicData>
            </a:graphic>
          </wp:inline>
        </w:drawing>
      </w:r>
    </w:p>
    <w:p w14:paraId="7CAD450E" w14:textId="77777777" w:rsidR="003050AC" w:rsidRPr="000E784A" w:rsidRDefault="00000000" w:rsidP="000E784A">
      <w:pPr>
        <w:jc w:val="center"/>
        <w:rPr>
          <w:i/>
          <w:iCs/>
        </w:rPr>
      </w:pPr>
      <w:r w:rsidRPr="000E784A">
        <w:rPr>
          <w:i/>
          <w:iCs/>
        </w:rPr>
        <w:t>Figure 3. Phased Bangladesh entry roadmap</w:t>
      </w:r>
    </w:p>
    <w:p w14:paraId="1E3F1E9A" w14:textId="77777777" w:rsidR="003050AC" w:rsidRDefault="00000000" w:rsidP="000E784A">
      <w:pPr>
        <w:jc w:val="center"/>
      </w:pPr>
      <w:r w:rsidRPr="000E784A">
        <w:rPr>
          <w:i/>
          <w:iCs/>
        </w:rPr>
        <w:t>Source: Strategic synthesis based on the host-country and entry-mode analysis</w:t>
      </w:r>
      <w:r>
        <w:t>.</w:t>
      </w:r>
    </w:p>
    <w:p w14:paraId="77BCDEEA" w14:textId="77777777" w:rsidR="0036155E" w:rsidRPr="0036155E" w:rsidRDefault="0036155E" w:rsidP="0036155E">
      <w:pPr>
        <w:rPr>
          <w:rFonts w:eastAsia="Arial"/>
        </w:rPr>
      </w:pPr>
      <w:r w:rsidRPr="0036155E">
        <w:rPr>
          <w:rFonts w:eastAsia="Arial"/>
        </w:rPr>
        <w:t xml:space="preserve">Gates should be implemented for expansion. The first review will be a test for all legal readiness and partner execution, as well as price acceptance, prior to opening. The second must meet criteria of clean food-safety audits, repeat buying, positive store contribution, controlled staff turnover and acceptable foreign-exchange variance. The network should only expand to 5-8 Dhaka locations and then to an airport, mall or Chattogram location if there is evidence to support this. This is in line with incremental </w:t>
      </w:r>
      <w:proofErr w:type="spellStart"/>
      <w:r w:rsidRPr="0036155E">
        <w:rPr>
          <w:rFonts w:eastAsia="Arial"/>
        </w:rPr>
        <w:t>internationalisation</w:t>
      </w:r>
      <w:proofErr w:type="spellEnd"/>
      <w:r w:rsidRPr="0036155E">
        <w:rPr>
          <w:rFonts w:eastAsia="Arial"/>
        </w:rPr>
        <w:t xml:space="preserve"> under uncertainty (Johanson and Vahlne, 1977) as it allows for protection of the downside while maintaining learning and growth opportunities.</w:t>
      </w:r>
    </w:p>
    <w:p w14:paraId="23C09DA9" w14:textId="77777777" w:rsidR="0036155E" w:rsidRPr="0036155E" w:rsidRDefault="0036155E" w:rsidP="0036155E">
      <w:pPr>
        <w:pStyle w:val="Heading2"/>
      </w:pPr>
      <w:bookmarkStart w:id="14" w:name="_Toc234634960"/>
      <w:r w:rsidRPr="0036155E">
        <w:lastRenderedPageBreak/>
        <w:t>4.4 Conclusion</w:t>
      </w:r>
      <w:bookmarkEnd w:id="14"/>
    </w:p>
    <w:p w14:paraId="2F6D308A" w14:textId="77777777" w:rsidR="0036155E" w:rsidRPr="0036155E" w:rsidRDefault="0036155E" w:rsidP="0036155E">
      <w:pPr>
        <w:rPr>
          <w:rFonts w:eastAsia="Arial"/>
        </w:rPr>
      </w:pPr>
      <w:r w:rsidRPr="0036155E">
        <w:rPr>
          <w:rFonts w:eastAsia="Arial"/>
        </w:rPr>
        <w:t xml:space="preserve">While not a market that can be scaled up immediately, Bangladesh is a market that is appealing for a controlled experiment for Starbucks. Starbucks' transnational abilities and partner system of </w:t>
      </w:r>
      <w:proofErr w:type="spellStart"/>
      <w:r w:rsidRPr="0036155E">
        <w:rPr>
          <w:rFonts w:eastAsia="Arial"/>
        </w:rPr>
        <w:t>internationalisation</w:t>
      </w:r>
      <w:proofErr w:type="spellEnd"/>
      <w:r w:rsidRPr="0036155E">
        <w:rPr>
          <w:rFonts w:eastAsia="Arial"/>
        </w:rPr>
        <w:t xml:space="preserve"> bring about real ownership and </w:t>
      </w:r>
      <w:proofErr w:type="spellStart"/>
      <w:r w:rsidRPr="0036155E">
        <w:rPr>
          <w:rFonts w:eastAsia="Arial"/>
        </w:rPr>
        <w:t>internalisation</w:t>
      </w:r>
      <w:proofErr w:type="spellEnd"/>
      <w:r w:rsidRPr="0036155E">
        <w:rPr>
          <w:rFonts w:eastAsia="Arial"/>
        </w:rPr>
        <w:t xml:space="preserve"> advantages. Dhaka has adequate demand in the urban areas, and “coffeehouse </w:t>
      </w:r>
      <w:proofErr w:type="spellStart"/>
      <w:r w:rsidRPr="0036155E">
        <w:rPr>
          <w:rFonts w:eastAsia="Arial"/>
        </w:rPr>
        <w:t>behaviour</w:t>
      </w:r>
      <w:proofErr w:type="spellEnd"/>
      <w:r w:rsidRPr="0036155E">
        <w:rPr>
          <w:rFonts w:eastAsia="Arial"/>
        </w:rPr>
        <w:t>” renders any accrual of foreign exchange and inflation coupled with regulatory coordination and political brand sensitivity, inappropriate for 100% ownership. A 40:60 licensed joint venture along with a pilot (two store) and evidence-gated expansion fit the situation best. The recommendation is to maintain Starbucks quality and PV along with a "Best of Breed" execution partner with most of the capital moving to the partner, which can be substituted or bought out as performance and institutions change.</w:t>
      </w:r>
    </w:p>
    <w:p w14:paraId="0A611C4E" w14:textId="77777777" w:rsidR="0036155E" w:rsidRDefault="0036155E" w:rsidP="0036155E">
      <w:pPr>
        <w:pStyle w:val="Heading1"/>
      </w:pPr>
      <w:r w:rsidRPr="0036155E">
        <w:t xml:space="preserve"> </w:t>
      </w:r>
    </w:p>
    <w:p w14:paraId="500654D1" w14:textId="77777777" w:rsidR="0036155E" w:rsidRDefault="0036155E">
      <w:pPr>
        <w:spacing w:after="200" w:line="276" w:lineRule="auto"/>
        <w:jc w:val="left"/>
        <w:rPr>
          <w:rFonts w:eastAsiaTheme="majorEastAsia" w:cstheme="majorBidi"/>
          <w:b/>
          <w:bCs/>
          <w:color w:val="1E3932"/>
          <w:sz w:val="32"/>
          <w:szCs w:val="28"/>
        </w:rPr>
      </w:pPr>
      <w:r>
        <w:br w:type="page"/>
      </w:r>
    </w:p>
    <w:p w14:paraId="0AEBF74D" w14:textId="4A879FB2" w:rsidR="0036155E" w:rsidRPr="0036155E" w:rsidRDefault="0036155E" w:rsidP="0036155E">
      <w:pPr>
        <w:pStyle w:val="Heading1"/>
      </w:pPr>
      <w:bookmarkStart w:id="15" w:name="_Toc234634961"/>
      <w:r w:rsidRPr="0036155E">
        <w:lastRenderedPageBreak/>
        <w:t>5. Reflective Account Using Gibbs' Reflective Cycle</w:t>
      </w:r>
      <w:bookmarkEnd w:id="15"/>
    </w:p>
    <w:p w14:paraId="197AFE4C" w14:textId="77777777" w:rsidR="0036155E" w:rsidRPr="0036155E" w:rsidRDefault="0036155E" w:rsidP="0036155E">
      <w:pPr>
        <w:pStyle w:val="Heading2"/>
      </w:pPr>
      <w:bookmarkStart w:id="16" w:name="_Toc234634962"/>
      <w:r w:rsidRPr="0036155E">
        <w:t>5.1 Description</w:t>
      </w:r>
      <w:bookmarkEnd w:id="16"/>
    </w:p>
    <w:p w14:paraId="1E7A5B5D" w14:textId="77777777" w:rsidR="0036155E" w:rsidRPr="0036155E" w:rsidRDefault="0036155E" w:rsidP="0036155E">
      <w:pPr>
        <w:rPr>
          <w:rFonts w:eastAsia="Arial"/>
        </w:rPr>
      </w:pPr>
      <w:r w:rsidRPr="0036155E">
        <w:rPr>
          <w:rFonts w:eastAsia="Arial"/>
        </w:rPr>
        <w:t>This was achieved starting with the screening of potential combinations of companies and countries with two criteria: there could be no significant company operations in the target countries on 1 June 2026, and there could be evidence of international entry efforts of the company. Starbucks and Bangladesh passed both the tests; I didn't consider a lack of a store to be sufficient. I verified that the corporate filing, the official locator, and the international market information and local reporting indicated that there were no announcements of entry, subsidiaries and/or indirect product sales. Then I came up with a hierarchy of sources that has corporate filings and government and multilateral information as the top tier sources, followed by promotional or general web content. The process of separating what I did from how I judged and improved it, was helped by Gibbs' sequence. (Gibbs, 1988).</w:t>
      </w:r>
    </w:p>
    <w:p w14:paraId="570FC9A3" w14:textId="77777777" w:rsidR="0036155E" w:rsidRPr="0036155E" w:rsidRDefault="0036155E" w:rsidP="0036155E">
      <w:pPr>
        <w:pStyle w:val="Heading2"/>
      </w:pPr>
      <w:bookmarkStart w:id="17" w:name="_Toc234634963"/>
      <w:r w:rsidRPr="0036155E">
        <w:t>5.2 Feelings</w:t>
      </w:r>
      <w:bookmarkEnd w:id="17"/>
    </w:p>
    <w:p w14:paraId="13B75DAA" w14:textId="74580B7E" w:rsidR="0036155E" w:rsidRPr="0036155E" w:rsidRDefault="0036155E" w:rsidP="0036155E">
      <w:pPr>
        <w:rPr>
          <w:rFonts w:eastAsia="Arial"/>
        </w:rPr>
      </w:pPr>
      <w:r w:rsidRPr="0036155E">
        <w:rPr>
          <w:rFonts w:eastAsia="Arial"/>
        </w:rPr>
        <w:t xml:space="preserve">Initially it was a simple matter; well-known brand Starbucks and Bangladesh </w:t>
      </w:r>
      <w:proofErr w:type="gramStart"/>
      <w:r w:rsidRPr="0036155E">
        <w:rPr>
          <w:rFonts w:eastAsia="Arial"/>
        </w:rPr>
        <w:t>has</w:t>
      </w:r>
      <w:proofErr w:type="gramEnd"/>
      <w:r w:rsidRPr="0036155E">
        <w:rPr>
          <w:rFonts w:eastAsia="Arial"/>
        </w:rPr>
        <w:t xml:space="preserve"> a huge population. As their evidence grew, my simplicity of an opportunity concept waned. Due to inflation, motivation in foreign-exchange pressure, the narrowing gap between the size of the premium segment, it was not possible to use population as a proxy for demand. I also felt wary about talking about culture as I didn't want to paint with too broad a brush, and risk creating stereotypes for the country. That discomfort was good – it meant that I had to adopt the way of the local cafes to using a regulatory framework to argue and reporting in conditional language rather than assuming what was as fact.</w:t>
      </w:r>
    </w:p>
    <w:p w14:paraId="7C91085D" w14:textId="77777777" w:rsidR="0036155E" w:rsidRPr="0036155E" w:rsidRDefault="0036155E" w:rsidP="0036155E">
      <w:pPr>
        <w:pStyle w:val="Heading2"/>
      </w:pPr>
      <w:bookmarkStart w:id="18" w:name="_Toc234634964"/>
      <w:r w:rsidRPr="0036155E">
        <w:t>5.3 Evaluation</w:t>
      </w:r>
      <w:bookmarkEnd w:id="18"/>
    </w:p>
    <w:p w14:paraId="62FACE2C" w14:textId="77777777" w:rsidR="0036155E" w:rsidRPr="0036155E" w:rsidRDefault="0036155E" w:rsidP="0036155E">
      <w:pPr>
        <w:rPr>
          <w:rFonts w:eastAsia="Arial"/>
        </w:rPr>
      </w:pPr>
      <w:r w:rsidRPr="0036155E">
        <w:rPr>
          <w:rFonts w:eastAsia="Arial"/>
        </w:rPr>
        <w:t xml:space="preserve">Triangulation was by far the best component of the process. Starbucks' filing provided the lens of the economics/gov' of the licensed stores, formal processes of investment and franchising were outlined by BIDA, and the World Bank questioned the rosy market picture while local reportage revealed the reality of local </w:t>
      </w:r>
      <w:proofErr w:type="spellStart"/>
      <w:r w:rsidRPr="0036155E">
        <w:rPr>
          <w:rFonts w:eastAsia="Arial"/>
        </w:rPr>
        <w:t>behaviours</w:t>
      </w:r>
      <w:proofErr w:type="spellEnd"/>
      <w:r w:rsidRPr="0036155E">
        <w:rPr>
          <w:rFonts w:eastAsia="Arial"/>
        </w:rPr>
        <w:t xml:space="preserve"> of the coffeehouse. The one main disadvantage was that the data quality wasn't even. The premium cafe segment is not measured from any authoritative public data </w:t>
      </w:r>
      <w:r w:rsidRPr="0036155E">
        <w:rPr>
          <w:rFonts w:eastAsia="Arial"/>
        </w:rPr>
        <w:lastRenderedPageBreak/>
        <w:t>sources and corporate disclosure is the reason behind the aggregation of a number of smaller countries. The only way I could fill that void was to put in some poor market suppositions, and that gave me the opportunity to make consumer testing part of the entry design and cut back to a pilot program.</w:t>
      </w:r>
    </w:p>
    <w:p w14:paraId="4AC44786" w14:textId="77777777" w:rsidR="0036155E" w:rsidRPr="0036155E" w:rsidRDefault="0036155E" w:rsidP="0036155E">
      <w:pPr>
        <w:rPr>
          <w:rFonts w:eastAsia="Arial"/>
        </w:rPr>
      </w:pPr>
      <w:r w:rsidRPr="0036155E">
        <w:rPr>
          <w:rFonts w:eastAsia="Arial"/>
        </w:rPr>
        <w:t>The other weakness I had was my initial proclivity to make the case more certain than it ever was based on my familiarity with a brand. I did a preliminary search to see if there was any confirmation that Bangladesh presented a big opportunity and then a search to see adverse evidence. This anchoring effect was revealed, when the work was reordered. I applied the analysis that I had made on host-country constraints and then sought to identify the capabilities of Starbucks that can overcome the constraints. This shifted the advice towards a conventional franchise system to a reversible joint venture system with clear cut clauses for termination. Another drawback of the decision matrix was that the numerical scores seemed to suggest a level of precision when, in fact, the weights were judgements. The matrix was only kept as a transparent comparison and I made sure in the narrative that all scores were explained for. In the future, I also would have a second reviewer challenge the weights - come up with a sensitivity range where with slight modifications, the ranking would change. I would also make a note before finding out if evidence was being used to get in, of why or why it wasn't. Only structured tools that have their assumptions clearly displayed and challenged can be used to enhance judgements.</w:t>
      </w:r>
    </w:p>
    <w:p w14:paraId="66F8BBD7" w14:textId="77777777" w:rsidR="0036155E" w:rsidRPr="0036155E" w:rsidRDefault="0036155E" w:rsidP="0036155E">
      <w:pPr>
        <w:pStyle w:val="Heading2"/>
      </w:pPr>
      <w:bookmarkStart w:id="19" w:name="_Toc234634965"/>
      <w:r w:rsidRPr="0036155E">
        <w:t>5.4 Analysis</w:t>
      </w:r>
      <w:bookmarkEnd w:id="19"/>
    </w:p>
    <w:p w14:paraId="6F4B10FA" w14:textId="77777777" w:rsidR="0036155E" w:rsidRPr="0036155E" w:rsidRDefault="0036155E" w:rsidP="0036155E">
      <w:pPr>
        <w:rPr>
          <w:rFonts w:eastAsia="Arial"/>
        </w:rPr>
      </w:pPr>
      <w:r w:rsidRPr="0036155E">
        <w:rPr>
          <w:rFonts w:eastAsia="Arial"/>
        </w:rPr>
        <w:t xml:space="preserve">The descriptions of the conceptual models were more productive if I thought of them as being linked rather than as distinct descriptions. Bartlett and Ghoshal discussed the need for Starbucks to have a protected core in the world and at the same time be responsive to the local needs. The political, economic, legal and cultural analysis identified where there was a need for responsiveness. OLI then interpreted those findings as governance in the form of strong ownership advantages facilitating entry, mixed location advantages acting as a constraint on commitment and incomplete </w:t>
      </w:r>
      <w:proofErr w:type="spellStart"/>
      <w:r w:rsidRPr="0036155E">
        <w:rPr>
          <w:rFonts w:eastAsia="Arial"/>
        </w:rPr>
        <w:t>internalisation</w:t>
      </w:r>
      <w:proofErr w:type="spellEnd"/>
      <w:r w:rsidRPr="0036155E">
        <w:rPr>
          <w:rFonts w:eastAsia="Arial"/>
        </w:rPr>
        <w:t xml:space="preserve"> advantages suggesting a hybrid partnership. This series avoided the typical pitfall of suggesting a joint venture simply because Bangladesh is culturally and/or institutionally different.</w:t>
      </w:r>
    </w:p>
    <w:p w14:paraId="2DD739E9" w14:textId="1535A47F" w:rsidR="0036155E" w:rsidRPr="0036155E" w:rsidRDefault="0036155E" w:rsidP="0036155E">
      <w:pPr>
        <w:rPr>
          <w:rFonts w:eastAsia="Arial"/>
        </w:rPr>
      </w:pPr>
      <w:r w:rsidRPr="0036155E">
        <w:rPr>
          <w:rFonts w:eastAsia="Arial"/>
        </w:rPr>
        <w:lastRenderedPageBreak/>
        <w:t>I had an unfavorable view of the situation, but contradictory evidence came through and adjusted my judgement. Both BIDA's consumer and demographic indicators indicated growth whereas the World Bank indicated weak near-term growth, high inflation and financial stress. The right answer was not to select one source as each had a different time horizon and was used for a different purpose. Realized that structural potentials and current affordability are different and that source incentives need to be considered. The thinking was the same as Starbucks: The fact that there are brand scale issues in India and China despite its immense global footprint highlighted that brand scale does not solve local price and competition issues.</w:t>
      </w:r>
    </w:p>
    <w:p w14:paraId="34D5797C" w14:textId="1A96F951" w:rsidR="0036155E" w:rsidRPr="0036155E" w:rsidRDefault="0036155E" w:rsidP="0036155E">
      <w:pPr>
        <w:rPr>
          <w:rFonts w:eastAsia="Arial"/>
        </w:rPr>
      </w:pPr>
      <w:r w:rsidRPr="0036155E">
        <w:rPr>
          <w:rFonts w:eastAsia="Arial"/>
        </w:rPr>
        <w:t>I also learned that entry mode does not only include the percentage of the ownership, but also a bundle of control rights. Firstly, I set up wholly owned, joint venture and licensing as separate labels. What the evidence demonstrated was that Starbucks does not have to own a majority of any entity, to control what goes on in training, to decide what reserves are used, to control the intellectual property and reserve sales, and to license the intellectual property. Putting the choice in the context of capital, control, knowledge and reversibility led to a more realistic suggestion and indicated the significance of the design of the contract in addition to the importance of headline mode.</w:t>
      </w:r>
    </w:p>
    <w:p w14:paraId="7CA25BB7" w14:textId="77777777" w:rsidR="0036155E" w:rsidRPr="0036155E" w:rsidRDefault="0036155E" w:rsidP="0036155E">
      <w:pPr>
        <w:pStyle w:val="Heading2"/>
      </w:pPr>
      <w:bookmarkStart w:id="20" w:name="_Toc234634966"/>
      <w:r w:rsidRPr="0036155E">
        <w:t>5.5 Conclusion</w:t>
      </w:r>
      <w:bookmarkEnd w:id="20"/>
    </w:p>
    <w:p w14:paraId="7BA57B3B" w14:textId="77777777" w:rsidR="0036155E" w:rsidRPr="0036155E" w:rsidRDefault="0036155E" w:rsidP="0036155E">
      <w:pPr>
        <w:rPr>
          <w:rFonts w:eastAsia="Arial"/>
        </w:rPr>
      </w:pPr>
      <w:r w:rsidRPr="0036155E">
        <w:rPr>
          <w:rFonts w:eastAsia="Arial"/>
        </w:rPr>
        <w:t>The research helped me to make a decision without fooling myself into thinking that there wasn't uncertainty. I started to get disciplined and make sure that I had an evidence cut-off, I had a company absence test, I made sure that what I was saying was a promotional statement and I made sure that I had an independent assessment statement and that there was a link to a risk that I had identified earlier. I was the biggest problem I had was that I didn't have any primary consumer or partner data. The final judgement is thus purposely conditional with learning gates to support the judgement in the face of missing information.</w:t>
      </w:r>
    </w:p>
    <w:p w14:paraId="16757B1A" w14:textId="77777777" w:rsidR="0036155E" w:rsidRPr="0036155E" w:rsidRDefault="0036155E" w:rsidP="0036155E">
      <w:pPr>
        <w:pStyle w:val="Heading2"/>
      </w:pPr>
      <w:bookmarkStart w:id="21" w:name="_Toc234634967"/>
      <w:r w:rsidRPr="0036155E">
        <w:t>5.6 Action plan</w:t>
      </w:r>
      <w:bookmarkEnd w:id="21"/>
    </w:p>
    <w:p w14:paraId="2B45E1D7" w14:textId="2483A5E9" w:rsidR="003050AC" w:rsidRDefault="0036155E" w:rsidP="0036155E">
      <w:r w:rsidRPr="0036155E">
        <w:rPr>
          <w:rFonts w:eastAsia="Arial"/>
        </w:rPr>
        <w:t xml:space="preserve">To design this evidence matrix would certainly be a technique to use for a future market entry analysis before I would draft, then record the publication dates and the purpose of the source and give a level of confidence to the major claims. I would add </w:t>
      </w:r>
      <w:r w:rsidRPr="0036155E">
        <w:rPr>
          <w:rFonts w:eastAsia="Arial"/>
        </w:rPr>
        <w:lastRenderedPageBreak/>
        <w:t>the primary work that consists of interviews with regulators, landlords, operators and consumers, and then the experiments with the prices and menus in two catchments. I would also try out the suggestion for the downside risks of inflation, exchange rates, import delays and political disturbances. Final check is to go through the argument in flip-flop fashion looking at each control and making sure it dealt with a known risk and that no recommendation relied on information presented only at the end of the argument.</w:t>
      </w:r>
    </w:p>
    <w:p w14:paraId="32F5C461" w14:textId="77777777" w:rsidR="003050AC" w:rsidRDefault="00000000">
      <w:r>
        <w:br w:type="page"/>
      </w:r>
    </w:p>
    <w:p w14:paraId="197B9DD3" w14:textId="77777777" w:rsidR="003050AC" w:rsidRDefault="00000000" w:rsidP="0036155E">
      <w:pPr>
        <w:pStyle w:val="Heading1"/>
      </w:pPr>
      <w:bookmarkStart w:id="22" w:name="_Toc234634968"/>
      <w:r w:rsidRPr="0036155E">
        <w:lastRenderedPageBreak/>
        <w:t>References</w:t>
      </w:r>
      <w:bookmarkEnd w:id="22"/>
    </w:p>
    <w:p w14:paraId="3662604D" w14:textId="77777777" w:rsidR="003050AC" w:rsidRDefault="00000000" w:rsidP="0036155E">
      <w:r>
        <w:t xml:space="preserve">Agarwal, S. and Ramaswami, S.N. (1992) 'Choice of foreign market entry mode: impact of ownership, location and internalization factors', </w:t>
      </w:r>
      <w:r>
        <w:rPr>
          <w:i/>
        </w:rPr>
        <w:t>Journal of International Business Studies</w:t>
      </w:r>
      <w:r>
        <w:t>, 23(1), pp. 1-27. Available at: https://doi.org/10.1057/palgrave.jibs.8490257.</w:t>
      </w:r>
    </w:p>
    <w:p w14:paraId="771529BC" w14:textId="77777777" w:rsidR="003050AC" w:rsidRDefault="00000000" w:rsidP="0036155E">
      <w:r>
        <w:t xml:space="preserve">Aiello, G. and Dickinson, G. (2014) 'Beyond authenticity: a visual-material analysis of locality in the global redesign of Starbucks stores', </w:t>
      </w:r>
      <w:r>
        <w:rPr>
          <w:i/>
        </w:rPr>
        <w:t>Visual Communication</w:t>
      </w:r>
      <w:r>
        <w:t>, 13(3), pp. 303-321. Available at: https://doi.org/10.1177/1470357214530054.</w:t>
      </w:r>
    </w:p>
    <w:p w14:paraId="01EF013E" w14:textId="77777777" w:rsidR="003050AC" w:rsidRDefault="00000000" w:rsidP="0036155E">
      <w:r>
        <w:t xml:space="preserve">Bangladesh Bureau of Statistics (2023) </w:t>
      </w:r>
      <w:r>
        <w:rPr>
          <w:i/>
        </w:rPr>
        <w:t>Population and Housing Census 2022: National Report</w:t>
      </w:r>
      <w:r>
        <w:t>. Dhaka: Bangladesh Bureau of Statistics.</w:t>
      </w:r>
    </w:p>
    <w:p w14:paraId="490F6963" w14:textId="77777777" w:rsidR="003050AC" w:rsidRDefault="00000000" w:rsidP="0036155E">
      <w:r>
        <w:t xml:space="preserve">Bangladesh Investment Development Authority (2025a) </w:t>
      </w:r>
      <w:r>
        <w:rPr>
          <w:i/>
        </w:rPr>
        <w:t>Bangladesh: the rising star of Asia</w:t>
      </w:r>
      <w:r>
        <w:t>. Available at: https://investbangladesh.gov.bd/ (Accessed: 10 July 2026).</w:t>
      </w:r>
    </w:p>
    <w:p w14:paraId="6F4AC7D7" w14:textId="77777777" w:rsidR="003050AC" w:rsidRDefault="00000000" w:rsidP="0036155E">
      <w:r>
        <w:t xml:space="preserve">Bangladesh Investment Development Authority (2025b) </w:t>
      </w:r>
      <w:r>
        <w:rPr>
          <w:i/>
        </w:rPr>
        <w:t>Foreign and joint venture projects</w:t>
      </w:r>
      <w:r>
        <w:t>. Available at: https://investbangladesh.gov.bd/foreign-joint-venture-projects (Accessed: 10 July 2026).</w:t>
      </w:r>
    </w:p>
    <w:p w14:paraId="22E181E3" w14:textId="77777777" w:rsidR="003050AC" w:rsidRDefault="00000000" w:rsidP="0036155E">
      <w:r>
        <w:t xml:space="preserve">Bartlett, C.A. and Ghoshal, S. (1989) </w:t>
      </w:r>
      <w:r>
        <w:rPr>
          <w:i/>
        </w:rPr>
        <w:t>Managing across borders: the transnational solution</w:t>
      </w:r>
      <w:r>
        <w:t>. Boston, MA: Harvard Business School Press.</w:t>
      </w:r>
    </w:p>
    <w:p w14:paraId="4040A1D4" w14:textId="77777777" w:rsidR="003050AC" w:rsidRDefault="00000000" w:rsidP="0036155E">
      <w:proofErr w:type="spellStart"/>
      <w:r>
        <w:t>Beugelsdijk</w:t>
      </w:r>
      <w:proofErr w:type="spellEnd"/>
      <w:r>
        <w:t xml:space="preserve">, S., Kostova, T., Kunst, V.E., Spadafora, E. and van Essen, M. (2018) 'Cultural distance and firm internationalization: a meta-analytical review and theoretical implications', </w:t>
      </w:r>
      <w:r>
        <w:rPr>
          <w:i/>
        </w:rPr>
        <w:t>Journal of Management</w:t>
      </w:r>
      <w:r>
        <w:t>, 44(1), pp. 89-130. Available at: https://doi.org/10.1177/0149206317729027.</w:t>
      </w:r>
    </w:p>
    <w:p w14:paraId="0A8D1CFB" w14:textId="77777777" w:rsidR="003050AC" w:rsidRDefault="00000000" w:rsidP="0036155E">
      <w:proofErr w:type="spellStart"/>
      <w:r>
        <w:t>Brouthers</w:t>
      </w:r>
      <w:proofErr w:type="spellEnd"/>
      <w:r>
        <w:t xml:space="preserve">, K.D. (2002) 'Institutional, cultural and transaction cost influences on entry mode choice and performance', </w:t>
      </w:r>
      <w:r>
        <w:rPr>
          <w:i/>
        </w:rPr>
        <w:t>Journal of International Business Studies</w:t>
      </w:r>
      <w:r>
        <w:t>, 33(2), pp. 203-221. Available at: https://doi.org/10.1057/palgrave.jibs.8491013.</w:t>
      </w:r>
    </w:p>
    <w:p w14:paraId="629D904A" w14:textId="77777777" w:rsidR="003050AC" w:rsidRDefault="00000000" w:rsidP="0036155E">
      <w:r>
        <w:t xml:space="preserve">Dunning, J.H. (1988) 'The eclectic paradigm of international production: a restatement and some possible extensions', </w:t>
      </w:r>
      <w:r>
        <w:rPr>
          <w:i/>
        </w:rPr>
        <w:t>Journal of International Business Studies</w:t>
      </w:r>
      <w:r>
        <w:t>, 19(1), pp. 1-31. Available at: https://doi.org/10.1057/palgrave.jibs.8490372.</w:t>
      </w:r>
    </w:p>
    <w:p w14:paraId="51B54F2F" w14:textId="77777777" w:rsidR="003050AC" w:rsidRDefault="00000000" w:rsidP="0036155E">
      <w:r>
        <w:t xml:space="preserve">Economic Times (2025) 'Starbucks India losses surge 65% in FY25, sales grow 5%', </w:t>
      </w:r>
      <w:r>
        <w:rPr>
          <w:i/>
        </w:rPr>
        <w:t>Economic Times</w:t>
      </w:r>
      <w:r>
        <w:t>, 26 May. Available at: https://economictimes.indiatimes.com/industry/cons-products/food/starbucks-india-</w:t>
      </w:r>
      <w:r>
        <w:lastRenderedPageBreak/>
        <w:t>losses-surge-65-in-fy25-sales-grow-5/articleshow/121398481.cms (Accessed: 10 July 2026).</w:t>
      </w:r>
    </w:p>
    <w:p w14:paraId="33AB91EC" w14:textId="77777777" w:rsidR="003050AC" w:rsidRDefault="00000000" w:rsidP="0036155E">
      <w:r>
        <w:t xml:space="preserve">Gibbs, G. (1988) </w:t>
      </w:r>
      <w:r>
        <w:rPr>
          <w:i/>
        </w:rPr>
        <w:t>Learning by doing: a guide to teaching and learning methods</w:t>
      </w:r>
      <w:r>
        <w:t>. Oxford: Oxford Polytechnic.</w:t>
      </w:r>
    </w:p>
    <w:p w14:paraId="5809C806" w14:textId="77777777" w:rsidR="003050AC" w:rsidRDefault="00000000" w:rsidP="0036155E">
      <w:r>
        <w:t>Government of Bangladesh (2009) Consumers' Right Protection Act, 2009. Dhaka: Bangladesh Government Press.</w:t>
      </w:r>
    </w:p>
    <w:p w14:paraId="0A4B7E5A" w14:textId="77777777" w:rsidR="003050AC" w:rsidRDefault="00000000" w:rsidP="0036155E">
      <w:r>
        <w:t>Government of Bangladesh (2013) Food Safety Act, 2013. Dhaka: Bangladesh Government Press.</w:t>
      </w:r>
    </w:p>
    <w:p w14:paraId="0D3AF2F4" w14:textId="77777777" w:rsidR="003050AC" w:rsidRDefault="00000000" w:rsidP="0036155E">
      <w:r>
        <w:t xml:space="preserve">Hill, C.W.L., Hwang, P. and Kim, W.C. (1990) 'An eclectic theory of the choice of international entry mode', </w:t>
      </w:r>
      <w:r>
        <w:rPr>
          <w:i/>
        </w:rPr>
        <w:t>Strategic Management Journal</w:t>
      </w:r>
      <w:r>
        <w:t>, 11(2), pp. 117-128. Available at: https://doi.org/10.1002/smj.4250110204.</w:t>
      </w:r>
    </w:p>
    <w:p w14:paraId="29872D38" w14:textId="77777777" w:rsidR="003050AC" w:rsidRDefault="00000000" w:rsidP="0036155E">
      <w:r>
        <w:t xml:space="preserve">International Finance Corporation (2025) </w:t>
      </w:r>
      <w:r>
        <w:rPr>
          <w:i/>
        </w:rPr>
        <w:t>Bangladesh Country Private Sector Diagnostic</w:t>
      </w:r>
      <w:r>
        <w:t>. Washington, DC: IFC. Available at: https://www.ifc.org/en/insights-reports/2025/bangladesh-private-sector-diagnostic (Accessed: 10 July 2026).</w:t>
      </w:r>
    </w:p>
    <w:p w14:paraId="41DE881F" w14:textId="77777777" w:rsidR="003050AC" w:rsidRDefault="00000000" w:rsidP="0036155E">
      <w:r>
        <w:t xml:space="preserve">Johanson, J. and Vahlne, J.-E. (1977) 'The internationalization process of the firm: a model of knowledge development and increasing foreign market commitments', </w:t>
      </w:r>
      <w:r>
        <w:rPr>
          <w:i/>
        </w:rPr>
        <w:t>Journal of International Business Studies</w:t>
      </w:r>
      <w:r>
        <w:t>, 8(1), pp. 23-32. Available at: https://doi.org/10.1057/palgrave.jibs.8490676.</w:t>
      </w:r>
    </w:p>
    <w:p w14:paraId="1118F1BE" w14:textId="77777777" w:rsidR="003050AC" w:rsidRDefault="00000000" w:rsidP="0036155E">
      <w:r>
        <w:t xml:space="preserve">Kanya, P. (2021) 'How a cafe at Dhaka's North End </w:t>
      </w:r>
      <w:proofErr w:type="spellStart"/>
      <w:r>
        <w:t>revolutionised</w:t>
      </w:r>
      <w:proofErr w:type="spellEnd"/>
      <w:r>
        <w:t xml:space="preserve"> the city's coffee culture', </w:t>
      </w:r>
      <w:r>
        <w:rPr>
          <w:i/>
        </w:rPr>
        <w:t>The Business Standard</w:t>
      </w:r>
      <w:r>
        <w:t>, 14 February. Available at: https://www.tbsnews.net/feature/panorama/how-cafe-dhakas-north-end-revolutionised-citys-coffee-culture-201451 (Accessed: 10 July 2026).</w:t>
      </w:r>
    </w:p>
    <w:p w14:paraId="04FECFC2" w14:textId="77777777" w:rsidR="003050AC" w:rsidRDefault="00000000" w:rsidP="0036155E">
      <w:r>
        <w:t xml:space="preserve">Kogut, B. and Singh, H. (1988) 'The effect of national culture on the choice of entry mode', </w:t>
      </w:r>
      <w:r>
        <w:rPr>
          <w:i/>
        </w:rPr>
        <w:t>Journal of International Business Studies</w:t>
      </w:r>
      <w:r>
        <w:t>, 19(3), pp. 411-432. Available at: https://doi.org/10.1057/palgrave.jibs.8490394.</w:t>
      </w:r>
    </w:p>
    <w:p w14:paraId="3E74EEC3" w14:textId="77777777" w:rsidR="003050AC" w:rsidRDefault="00000000" w:rsidP="0036155E">
      <w:r>
        <w:t xml:space="preserve">Meyer, K.E., Estrin, S., Bhaumik, S.K. and Peng, M.W. (2009) 'Institutions, resources, and entry strategies in emerging economies', </w:t>
      </w:r>
      <w:r>
        <w:rPr>
          <w:i/>
        </w:rPr>
        <w:t>Strategic Management Journal</w:t>
      </w:r>
      <w:r>
        <w:t>, 30(1), pp. 61-80. Available at: https://doi.org/10.1002/smj.720.</w:t>
      </w:r>
    </w:p>
    <w:p w14:paraId="26F88BE7" w14:textId="77777777" w:rsidR="003050AC" w:rsidRDefault="00000000" w:rsidP="0036155E">
      <w:r>
        <w:t>Reuters (2024) '</w:t>
      </w:r>
      <w:proofErr w:type="spellStart"/>
      <w:r>
        <w:t>AlShaya</w:t>
      </w:r>
      <w:proofErr w:type="spellEnd"/>
      <w:r>
        <w:t xml:space="preserve"> Starbucks franchise stake sale talks on hold, sources say', Reuters, 19 September. Available at: https://www.reuters.com/business/retail-</w:t>
      </w:r>
      <w:r>
        <w:lastRenderedPageBreak/>
        <w:t>consumer/alshaya-starbucks-franchise-stake-sale-talks-hold-sources-say-2024-09-19/ (Accessed: 10 July 2026).</w:t>
      </w:r>
    </w:p>
    <w:p w14:paraId="281BE753" w14:textId="77777777" w:rsidR="003050AC" w:rsidRDefault="00000000" w:rsidP="0036155E">
      <w:r>
        <w:t>Reuters (2026) 'Starbucks closes China deal with Boyu, plans to expand stores', Reuters, 2 April. Available at: https://www.reuters.com/world/china/starbucks-closes-china-deal-with-boyu-plans-expand-stores-2026-04-02/ (Accessed: 10 July 2026).</w:t>
      </w:r>
    </w:p>
    <w:p w14:paraId="51861CCA" w14:textId="77777777" w:rsidR="003050AC" w:rsidRDefault="00000000" w:rsidP="0036155E">
      <w:r>
        <w:t xml:space="preserve">Starbucks Corporation (2024) </w:t>
      </w:r>
      <w:r>
        <w:rPr>
          <w:i/>
        </w:rPr>
        <w:t>Form 10-K for the fiscal year ended 29 September 2024</w:t>
      </w:r>
      <w:r>
        <w:t>. Washington, DC: US Securities and Exchange Commission. Available at: https://www.sec.gov/Archives/edgar/data/829224/000082922424000057/sbux-20240929.htm (Accessed: 10 July 2026).</w:t>
      </w:r>
    </w:p>
    <w:p w14:paraId="210B4FB8" w14:textId="77777777" w:rsidR="003050AC" w:rsidRDefault="00000000" w:rsidP="0036155E">
      <w:r>
        <w:t xml:space="preserve">Starbucks Corporation (2026) </w:t>
      </w:r>
      <w:r>
        <w:rPr>
          <w:i/>
        </w:rPr>
        <w:t>Store locator</w:t>
      </w:r>
      <w:r>
        <w:t>. Available at: https://www.starbucks.com/store-locator (Accessed: 10 July 2026).</w:t>
      </w:r>
    </w:p>
    <w:p w14:paraId="49FE139E" w14:textId="77777777" w:rsidR="003050AC" w:rsidRDefault="00000000" w:rsidP="0036155E">
      <w:r>
        <w:t xml:space="preserve">Tata Consumer Products (2025) </w:t>
      </w:r>
      <w:r>
        <w:rPr>
          <w:i/>
        </w:rPr>
        <w:t>Annual report 2024-25</w:t>
      </w:r>
      <w:r>
        <w:t>. Kolkata: Tata Consumer Products Limited. Available at: https://www.tataconsumer.com/investors/annual-reports (Accessed: 10 July 2026).</w:t>
      </w:r>
    </w:p>
    <w:p w14:paraId="33438312" w14:textId="77777777" w:rsidR="003050AC" w:rsidRDefault="00000000" w:rsidP="0036155E">
      <w:r>
        <w:t xml:space="preserve">Thompson, C.J. and </w:t>
      </w:r>
      <w:proofErr w:type="spellStart"/>
      <w:r>
        <w:t>Arsel</w:t>
      </w:r>
      <w:proofErr w:type="spellEnd"/>
      <w:r>
        <w:t xml:space="preserve">, Z. (2004) 'The Starbucks </w:t>
      </w:r>
      <w:proofErr w:type="spellStart"/>
      <w:r>
        <w:t>brandscape</w:t>
      </w:r>
      <w:proofErr w:type="spellEnd"/>
      <w:r>
        <w:t xml:space="preserve"> and consumers' (anticorporate) experiences of glocalization', </w:t>
      </w:r>
      <w:r>
        <w:rPr>
          <w:i/>
        </w:rPr>
        <w:t>Journal of Consumer Research</w:t>
      </w:r>
      <w:r>
        <w:t>, 31(3), pp. 631-642. Available at: https://doi.org/10.1086/425098.</w:t>
      </w:r>
    </w:p>
    <w:p w14:paraId="400807E1" w14:textId="77777777" w:rsidR="003050AC" w:rsidRDefault="00000000" w:rsidP="0036155E">
      <w:r>
        <w:t xml:space="preserve">Transcom Group (2025) </w:t>
      </w:r>
      <w:r>
        <w:rPr>
          <w:i/>
        </w:rPr>
        <w:t>Transcom Foods Limited</w:t>
      </w:r>
      <w:r>
        <w:t>. Available at: https://www.transcombd.com/ (Accessed: 10 July 2026).</w:t>
      </w:r>
    </w:p>
    <w:p w14:paraId="0F232160" w14:textId="77777777" w:rsidR="003050AC" w:rsidRDefault="00000000" w:rsidP="0036155E">
      <w:r>
        <w:t xml:space="preserve">Transparency International (2026) </w:t>
      </w:r>
      <w:r>
        <w:rPr>
          <w:i/>
        </w:rPr>
        <w:t>Corruption Perceptions Index 2025: Bangladesh</w:t>
      </w:r>
      <w:r>
        <w:t>. Available at: https://www.transparency.org/en/countries/bangladesh (Accessed: 10 July 2026).</w:t>
      </w:r>
    </w:p>
    <w:p w14:paraId="51C42329" w14:textId="77777777" w:rsidR="003050AC" w:rsidRDefault="00000000" w:rsidP="0036155E">
      <w:r>
        <w:t xml:space="preserve">Venkatraman, M. and Nelson, T. (2008) 'From </w:t>
      </w:r>
      <w:proofErr w:type="spellStart"/>
      <w:r>
        <w:t>servicescape</w:t>
      </w:r>
      <w:proofErr w:type="spellEnd"/>
      <w:r>
        <w:t xml:space="preserve"> to </w:t>
      </w:r>
      <w:proofErr w:type="spellStart"/>
      <w:r>
        <w:t>consumptionscape</w:t>
      </w:r>
      <w:proofErr w:type="spellEnd"/>
      <w:r>
        <w:t xml:space="preserve">: a photo-elicitation study of Starbucks in the New China', </w:t>
      </w:r>
      <w:r>
        <w:rPr>
          <w:i/>
        </w:rPr>
        <w:t>Journal of International Business Studies</w:t>
      </w:r>
      <w:r>
        <w:t>, 39(6), pp. 1010-1026. Available at: https://doi.org/10.1057/palgrave.jibs.8400353.</w:t>
      </w:r>
    </w:p>
    <w:p w14:paraId="6C85BA14" w14:textId="77777777" w:rsidR="003050AC" w:rsidRDefault="00000000" w:rsidP="0036155E">
      <w:r>
        <w:t xml:space="preserve">Verbeke, A. and Kano, L. (2016) 'An internalization theory perspective on the global and regional strategies of multinational enterprises', </w:t>
      </w:r>
      <w:r>
        <w:rPr>
          <w:i/>
        </w:rPr>
        <w:t>Journal of World Business</w:t>
      </w:r>
      <w:r>
        <w:t>, 51(1), pp. 83-92. Available at: https://doi.org/10.1016/j.jwb.2015.08.014.</w:t>
      </w:r>
    </w:p>
    <w:p w14:paraId="61407777" w14:textId="77777777" w:rsidR="003050AC" w:rsidRDefault="00000000" w:rsidP="0036155E">
      <w:r>
        <w:t xml:space="preserve">World Bank (2026) 'Urgent reforms needed to restore macro stability, sustain growth, and create jobs in Bangladesh', 8 April. Available at: </w:t>
      </w:r>
      <w:r>
        <w:lastRenderedPageBreak/>
        <w:t>https://www.worldbank.org/en/news/press-release/2026/04/08/urgent-reforms-needed-to-restore-macro-stability-sustain-growth-and-create-jobs-in-bangladesh (Accessed: 10 July 2026).</w:t>
      </w:r>
    </w:p>
    <w:p w14:paraId="01340725" w14:textId="77777777" w:rsidR="003050AC" w:rsidRDefault="00000000" w:rsidP="0036155E">
      <w:r>
        <w:t xml:space="preserve">Zaheer, S. (1995) 'Overcoming the liability of foreignness', </w:t>
      </w:r>
      <w:r>
        <w:rPr>
          <w:i/>
        </w:rPr>
        <w:t>Academy of Management Journal</w:t>
      </w:r>
      <w:r>
        <w:t>, 38(2), pp. 341-363. Available at: https://doi.org/10.2307/256683.</w:t>
      </w:r>
    </w:p>
    <w:sectPr w:rsidR="003050AC" w:rsidSect="00034616">
      <w:headerReference w:type="default" r:id="rId12"/>
      <w:footerReference w:type="default" r:id="rId13"/>
      <w:pgSz w:w="11906" w:h="16838"/>
      <w:pgMar w:top="1440" w:right="1440" w:bottom="1440" w:left="1440" w:header="709" w:footer="709"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80E45" w14:textId="77777777" w:rsidR="0012327F" w:rsidRDefault="0012327F">
      <w:pPr>
        <w:spacing w:after="0" w:line="240" w:lineRule="auto"/>
      </w:pPr>
      <w:r>
        <w:separator/>
      </w:r>
    </w:p>
  </w:endnote>
  <w:endnote w:type="continuationSeparator" w:id="0">
    <w:p w14:paraId="4A883AD8" w14:textId="77777777" w:rsidR="0012327F" w:rsidRDefault="00123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371A1" w14:textId="77777777" w:rsidR="003050AC" w:rsidRDefault="00000000">
    <w:pPr>
      <w:pStyle w:val="Footer"/>
      <w:jc w:val="right"/>
    </w:pPr>
    <w:r>
      <w:rPr>
        <w:rFonts w:eastAsia="Arial"/>
        <w:color w:val="5B6661"/>
        <w:sz w:val="18"/>
      </w:rPr>
      <w:fldChar w:fldCharType="begin"/>
    </w:r>
    <w:r>
      <w:rPr>
        <w:rFonts w:eastAsia="Arial"/>
        <w:color w:val="5B6661"/>
        <w:sz w:val="18"/>
      </w:rPr>
      <w:instrText xml:space="preserve"> PAGE </w:instrText>
    </w:r>
    <w:r>
      <w:rPr>
        <w:rFonts w:eastAsia="Arial"/>
        <w:color w:val="5B6661"/>
        <w:sz w:val="18"/>
      </w:rPr>
      <w:fldChar w:fldCharType="separate"/>
    </w:r>
    <w:r w:rsidR="00593F23">
      <w:rPr>
        <w:rFonts w:eastAsia="Arial"/>
        <w:noProof/>
        <w:color w:val="5B6661"/>
        <w:sz w:val="18"/>
      </w:rPr>
      <w:t>1</w:t>
    </w:r>
    <w:r>
      <w:rPr>
        <w:rFonts w:eastAsia="Arial"/>
        <w:color w:val="5B6661"/>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4F947" w14:textId="77777777" w:rsidR="0012327F" w:rsidRDefault="0012327F">
      <w:pPr>
        <w:spacing w:after="0" w:line="240" w:lineRule="auto"/>
      </w:pPr>
      <w:r>
        <w:separator/>
      </w:r>
    </w:p>
  </w:footnote>
  <w:footnote w:type="continuationSeparator" w:id="0">
    <w:p w14:paraId="40751C94" w14:textId="77777777" w:rsidR="0012327F" w:rsidRDefault="001232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1FBBE" w14:textId="61C18E7E" w:rsidR="003050AC" w:rsidRDefault="00000000">
    <w:pPr>
      <w:pStyle w:val="Header"/>
      <w:jc w:val="left"/>
    </w:pPr>
    <w:r>
      <w:rPr>
        <w:rFonts w:eastAsia="Arial"/>
        <w:b/>
        <w:color w:val="5B6661"/>
        <w:sz w:val="18"/>
      </w:rPr>
      <w:t>LCMB</w:t>
    </w:r>
    <w:r w:rsidR="000E784A">
      <w:rPr>
        <w:rFonts w:eastAsia="Arial"/>
        <w:b/>
        <w:color w:val="5B6661"/>
        <w:sz w:val="18"/>
      </w:rPr>
      <w:t>7034 | International</w:t>
    </w:r>
    <w:r>
      <w:rPr>
        <w:rFonts w:eastAsia="Arial"/>
        <w:b/>
        <w:color w:val="5B6661"/>
        <w:sz w:val="18"/>
      </w:rPr>
      <w:t xml:space="preserve"> Business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89181881">
    <w:abstractNumId w:val="8"/>
  </w:num>
  <w:num w:numId="2" w16cid:durableId="896237539">
    <w:abstractNumId w:val="6"/>
  </w:num>
  <w:num w:numId="3" w16cid:durableId="91056075">
    <w:abstractNumId w:val="5"/>
  </w:num>
  <w:num w:numId="4" w16cid:durableId="182477596">
    <w:abstractNumId w:val="4"/>
  </w:num>
  <w:num w:numId="5" w16cid:durableId="268899901">
    <w:abstractNumId w:val="7"/>
  </w:num>
  <w:num w:numId="6" w16cid:durableId="1559512778">
    <w:abstractNumId w:val="3"/>
  </w:num>
  <w:num w:numId="7" w16cid:durableId="1610745515">
    <w:abstractNumId w:val="2"/>
  </w:num>
  <w:num w:numId="8" w16cid:durableId="1298223783">
    <w:abstractNumId w:val="1"/>
  </w:num>
  <w:num w:numId="9" w16cid:durableId="1189097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784A"/>
    <w:rsid w:val="0012327F"/>
    <w:rsid w:val="0015074B"/>
    <w:rsid w:val="0029639D"/>
    <w:rsid w:val="003050AC"/>
    <w:rsid w:val="00326F90"/>
    <w:rsid w:val="0036155E"/>
    <w:rsid w:val="00497D58"/>
    <w:rsid w:val="00593F23"/>
    <w:rsid w:val="00612DC7"/>
    <w:rsid w:val="00713892"/>
    <w:rsid w:val="00765D29"/>
    <w:rsid w:val="007D5957"/>
    <w:rsid w:val="00A2772F"/>
    <w:rsid w:val="00AA1D8D"/>
    <w:rsid w:val="00AF194A"/>
    <w:rsid w:val="00B47730"/>
    <w:rsid w:val="00BF0CA5"/>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A59328"/>
  <w14:defaultImageDpi w14:val="300"/>
  <w15:docId w15:val="{00F2014C-CACB-4EA8-9A5C-C32ED4061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hAnsi="Arial"/>
      <w:color w:val="111111"/>
      <w:sz w:val="24"/>
    </w:rPr>
  </w:style>
  <w:style w:type="paragraph" w:styleId="Heading1">
    <w:name w:val="heading 1"/>
    <w:basedOn w:val="Normal"/>
    <w:next w:val="Normal"/>
    <w:link w:val="Heading1Char"/>
    <w:uiPriority w:val="9"/>
    <w:qFormat/>
    <w:rsid w:val="000E784A"/>
    <w:pPr>
      <w:keepNext/>
      <w:keepLines/>
      <w:spacing w:before="320" w:after="160"/>
      <w:outlineLvl w:val="0"/>
    </w:pPr>
    <w:rPr>
      <w:rFonts w:eastAsiaTheme="majorEastAsia" w:cstheme="majorBidi"/>
      <w:b/>
      <w:bCs/>
      <w:color w:val="1E3932"/>
      <w:sz w:val="32"/>
      <w:szCs w:val="28"/>
    </w:rPr>
  </w:style>
  <w:style w:type="paragraph" w:styleId="Heading2">
    <w:name w:val="heading 2"/>
    <w:basedOn w:val="Normal"/>
    <w:next w:val="Normal"/>
    <w:link w:val="Heading2Char"/>
    <w:uiPriority w:val="9"/>
    <w:unhideWhenUsed/>
    <w:qFormat/>
    <w:rsid w:val="000E784A"/>
    <w:pPr>
      <w:keepNext/>
      <w:keepLines/>
      <w:spacing w:before="240"/>
      <w:outlineLvl w:val="1"/>
    </w:pPr>
    <w:rPr>
      <w:rFonts w:eastAsiaTheme="majorEastAsia" w:cstheme="majorBidi"/>
      <w:b/>
      <w:bCs/>
      <w:color w:val="00754A"/>
      <w:sz w:val="28"/>
      <w:szCs w:val="26"/>
    </w:rPr>
  </w:style>
  <w:style w:type="paragraph" w:styleId="Heading3">
    <w:name w:val="heading 3"/>
    <w:basedOn w:val="Normal"/>
    <w:next w:val="Normal"/>
    <w:link w:val="Heading3Char"/>
    <w:uiPriority w:val="9"/>
    <w:unhideWhenUsed/>
    <w:qFormat/>
    <w:rsid w:val="00FC693F"/>
    <w:pPr>
      <w:keepNext/>
      <w:keepLines/>
      <w:spacing w:before="180" w:after="80" w:line="276" w:lineRule="auto"/>
      <w:outlineLvl w:val="2"/>
    </w:pPr>
    <w:rPr>
      <w:rFonts w:asciiTheme="majorHAnsi" w:eastAsiaTheme="majorEastAsia" w:hAnsiTheme="majorHAnsi" w:cstheme="majorBidi"/>
      <w:b/>
      <w:bCs/>
      <w:color w:val="1E393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E784A"/>
    <w:rPr>
      <w:rFonts w:ascii="Arial" w:eastAsiaTheme="majorEastAsia" w:hAnsi="Arial" w:cstheme="majorBidi"/>
      <w:b/>
      <w:bCs/>
      <w:color w:val="1E3932"/>
      <w:sz w:val="32"/>
      <w:szCs w:val="28"/>
    </w:rPr>
  </w:style>
  <w:style w:type="character" w:customStyle="1" w:styleId="Heading2Char">
    <w:name w:val="Heading 2 Char"/>
    <w:basedOn w:val="DefaultParagraphFont"/>
    <w:link w:val="Heading2"/>
    <w:uiPriority w:val="9"/>
    <w:rsid w:val="000E784A"/>
    <w:rPr>
      <w:rFonts w:ascii="Arial" w:eastAsiaTheme="majorEastAsia" w:hAnsi="Arial" w:cstheme="majorBidi"/>
      <w:b/>
      <w:bCs/>
      <w:color w:val="00754A"/>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Source">
    <w:name w:val="Table Source"/>
    <w:pPr>
      <w:spacing w:before="80" w:after="140"/>
    </w:pPr>
    <w:rPr>
      <w:rFonts w:ascii="Arial" w:hAnsi="Arial"/>
      <w:i/>
      <w:color w:val="5B6661"/>
      <w:sz w:val="21"/>
    </w:rPr>
  </w:style>
  <w:style w:type="paragraph" w:styleId="TOC1">
    <w:name w:val="toc 1"/>
    <w:basedOn w:val="Normal"/>
    <w:next w:val="Normal"/>
    <w:autoRedefine/>
    <w:uiPriority w:val="39"/>
    <w:unhideWhenUsed/>
    <w:rsid w:val="00593F23"/>
    <w:pPr>
      <w:spacing w:after="100"/>
    </w:pPr>
  </w:style>
  <w:style w:type="paragraph" w:styleId="TOC2">
    <w:name w:val="toc 2"/>
    <w:basedOn w:val="Normal"/>
    <w:next w:val="Normal"/>
    <w:autoRedefine/>
    <w:uiPriority w:val="39"/>
    <w:unhideWhenUsed/>
    <w:rsid w:val="00593F23"/>
    <w:pPr>
      <w:spacing w:after="100"/>
      <w:ind w:left="240"/>
    </w:pPr>
  </w:style>
  <w:style w:type="character" w:styleId="Hyperlink">
    <w:name w:val="Hyperlink"/>
    <w:basedOn w:val="DefaultParagraphFont"/>
    <w:uiPriority w:val="99"/>
    <w:unhideWhenUsed/>
    <w:rsid w:val="00593F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6928</Words>
  <Characters>39492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Starbucks Corporation's Entry into Bangladesh</vt:lpstr>
    </vt:vector>
  </TitlesOfParts>
  <Manager/>
  <Company/>
  <LinksUpToDate>false</LinksUpToDate>
  <CharactersWithSpaces>46328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Corporation's Entry into Bangladesh</dc:title>
  <dc:subject>LCMB7034 International Business Concepts</dc:subject>
  <dc:creator>HP</dc:creator>
  <cp:keywords>Starbucks, Bangladesh, OLI, international strategy, entry mode</cp:keywords>
  <dc:description/>
  <cp:lastModifiedBy>HP</cp:lastModifiedBy>
  <cp:revision>2</cp:revision>
  <dcterms:created xsi:type="dcterms:W3CDTF">2026-07-28T21:54:00Z</dcterms:created>
  <dcterms:modified xsi:type="dcterms:W3CDTF">2026-07-28T21:54:00Z</dcterms:modified>
  <cp:category/>
</cp:coreProperties>
</file>