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4582F" w14:textId="77777777" w:rsidR="00416F7D" w:rsidRPr="00416F7D" w:rsidRDefault="00416F7D" w:rsidP="00416F7D">
      <w:pPr>
        <w:spacing w:before="100" w:beforeAutospacing="1" w:after="100" w:afterAutospacing="1"/>
        <w:jc w:val="center"/>
        <w:rPr>
          <w:rFonts w:eastAsia="Calibri" w:cs="Arial"/>
          <w:noProof/>
          <w:kern w:val="0"/>
          <w:szCs w:val="20"/>
          <w14:ligatures w14:val="none"/>
        </w:rPr>
      </w:pPr>
      <w:r w:rsidRPr="00416F7D">
        <w:rPr>
          <w:rFonts w:eastAsia="Calibri" w:cs="Arial"/>
          <w:noProof/>
          <w:kern w:val="0"/>
          <w:sz w:val="24"/>
          <w:szCs w:val="22"/>
          <w14:ligatures w14:val="none"/>
        </w:rPr>
        <w:drawing>
          <wp:inline distT="0" distB="0" distL="0" distR="0" wp14:anchorId="52296EC9" wp14:editId="1A8BF501">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787B966" w14:textId="77777777" w:rsidR="00416F7D" w:rsidRPr="00416F7D" w:rsidRDefault="00416F7D" w:rsidP="00416F7D">
      <w:pPr>
        <w:spacing w:before="100" w:beforeAutospacing="1" w:after="100" w:afterAutospacing="1"/>
        <w:jc w:val="center"/>
        <w:rPr>
          <w:rFonts w:eastAsia="Calibri" w:cs="Arial"/>
          <w:noProof/>
          <w:kern w:val="0"/>
          <w:szCs w:val="20"/>
          <w14:ligatures w14:val="none"/>
        </w:rPr>
      </w:pPr>
    </w:p>
    <w:p w14:paraId="3CE04BFB" w14:textId="3CB9363F" w:rsidR="00416F7D" w:rsidRPr="00A2749B" w:rsidRDefault="00416F7D" w:rsidP="00416F7D">
      <w:pPr>
        <w:spacing w:before="100" w:beforeAutospacing="1" w:after="100" w:afterAutospacing="1"/>
        <w:jc w:val="center"/>
        <w:rPr>
          <w:rFonts w:eastAsia="Calibri" w:cs="Arial"/>
          <w:noProof/>
          <w:kern w:val="0"/>
          <w:sz w:val="28"/>
          <w:lang w:val="en-US"/>
          <w14:ligatures w14:val="none"/>
        </w:rPr>
      </w:pPr>
      <w:r w:rsidRPr="00A2749B">
        <w:rPr>
          <w:rFonts w:eastAsia="Calibri" w:cs="Arial"/>
          <w:b/>
          <w:bCs/>
          <w:noProof/>
          <w:kern w:val="0"/>
          <w:sz w:val="28"/>
          <w:lang w:val="en-US"/>
          <w14:ligatures w14:val="none"/>
        </w:rPr>
        <w:t>Student Name:</w:t>
      </w:r>
      <w:r w:rsidRPr="00A2749B">
        <w:rPr>
          <w:rFonts w:eastAsia="Calibri" w:cs="Arial"/>
          <w:noProof/>
          <w:kern w:val="0"/>
          <w:sz w:val="28"/>
          <w:lang w:val="en-US"/>
          <w14:ligatures w14:val="none"/>
        </w:rPr>
        <w:t xml:space="preserve"> </w:t>
      </w:r>
      <w:r w:rsidRPr="00A2749B">
        <w:rPr>
          <w:rFonts w:eastAsia="Calibri" w:cs="Arial"/>
          <w:noProof/>
          <w:kern w:val="0"/>
          <w:sz w:val="28"/>
          <w14:ligatures w14:val="none"/>
        </w:rPr>
        <w:t>Albert Malula</w:t>
      </w:r>
    </w:p>
    <w:p w14:paraId="03CFB26E" w14:textId="37667DE3" w:rsidR="00416F7D" w:rsidRPr="00A2749B" w:rsidRDefault="00416F7D" w:rsidP="00416F7D">
      <w:pPr>
        <w:spacing w:before="100" w:beforeAutospacing="1" w:after="100" w:afterAutospacing="1"/>
        <w:jc w:val="center"/>
        <w:rPr>
          <w:rFonts w:eastAsia="Calibri" w:cs="Arial"/>
          <w:b/>
          <w:bCs/>
          <w:noProof/>
          <w:kern w:val="0"/>
          <w:sz w:val="28"/>
          <w:lang w:val="en-US"/>
          <w14:ligatures w14:val="none"/>
        </w:rPr>
      </w:pPr>
      <w:r w:rsidRPr="00A2749B">
        <w:rPr>
          <w:rFonts w:eastAsia="Calibri" w:cs="Arial"/>
          <w:b/>
          <w:bCs/>
          <w:noProof/>
          <w:kern w:val="0"/>
          <w:sz w:val="28"/>
          <w:lang w:val="en-US"/>
          <w14:ligatures w14:val="none"/>
        </w:rPr>
        <w:t>Student Number:</w:t>
      </w:r>
      <w:r w:rsidR="00E1376C">
        <w:rPr>
          <w:rFonts w:eastAsia="Calibri" w:cs="Arial"/>
          <w:b/>
          <w:bCs/>
          <w:noProof/>
          <w:kern w:val="0"/>
          <w:sz w:val="28"/>
          <w:lang w:val="en-US"/>
          <w14:ligatures w14:val="none"/>
        </w:rPr>
        <w:t xml:space="preserve"> 2310030</w:t>
      </w:r>
    </w:p>
    <w:p w14:paraId="51FCDC0F" w14:textId="77777777" w:rsidR="00416F7D" w:rsidRPr="00416F7D" w:rsidRDefault="00416F7D" w:rsidP="00416F7D">
      <w:pPr>
        <w:spacing w:before="100" w:beforeAutospacing="1" w:after="100" w:afterAutospacing="1"/>
        <w:jc w:val="center"/>
        <w:rPr>
          <w:rFonts w:eastAsia="Calibri" w:cs="Arial"/>
          <w:b/>
          <w:bCs/>
          <w:noProof/>
          <w:kern w:val="0"/>
          <w:sz w:val="32"/>
          <w:szCs w:val="28"/>
          <w:lang w:val="en-US"/>
          <w14:ligatures w14:val="none"/>
        </w:rPr>
      </w:pPr>
    </w:p>
    <w:p w14:paraId="6C930AD5" w14:textId="77777777" w:rsidR="00416F7D" w:rsidRPr="00416F7D" w:rsidRDefault="00416F7D" w:rsidP="00416F7D">
      <w:pPr>
        <w:spacing w:before="100" w:beforeAutospacing="1" w:after="100" w:afterAutospacing="1"/>
        <w:jc w:val="center"/>
        <w:rPr>
          <w:rFonts w:eastAsia="Calibri" w:cs="Arial"/>
          <w:noProof/>
          <w:kern w:val="0"/>
          <w:sz w:val="32"/>
          <w:szCs w:val="28"/>
          <w:lang w:val="en-US"/>
          <w14:ligatures w14:val="none"/>
        </w:rPr>
      </w:pPr>
      <w:r w:rsidRPr="00416F7D">
        <w:rPr>
          <w:rFonts w:eastAsia="Calibri" w:cs="Arial"/>
          <w:b/>
          <w:bCs/>
          <w:noProof/>
          <w:kern w:val="0"/>
          <w:sz w:val="32"/>
          <w:szCs w:val="28"/>
          <w:lang w:val="en-US"/>
          <w14:ligatures w14:val="none"/>
        </w:rPr>
        <w:t>Module Name:</w:t>
      </w:r>
      <w:r w:rsidRPr="00416F7D">
        <w:rPr>
          <w:rFonts w:eastAsia="Calibri" w:cs="Arial"/>
          <w:noProof/>
          <w:kern w:val="0"/>
          <w:sz w:val="32"/>
          <w:szCs w:val="28"/>
          <w:lang w:val="en-US"/>
          <w14:ligatures w14:val="none"/>
        </w:rPr>
        <w:t xml:space="preserve"> </w:t>
      </w:r>
      <w:r w:rsidRPr="00416F7D">
        <w:rPr>
          <w:rFonts w:eastAsia="Calibri" w:cs="Arial"/>
          <w:noProof/>
          <w:kern w:val="0"/>
          <w:sz w:val="32"/>
          <w:szCs w:val="28"/>
          <w14:ligatures w14:val="none"/>
        </w:rPr>
        <w:t>Health, Wellbeing and Sustainable Development</w:t>
      </w:r>
    </w:p>
    <w:p w14:paraId="60136FFC" w14:textId="77777777" w:rsidR="00416F7D" w:rsidRPr="00416F7D" w:rsidRDefault="00416F7D" w:rsidP="00416F7D">
      <w:pPr>
        <w:spacing w:before="100" w:beforeAutospacing="1" w:after="100" w:afterAutospacing="1"/>
        <w:jc w:val="center"/>
        <w:rPr>
          <w:rFonts w:eastAsia="Calibri" w:cs="Arial"/>
          <w:b/>
          <w:bCs/>
          <w:noProof/>
          <w:kern w:val="0"/>
          <w:szCs w:val="20"/>
          <w:lang w:val="en-US"/>
          <w14:ligatures w14:val="none"/>
        </w:rPr>
      </w:pPr>
    </w:p>
    <w:p w14:paraId="64BBF1E2" w14:textId="77777777" w:rsidR="00416F7D" w:rsidRPr="00416F7D" w:rsidRDefault="00416F7D" w:rsidP="00416F7D">
      <w:pPr>
        <w:spacing w:before="100" w:beforeAutospacing="1" w:after="100" w:afterAutospacing="1"/>
        <w:jc w:val="center"/>
        <w:rPr>
          <w:rFonts w:eastAsia="Calibri" w:cs="Arial"/>
          <w:b/>
          <w:bCs/>
          <w:noProof/>
          <w:kern w:val="0"/>
          <w:szCs w:val="20"/>
          <w:lang w:val="en-US"/>
          <w14:ligatures w14:val="none"/>
        </w:rPr>
      </w:pPr>
    </w:p>
    <w:p w14:paraId="193B550E" w14:textId="77777777" w:rsidR="00416F7D" w:rsidRPr="00A2749B" w:rsidRDefault="00416F7D" w:rsidP="00416F7D">
      <w:pPr>
        <w:keepNext/>
        <w:keepLines/>
        <w:pBdr>
          <w:bottom w:val="single" w:sz="4" w:space="1" w:color="auto"/>
        </w:pBdr>
        <w:spacing w:before="100" w:beforeAutospacing="1" w:after="100" w:afterAutospacing="1"/>
        <w:jc w:val="center"/>
        <w:rPr>
          <w:rFonts w:eastAsia="Calibri" w:cs="Arial"/>
          <w:b/>
          <w:caps/>
          <w:noProof/>
          <w:kern w:val="0"/>
          <w:sz w:val="32"/>
          <w:szCs w:val="48"/>
          <w:lang w:val="en-US"/>
          <w14:ligatures w14:val="none"/>
        </w:rPr>
      </w:pPr>
      <w:r w:rsidRPr="00A2749B">
        <w:rPr>
          <w:rFonts w:eastAsia="Calibri" w:cs="Arial"/>
          <w:b/>
          <w:bCs/>
          <w:caps/>
          <w:noProof/>
          <w:kern w:val="0"/>
          <w:sz w:val="32"/>
          <w:szCs w:val="48"/>
          <w:lang w:val="en-US"/>
          <w14:ligatures w14:val="none"/>
        </w:rPr>
        <w:t>Assignment Title:</w:t>
      </w:r>
      <w:r w:rsidRPr="00A2749B">
        <w:rPr>
          <w:rFonts w:eastAsia="Calibri" w:cs="Arial"/>
          <w:b/>
          <w:caps/>
          <w:noProof/>
          <w:kern w:val="0"/>
          <w:sz w:val="32"/>
          <w:szCs w:val="48"/>
          <w:lang w:val="en-US"/>
          <w14:ligatures w14:val="none"/>
        </w:rPr>
        <w:t xml:space="preserve"> </w:t>
      </w:r>
      <w:r w:rsidRPr="00A2749B">
        <w:rPr>
          <w:rFonts w:eastAsia="Calibri" w:cs="Arial"/>
          <w:b/>
          <w:caps/>
          <w:noProof/>
          <w:kern w:val="0"/>
          <w:sz w:val="32"/>
          <w:szCs w:val="48"/>
          <w14:ligatures w14:val="none"/>
        </w:rPr>
        <w:t>Component 2: Written Assignment (Report)</w:t>
      </w:r>
    </w:p>
    <w:p w14:paraId="143AA76C" w14:textId="30598814" w:rsidR="00416F7D" w:rsidRPr="00A06D92" w:rsidRDefault="00F60723" w:rsidP="00A06D92">
      <w:pPr>
        <w:spacing w:before="100" w:beforeAutospacing="1" w:after="100" w:afterAutospacing="1"/>
        <w:jc w:val="center"/>
        <w:rPr>
          <w:rFonts w:eastAsia="Calibri" w:cs="Arial"/>
          <w:b/>
          <w:bCs/>
          <w:noProof/>
          <w:kern w:val="0"/>
          <w:szCs w:val="20"/>
          <w14:ligatures w14:val="none"/>
        </w:rPr>
      </w:pPr>
      <w:r>
        <w:rPr>
          <w:rFonts w:eastAsia="Calibri" w:cs="Arial"/>
          <w:b/>
          <w:bCs/>
          <w:noProof/>
          <w:kern w:val="0"/>
          <w:szCs w:val="20"/>
          <w:lang w:val="en-US"/>
          <w14:ligatures w14:val="none"/>
        </w:rPr>
        <w:t xml:space="preserve">Topic: </w:t>
      </w:r>
      <w:r w:rsidR="00A06D92" w:rsidRPr="00A06D92">
        <w:rPr>
          <w:rFonts w:eastAsia="Calibri" w:cs="Arial"/>
          <w:b/>
          <w:bCs/>
          <w:noProof/>
          <w:kern w:val="0"/>
          <w:szCs w:val="20"/>
          <w14:ligatures w14:val="none"/>
        </w:rPr>
        <w:t xml:space="preserve">Analysing the Interplay Between Health, Wellbeing, and Climate Action: A Critical Evaluation of SDG 3 and SDG 13 </w:t>
      </w:r>
      <w:r w:rsidR="00A06D92">
        <w:rPr>
          <w:rFonts w:eastAsia="Calibri" w:cs="Arial"/>
          <w:b/>
          <w:bCs/>
          <w:noProof/>
          <w:kern w:val="0"/>
          <w:szCs w:val="20"/>
          <w14:ligatures w14:val="none"/>
        </w:rPr>
        <w:t>refering to national and global policies and examples</w:t>
      </w:r>
    </w:p>
    <w:p w14:paraId="29358997" w14:textId="77777777" w:rsidR="00416F7D" w:rsidRPr="00416F7D" w:rsidRDefault="00416F7D" w:rsidP="00416F7D">
      <w:pPr>
        <w:spacing w:before="100" w:beforeAutospacing="1" w:after="100" w:afterAutospacing="1"/>
        <w:jc w:val="center"/>
        <w:rPr>
          <w:rFonts w:eastAsia="Calibri" w:cs="Arial"/>
          <w:b/>
          <w:bCs/>
          <w:noProof/>
          <w:kern w:val="0"/>
          <w:szCs w:val="20"/>
          <w:lang w:val="en-US"/>
          <w14:ligatures w14:val="none"/>
        </w:rPr>
      </w:pPr>
    </w:p>
    <w:p w14:paraId="4D13D03F" w14:textId="05EC37E8" w:rsidR="00AA74D2" w:rsidRDefault="00416F7D" w:rsidP="00416F7D">
      <w:pPr>
        <w:spacing w:line="278" w:lineRule="auto"/>
        <w:jc w:val="center"/>
        <w:rPr>
          <w:lang w:val="en-US"/>
        </w:rPr>
      </w:pPr>
      <w:r w:rsidRPr="00416F7D">
        <w:rPr>
          <w:rFonts w:eastAsia="Calibri" w:cs="Arial"/>
          <w:b/>
          <w:bCs/>
          <w:noProof/>
          <w:kern w:val="0"/>
          <w:sz w:val="28"/>
          <w:lang w:val="en-US"/>
          <w14:ligatures w14:val="none"/>
        </w:rPr>
        <w:t>Lecturer name</w:t>
      </w:r>
      <w:r w:rsidRPr="00416F7D">
        <w:rPr>
          <w:rFonts w:eastAsia="Calibri" w:cs="Arial"/>
          <w:b/>
          <w:bCs/>
          <w:noProof/>
          <w:kern w:val="0"/>
          <w:sz w:val="28"/>
          <w14:ligatures w14:val="none"/>
        </w:rPr>
        <w:t>:</w:t>
      </w:r>
      <w:r w:rsidRPr="00416F7D">
        <w:rPr>
          <w:rFonts w:eastAsia="Calibri" w:cs="Arial"/>
          <w:noProof/>
          <w:kern w:val="0"/>
          <w:sz w:val="28"/>
          <w14:ligatures w14:val="none"/>
        </w:rPr>
        <w:t xml:space="preserve"> Parese Ahmed, Philip Jones, Samuel Assan and Junaid Shaikh </w:t>
      </w:r>
      <w:r w:rsidRPr="00416F7D">
        <w:rPr>
          <w:rFonts w:eastAsia="Calibri" w:cs="Arial"/>
          <w:noProof/>
          <w:kern w:val="0"/>
          <w:szCs w:val="20"/>
          <w14:ligatures w14:val="none"/>
        </w:rPr>
        <w:t xml:space="preserve"> </w:t>
      </w:r>
      <w:r w:rsidR="00AA74D2">
        <w:rPr>
          <w:lang w:val="en-US"/>
        </w:rPr>
        <w:br w:type="page"/>
      </w:r>
    </w:p>
    <w:sdt>
      <w:sdtPr>
        <w:rPr>
          <w:b/>
          <w:bCs/>
          <w:sz w:val="24"/>
          <w:szCs w:val="28"/>
        </w:rPr>
        <w:id w:val="815686821"/>
        <w:docPartObj>
          <w:docPartGallery w:val="Table of Contents"/>
          <w:docPartUnique/>
        </w:docPartObj>
      </w:sdtPr>
      <w:sdtEndPr>
        <w:rPr>
          <w:sz w:val="22"/>
          <w:szCs w:val="24"/>
        </w:rPr>
      </w:sdtEndPr>
      <w:sdtContent>
        <w:p w14:paraId="7E533C22" w14:textId="1CDF2149" w:rsidR="00416F7D" w:rsidRPr="00416F7D" w:rsidRDefault="00416F7D" w:rsidP="00416F7D">
          <w:pPr>
            <w:spacing w:after="0"/>
            <w:jc w:val="center"/>
            <w:rPr>
              <w:b/>
              <w:bCs/>
              <w:sz w:val="24"/>
              <w:szCs w:val="28"/>
            </w:rPr>
          </w:pPr>
          <w:r w:rsidRPr="00416F7D">
            <w:rPr>
              <w:b/>
              <w:bCs/>
              <w:sz w:val="24"/>
              <w:szCs w:val="28"/>
            </w:rPr>
            <w:t>Table of Contents</w:t>
          </w:r>
        </w:p>
        <w:p w14:paraId="32C3390F" w14:textId="15D7710D" w:rsidR="006E77DC" w:rsidRDefault="00416F7D">
          <w:pPr>
            <w:pStyle w:val="TOC1"/>
            <w:tabs>
              <w:tab w:val="right" w:leader="dot" w:pos="9016"/>
            </w:tabs>
            <w:rPr>
              <w:rFonts w:asciiTheme="minorHAnsi" w:eastAsiaTheme="minorEastAsia" w:hAnsiTheme="minorHAnsi"/>
              <w:noProof/>
              <w:sz w:val="24"/>
              <w:lang w:val="en-IN" w:eastAsia="en-IN"/>
            </w:rPr>
          </w:pPr>
          <w:r>
            <w:fldChar w:fldCharType="begin"/>
          </w:r>
          <w:r>
            <w:instrText xml:space="preserve"> TOC \o "1-3" \h \z \u </w:instrText>
          </w:r>
          <w:r>
            <w:fldChar w:fldCharType="separate"/>
          </w:r>
          <w:hyperlink w:anchor="_Toc234922685" w:history="1">
            <w:r w:rsidR="006E77DC" w:rsidRPr="007E2DDB">
              <w:rPr>
                <w:rStyle w:val="Hyperlink"/>
                <w:noProof/>
              </w:rPr>
              <w:t>Introduction</w:t>
            </w:r>
            <w:r w:rsidR="006E77DC">
              <w:rPr>
                <w:noProof/>
                <w:webHidden/>
              </w:rPr>
              <w:tab/>
            </w:r>
            <w:r w:rsidR="006E77DC">
              <w:rPr>
                <w:noProof/>
                <w:webHidden/>
              </w:rPr>
              <w:fldChar w:fldCharType="begin"/>
            </w:r>
            <w:r w:rsidR="006E77DC">
              <w:rPr>
                <w:noProof/>
                <w:webHidden/>
              </w:rPr>
              <w:instrText xml:space="preserve"> PAGEREF _Toc234922685 \h </w:instrText>
            </w:r>
            <w:r w:rsidR="006E77DC">
              <w:rPr>
                <w:noProof/>
                <w:webHidden/>
              </w:rPr>
            </w:r>
            <w:r w:rsidR="006E77DC">
              <w:rPr>
                <w:noProof/>
                <w:webHidden/>
              </w:rPr>
              <w:fldChar w:fldCharType="separate"/>
            </w:r>
            <w:r w:rsidR="006E77DC">
              <w:rPr>
                <w:noProof/>
                <w:webHidden/>
              </w:rPr>
              <w:t>2</w:t>
            </w:r>
            <w:r w:rsidR="006E77DC">
              <w:rPr>
                <w:noProof/>
                <w:webHidden/>
              </w:rPr>
              <w:fldChar w:fldCharType="end"/>
            </w:r>
          </w:hyperlink>
        </w:p>
        <w:p w14:paraId="0670CC45" w14:textId="20FB4D8E" w:rsidR="006E77DC" w:rsidRDefault="006E77DC">
          <w:pPr>
            <w:pStyle w:val="TOC1"/>
            <w:tabs>
              <w:tab w:val="right" w:leader="dot" w:pos="9016"/>
            </w:tabs>
            <w:rPr>
              <w:rFonts w:asciiTheme="minorHAnsi" w:eastAsiaTheme="minorEastAsia" w:hAnsiTheme="minorHAnsi"/>
              <w:noProof/>
              <w:sz w:val="24"/>
              <w:lang w:val="en-IN" w:eastAsia="en-IN"/>
            </w:rPr>
          </w:pPr>
          <w:hyperlink w:anchor="_Toc234922686" w:history="1">
            <w:r w:rsidRPr="007E2DDB">
              <w:rPr>
                <w:rStyle w:val="Hyperlink"/>
                <w:noProof/>
              </w:rPr>
              <w:t>1. Section 1: SDG 3 - Good Health and Wellbeing</w:t>
            </w:r>
            <w:r>
              <w:rPr>
                <w:noProof/>
                <w:webHidden/>
              </w:rPr>
              <w:tab/>
            </w:r>
            <w:r>
              <w:rPr>
                <w:noProof/>
                <w:webHidden/>
              </w:rPr>
              <w:fldChar w:fldCharType="begin"/>
            </w:r>
            <w:r>
              <w:rPr>
                <w:noProof/>
                <w:webHidden/>
              </w:rPr>
              <w:instrText xml:space="preserve"> PAGEREF _Toc234922686 \h </w:instrText>
            </w:r>
            <w:r>
              <w:rPr>
                <w:noProof/>
                <w:webHidden/>
              </w:rPr>
            </w:r>
            <w:r>
              <w:rPr>
                <w:noProof/>
                <w:webHidden/>
              </w:rPr>
              <w:fldChar w:fldCharType="separate"/>
            </w:r>
            <w:r>
              <w:rPr>
                <w:noProof/>
                <w:webHidden/>
              </w:rPr>
              <w:t>3</w:t>
            </w:r>
            <w:r>
              <w:rPr>
                <w:noProof/>
                <w:webHidden/>
              </w:rPr>
              <w:fldChar w:fldCharType="end"/>
            </w:r>
          </w:hyperlink>
        </w:p>
        <w:p w14:paraId="3059220C" w14:textId="61C37C21"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87" w:history="1">
            <w:r w:rsidRPr="007E2DDB">
              <w:rPr>
                <w:rStyle w:val="Hyperlink"/>
                <w:noProof/>
              </w:rPr>
              <w:t>1.1 Overview of SDG 3</w:t>
            </w:r>
            <w:r>
              <w:rPr>
                <w:noProof/>
                <w:webHidden/>
              </w:rPr>
              <w:tab/>
            </w:r>
            <w:r>
              <w:rPr>
                <w:noProof/>
                <w:webHidden/>
              </w:rPr>
              <w:fldChar w:fldCharType="begin"/>
            </w:r>
            <w:r>
              <w:rPr>
                <w:noProof/>
                <w:webHidden/>
              </w:rPr>
              <w:instrText xml:space="preserve"> PAGEREF _Toc234922687 \h </w:instrText>
            </w:r>
            <w:r>
              <w:rPr>
                <w:noProof/>
                <w:webHidden/>
              </w:rPr>
            </w:r>
            <w:r>
              <w:rPr>
                <w:noProof/>
                <w:webHidden/>
              </w:rPr>
              <w:fldChar w:fldCharType="separate"/>
            </w:r>
            <w:r>
              <w:rPr>
                <w:noProof/>
                <w:webHidden/>
              </w:rPr>
              <w:t>3</w:t>
            </w:r>
            <w:r>
              <w:rPr>
                <w:noProof/>
                <w:webHidden/>
              </w:rPr>
              <w:fldChar w:fldCharType="end"/>
            </w:r>
          </w:hyperlink>
        </w:p>
        <w:p w14:paraId="667BFBED" w14:textId="30D2EEE6"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88" w:history="1">
            <w:r w:rsidRPr="007E2DDB">
              <w:rPr>
                <w:rStyle w:val="Hyperlink"/>
                <w:noProof/>
              </w:rPr>
              <w:t>1.2 Critical evaluation of global policies and initiatives</w:t>
            </w:r>
            <w:r>
              <w:rPr>
                <w:noProof/>
                <w:webHidden/>
              </w:rPr>
              <w:tab/>
            </w:r>
            <w:r>
              <w:rPr>
                <w:noProof/>
                <w:webHidden/>
              </w:rPr>
              <w:fldChar w:fldCharType="begin"/>
            </w:r>
            <w:r>
              <w:rPr>
                <w:noProof/>
                <w:webHidden/>
              </w:rPr>
              <w:instrText xml:space="preserve"> PAGEREF _Toc234922688 \h </w:instrText>
            </w:r>
            <w:r>
              <w:rPr>
                <w:noProof/>
                <w:webHidden/>
              </w:rPr>
            </w:r>
            <w:r>
              <w:rPr>
                <w:noProof/>
                <w:webHidden/>
              </w:rPr>
              <w:fldChar w:fldCharType="separate"/>
            </w:r>
            <w:r>
              <w:rPr>
                <w:noProof/>
                <w:webHidden/>
              </w:rPr>
              <w:t>3</w:t>
            </w:r>
            <w:r>
              <w:rPr>
                <w:noProof/>
                <w:webHidden/>
              </w:rPr>
              <w:fldChar w:fldCharType="end"/>
            </w:r>
          </w:hyperlink>
        </w:p>
        <w:p w14:paraId="3D7C9D92" w14:textId="232C5949"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89" w:history="1">
            <w:r w:rsidRPr="007E2DDB">
              <w:rPr>
                <w:rStyle w:val="Hyperlink"/>
                <w:noProof/>
              </w:rPr>
              <w:t>1.3 Critical evaluation of national and local examples</w:t>
            </w:r>
            <w:r>
              <w:rPr>
                <w:noProof/>
                <w:webHidden/>
              </w:rPr>
              <w:tab/>
            </w:r>
            <w:r>
              <w:rPr>
                <w:noProof/>
                <w:webHidden/>
              </w:rPr>
              <w:fldChar w:fldCharType="begin"/>
            </w:r>
            <w:r>
              <w:rPr>
                <w:noProof/>
                <w:webHidden/>
              </w:rPr>
              <w:instrText xml:space="preserve"> PAGEREF _Toc234922689 \h </w:instrText>
            </w:r>
            <w:r>
              <w:rPr>
                <w:noProof/>
                <w:webHidden/>
              </w:rPr>
            </w:r>
            <w:r>
              <w:rPr>
                <w:noProof/>
                <w:webHidden/>
              </w:rPr>
              <w:fldChar w:fldCharType="separate"/>
            </w:r>
            <w:r>
              <w:rPr>
                <w:noProof/>
                <w:webHidden/>
              </w:rPr>
              <w:t>4</w:t>
            </w:r>
            <w:r>
              <w:rPr>
                <w:noProof/>
                <w:webHidden/>
              </w:rPr>
              <w:fldChar w:fldCharType="end"/>
            </w:r>
          </w:hyperlink>
        </w:p>
        <w:p w14:paraId="70B5C825" w14:textId="3CE8C21A"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90" w:history="1">
            <w:r w:rsidRPr="007E2DDB">
              <w:rPr>
                <w:rStyle w:val="Hyperlink"/>
                <w:noProof/>
              </w:rPr>
              <w:t>1.4 Use of theories incorporated into the evaluation</w:t>
            </w:r>
            <w:r>
              <w:rPr>
                <w:noProof/>
                <w:webHidden/>
              </w:rPr>
              <w:tab/>
            </w:r>
            <w:r>
              <w:rPr>
                <w:noProof/>
                <w:webHidden/>
              </w:rPr>
              <w:fldChar w:fldCharType="begin"/>
            </w:r>
            <w:r>
              <w:rPr>
                <w:noProof/>
                <w:webHidden/>
              </w:rPr>
              <w:instrText xml:space="preserve"> PAGEREF _Toc234922690 \h </w:instrText>
            </w:r>
            <w:r>
              <w:rPr>
                <w:noProof/>
                <w:webHidden/>
              </w:rPr>
            </w:r>
            <w:r>
              <w:rPr>
                <w:noProof/>
                <w:webHidden/>
              </w:rPr>
              <w:fldChar w:fldCharType="separate"/>
            </w:r>
            <w:r>
              <w:rPr>
                <w:noProof/>
                <w:webHidden/>
              </w:rPr>
              <w:t>5</w:t>
            </w:r>
            <w:r>
              <w:rPr>
                <w:noProof/>
                <w:webHidden/>
              </w:rPr>
              <w:fldChar w:fldCharType="end"/>
            </w:r>
          </w:hyperlink>
        </w:p>
        <w:p w14:paraId="08CC390B" w14:textId="5658E1FB"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91" w:history="1">
            <w:r w:rsidRPr="007E2DDB">
              <w:rPr>
                <w:rStyle w:val="Hyperlink"/>
                <w:noProof/>
              </w:rPr>
              <w:t>1.5 Recommendations</w:t>
            </w:r>
            <w:r>
              <w:rPr>
                <w:noProof/>
                <w:webHidden/>
              </w:rPr>
              <w:tab/>
            </w:r>
            <w:r>
              <w:rPr>
                <w:noProof/>
                <w:webHidden/>
              </w:rPr>
              <w:fldChar w:fldCharType="begin"/>
            </w:r>
            <w:r>
              <w:rPr>
                <w:noProof/>
                <w:webHidden/>
              </w:rPr>
              <w:instrText xml:space="preserve"> PAGEREF _Toc234922691 \h </w:instrText>
            </w:r>
            <w:r>
              <w:rPr>
                <w:noProof/>
                <w:webHidden/>
              </w:rPr>
            </w:r>
            <w:r>
              <w:rPr>
                <w:noProof/>
                <w:webHidden/>
              </w:rPr>
              <w:fldChar w:fldCharType="separate"/>
            </w:r>
            <w:r>
              <w:rPr>
                <w:noProof/>
                <w:webHidden/>
              </w:rPr>
              <w:t>5</w:t>
            </w:r>
            <w:r>
              <w:rPr>
                <w:noProof/>
                <w:webHidden/>
              </w:rPr>
              <w:fldChar w:fldCharType="end"/>
            </w:r>
          </w:hyperlink>
        </w:p>
        <w:p w14:paraId="1DB50961" w14:textId="4514C348" w:rsidR="006E77DC" w:rsidRDefault="006E77DC">
          <w:pPr>
            <w:pStyle w:val="TOC1"/>
            <w:tabs>
              <w:tab w:val="right" w:leader="dot" w:pos="9016"/>
            </w:tabs>
            <w:rPr>
              <w:rFonts w:asciiTheme="minorHAnsi" w:eastAsiaTheme="minorEastAsia" w:hAnsiTheme="minorHAnsi"/>
              <w:noProof/>
              <w:sz w:val="24"/>
              <w:lang w:val="en-IN" w:eastAsia="en-IN"/>
            </w:rPr>
          </w:pPr>
          <w:hyperlink w:anchor="_Toc234922692" w:history="1">
            <w:r w:rsidRPr="007E2DDB">
              <w:rPr>
                <w:rStyle w:val="Hyperlink"/>
                <w:noProof/>
              </w:rPr>
              <w:t>2. Section 2: SDG 13 – Climate Action</w:t>
            </w:r>
            <w:r>
              <w:rPr>
                <w:noProof/>
                <w:webHidden/>
              </w:rPr>
              <w:tab/>
            </w:r>
            <w:r>
              <w:rPr>
                <w:noProof/>
                <w:webHidden/>
              </w:rPr>
              <w:fldChar w:fldCharType="begin"/>
            </w:r>
            <w:r>
              <w:rPr>
                <w:noProof/>
                <w:webHidden/>
              </w:rPr>
              <w:instrText xml:space="preserve"> PAGEREF _Toc234922692 \h </w:instrText>
            </w:r>
            <w:r>
              <w:rPr>
                <w:noProof/>
                <w:webHidden/>
              </w:rPr>
            </w:r>
            <w:r>
              <w:rPr>
                <w:noProof/>
                <w:webHidden/>
              </w:rPr>
              <w:fldChar w:fldCharType="separate"/>
            </w:r>
            <w:r>
              <w:rPr>
                <w:noProof/>
                <w:webHidden/>
              </w:rPr>
              <w:t>7</w:t>
            </w:r>
            <w:r>
              <w:rPr>
                <w:noProof/>
                <w:webHidden/>
              </w:rPr>
              <w:fldChar w:fldCharType="end"/>
            </w:r>
          </w:hyperlink>
        </w:p>
        <w:p w14:paraId="4535926C" w14:textId="00D2763F"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93" w:history="1">
            <w:r w:rsidRPr="007E2DDB">
              <w:rPr>
                <w:rStyle w:val="Hyperlink"/>
                <w:noProof/>
              </w:rPr>
              <w:t>2.1 Overview of SDG 13</w:t>
            </w:r>
            <w:r>
              <w:rPr>
                <w:noProof/>
                <w:webHidden/>
              </w:rPr>
              <w:tab/>
            </w:r>
            <w:r>
              <w:rPr>
                <w:noProof/>
                <w:webHidden/>
              </w:rPr>
              <w:fldChar w:fldCharType="begin"/>
            </w:r>
            <w:r>
              <w:rPr>
                <w:noProof/>
                <w:webHidden/>
              </w:rPr>
              <w:instrText xml:space="preserve"> PAGEREF _Toc234922693 \h </w:instrText>
            </w:r>
            <w:r>
              <w:rPr>
                <w:noProof/>
                <w:webHidden/>
              </w:rPr>
            </w:r>
            <w:r>
              <w:rPr>
                <w:noProof/>
                <w:webHidden/>
              </w:rPr>
              <w:fldChar w:fldCharType="separate"/>
            </w:r>
            <w:r>
              <w:rPr>
                <w:noProof/>
                <w:webHidden/>
              </w:rPr>
              <w:t>7</w:t>
            </w:r>
            <w:r>
              <w:rPr>
                <w:noProof/>
                <w:webHidden/>
              </w:rPr>
              <w:fldChar w:fldCharType="end"/>
            </w:r>
          </w:hyperlink>
        </w:p>
        <w:p w14:paraId="333F1E50" w14:textId="4CF42EC9"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94" w:history="1">
            <w:r w:rsidRPr="007E2DDB">
              <w:rPr>
                <w:rStyle w:val="Hyperlink"/>
                <w:noProof/>
              </w:rPr>
              <w:t>2.2 Critical Evaluation of Global Policies and Initiatives</w:t>
            </w:r>
            <w:r>
              <w:rPr>
                <w:noProof/>
                <w:webHidden/>
              </w:rPr>
              <w:tab/>
            </w:r>
            <w:r>
              <w:rPr>
                <w:noProof/>
                <w:webHidden/>
              </w:rPr>
              <w:fldChar w:fldCharType="begin"/>
            </w:r>
            <w:r>
              <w:rPr>
                <w:noProof/>
                <w:webHidden/>
              </w:rPr>
              <w:instrText xml:space="preserve"> PAGEREF _Toc234922694 \h </w:instrText>
            </w:r>
            <w:r>
              <w:rPr>
                <w:noProof/>
                <w:webHidden/>
              </w:rPr>
            </w:r>
            <w:r>
              <w:rPr>
                <w:noProof/>
                <w:webHidden/>
              </w:rPr>
              <w:fldChar w:fldCharType="separate"/>
            </w:r>
            <w:r>
              <w:rPr>
                <w:noProof/>
                <w:webHidden/>
              </w:rPr>
              <w:t>7</w:t>
            </w:r>
            <w:r>
              <w:rPr>
                <w:noProof/>
                <w:webHidden/>
              </w:rPr>
              <w:fldChar w:fldCharType="end"/>
            </w:r>
          </w:hyperlink>
        </w:p>
        <w:p w14:paraId="177ABE2E" w14:textId="5CE7DF79"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95" w:history="1">
            <w:r w:rsidRPr="007E2DDB">
              <w:rPr>
                <w:rStyle w:val="Hyperlink"/>
                <w:noProof/>
              </w:rPr>
              <w:t>2.3 Critical Evaluation of National and Local Examples</w:t>
            </w:r>
            <w:r>
              <w:rPr>
                <w:noProof/>
                <w:webHidden/>
              </w:rPr>
              <w:tab/>
            </w:r>
            <w:r>
              <w:rPr>
                <w:noProof/>
                <w:webHidden/>
              </w:rPr>
              <w:fldChar w:fldCharType="begin"/>
            </w:r>
            <w:r>
              <w:rPr>
                <w:noProof/>
                <w:webHidden/>
              </w:rPr>
              <w:instrText xml:space="preserve"> PAGEREF _Toc234922695 \h </w:instrText>
            </w:r>
            <w:r>
              <w:rPr>
                <w:noProof/>
                <w:webHidden/>
              </w:rPr>
            </w:r>
            <w:r>
              <w:rPr>
                <w:noProof/>
                <w:webHidden/>
              </w:rPr>
              <w:fldChar w:fldCharType="separate"/>
            </w:r>
            <w:r>
              <w:rPr>
                <w:noProof/>
                <w:webHidden/>
              </w:rPr>
              <w:t>8</w:t>
            </w:r>
            <w:r>
              <w:rPr>
                <w:noProof/>
                <w:webHidden/>
              </w:rPr>
              <w:fldChar w:fldCharType="end"/>
            </w:r>
          </w:hyperlink>
        </w:p>
        <w:p w14:paraId="5ADE9964" w14:textId="12BE5A02"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96" w:history="1">
            <w:r w:rsidRPr="007E2DDB">
              <w:rPr>
                <w:rStyle w:val="Hyperlink"/>
                <w:noProof/>
              </w:rPr>
              <w:t>2.4 Use of Theories Incorporates into the Evaluation</w:t>
            </w:r>
            <w:r>
              <w:rPr>
                <w:noProof/>
                <w:webHidden/>
              </w:rPr>
              <w:tab/>
            </w:r>
            <w:r>
              <w:rPr>
                <w:noProof/>
                <w:webHidden/>
              </w:rPr>
              <w:fldChar w:fldCharType="begin"/>
            </w:r>
            <w:r>
              <w:rPr>
                <w:noProof/>
                <w:webHidden/>
              </w:rPr>
              <w:instrText xml:space="preserve"> PAGEREF _Toc234922696 \h </w:instrText>
            </w:r>
            <w:r>
              <w:rPr>
                <w:noProof/>
                <w:webHidden/>
              </w:rPr>
            </w:r>
            <w:r>
              <w:rPr>
                <w:noProof/>
                <w:webHidden/>
              </w:rPr>
              <w:fldChar w:fldCharType="separate"/>
            </w:r>
            <w:r>
              <w:rPr>
                <w:noProof/>
                <w:webHidden/>
              </w:rPr>
              <w:t>9</w:t>
            </w:r>
            <w:r>
              <w:rPr>
                <w:noProof/>
                <w:webHidden/>
              </w:rPr>
              <w:fldChar w:fldCharType="end"/>
            </w:r>
          </w:hyperlink>
        </w:p>
        <w:p w14:paraId="28AF7163" w14:textId="4207CE52" w:rsidR="006E77DC" w:rsidRDefault="006E77DC">
          <w:pPr>
            <w:pStyle w:val="TOC2"/>
            <w:tabs>
              <w:tab w:val="right" w:leader="dot" w:pos="9016"/>
            </w:tabs>
            <w:rPr>
              <w:rFonts w:asciiTheme="minorHAnsi" w:eastAsiaTheme="minorEastAsia" w:hAnsiTheme="minorHAnsi"/>
              <w:noProof/>
              <w:sz w:val="24"/>
              <w:lang w:val="en-IN" w:eastAsia="en-IN"/>
            </w:rPr>
          </w:pPr>
          <w:hyperlink w:anchor="_Toc234922697" w:history="1">
            <w:r w:rsidRPr="007E2DDB">
              <w:rPr>
                <w:rStyle w:val="Hyperlink"/>
                <w:noProof/>
              </w:rPr>
              <w:t>2.5 Recommendations</w:t>
            </w:r>
            <w:r>
              <w:rPr>
                <w:noProof/>
                <w:webHidden/>
              </w:rPr>
              <w:tab/>
            </w:r>
            <w:r>
              <w:rPr>
                <w:noProof/>
                <w:webHidden/>
              </w:rPr>
              <w:fldChar w:fldCharType="begin"/>
            </w:r>
            <w:r>
              <w:rPr>
                <w:noProof/>
                <w:webHidden/>
              </w:rPr>
              <w:instrText xml:space="preserve"> PAGEREF _Toc234922697 \h </w:instrText>
            </w:r>
            <w:r>
              <w:rPr>
                <w:noProof/>
                <w:webHidden/>
              </w:rPr>
            </w:r>
            <w:r>
              <w:rPr>
                <w:noProof/>
                <w:webHidden/>
              </w:rPr>
              <w:fldChar w:fldCharType="separate"/>
            </w:r>
            <w:r>
              <w:rPr>
                <w:noProof/>
                <w:webHidden/>
              </w:rPr>
              <w:t>9</w:t>
            </w:r>
            <w:r>
              <w:rPr>
                <w:noProof/>
                <w:webHidden/>
              </w:rPr>
              <w:fldChar w:fldCharType="end"/>
            </w:r>
          </w:hyperlink>
        </w:p>
        <w:p w14:paraId="6D9DB78E" w14:textId="7E2D8A72" w:rsidR="006E77DC" w:rsidRDefault="006E77DC">
          <w:pPr>
            <w:pStyle w:val="TOC1"/>
            <w:tabs>
              <w:tab w:val="right" w:leader="dot" w:pos="9016"/>
            </w:tabs>
            <w:rPr>
              <w:rFonts w:asciiTheme="minorHAnsi" w:eastAsiaTheme="minorEastAsia" w:hAnsiTheme="minorHAnsi"/>
              <w:noProof/>
              <w:sz w:val="24"/>
              <w:lang w:val="en-IN" w:eastAsia="en-IN"/>
            </w:rPr>
          </w:pPr>
          <w:hyperlink w:anchor="_Toc234922698" w:history="1">
            <w:r w:rsidRPr="007E2DDB">
              <w:rPr>
                <w:rStyle w:val="Hyperlink"/>
                <w:noProof/>
              </w:rPr>
              <w:t>Conclusion</w:t>
            </w:r>
            <w:r>
              <w:rPr>
                <w:noProof/>
                <w:webHidden/>
              </w:rPr>
              <w:tab/>
            </w:r>
            <w:r>
              <w:rPr>
                <w:noProof/>
                <w:webHidden/>
              </w:rPr>
              <w:fldChar w:fldCharType="begin"/>
            </w:r>
            <w:r>
              <w:rPr>
                <w:noProof/>
                <w:webHidden/>
              </w:rPr>
              <w:instrText xml:space="preserve"> PAGEREF _Toc234922698 \h </w:instrText>
            </w:r>
            <w:r>
              <w:rPr>
                <w:noProof/>
                <w:webHidden/>
              </w:rPr>
            </w:r>
            <w:r>
              <w:rPr>
                <w:noProof/>
                <w:webHidden/>
              </w:rPr>
              <w:fldChar w:fldCharType="separate"/>
            </w:r>
            <w:r>
              <w:rPr>
                <w:noProof/>
                <w:webHidden/>
              </w:rPr>
              <w:t>11</w:t>
            </w:r>
            <w:r>
              <w:rPr>
                <w:noProof/>
                <w:webHidden/>
              </w:rPr>
              <w:fldChar w:fldCharType="end"/>
            </w:r>
          </w:hyperlink>
        </w:p>
        <w:p w14:paraId="5697C58F" w14:textId="13A270D6" w:rsidR="006E77DC" w:rsidRDefault="006E77DC">
          <w:pPr>
            <w:pStyle w:val="TOC1"/>
            <w:tabs>
              <w:tab w:val="right" w:leader="dot" w:pos="9016"/>
            </w:tabs>
            <w:rPr>
              <w:rFonts w:asciiTheme="minorHAnsi" w:eastAsiaTheme="minorEastAsia" w:hAnsiTheme="minorHAnsi"/>
              <w:noProof/>
              <w:sz w:val="24"/>
              <w:lang w:val="en-IN" w:eastAsia="en-IN"/>
            </w:rPr>
          </w:pPr>
          <w:hyperlink w:anchor="_Toc234922699" w:history="1">
            <w:r w:rsidRPr="007E2DDB">
              <w:rPr>
                <w:rStyle w:val="Hyperlink"/>
                <w:noProof/>
                <w:lang w:val="en-US"/>
              </w:rPr>
              <w:t>References</w:t>
            </w:r>
            <w:r>
              <w:rPr>
                <w:noProof/>
                <w:webHidden/>
              </w:rPr>
              <w:tab/>
            </w:r>
            <w:r>
              <w:rPr>
                <w:noProof/>
                <w:webHidden/>
              </w:rPr>
              <w:fldChar w:fldCharType="begin"/>
            </w:r>
            <w:r>
              <w:rPr>
                <w:noProof/>
                <w:webHidden/>
              </w:rPr>
              <w:instrText xml:space="preserve"> PAGEREF _Toc234922699 \h </w:instrText>
            </w:r>
            <w:r>
              <w:rPr>
                <w:noProof/>
                <w:webHidden/>
              </w:rPr>
            </w:r>
            <w:r>
              <w:rPr>
                <w:noProof/>
                <w:webHidden/>
              </w:rPr>
              <w:fldChar w:fldCharType="separate"/>
            </w:r>
            <w:r>
              <w:rPr>
                <w:noProof/>
                <w:webHidden/>
              </w:rPr>
              <w:t>12</w:t>
            </w:r>
            <w:r>
              <w:rPr>
                <w:noProof/>
                <w:webHidden/>
              </w:rPr>
              <w:fldChar w:fldCharType="end"/>
            </w:r>
          </w:hyperlink>
        </w:p>
        <w:p w14:paraId="5A36F27D" w14:textId="1782EC46" w:rsidR="00416F7D" w:rsidRDefault="00416F7D" w:rsidP="00416F7D">
          <w:pPr>
            <w:spacing w:after="0"/>
          </w:pPr>
          <w:r>
            <w:rPr>
              <w:b/>
              <w:bCs/>
            </w:rPr>
            <w:fldChar w:fldCharType="end"/>
          </w:r>
        </w:p>
      </w:sdtContent>
    </w:sdt>
    <w:p w14:paraId="09A43AFE" w14:textId="67B95C38" w:rsidR="009E711E" w:rsidRDefault="009E711E" w:rsidP="009E711E">
      <w:pPr>
        <w:rPr>
          <w:lang w:val="en-US"/>
        </w:rPr>
      </w:pPr>
      <w:r>
        <w:rPr>
          <w:lang w:val="en-US"/>
        </w:rPr>
        <w:br w:type="page"/>
      </w:r>
    </w:p>
    <w:p w14:paraId="285E5DA0" w14:textId="77777777" w:rsidR="009E711E" w:rsidRPr="009E711E" w:rsidRDefault="009E711E" w:rsidP="009E711E">
      <w:pPr>
        <w:pStyle w:val="Heading1"/>
      </w:pPr>
      <w:bookmarkStart w:id="0" w:name="_Toc234922685"/>
      <w:r w:rsidRPr="009E711E">
        <w:lastRenderedPageBreak/>
        <w:t>Introduction</w:t>
      </w:r>
      <w:bookmarkEnd w:id="0"/>
    </w:p>
    <w:p w14:paraId="473A8476" w14:textId="77777777" w:rsidR="009E711E" w:rsidRPr="009E711E" w:rsidRDefault="009E711E" w:rsidP="009E711E">
      <w:r w:rsidRPr="009E711E">
        <w:t>This report will explore the relationship between health, wellbeing, and sustainability with two interrelated Sustainable Development Goals (SDG 3 – Good Health and Wellbeing, SDG 13 – Climate Action). Both goals will be seen as being integral to the improvement of citizens' quality of life at the global, national and local levels. The report will assess policies addressing health and climate challenges at the national, sub-national, and local levels of government, in terms of design, implementation and experience.</w:t>
      </w:r>
    </w:p>
    <w:p w14:paraId="2AF88BB2" w14:textId="77777777" w:rsidR="009E711E" w:rsidRPr="009E711E" w:rsidRDefault="009E711E" w:rsidP="009E711E">
      <w:r w:rsidRPr="009E711E">
        <w:t>The main goal is to critically evaluate the effectiveness of global, national and local activities addressing SDG3 and SDG13. This includes the analysis of existing policies, the use of real data from government and institutions and the use of appropriate theoretical models for explaining the outcomes of observed policies. Existing approaches will be identified for their limitations and addressed throughout as evidence-based recommendations for improving future practice will be developed.</w:t>
      </w:r>
    </w:p>
    <w:p w14:paraId="1C13E390" w14:textId="77777777" w:rsidR="009E711E" w:rsidRPr="009E711E" w:rsidRDefault="009E711E" w:rsidP="009E711E">
      <w:r w:rsidRPr="009E711E">
        <w:t>The report will be divided into two parts: a main body and a conclusion, after the introduction and conclusion. Section 1 includes an overview, critical analysis of global and national/local initiatives, theory integration, and recommendations, in relation to SDG3. Section 2 uses a similar analytical approach to SDG 13. Finally, a conclusion brings together the results of both objectives, reflecting the mutual link between them and their policy implications.</w:t>
      </w:r>
    </w:p>
    <w:p w14:paraId="25AF3CB1" w14:textId="77777777" w:rsidR="009E711E" w:rsidRDefault="009E711E">
      <w:pPr>
        <w:spacing w:line="278" w:lineRule="auto"/>
        <w:jc w:val="left"/>
        <w:rPr>
          <w:rFonts w:eastAsiaTheme="majorEastAsia" w:cstheme="majorBidi"/>
          <w:b/>
          <w:sz w:val="28"/>
          <w:szCs w:val="40"/>
        </w:rPr>
      </w:pPr>
      <w:r>
        <w:br w:type="page"/>
      </w:r>
    </w:p>
    <w:p w14:paraId="420DD21F" w14:textId="3C6FBCEA" w:rsidR="009E711E" w:rsidRPr="009E711E" w:rsidRDefault="009E711E" w:rsidP="009E711E">
      <w:pPr>
        <w:pStyle w:val="Heading1"/>
      </w:pPr>
      <w:bookmarkStart w:id="1" w:name="_Toc234922686"/>
      <w:r w:rsidRPr="009E711E">
        <w:lastRenderedPageBreak/>
        <w:t>1. Section 1: SDG 3 - Good Health and Wellbeing</w:t>
      </w:r>
      <w:bookmarkEnd w:id="1"/>
      <w:r w:rsidRPr="009E711E">
        <w:t> </w:t>
      </w:r>
    </w:p>
    <w:p w14:paraId="2742BBB1" w14:textId="77777777" w:rsidR="009E711E" w:rsidRPr="009E711E" w:rsidRDefault="009E711E" w:rsidP="009E711E">
      <w:pPr>
        <w:pStyle w:val="Heading2"/>
      </w:pPr>
      <w:bookmarkStart w:id="2" w:name="_Toc234922687"/>
      <w:r w:rsidRPr="009E711E">
        <w:t>1.1 Overview of SDG 3</w:t>
      </w:r>
      <w:bookmarkEnd w:id="2"/>
      <w:r w:rsidRPr="009E711E">
        <w:t> </w:t>
      </w:r>
    </w:p>
    <w:p w14:paraId="46273344" w14:textId="77777777" w:rsidR="009E711E" w:rsidRPr="009E711E" w:rsidRDefault="009E711E" w:rsidP="009E711E">
      <w:r w:rsidRPr="009E711E">
        <w:t>It can be said that SDG 3 is a global strategy for achieving good health and well-being. In the UK, the proportion of people claiming their health as being good has gone down from 75.4% to 70.4% from 2026 to 2021 (ONS, 2023). Nevertheless, some improvements have been noted in decreasing the mortality rate due to infectious diseases around the globe, which highlights the disparity in the kind of achievements made. The social determinants of health highlight that there are more structural factors leading to such disparities.</w:t>
      </w:r>
    </w:p>
    <w:p w14:paraId="68E699DB" w14:textId="559A3F7B" w:rsidR="009E711E" w:rsidRPr="009E711E" w:rsidRDefault="009E711E" w:rsidP="009E711E">
      <w:pPr>
        <w:pStyle w:val="Heading2"/>
      </w:pPr>
      <w:bookmarkStart w:id="3" w:name="_Toc234922688"/>
      <w:r w:rsidRPr="009E711E">
        <w:t xml:space="preserve">1.2 Critical evaluation of global </w:t>
      </w:r>
      <w:r w:rsidR="00A06D92">
        <w:t xml:space="preserve">(WHO) </w:t>
      </w:r>
      <w:r w:rsidRPr="009E711E">
        <w:t>policies and initiatives</w:t>
      </w:r>
      <w:bookmarkEnd w:id="3"/>
      <w:r w:rsidRPr="009E711E">
        <w:t> </w:t>
      </w:r>
    </w:p>
    <w:p w14:paraId="0D7B0091" w14:textId="77777777" w:rsidR="00E40BCC" w:rsidRDefault="009E711E" w:rsidP="009E711E">
      <w:r w:rsidRPr="009E711E">
        <w:t xml:space="preserve">Universal Health Coverage (UHC) policy by WHO in association with SDG 3 is one of the most important policies across the globe. Global UHC coverage rates have increased from 68% to 71% between 2015 to 2023 (World Health Organization, 2025). Moreover, the Global Fund to Fight AIDS, Tuberculosis and Malaria has helped lower by 40% HIV cases of new infections since 2010. </w:t>
      </w:r>
    </w:p>
    <w:p w14:paraId="777E7FB5" w14:textId="3B4D4C99" w:rsidR="00E40BCC" w:rsidRDefault="00E40BCC" w:rsidP="00E40BCC">
      <w:pPr>
        <w:spacing w:after="0"/>
        <w:jc w:val="center"/>
      </w:pPr>
      <w:r w:rsidRPr="00E40BCC">
        <w:rPr>
          <w:noProof/>
        </w:rPr>
        <w:drawing>
          <wp:inline distT="0" distB="0" distL="0" distR="0" wp14:anchorId="1F805842" wp14:editId="1F80EA90">
            <wp:extent cx="5518150" cy="3301964"/>
            <wp:effectExtent l="0" t="0" r="6350" b="0"/>
            <wp:docPr id="51729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293785" name=""/>
                    <pic:cNvPicPr/>
                  </pic:nvPicPr>
                  <pic:blipFill>
                    <a:blip r:embed="rId10"/>
                    <a:stretch>
                      <a:fillRect/>
                    </a:stretch>
                  </pic:blipFill>
                  <pic:spPr>
                    <a:xfrm>
                      <a:off x="0" y="0"/>
                      <a:ext cx="5522243" cy="3304413"/>
                    </a:xfrm>
                    <a:prstGeom prst="rect">
                      <a:avLst/>
                    </a:prstGeom>
                  </pic:spPr>
                </pic:pic>
              </a:graphicData>
            </a:graphic>
          </wp:inline>
        </w:drawing>
      </w:r>
    </w:p>
    <w:p w14:paraId="3E1F5045" w14:textId="7909473D" w:rsidR="00E40BCC" w:rsidRPr="001C5CC5" w:rsidRDefault="00E40BCC" w:rsidP="00E40BCC">
      <w:pPr>
        <w:spacing w:after="0"/>
        <w:jc w:val="center"/>
        <w:rPr>
          <w:b/>
          <w:bCs/>
        </w:rPr>
      </w:pPr>
      <w:r w:rsidRPr="001C5CC5">
        <w:rPr>
          <w:b/>
          <w:bCs/>
        </w:rPr>
        <w:t>Figure</w:t>
      </w:r>
      <w:r w:rsidR="00AA74D2">
        <w:rPr>
          <w:b/>
          <w:bCs/>
        </w:rPr>
        <w:t xml:space="preserve"> 1</w:t>
      </w:r>
      <w:r w:rsidRPr="001C5CC5">
        <w:rPr>
          <w:b/>
          <w:bCs/>
        </w:rPr>
        <w:t>: Proportion of people receiving essential health care increased</w:t>
      </w:r>
    </w:p>
    <w:p w14:paraId="635353EC" w14:textId="24AEB10D" w:rsidR="00E40BCC" w:rsidRDefault="00E40BCC" w:rsidP="00E40BCC">
      <w:pPr>
        <w:spacing w:after="0"/>
        <w:jc w:val="center"/>
      </w:pPr>
      <w:r>
        <w:t>(Source: World Bank, 2026)</w:t>
      </w:r>
    </w:p>
    <w:p w14:paraId="71A964CF" w14:textId="79BD5E15" w:rsidR="009E711E" w:rsidRDefault="009E711E" w:rsidP="00E40BCC">
      <w:pPr>
        <w:spacing w:before="240"/>
      </w:pPr>
      <w:r w:rsidRPr="009E711E">
        <w:t xml:space="preserve">Despite this, in 2022, out-of-pocket health expenditure pushed 1.6 billion people back into poverty. This indicates that there is a varying application of the measure in different member states, especially in resource poor areas. The Ottawa Charter for Health Promotion theory </w:t>
      </w:r>
      <w:r w:rsidR="008B2E42">
        <w:t xml:space="preserve">(1986) </w:t>
      </w:r>
      <w:r w:rsidRPr="009E711E">
        <w:t xml:space="preserve">highlights supportive environments as an enabler for equitable outcomes (Pourrazavi </w:t>
      </w:r>
      <w:r w:rsidR="000C1F7B" w:rsidRPr="000C1F7B">
        <w:rPr>
          <w:i/>
          <w:iCs/>
        </w:rPr>
        <w:lastRenderedPageBreak/>
        <w:t>et al</w:t>
      </w:r>
      <w:r w:rsidRPr="009E711E">
        <w:t>., 2025). Therefore, structural investments are more important than policy design in making global initiatives successful. </w:t>
      </w:r>
    </w:p>
    <w:p w14:paraId="0A8D5BE1" w14:textId="77777777" w:rsidR="009E711E" w:rsidRPr="009E711E" w:rsidRDefault="009E711E" w:rsidP="009E711E">
      <w:pPr>
        <w:pStyle w:val="Heading2"/>
      </w:pPr>
      <w:bookmarkStart w:id="4" w:name="_Toc234922689"/>
      <w:r w:rsidRPr="009E711E">
        <w:t>1.3 Critical evaluation of national and local examples</w:t>
      </w:r>
      <w:bookmarkEnd w:id="4"/>
      <w:r w:rsidRPr="009E711E">
        <w:t> </w:t>
      </w:r>
    </w:p>
    <w:p w14:paraId="6C0A71D2" w14:textId="5CCDAE6A" w:rsidR="009E711E" w:rsidRDefault="009E711E" w:rsidP="009E711E">
      <w:r w:rsidRPr="009E711E">
        <w:t xml:space="preserve">The goal of the 10 Year Health Plan is to reach 65% of patients within 18 weeks by the end of March 2026. This will be an enhancement over the existing ratio of 61%, which is witnessed nationwide. Nonetheless, according to analysis, there seems to be insufficient detail about the way of bridging the gap in healthy life expectancy in the region (Kings’s Fund, 2025). </w:t>
      </w:r>
      <w:r w:rsidR="00E40BCC">
        <w:t xml:space="preserve">Support is observed where the increase in the waiting time is observed in the case of NHS which supports the key problem of insufficient details. </w:t>
      </w:r>
      <w:r w:rsidRPr="009E711E">
        <w:t xml:space="preserve">Globally, the ratio of maternal death rates has gone down by 40% since 2000. Yet, it is almost double the target for the year 2030. This is evidence of inconsistency in national objectives versus the capacity of the local environment. From the Social Ecological Model perspective, the outcome emerges from the constructive collaboration between the three levels (Meehan </w:t>
      </w:r>
      <w:r w:rsidR="000C1F7B" w:rsidRPr="000C1F7B">
        <w:rPr>
          <w:i/>
          <w:iCs/>
        </w:rPr>
        <w:t>et al</w:t>
      </w:r>
      <w:r w:rsidRPr="009E711E">
        <w:t>., 2023).</w:t>
      </w:r>
    </w:p>
    <w:p w14:paraId="2824B3D9" w14:textId="77777777" w:rsidR="00E40BCC" w:rsidRDefault="00E40BCC" w:rsidP="00AA74D2">
      <w:pPr>
        <w:spacing w:after="0"/>
        <w:jc w:val="center"/>
      </w:pPr>
      <w:r w:rsidRPr="00E40BCC">
        <w:rPr>
          <w:noProof/>
        </w:rPr>
        <w:drawing>
          <wp:inline distT="0" distB="0" distL="0" distR="0" wp14:anchorId="682FCEF3" wp14:editId="0D233B9D">
            <wp:extent cx="5357324" cy="5380186"/>
            <wp:effectExtent l="0" t="0" r="0" b="0"/>
            <wp:docPr id="663724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24301" name=""/>
                    <pic:cNvPicPr/>
                  </pic:nvPicPr>
                  <pic:blipFill>
                    <a:blip r:embed="rId11"/>
                    <a:stretch>
                      <a:fillRect/>
                    </a:stretch>
                  </pic:blipFill>
                  <pic:spPr>
                    <a:xfrm>
                      <a:off x="0" y="0"/>
                      <a:ext cx="5357324" cy="5380186"/>
                    </a:xfrm>
                    <a:prstGeom prst="rect">
                      <a:avLst/>
                    </a:prstGeom>
                  </pic:spPr>
                </pic:pic>
              </a:graphicData>
            </a:graphic>
          </wp:inline>
        </w:drawing>
      </w:r>
    </w:p>
    <w:p w14:paraId="23146706" w14:textId="1434CB80" w:rsidR="00E40BCC" w:rsidRPr="00E40BCC" w:rsidRDefault="00E40BCC" w:rsidP="00AA74D2">
      <w:pPr>
        <w:spacing w:after="0"/>
        <w:jc w:val="center"/>
        <w:rPr>
          <w:b/>
          <w:bCs/>
        </w:rPr>
      </w:pPr>
      <w:r w:rsidRPr="00E40BCC">
        <w:rPr>
          <w:b/>
          <w:bCs/>
        </w:rPr>
        <w:lastRenderedPageBreak/>
        <w:t>Figure</w:t>
      </w:r>
      <w:r>
        <w:rPr>
          <w:b/>
          <w:bCs/>
        </w:rPr>
        <w:t xml:space="preserve"> </w:t>
      </w:r>
      <w:r w:rsidR="00AA74D2">
        <w:rPr>
          <w:b/>
          <w:bCs/>
        </w:rPr>
        <w:t>2</w:t>
      </w:r>
      <w:r w:rsidRPr="00E40BCC">
        <w:rPr>
          <w:b/>
          <w:bCs/>
        </w:rPr>
        <w:t>: Increase in the waiting list in the case of NHS</w:t>
      </w:r>
    </w:p>
    <w:p w14:paraId="325D9BBA" w14:textId="1BB2A8C4" w:rsidR="00E40BCC" w:rsidRPr="009E711E" w:rsidRDefault="00E40BCC" w:rsidP="00AA74D2">
      <w:pPr>
        <w:spacing w:after="0"/>
        <w:jc w:val="center"/>
      </w:pPr>
      <w:r>
        <w:t>(Source: BBC, 2026)</w:t>
      </w:r>
    </w:p>
    <w:p w14:paraId="67BD7022" w14:textId="77777777" w:rsidR="009E711E" w:rsidRPr="009E711E" w:rsidRDefault="009E711E" w:rsidP="009E711E">
      <w:pPr>
        <w:pStyle w:val="Heading2"/>
      </w:pPr>
      <w:bookmarkStart w:id="5" w:name="_Toc234922690"/>
      <w:r w:rsidRPr="009E711E">
        <w:t>1.4 Use of theories incorporated into the evaluation</w:t>
      </w:r>
      <w:bookmarkEnd w:id="5"/>
      <w:r w:rsidRPr="009E711E">
        <w:t> </w:t>
      </w:r>
    </w:p>
    <w:p w14:paraId="6983C973" w14:textId="45E99E04" w:rsidR="009E711E" w:rsidRPr="009E711E" w:rsidRDefault="009E711E" w:rsidP="009E711E">
      <w:r w:rsidRPr="009E711E">
        <w:t>The multi-level framework of the Social Ecological Model</w:t>
      </w:r>
      <w:r w:rsidR="00941726">
        <w:t xml:space="preserve"> (1970)</w:t>
      </w:r>
      <w:r w:rsidRPr="009E711E">
        <w:t xml:space="preserve"> is used to assess SDG 3 policies. It is composed of individual, interpersonal, community, organisational and policy levels of influence. The Universal Health Coverage initiative of the World Health Organization (WHO) works largely at the policy level addressing systemic access barriers. The NHS 10 Year Health Plan focuses on organisation, and aims for 78% delivery by 2026/27 (WHO, 2023). Making Manchester Fairer is a programme at the local level in Manchester addressing 47.9% child poverty by addressing it at a community level. Nevertheless, there still exists a structural inequality that leads to life expectancy disparity of 9.5 years among the worst-off and the best-off deciles of males born. However, the structural layers in the model can downplay the agency of people in health matters (Cheng </w:t>
      </w:r>
      <w:r w:rsidR="000C1F7B" w:rsidRPr="000C1F7B">
        <w:rPr>
          <w:i/>
          <w:iCs/>
        </w:rPr>
        <w:t>et al</w:t>
      </w:r>
      <w:r w:rsidRPr="009E711E">
        <w:t>., 2025). This indicates that policy change is not enough to ensure wellbeing improvements if communities are not involved. Another approach is to combine asset-based community development and policy approaches with resilience. Thus, SDG 3 will need to be practiced at all levels of the model. This supports the theory of multi-layers of theoretical application to better understand the differences in global health outcomes.</w:t>
      </w:r>
    </w:p>
    <w:p w14:paraId="7FD43FB4" w14:textId="77777777" w:rsidR="009E711E" w:rsidRPr="009E711E" w:rsidRDefault="009E711E" w:rsidP="009E711E">
      <w:pPr>
        <w:pStyle w:val="Heading2"/>
      </w:pPr>
      <w:bookmarkStart w:id="6" w:name="_Toc234922691"/>
      <w:r w:rsidRPr="009E711E">
        <w:t>1.5 Recommendations</w:t>
      </w:r>
      <w:bookmarkEnd w:id="6"/>
      <w:r w:rsidRPr="009E711E">
        <w:t> </w:t>
      </w:r>
    </w:p>
    <w:p w14:paraId="0C9CD10F" w14:textId="2D0070DA" w:rsidR="009E711E" w:rsidRPr="009E711E" w:rsidRDefault="009E711E" w:rsidP="003278FD">
      <w:pPr>
        <w:pStyle w:val="ListParagraph"/>
        <w:numPr>
          <w:ilvl w:val="0"/>
          <w:numId w:val="1"/>
        </w:numPr>
      </w:pPr>
      <w:r w:rsidRPr="002D458C">
        <w:rPr>
          <w:b/>
          <w:bCs/>
        </w:rPr>
        <w:t>Underfunding of Prevention:</w:t>
      </w:r>
      <w:r w:rsidRPr="009E711E">
        <w:t xml:space="preserve"> The local authorities receive less than £70 per individual for prevention while the NHS treatment cost is more than £3,000 per individual. Therefore, the level of preventive spending can be increased, and this will be achieved through the use of the Health Belief Model to increase the awareness among people about early intervention (Abdallah Al</w:t>
      </w:r>
      <w:r w:rsidRPr="003278FD">
        <w:rPr>
          <w:rFonts w:ascii="Cambria Math" w:hAnsi="Cambria Math" w:cs="Cambria Math"/>
        </w:rPr>
        <w:t>‐</w:t>
      </w:r>
      <w:r w:rsidRPr="009E711E">
        <w:t xml:space="preserve">Ani </w:t>
      </w:r>
      <w:r w:rsidR="000C1F7B" w:rsidRPr="000C1F7B">
        <w:rPr>
          <w:i/>
          <w:iCs/>
        </w:rPr>
        <w:t>et al</w:t>
      </w:r>
      <w:r w:rsidRPr="009E711E">
        <w:t>., 2023).</w:t>
      </w:r>
      <w:r w:rsidRPr="003278FD">
        <w:rPr>
          <w:rFonts w:cs="Arial"/>
        </w:rPr>
        <w:t> </w:t>
      </w:r>
    </w:p>
    <w:p w14:paraId="770CD8E1" w14:textId="77777777" w:rsidR="009E711E" w:rsidRPr="009E711E" w:rsidRDefault="009E711E" w:rsidP="003278FD">
      <w:pPr>
        <w:pStyle w:val="ListParagraph"/>
        <w:numPr>
          <w:ilvl w:val="0"/>
          <w:numId w:val="1"/>
        </w:numPr>
      </w:pPr>
      <w:r w:rsidRPr="002D458C">
        <w:rPr>
          <w:b/>
          <w:bCs/>
        </w:rPr>
        <w:t>Gap in Funding of Mental Health:</w:t>
      </w:r>
      <w:r w:rsidRPr="009E711E">
        <w:t xml:space="preserve"> There is no investment made in the area of mental health with the Mental Health Investment Standard. Therefore, the ring-fenced mental health funding can be reintroduced to achieve parity with physical health.</w:t>
      </w:r>
    </w:p>
    <w:p w14:paraId="42E924ED" w14:textId="72D0BDC9" w:rsidR="009E711E" w:rsidRPr="009E711E" w:rsidRDefault="009E711E" w:rsidP="003278FD">
      <w:pPr>
        <w:pStyle w:val="ListParagraph"/>
        <w:numPr>
          <w:ilvl w:val="0"/>
          <w:numId w:val="1"/>
        </w:numPr>
      </w:pPr>
      <w:r w:rsidRPr="009E711E">
        <w:t xml:space="preserve">Despite improvements in UHC, global financing hardship – 1.6 billion people living in poverty due to health costs – was observed in 2022. Thus, the scope of risk-pooling mechanisms can also be broadened, based on the Universal Health Coverage principle of WHO, to help minimize out-of-pocket expenses (Bhatia </w:t>
      </w:r>
      <w:r w:rsidR="000C1F7B" w:rsidRPr="000C1F7B">
        <w:rPr>
          <w:i/>
          <w:iCs/>
        </w:rPr>
        <w:t>et al</w:t>
      </w:r>
      <w:r w:rsidRPr="003278FD">
        <w:rPr>
          <w:i/>
          <w:iCs/>
        </w:rPr>
        <w:t>.</w:t>
      </w:r>
      <w:r w:rsidRPr="009E711E">
        <w:t>, 2022).</w:t>
      </w:r>
    </w:p>
    <w:p w14:paraId="053A753D" w14:textId="77777777" w:rsidR="009E711E" w:rsidRPr="009E711E" w:rsidRDefault="009E711E" w:rsidP="003278FD">
      <w:pPr>
        <w:pStyle w:val="ListParagraph"/>
        <w:numPr>
          <w:ilvl w:val="0"/>
          <w:numId w:val="1"/>
        </w:numPr>
      </w:pPr>
      <w:r w:rsidRPr="002D458C">
        <w:rPr>
          <w:b/>
          <w:bCs/>
        </w:rPr>
        <w:t>Resources limitations:</w:t>
      </w:r>
      <w:r w:rsidRPr="009E711E">
        <w:t xml:space="preserve"> NHS waiting-time targets (65% until 2026) are lower than pre-pandemic performance. This means that workforce capacity can be focused and guided, using Diffusion of Innovation theory, to enable the faster adoption of safe digital triage.</w:t>
      </w:r>
    </w:p>
    <w:p w14:paraId="6D860BEF" w14:textId="23B310DF" w:rsidR="00BA5557" w:rsidRPr="00AA74D2" w:rsidRDefault="009E711E" w:rsidP="003278FD">
      <w:pPr>
        <w:pStyle w:val="ListParagraph"/>
        <w:numPr>
          <w:ilvl w:val="0"/>
          <w:numId w:val="1"/>
        </w:numPr>
      </w:pPr>
      <w:r w:rsidRPr="002D458C">
        <w:rPr>
          <w:b/>
          <w:bCs/>
        </w:rPr>
        <w:lastRenderedPageBreak/>
        <w:t>Regional inequality:</w:t>
      </w:r>
      <w:r w:rsidRPr="009E711E">
        <w:t xml:space="preserve"> There is a significant lack of action on the healthy life expectancy gap between the richest and the poorest parts of England. In coordinated interventions at the local level, structural determinants of health can be informed by the Social Ecological Model (Nagorcka-Smith </w:t>
      </w:r>
      <w:r w:rsidR="000C1F7B" w:rsidRPr="000C1F7B">
        <w:rPr>
          <w:i/>
          <w:iCs/>
        </w:rPr>
        <w:t>et al</w:t>
      </w:r>
      <w:r w:rsidRPr="003278FD">
        <w:rPr>
          <w:i/>
          <w:iCs/>
        </w:rPr>
        <w:t>.</w:t>
      </w:r>
      <w:r w:rsidRPr="009E711E">
        <w:t>, 2022).</w:t>
      </w:r>
      <w:r w:rsidR="00BA5557" w:rsidRPr="003278FD">
        <w:rPr>
          <w:lang w:val="en-US"/>
        </w:rPr>
        <w:br w:type="page"/>
      </w:r>
    </w:p>
    <w:p w14:paraId="79BCAE97" w14:textId="77777777" w:rsidR="0050681C" w:rsidRPr="00BC78A1" w:rsidRDefault="0050681C" w:rsidP="0050681C">
      <w:pPr>
        <w:pStyle w:val="Heading1"/>
      </w:pPr>
      <w:bookmarkStart w:id="7" w:name="_Toc234922692"/>
      <w:r w:rsidRPr="00BC78A1">
        <w:lastRenderedPageBreak/>
        <w:t>2. Section 2: SDG 13 – Climate Action</w:t>
      </w:r>
      <w:bookmarkEnd w:id="7"/>
      <w:r w:rsidRPr="00BC78A1">
        <w:t xml:space="preserve"> </w:t>
      </w:r>
    </w:p>
    <w:p w14:paraId="5682D69B" w14:textId="77777777" w:rsidR="0050681C" w:rsidRPr="00BC78A1" w:rsidRDefault="0050681C" w:rsidP="0050681C">
      <w:pPr>
        <w:pStyle w:val="Heading2"/>
        <w:rPr>
          <w:lang w:val="en-GB"/>
        </w:rPr>
      </w:pPr>
      <w:bookmarkStart w:id="8" w:name="_Toc234922693"/>
      <w:r w:rsidRPr="00BC78A1">
        <w:rPr>
          <w:lang w:val="en-GB"/>
        </w:rPr>
        <w:t>2.1 Overview of SDG 13</w:t>
      </w:r>
      <w:bookmarkEnd w:id="8"/>
    </w:p>
    <w:p w14:paraId="746FECF8" w14:textId="77777777" w:rsidR="0050681C" w:rsidRPr="00BC78A1" w:rsidRDefault="0050681C" w:rsidP="0050681C">
      <w:r w:rsidRPr="00BC78A1">
        <w:t xml:space="preserve">Primary aim of Sustainable Development Goal 13 is to take quick action to combat climate change as well as its impacts through mitigation, adaption, resilience-building, and the education of climate. In recent time, the climate change has become one of the greatest global sustainability issues, impacting ecosystems, biodiversity, public health, as well as food security and economic development. IPCC (2023), revealed that, global temperatures have already increased by 1.1 degree centigrade above the pre-industrial levels, for those more frequent heatwaves, floods, droughts, and the extremes weather events are increase. Another research, The United Nations (2024) estimated that the climate-related disasters impacted over 185 million people globally during 2023, emphasizing the urgency of coordinated world-wide action. </w:t>
      </w:r>
    </w:p>
    <w:p w14:paraId="04E2DF2F" w14:textId="0834A27A" w:rsidR="0050681C" w:rsidRPr="00BC78A1" w:rsidRDefault="0050681C" w:rsidP="0050681C">
      <w:r w:rsidRPr="00BC78A1">
        <w:t xml:space="preserve">There is also close connection between SDG 13 (Climate Change), SDG 3 (Good-Health and Well-being), SDG 7 (Affordable and Clean Energy), SDG 15 (Life on Land), and SDG 11 (Sustainable Cities and Communities). Climate change is not being managed can endanger economic growth, social equity, and sustainable environment. </w:t>
      </w:r>
    </w:p>
    <w:p w14:paraId="0E98AF92" w14:textId="5D6FD8A6" w:rsidR="0050681C" w:rsidRPr="00BC78A1" w:rsidRDefault="0050681C" w:rsidP="0050681C">
      <w:pPr>
        <w:pStyle w:val="Heading2"/>
        <w:rPr>
          <w:lang w:val="en-GB"/>
        </w:rPr>
      </w:pPr>
      <w:bookmarkStart w:id="9" w:name="_Toc234922694"/>
      <w:r w:rsidRPr="00BC78A1">
        <w:rPr>
          <w:lang w:val="en-GB"/>
        </w:rPr>
        <w:t>2.2 Critical Evaluation of Global</w:t>
      </w:r>
      <w:r w:rsidR="006E4C93">
        <w:rPr>
          <w:lang w:val="en-GB"/>
        </w:rPr>
        <w:t xml:space="preserve"> </w:t>
      </w:r>
      <w:r w:rsidR="006E4C93" w:rsidRPr="006E4C93">
        <w:rPr>
          <w:lang w:val="en-GB"/>
        </w:rPr>
        <w:t>(WHO)</w:t>
      </w:r>
      <w:r w:rsidRPr="00BC78A1">
        <w:rPr>
          <w:lang w:val="en-GB"/>
        </w:rPr>
        <w:t xml:space="preserve"> Policies and Initiatives</w:t>
      </w:r>
      <w:bookmarkEnd w:id="9"/>
      <w:r w:rsidRPr="00BC78A1">
        <w:rPr>
          <w:lang w:val="en-GB"/>
        </w:rPr>
        <w:t xml:space="preserve"> </w:t>
      </w:r>
    </w:p>
    <w:p w14:paraId="12942EF0" w14:textId="77777777" w:rsidR="0050681C" w:rsidRPr="00BC78A1" w:rsidRDefault="0050681C" w:rsidP="0050681C">
      <w:r w:rsidRPr="00BC78A1">
        <w:t>Paris Agreement (2015) is the most important climate policy at the global level. Nationally Determined Contributions (NDCs) are the plans states submit that define emissions reduction targets and adaptation strategies, for which almost 200 countries have accepted to be nearly 2°C or less, while also pursuing to limit warming to 1.5°C. International co-operation has been bolstered since the Paris accord, but the level of implementation has been uneven as the pledges are...very much voluntary. The implementation gap is high as the current national pledges mean that warming of about 2.6-3.1°C is still expected by 2100 (United Nations Environment Programme, 2024).</w:t>
      </w:r>
    </w:p>
    <w:p w14:paraId="59D957D2" w14:textId="77777777" w:rsidR="0050681C" w:rsidRPr="00BC78A1" w:rsidRDefault="0050681C" w:rsidP="0050681C">
      <w:pPr>
        <w:jc w:val="center"/>
      </w:pPr>
      <w:r w:rsidRPr="00BC78A1">
        <w:rPr>
          <w:noProof/>
        </w:rPr>
        <w:lastRenderedPageBreak/>
        <w:drawing>
          <wp:inline distT="0" distB="0" distL="0" distR="0" wp14:anchorId="70D2CB01" wp14:editId="7416DABD">
            <wp:extent cx="4819576" cy="2501900"/>
            <wp:effectExtent l="0" t="0" r="635" b="0"/>
            <wp:docPr id="1143657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57584" name=""/>
                    <pic:cNvPicPr/>
                  </pic:nvPicPr>
                  <pic:blipFill>
                    <a:blip r:embed="rId12"/>
                    <a:stretch>
                      <a:fillRect/>
                    </a:stretch>
                  </pic:blipFill>
                  <pic:spPr>
                    <a:xfrm>
                      <a:off x="0" y="0"/>
                      <a:ext cx="4831654" cy="2508170"/>
                    </a:xfrm>
                    <a:prstGeom prst="rect">
                      <a:avLst/>
                    </a:prstGeom>
                  </pic:spPr>
                </pic:pic>
              </a:graphicData>
            </a:graphic>
          </wp:inline>
        </w:drawing>
      </w:r>
    </w:p>
    <w:p w14:paraId="020AFAB2" w14:textId="07A6A25F" w:rsidR="0050681C" w:rsidRPr="00BC78A1" w:rsidRDefault="0050681C" w:rsidP="0050681C">
      <w:pPr>
        <w:jc w:val="center"/>
        <w:rPr>
          <w:b/>
          <w:bCs/>
        </w:rPr>
      </w:pPr>
      <w:r w:rsidRPr="00BC78A1">
        <w:rPr>
          <w:b/>
          <w:bCs/>
        </w:rPr>
        <w:t>Figure</w:t>
      </w:r>
      <w:r>
        <w:rPr>
          <w:b/>
          <w:bCs/>
        </w:rPr>
        <w:t xml:space="preserve"> 3</w:t>
      </w:r>
      <w:r w:rsidRPr="00BC78A1">
        <w:rPr>
          <w:b/>
          <w:bCs/>
        </w:rPr>
        <w:t>: Likelihood of Warming Exceeding a Specific temperature Limit (%)</w:t>
      </w:r>
    </w:p>
    <w:p w14:paraId="7A402540" w14:textId="77777777" w:rsidR="0050681C" w:rsidRPr="00BC78A1" w:rsidRDefault="0050681C" w:rsidP="0050681C">
      <w:pPr>
        <w:jc w:val="center"/>
      </w:pPr>
      <w:r w:rsidRPr="00BC78A1">
        <w:t>(Source: unep.org, 2024)</w:t>
      </w:r>
    </w:p>
    <w:p w14:paraId="09E1F700" w14:textId="6649E707" w:rsidR="0050681C" w:rsidRPr="00BC78A1" w:rsidRDefault="0050681C" w:rsidP="0050681C">
      <w:r w:rsidRPr="00BC78A1">
        <w:t xml:space="preserve">Likewise, every annual Conference of the Parties (COP) has helped to facilitate international cooperation in climate finance, technology transfer, and adaptation planning. Countries at COP28 agreed to phase out fossil fuels and increase the rollout of renewables. But there is a large divide on the issue of financial burden between developed and developing nations. Climate finance has also been disappointing to date – the US$100 billion a year to developing nations is still not showing up after a few years. </w:t>
      </w:r>
    </w:p>
    <w:p w14:paraId="3CCD7106" w14:textId="77777777" w:rsidR="0050681C" w:rsidRPr="00BC78A1" w:rsidRDefault="0050681C" w:rsidP="0050681C">
      <w:pPr>
        <w:pStyle w:val="Heading2"/>
        <w:rPr>
          <w:lang w:val="en-GB"/>
        </w:rPr>
      </w:pPr>
      <w:bookmarkStart w:id="10" w:name="_Toc234922695"/>
      <w:r w:rsidRPr="00BC78A1">
        <w:rPr>
          <w:lang w:val="en-GB"/>
        </w:rPr>
        <w:t>2.3 Critical Evaluation of National and Local Examples</w:t>
      </w:r>
      <w:bookmarkEnd w:id="10"/>
      <w:r w:rsidRPr="00BC78A1">
        <w:rPr>
          <w:lang w:val="en-GB"/>
        </w:rPr>
        <w:t xml:space="preserve"> </w:t>
      </w:r>
    </w:p>
    <w:p w14:paraId="3075CB99" w14:textId="00820325" w:rsidR="0050681C" w:rsidRPr="00BC78A1" w:rsidRDefault="0050681C" w:rsidP="0050681C">
      <w:r w:rsidRPr="00BC78A1">
        <w:t xml:space="preserve">United Kingdom is among the leading countries in the world on climate change governance, as demonstrated by the Climate Change Act </w:t>
      </w:r>
      <w:r w:rsidR="00D64940">
        <w:t>(</w:t>
      </w:r>
      <w:r w:rsidRPr="00BC78A1">
        <w:t>2008</w:t>
      </w:r>
      <w:r w:rsidR="00D64940">
        <w:t>)</w:t>
      </w:r>
      <w:r w:rsidRPr="00BC78A1">
        <w:t xml:space="preserve"> that binds the country to becoming net zero in terms of greenhouse gas emissions by 2050 (Stewart </w:t>
      </w:r>
      <w:r w:rsidR="000C1F7B" w:rsidRPr="000C1F7B">
        <w:rPr>
          <w:i/>
          <w:iCs/>
        </w:rPr>
        <w:t>et al</w:t>
      </w:r>
      <w:r w:rsidRPr="00BC78A1">
        <w:rPr>
          <w:i/>
          <w:iCs/>
        </w:rPr>
        <w:t>.,</w:t>
      </w:r>
      <w:r w:rsidRPr="00BC78A1">
        <w:t xml:space="preserve"> 2026). Carbon budgeting by the Climate Change Committee serves as a measure of progress and increases accountability on the part of the government. During the period between 1990 and 2023, the greenhouse gas emissions in the United Kingdom fell by about 54% while the economy was still expanding.</w:t>
      </w:r>
    </w:p>
    <w:p w14:paraId="32106CF2" w14:textId="77777777" w:rsidR="0050681C" w:rsidRPr="00BC78A1" w:rsidRDefault="0050681C" w:rsidP="0050681C">
      <w:r w:rsidRPr="00BC78A1">
        <w:t>Renewable energy development, EV use, offshore wind investment and energy-efficient homes have been showcased as benefits to national initiatives. Eurostat (2024), stated that in 2024 the United Kingdom produced around 47% of its electricity from renewable energy – making substantial strides towards decarbonization. However, slow progress is still to be realised on areas such as public transport investment, decarbonising domestic heating and housing insulation. The Climate Change Committee has lamented on multiple occasions that a few sectors are still underperforming the 2050 goal.</w:t>
      </w:r>
    </w:p>
    <w:p w14:paraId="3B305AE1" w14:textId="77777777" w:rsidR="0050681C" w:rsidRPr="00BC78A1" w:rsidRDefault="0050681C" w:rsidP="0050681C">
      <w:pPr>
        <w:jc w:val="center"/>
      </w:pPr>
      <w:r w:rsidRPr="00BC78A1">
        <w:rPr>
          <w:noProof/>
        </w:rPr>
        <w:lastRenderedPageBreak/>
        <w:drawing>
          <wp:inline distT="0" distB="0" distL="0" distR="0" wp14:anchorId="0AF0F464" wp14:editId="16A9EF59">
            <wp:extent cx="4495800" cy="2394064"/>
            <wp:effectExtent l="0" t="0" r="0" b="6350"/>
            <wp:docPr id="1794618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618215" name=""/>
                    <pic:cNvPicPr/>
                  </pic:nvPicPr>
                  <pic:blipFill>
                    <a:blip r:embed="rId13"/>
                    <a:stretch>
                      <a:fillRect/>
                    </a:stretch>
                  </pic:blipFill>
                  <pic:spPr>
                    <a:xfrm>
                      <a:off x="0" y="0"/>
                      <a:ext cx="4513457" cy="2403466"/>
                    </a:xfrm>
                    <a:prstGeom prst="rect">
                      <a:avLst/>
                    </a:prstGeom>
                  </pic:spPr>
                </pic:pic>
              </a:graphicData>
            </a:graphic>
          </wp:inline>
        </w:drawing>
      </w:r>
    </w:p>
    <w:p w14:paraId="491B30D8" w14:textId="46C41E15" w:rsidR="0050681C" w:rsidRPr="00BC78A1" w:rsidRDefault="0050681C" w:rsidP="0050681C">
      <w:pPr>
        <w:jc w:val="center"/>
        <w:rPr>
          <w:b/>
          <w:bCs/>
        </w:rPr>
      </w:pPr>
      <w:r w:rsidRPr="00BC78A1">
        <w:rPr>
          <w:b/>
          <w:bCs/>
        </w:rPr>
        <w:t>Figure</w:t>
      </w:r>
      <w:r>
        <w:rPr>
          <w:b/>
          <w:bCs/>
        </w:rPr>
        <w:t xml:space="preserve"> 4</w:t>
      </w:r>
      <w:r w:rsidRPr="00BC78A1">
        <w:rPr>
          <w:b/>
          <w:bCs/>
        </w:rPr>
        <w:t>: Renewable Energy Generation Sources in the EU, 2024</w:t>
      </w:r>
    </w:p>
    <w:p w14:paraId="332DB6C5" w14:textId="77777777" w:rsidR="0050681C" w:rsidRPr="00BC78A1" w:rsidRDefault="0050681C" w:rsidP="0050681C">
      <w:pPr>
        <w:jc w:val="center"/>
      </w:pPr>
      <w:r w:rsidRPr="00BC78A1">
        <w:t>(Source: ‌Eurostat, 2025)</w:t>
      </w:r>
    </w:p>
    <w:p w14:paraId="7BC97768" w14:textId="422DEE20" w:rsidR="0050681C" w:rsidRPr="00BC78A1" w:rsidRDefault="0050681C" w:rsidP="0050681C">
      <w:r w:rsidRPr="00BC78A1">
        <w:t xml:space="preserve">Greater Manchester's Five-Year Environment Plan is a good exemplar of Place-based Climate Action at a local level. The area aims at carbon neutrality through Low Carbon Transport, Sustainable Housing, Urban Tree Planting, and Community Engagement by 2038. Local councils have put measures such as cycling paths, electric busses and eco-friendly constructions into practice (Romo </w:t>
      </w:r>
      <w:r w:rsidR="000C1F7B" w:rsidRPr="000C1F7B">
        <w:rPr>
          <w:i/>
          <w:iCs/>
        </w:rPr>
        <w:t>et al</w:t>
      </w:r>
      <w:r w:rsidRPr="00BC78A1">
        <w:t xml:space="preserve">., 2024). However, lack of funds by the local council and little participation make it hard to implement these strategies. </w:t>
      </w:r>
    </w:p>
    <w:p w14:paraId="7AF6DACC" w14:textId="77777777" w:rsidR="0050681C" w:rsidRDefault="0050681C" w:rsidP="0050681C">
      <w:pPr>
        <w:pStyle w:val="Heading2"/>
        <w:rPr>
          <w:lang w:val="en-GB"/>
        </w:rPr>
      </w:pPr>
      <w:bookmarkStart w:id="11" w:name="_Toc234922696"/>
      <w:r w:rsidRPr="00BC78A1">
        <w:rPr>
          <w:lang w:val="en-GB"/>
        </w:rPr>
        <w:t>2.4 Use of Theories Incorporates into the Evaluation</w:t>
      </w:r>
      <w:bookmarkEnd w:id="11"/>
    </w:p>
    <w:p w14:paraId="486E3D0A" w14:textId="0D96C17D" w:rsidR="005B6269" w:rsidRPr="005B6269" w:rsidRDefault="005B6269" w:rsidP="005B6269">
      <w:r w:rsidRPr="005B6269">
        <w:t>Theory of Triple Bottom Line (Elkington, 1997) would be a perfect fit to analyze SDG 13 since it considers the aspects of environmental sustainability, economic growth, and welfare of people. In the given instance, the climate policy by the British government is based on renewable energy, green employment, and clean air. Nonetheless, there was always a conflict between the economy and the environment. In the same way, the Ecological Modernisation theory claimed that technological innovation, renewable energy, and sustainable industry promoted the process of low-carbon economic growth (Bugden, 2022). However, technological innovation alone would not be sufficient.</w:t>
      </w:r>
    </w:p>
    <w:p w14:paraId="2C94EED0" w14:textId="77777777" w:rsidR="0050681C" w:rsidRPr="00BC78A1" w:rsidRDefault="0050681C" w:rsidP="0050681C">
      <w:pPr>
        <w:pStyle w:val="Heading2"/>
        <w:rPr>
          <w:lang w:val="en-GB"/>
        </w:rPr>
      </w:pPr>
      <w:bookmarkStart w:id="12" w:name="_Toc234922697"/>
      <w:r w:rsidRPr="00BC78A1">
        <w:rPr>
          <w:lang w:val="en-GB"/>
        </w:rPr>
        <w:t>2.5 Recommendations</w:t>
      </w:r>
      <w:bookmarkEnd w:id="12"/>
      <w:r w:rsidRPr="00BC78A1">
        <w:rPr>
          <w:lang w:val="en-GB"/>
        </w:rPr>
        <w:t xml:space="preserve"> </w:t>
      </w:r>
    </w:p>
    <w:p w14:paraId="689A6FEF" w14:textId="77777777" w:rsidR="0050681C" w:rsidRPr="00BC78A1" w:rsidRDefault="0050681C" w:rsidP="0050681C">
      <w:r w:rsidRPr="00BC78A1">
        <w:rPr>
          <w:b/>
          <w:bCs/>
        </w:rPr>
        <w:t>Strengthen legally binding climate accountability frameworks:</w:t>
      </w:r>
      <w:r w:rsidRPr="00BC78A1">
        <w:t xml:space="preserve"> Governments should move away from depending on unbinding commitments to reduce their greenhouse gas emissions; rather, they should set binding targets for reducing emissions and be guided by independent institutions responsible for monitoring whether the government is fulfilling those </w:t>
      </w:r>
      <w:r w:rsidRPr="00BC78A1">
        <w:lastRenderedPageBreak/>
        <w:t>commitments. This way, the issue of lack of implementation seen in the Paris Agreement would be addressed.</w:t>
      </w:r>
    </w:p>
    <w:p w14:paraId="07C523E1" w14:textId="77777777" w:rsidR="0050681C" w:rsidRPr="00BC78A1" w:rsidRDefault="0050681C" w:rsidP="0050681C">
      <w:r w:rsidRPr="00BC78A1">
        <w:rPr>
          <w:b/>
          <w:bCs/>
        </w:rPr>
        <w:t>Increasing investment in local climate adaptation and green infrastructure:</w:t>
      </w:r>
      <w:r w:rsidRPr="00BC78A1">
        <w:t xml:space="preserve"> National governments should increase their financial support to the local governments in matters such as flood defence mechanisms, sustainable transport, green energy, and energy-efficient homes (Janiszek and Krzysztofik, 2023). While local governments are better placed to deal with the specific climate threats posed in their regions, lack of funding remains an impediment to many local government climate action plans.</w:t>
      </w:r>
    </w:p>
    <w:p w14:paraId="30FE327A" w14:textId="77777777" w:rsidR="0050681C" w:rsidRPr="00BC78A1" w:rsidRDefault="0050681C" w:rsidP="0050681C">
      <w:r w:rsidRPr="00BC78A1">
        <w:rPr>
          <w:b/>
          <w:bCs/>
        </w:rPr>
        <w:t>Promote public-private partnerships to accelerate low-carbon innovation:</w:t>
      </w:r>
      <w:r w:rsidRPr="00BC78A1">
        <w:t xml:space="preserve"> Encourage public-private cooperation for the development of innovation in order to reduce carbon emission: The government needs to work with companies, research bodies, and investors to develop the technology related to renewable energy, carbon capture, and circular economy. Through such cooperation, green economic development will be encouraged and skilled jobs will be created.</w:t>
      </w:r>
    </w:p>
    <w:p w14:paraId="22E32D97" w14:textId="77777777" w:rsidR="0050681C" w:rsidRDefault="0050681C" w:rsidP="0050681C">
      <w:pPr>
        <w:jc w:val="center"/>
      </w:pPr>
      <w:r w:rsidRPr="00BC78A1">
        <w:rPr>
          <w:noProof/>
        </w:rPr>
        <w:drawing>
          <wp:inline distT="0" distB="0" distL="0" distR="0" wp14:anchorId="19A15F54" wp14:editId="21AC94BD">
            <wp:extent cx="4876800" cy="3132153"/>
            <wp:effectExtent l="0" t="0" r="0" b="0"/>
            <wp:docPr id="1998899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99315" name=""/>
                    <pic:cNvPicPr/>
                  </pic:nvPicPr>
                  <pic:blipFill>
                    <a:blip r:embed="rId14"/>
                    <a:stretch>
                      <a:fillRect/>
                    </a:stretch>
                  </pic:blipFill>
                  <pic:spPr>
                    <a:xfrm>
                      <a:off x="0" y="0"/>
                      <a:ext cx="4880962" cy="3134826"/>
                    </a:xfrm>
                    <a:prstGeom prst="rect">
                      <a:avLst/>
                    </a:prstGeom>
                  </pic:spPr>
                </pic:pic>
              </a:graphicData>
            </a:graphic>
          </wp:inline>
        </w:drawing>
      </w:r>
    </w:p>
    <w:p w14:paraId="6194D15B" w14:textId="0A10040D" w:rsidR="0050681C" w:rsidRPr="00D470B6" w:rsidRDefault="0050681C" w:rsidP="0050681C">
      <w:pPr>
        <w:jc w:val="center"/>
        <w:rPr>
          <w:b/>
          <w:bCs/>
        </w:rPr>
      </w:pPr>
      <w:r w:rsidRPr="00D470B6">
        <w:rPr>
          <w:b/>
          <w:bCs/>
        </w:rPr>
        <w:t xml:space="preserve">Table 1: </w:t>
      </w:r>
      <w:r w:rsidR="00D470B6" w:rsidRPr="00D470B6">
        <w:rPr>
          <w:b/>
          <w:bCs/>
        </w:rPr>
        <w:t>R</w:t>
      </w:r>
      <w:r w:rsidRPr="00D470B6">
        <w:rPr>
          <w:b/>
          <w:bCs/>
        </w:rPr>
        <w:t xml:space="preserve">ecommendations </w:t>
      </w:r>
    </w:p>
    <w:p w14:paraId="75F40068" w14:textId="7D3CE41B" w:rsidR="0050681C" w:rsidRPr="00BC78A1" w:rsidRDefault="0050681C" w:rsidP="0050681C">
      <w:pPr>
        <w:jc w:val="center"/>
      </w:pPr>
      <w:r>
        <w:t>(Source: Author)</w:t>
      </w:r>
    </w:p>
    <w:p w14:paraId="2A6EC845" w14:textId="77777777" w:rsidR="005B6269" w:rsidRDefault="005B6269">
      <w:pPr>
        <w:spacing w:line="278" w:lineRule="auto"/>
        <w:jc w:val="left"/>
        <w:rPr>
          <w:rFonts w:eastAsiaTheme="majorEastAsia" w:cstheme="majorBidi"/>
          <w:b/>
          <w:sz w:val="28"/>
          <w:szCs w:val="40"/>
        </w:rPr>
      </w:pPr>
      <w:r>
        <w:br w:type="page"/>
      </w:r>
    </w:p>
    <w:p w14:paraId="0058C756" w14:textId="53A635E7" w:rsidR="0050681C" w:rsidRPr="00BC78A1" w:rsidRDefault="0050681C" w:rsidP="0050681C">
      <w:pPr>
        <w:pStyle w:val="Heading1"/>
      </w:pPr>
      <w:bookmarkStart w:id="13" w:name="_Toc234922698"/>
      <w:r w:rsidRPr="00BC78A1">
        <w:lastRenderedPageBreak/>
        <w:t>Conclusion</w:t>
      </w:r>
      <w:bookmarkEnd w:id="13"/>
      <w:r w:rsidRPr="00BC78A1">
        <w:t xml:space="preserve"> </w:t>
      </w:r>
    </w:p>
    <w:p w14:paraId="68E3DAAC" w14:textId="77777777" w:rsidR="0050681C" w:rsidRPr="00BC78A1" w:rsidRDefault="0050681C" w:rsidP="0050681C">
      <w:r w:rsidRPr="00BC78A1">
        <w:t>The report critically analysed the role of SDG 3- Good Health and Wellbeing and SDG 13- Climate Action in sustaining development at the global, national and local levels, as they were integrated in this SDG 13- Good Health and Wellbeing work package of the SDG-HUB. Results showed that there had been significant progress made through the implementation of the Paris Agreement, Universal Health Coverage, and through national policies like the NHS 10-Year Health Plan and the UK Climate Change Act. Overall, however, these activities were limited by their sustainability, funding resources, implementation gaps and regional disparities.</w:t>
      </w:r>
    </w:p>
    <w:p w14:paraId="0848EDAD" w14:textId="77777777" w:rsidR="0050681C" w:rsidRPr="00BC78A1" w:rsidRDefault="0050681C" w:rsidP="0050681C">
      <w:r w:rsidRPr="00BC78A1">
        <w:t>It was shown that the application of the Social Ecological Model, Triple Bottom Line Theory and Ecological Modernisation Theory was key, requiring coordination of action across governments, organisations, communities and individuals, but not just policy-making. It was also identified that the link between climate action and public health continued to be very strong, again with climate change affecting the health outcomes and social wellbeing in a negative manner. Last, the recommendations stated that improved policy responsibility, investments, empowerment at the local level, technological innovation, and community involvement would have aided in advancing towards both SDGs. In general, the report recommended that integrated, evidence-based, and collaborative approaches that addressed health inequalities, climate problems, and inclusive, resilient development were needed to achieve long-term sustainability.</w:t>
      </w:r>
    </w:p>
    <w:p w14:paraId="6CCD706E" w14:textId="77777777" w:rsidR="00CE2A15" w:rsidRDefault="00CE2A15" w:rsidP="00CE2A15">
      <w:pPr>
        <w:spacing w:line="278" w:lineRule="auto"/>
        <w:jc w:val="left"/>
        <w:rPr>
          <w:lang w:val="en-US"/>
        </w:rPr>
      </w:pPr>
    </w:p>
    <w:p w14:paraId="59D48204" w14:textId="77777777" w:rsidR="00D470B6" w:rsidRDefault="00D470B6">
      <w:pPr>
        <w:spacing w:line="278" w:lineRule="auto"/>
        <w:jc w:val="left"/>
        <w:rPr>
          <w:lang w:val="en-US"/>
        </w:rPr>
      </w:pPr>
      <w:r>
        <w:rPr>
          <w:lang w:val="en-US"/>
        </w:rPr>
        <w:br w:type="page"/>
      </w:r>
    </w:p>
    <w:p w14:paraId="224EC09D" w14:textId="74D2E628" w:rsidR="00DE31A8" w:rsidRDefault="00BA5557" w:rsidP="00D470B6">
      <w:pPr>
        <w:pStyle w:val="Heading1"/>
        <w:rPr>
          <w:lang w:val="en-US"/>
        </w:rPr>
      </w:pPr>
      <w:bookmarkStart w:id="14" w:name="_Toc234922699"/>
      <w:r w:rsidRPr="009E711E">
        <w:rPr>
          <w:lang w:val="en-US"/>
        </w:rPr>
        <w:lastRenderedPageBreak/>
        <w:t>References</w:t>
      </w:r>
      <w:bookmarkEnd w:id="14"/>
      <w:r w:rsidRPr="009E711E">
        <w:rPr>
          <w:lang w:val="en-US"/>
        </w:rPr>
        <w:t xml:space="preserve"> </w:t>
      </w:r>
    </w:p>
    <w:p w14:paraId="4B306DBD" w14:textId="77777777" w:rsidR="004F4A4B" w:rsidRPr="004F4A4B" w:rsidRDefault="004F4A4B" w:rsidP="00AA74D2">
      <w:pPr>
        <w:spacing w:before="240"/>
        <w:rPr>
          <w:rFonts w:cs="Arial"/>
        </w:rPr>
      </w:pPr>
      <w:r w:rsidRPr="004F4A4B">
        <w:rPr>
          <w:rFonts w:cs="Arial"/>
        </w:rPr>
        <w:t>Abdallah Al</w:t>
      </w:r>
      <w:r w:rsidRPr="004F4A4B">
        <w:rPr>
          <w:rFonts w:ascii="Cambria Math" w:hAnsi="Cambria Math" w:cs="Cambria Math"/>
        </w:rPr>
        <w:t>‐</w:t>
      </w:r>
      <w:r w:rsidRPr="004F4A4B">
        <w:rPr>
          <w:rFonts w:cs="Arial"/>
        </w:rPr>
        <w:t>Ani, Muhammad Hammouri, Sultan, H., Leen Al</w:t>
      </w:r>
      <w:r w:rsidRPr="004F4A4B">
        <w:rPr>
          <w:rFonts w:ascii="Cambria Math" w:hAnsi="Cambria Math" w:cs="Cambria Math"/>
        </w:rPr>
        <w:t>‐</w:t>
      </w:r>
      <w:r w:rsidRPr="004F4A4B">
        <w:rPr>
          <w:rFonts w:cs="Arial"/>
        </w:rPr>
        <w:t>Huneidy, Mansour, A. and Maysa Al</w:t>
      </w:r>
      <w:r w:rsidRPr="004F4A4B">
        <w:rPr>
          <w:rFonts w:ascii="Cambria Math" w:hAnsi="Cambria Math" w:cs="Cambria Math"/>
        </w:rPr>
        <w:t>‐</w:t>
      </w:r>
      <w:r w:rsidRPr="004F4A4B">
        <w:rPr>
          <w:rFonts w:cs="Arial"/>
        </w:rPr>
        <w:t>Hussaini (2023) “Factors affecting cervical screening using the health belief model during the last decade: A systematic review and meta</w:t>
      </w:r>
      <w:r w:rsidRPr="004F4A4B">
        <w:rPr>
          <w:rFonts w:ascii="Cambria Math" w:hAnsi="Cambria Math" w:cs="Cambria Math"/>
        </w:rPr>
        <w:t>‐</w:t>
      </w:r>
      <w:r w:rsidRPr="004F4A4B">
        <w:rPr>
          <w:rFonts w:cs="Arial"/>
        </w:rPr>
        <w:t xml:space="preserve">analysis,” </w:t>
      </w:r>
      <w:r w:rsidRPr="004F4A4B">
        <w:rPr>
          <w:rFonts w:cs="Arial"/>
          <w:i/>
          <w:iCs/>
        </w:rPr>
        <w:t>Psycho-Oncology</w:t>
      </w:r>
      <w:r w:rsidRPr="004F4A4B">
        <w:rPr>
          <w:rFonts w:cs="Arial"/>
        </w:rPr>
        <w:t>, 33(1). Available at: https://doi.org/10.1002/pon.6275.</w:t>
      </w:r>
    </w:p>
    <w:p w14:paraId="1BEEC5A7" w14:textId="77777777" w:rsidR="004F4A4B" w:rsidRPr="004F4A4B" w:rsidRDefault="004F4A4B" w:rsidP="00AA74D2">
      <w:pPr>
        <w:spacing w:before="240"/>
        <w:rPr>
          <w:rFonts w:cs="Arial"/>
        </w:rPr>
      </w:pPr>
      <w:r w:rsidRPr="004F4A4B">
        <w:rPr>
          <w:rFonts w:cs="Arial"/>
        </w:rPr>
        <w:t xml:space="preserve">BBC (2026) “‘We’re right on track,’ says Streeting as key hospital waiting time target hit,” </w:t>
      </w:r>
      <w:r w:rsidRPr="004F4A4B">
        <w:rPr>
          <w:rFonts w:cs="Arial"/>
          <w:i/>
          <w:iCs/>
        </w:rPr>
        <w:t>BBC</w:t>
      </w:r>
      <w:r w:rsidRPr="004F4A4B">
        <w:rPr>
          <w:rFonts w:cs="Arial"/>
        </w:rPr>
        <w:t>, 14 May. Available at: https://www.bbc.com/news/articles/cvgzv0j19vvo (Accessed: July 14, 2026).</w:t>
      </w:r>
    </w:p>
    <w:p w14:paraId="322150EA" w14:textId="77777777" w:rsidR="004F4A4B" w:rsidRPr="004F4A4B" w:rsidRDefault="004F4A4B" w:rsidP="00AA74D2">
      <w:pPr>
        <w:spacing w:before="240"/>
        <w:rPr>
          <w:rFonts w:cs="Arial"/>
        </w:rPr>
      </w:pPr>
      <w:r w:rsidRPr="004F4A4B">
        <w:rPr>
          <w:rFonts w:cs="Arial"/>
        </w:rPr>
        <w:t xml:space="preserve">Bhatia, D., Mishra, S., Kirubarajan, A., Yanful, B., Allin, S. and Di Ruggiero, E. (2022) “Identifying priorities for research on financial risk protection to achieve universal health coverage: A scoping overview of reviews,” </w:t>
      </w:r>
      <w:r w:rsidRPr="004F4A4B">
        <w:rPr>
          <w:rFonts w:cs="Arial"/>
          <w:i/>
          <w:iCs/>
        </w:rPr>
        <w:t>BMJ Open</w:t>
      </w:r>
      <w:r w:rsidRPr="004F4A4B">
        <w:rPr>
          <w:rFonts w:cs="Arial"/>
        </w:rPr>
        <w:t>, 12(3), p. e052041. Available at: https://doi.org/10.1136/bmjopen-2021-052041.</w:t>
      </w:r>
    </w:p>
    <w:p w14:paraId="4329F228" w14:textId="77777777" w:rsidR="004F4A4B" w:rsidRPr="004F4A4B" w:rsidRDefault="004F4A4B" w:rsidP="004F4A4B">
      <w:pPr>
        <w:rPr>
          <w:rFonts w:cs="Arial"/>
        </w:rPr>
      </w:pPr>
      <w:r w:rsidRPr="004F4A4B">
        <w:rPr>
          <w:rFonts w:cs="Arial"/>
        </w:rPr>
        <w:t>Bugden, D. (2022) ‘Technology, decoupling, and ecological crisis: examining ecological modernization theory through patent data.’ </w:t>
      </w:r>
      <w:r w:rsidRPr="004F4A4B">
        <w:rPr>
          <w:rFonts w:cs="Arial"/>
          <w:i/>
          <w:iCs/>
        </w:rPr>
        <w:t>Environmental Sociology</w:t>
      </w:r>
      <w:r w:rsidRPr="004F4A4B">
        <w:rPr>
          <w:rFonts w:cs="Arial"/>
        </w:rPr>
        <w:t>, </w:t>
      </w:r>
      <w:r w:rsidRPr="004F4A4B">
        <w:rPr>
          <w:rFonts w:cs="Arial"/>
          <w:i/>
          <w:iCs/>
        </w:rPr>
        <w:t>8</w:t>
      </w:r>
      <w:r w:rsidRPr="004F4A4B">
        <w:rPr>
          <w:rFonts w:cs="Arial"/>
        </w:rPr>
        <w:t xml:space="preserve">(2), pp.228-241. Available at: </w:t>
      </w:r>
      <w:hyperlink r:id="rId15" w:history="1">
        <w:r w:rsidRPr="004F4A4B">
          <w:rPr>
            <w:rStyle w:val="Hyperlink"/>
            <w:rFonts w:cs="Arial"/>
          </w:rPr>
          <w:t>https://doi.org/10.1080/23251042.2021.2021604</w:t>
        </w:r>
      </w:hyperlink>
      <w:r w:rsidRPr="004F4A4B">
        <w:rPr>
          <w:rFonts w:cs="Arial"/>
        </w:rPr>
        <w:t xml:space="preserve"> </w:t>
      </w:r>
    </w:p>
    <w:p w14:paraId="3B3BB782" w14:textId="77777777" w:rsidR="004F4A4B" w:rsidRPr="004F4A4B" w:rsidRDefault="004F4A4B" w:rsidP="00AA74D2">
      <w:pPr>
        <w:spacing w:before="240"/>
        <w:rPr>
          <w:rFonts w:cs="Arial"/>
        </w:rPr>
      </w:pPr>
      <w:r w:rsidRPr="004F4A4B">
        <w:rPr>
          <w:rFonts w:cs="Arial"/>
        </w:rPr>
        <w:t xml:space="preserve">Cheng, Z., Ruktanonchai, N.W., Wesolowski, A., Pei, S., Wang, J., Cockings, S., Tatem, A.J. and Lai, S. (2025) “Social, mobility and contact networks in shaping health behaviours and infectious disease dynamics: A scoping review,” </w:t>
      </w:r>
      <w:r w:rsidRPr="004F4A4B">
        <w:rPr>
          <w:rFonts w:cs="Arial"/>
          <w:i/>
          <w:iCs/>
        </w:rPr>
        <w:t>Infectious Diseases of Poverty</w:t>
      </w:r>
      <w:r w:rsidRPr="004F4A4B">
        <w:rPr>
          <w:rFonts w:cs="Arial"/>
        </w:rPr>
        <w:t>, 14(1). Available at: https://doi.org/10.1186/s40249-025-01378-6.</w:t>
      </w:r>
    </w:p>
    <w:p w14:paraId="7CFBBAEF" w14:textId="77777777" w:rsidR="004F4A4B" w:rsidRPr="004F4A4B" w:rsidRDefault="004F4A4B" w:rsidP="004F4A4B">
      <w:pPr>
        <w:rPr>
          <w:rFonts w:cs="Arial"/>
        </w:rPr>
      </w:pPr>
      <w:r w:rsidRPr="004F4A4B">
        <w:rPr>
          <w:rFonts w:cs="Arial"/>
        </w:rPr>
        <w:t>‌Eurostat (2025). </w:t>
      </w:r>
      <w:r w:rsidRPr="004F4A4B">
        <w:rPr>
          <w:rFonts w:cs="Arial"/>
          <w:i/>
          <w:iCs/>
        </w:rPr>
        <w:t>Electricity from renewable sources reaches 47% in 2024</w:t>
      </w:r>
      <w:r w:rsidRPr="004F4A4B">
        <w:rPr>
          <w:rFonts w:cs="Arial"/>
        </w:rPr>
        <w:t>. [online] EU_Eurostat. Available at: https://ec.europa.eu/eurostat/web/products-eurostat-news/w/ddn-20250319-1 [Accessed 14 July 2026].</w:t>
      </w:r>
    </w:p>
    <w:p w14:paraId="603F5251" w14:textId="77777777" w:rsidR="004F4A4B" w:rsidRPr="004F4A4B" w:rsidRDefault="004F4A4B" w:rsidP="004F4A4B">
      <w:pPr>
        <w:rPr>
          <w:rFonts w:cs="Arial"/>
        </w:rPr>
      </w:pPr>
      <w:r w:rsidRPr="004F4A4B">
        <w:rPr>
          <w:rFonts w:cs="Arial"/>
        </w:rPr>
        <w:t>Ipcc.ch. (2023). </w:t>
      </w:r>
      <w:r w:rsidRPr="004F4A4B">
        <w:rPr>
          <w:rFonts w:cs="Arial"/>
          <w:i/>
          <w:iCs/>
        </w:rPr>
        <w:t>Global Warming of 1.5 </w:t>
      </w:r>
      <w:r w:rsidRPr="004F4A4B">
        <w:rPr>
          <w:rFonts w:cs="Arial"/>
          <w:i/>
          <w:iCs/>
          <w:vertAlign w:val="superscript"/>
        </w:rPr>
        <w:t>o</w:t>
      </w:r>
      <w:r w:rsidRPr="004F4A4B">
        <w:rPr>
          <w:rFonts w:cs="Arial"/>
          <w:i/>
          <w:iCs/>
        </w:rPr>
        <w:t>C —</w:t>
      </w:r>
      <w:r w:rsidRPr="004F4A4B">
        <w:rPr>
          <w:rFonts w:cs="Arial"/>
        </w:rPr>
        <w:t>. [online] Available at: https://www.ipcc.ch/sr15/ [Accessed 14 July 2026].</w:t>
      </w:r>
    </w:p>
    <w:p w14:paraId="7845D20D" w14:textId="77777777" w:rsidR="004F4A4B" w:rsidRPr="004F4A4B" w:rsidRDefault="004F4A4B" w:rsidP="004F4A4B">
      <w:pPr>
        <w:rPr>
          <w:rFonts w:cs="Arial"/>
        </w:rPr>
      </w:pPr>
      <w:r w:rsidRPr="004F4A4B">
        <w:rPr>
          <w:rFonts w:cs="Arial"/>
        </w:rPr>
        <w:t>Janiszek, M. and Krzysztofik, R. (2023) ‘Green infrastructure as an effective tool for urban adaptation—Solutions from a big city in a postindustrial region.’ </w:t>
      </w:r>
      <w:r w:rsidRPr="004F4A4B">
        <w:rPr>
          <w:rFonts w:cs="Arial"/>
          <w:i/>
          <w:iCs/>
        </w:rPr>
        <w:t>Sustainability</w:t>
      </w:r>
      <w:r w:rsidRPr="004F4A4B">
        <w:rPr>
          <w:rFonts w:cs="Arial"/>
        </w:rPr>
        <w:t>, </w:t>
      </w:r>
      <w:r w:rsidRPr="004F4A4B">
        <w:rPr>
          <w:rFonts w:cs="Arial"/>
          <w:i/>
          <w:iCs/>
        </w:rPr>
        <w:t>15</w:t>
      </w:r>
      <w:r w:rsidRPr="004F4A4B">
        <w:rPr>
          <w:rFonts w:cs="Arial"/>
        </w:rPr>
        <w:t xml:space="preserve">(11), p.8928. </w:t>
      </w:r>
      <w:hyperlink r:id="rId16" w:history="1">
        <w:r w:rsidRPr="004F4A4B">
          <w:rPr>
            <w:rStyle w:val="Hyperlink"/>
            <w:rFonts w:cs="Arial"/>
          </w:rPr>
          <w:t>https://doi.org/10.3390/su15118928</w:t>
        </w:r>
      </w:hyperlink>
      <w:r w:rsidRPr="004F4A4B">
        <w:rPr>
          <w:rFonts w:cs="Arial"/>
        </w:rPr>
        <w:t xml:space="preserve"> </w:t>
      </w:r>
    </w:p>
    <w:p w14:paraId="29983AC1" w14:textId="77777777" w:rsidR="004F4A4B" w:rsidRPr="004F4A4B" w:rsidRDefault="004F4A4B" w:rsidP="00AA74D2">
      <w:pPr>
        <w:spacing w:before="240"/>
        <w:rPr>
          <w:rFonts w:cs="Arial"/>
        </w:rPr>
      </w:pPr>
      <w:r w:rsidRPr="004F4A4B">
        <w:rPr>
          <w:rFonts w:cs="Arial"/>
        </w:rPr>
        <w:t xml:space="preserve">Kings’s Fund (2025) </w:t>
      </w:r>
      <w:r w:rsidRPr="004F4A4B">
        <w:rPr>
          <w:rFonts w:cs="Arial"/>
          <w:i/>
          <w:iCs/>
        </w:rPr>
        <w:t>Truly Fit For The Future? The 10 Year Health Plan Explained | The King’s Fund</w:t>
      </w:r>
      <w:r w:rsidRPr="004F4A4B">
        <w:rPr>
          <w:rFonts w:cs="Arial"/>
        </w:rPr>
        <w:t xml:space="preserve">, </w:t>
      </w:r>
      <w:r w:rsidRPr="004F4A4B">
        <w:rPr>
          <w:rFonts w:cs="Arial"/>
          <w:i/>
          <w:iCs/>
        </w:rPr>
        <w:t>The King’s Fund</w:t>
      </w:r>
      <w:r w:rsidRPr="004F4A4B">
        <w:rPr>
          <w:rFonts w:cs="Arial"/>
        </w:rPr>
        <w:t>. Available at: https://www.kingsfund.org.uk/insight-and-analysis/long-reads/ten-year-health-plan-explained (Accessed: July 14, 2026).</w:t>
      </w:r>
    </w:p>
    <w:p w14:paraId="5012C5AB" w14:textId="77777777" w:rsidR="004F4A4B" w:rsidRPr="004F4A4B" w:rsidRDefault="004F4A4B" w:rsidP="00AA74D2">
      <w:pPr>
        <w:spacing w:before="240"/>
        <w:rPr>
          <w:rFonts w:cs="Arial"/>
        </w:rPr>
      </w:pPr>
      <w:r w:rsidRPr="004F4A4B">
        <w:rPr>
          <w:rFonts w:cs="Arial"/>
        </w:rPr>
        <w:lastRenderedPageBreak/>
        <w:t xml:space="preserve">Meehan, D., Grunseit, A., Condie, J., HaGani, N. and Dafna Merom (2023) “Social-ecological factors influencing loneliness and social isolation in older people: A scoping review,” </w:t>
      </w:r>
      <w:r w:rsidRPr="004F4A4B">
        <w:rPr>
          <w:rFonts w:cs="Arial"/>
          <w:i/>
          <w:iCs/>
        </w:rPr>
        <w:t>BMC Geriatrics</w:t>
      </w:r>
      <w:r w:rsidRPr="004F4A4B">
        <w:rPr>
          <w:rFonts w:cs="Arial"/>
        </w:rPr>
        <w:t>, 23(1). Available at: https://doi.org/10.1186/s12877-023-04418-8.</w:t>
      </w:r>
    </w:p>
    <w:p w14:paraId="7B361CDD" w14:textId="77777777" w:rsidR="004F4A4B" w:rsidRPr="004F4A4B" w:rsidRDefault="004F4A4B" w:rsidP="00AA74D2">
      <w:pPr>
        <w:spacing w:before="240"/>
        <w:rPr>
          <w:rFonts w:cs="Arial"/>
        </w:rPr>
      </w:pPr>
      <w:r w:rsidRPr="004F4A4B">
        <w:rPr>
          <w:rFonts w:cs="Arial"/>
        </w:rPr>
        <w:t xml:space="preserve">Nagorcka-Smith, P., Bolton, K.A., Dam, J., Nichols, M., Alston, L., Johnstone, M. and Allender, S. (2022) “The impact of coalition characteristics on outcomes in community-based initiatives targeting the social determinants of health: A systematic review,” </w:t>
      </w:r>
      <w:r w:rsidRPr="004F4A4B">
        <w:rPr>
          <w:rFonts w:cs="Arial"/>
          <w:i/>
          <w:iCs/>
        </w:rPr>
        <w:t>BMC Public Health</w:t>
      </w:r>
      <w:r w:rsidRPr="004F4A4B">
        <w:rPr>
          <w:rFonts w:cs="Arial"/>
        </w:rPr>
        <w:t>, 22(1). Available at: https://doi.org/10.1186/s12889-022-13678-9.</w:t>
      </w:r>
    </w:p>
    <w:p w14:paraId="65FE5221" w14:textId="77777777" w:rsidR="004F4A4B" w:rsidRPr="004F4A4B" w:rsidRDefault="004F4A4B" w:rsidP="00AA74D2">
      <w:pPr>
        <w:spacing w:before="240"/>
        <w:rPr>
          <w:rFonts w:cs="Arial"/>
        </w:rPr>
      </w:pPr>
      <w:r w:rsidRPr="004F4A4B">
        <w:rPr>
          <w:rFonts w:cs="Arial"/>
        </w:rPr>
        <w:t xml:space="preserve">ONS (2023) </w:t>
      </w:r>
      <w:r w:rsidRPr="004F4A4B">
        <w:rPr>
          <w:rFonts w:cs="Arial"/>
          <w:i/>
          <w:iCs/>
        </w:rPr>
        <w:t>UK Measures of National Well-being Dashboard - Office for National Statistics</w:t>
      </w:r>
      <w:r w:rsidRPr="004F4A4B">
        <w:rPr>
          <w:rFonts w:cs="Arial"/>
        </w:rPr>
        <w:t xml:space="preserve">, </w:t>
      </w:r>
      <w:r w:rsidRPr="004F4A4B">
        <w:rPr>
          <w:rFonts w:cs="Arial"/>
          <w:i/>
          <w:iCs/>
        </w:rPr>
        <w:t>Www.ons.gov.uk</w:t>
      </w:r>
      <w:r w:rsidRPr="004F4A4B">
        <w:rPr>
          <w:rFonts w:cs="Arial"/>
        </w:rPr>
        <w:t>. Available at: https://www.ons.gov.uk/peoplepopulationandcommunity/wellbeing/articles/ukmeasuresofnationalwellbeing/dashboard (Accessed: July 14, 2026).</w:t>
      </w:r>
    </w:p>
    <w:p w14:paraId="68A1A1F7" w14:textId="77777777" w:rsidR="004F4A4B" w:rsidRPr="004F4A4B" w:rsidRDefault="004F4A4B" w:rsidP="00AA74D2">
      <w:pPr>
        <w:spacing w:before="240"/>
        <w:rPr>
          <w:rFonts w:cs="Arial"/>
        </w:rPr>
      </w:pPr>
      <w:r w:rsidRPr="004F4A4B">
        <w:rPr>
          <w:rFonts w:cs="Arial"/>
        </w:rPr>
        <w:t xml:space="preserve">Pourrazavi, S., Fathi, B., Fathifar, Z., Nadrian, H. and Allahverdipour, H. (2025) “Leveraging Ottawa Charter strategies to enhance COVID-19 vaccination: A systematic review of global health promotion approaches,” </w:t>
      </w:r>
      <w:r w:rsidRPr="004F4A4B">
        <w:rPr>
          <w:rFonts w:cs="Arial"/>
          <w:i/>
          <w:iCs/>
        </w:rPr>
        <w:t>Health Promotion Perspectives</w:t>
      </w:r>
      <w:r w:rsidRPr="004F4A4B">
        <w:rPr>
          <w:rFonts w:cs="Arial"/>
        </w:rPr>
        <w:t>, 15(1), pp. 9–22. Available at: https://doi.org/10.34172/hpp.025.43752.</w:t>
      </w:r>
    </w:p>
    <w:p w14:paraId="1BCF62BD" w14:textId="77777777" w:rsidR="004F4A4B" w:rsidRPr="004F4A4B" w:rsidRDefault="004F4A4B" w:rsidP="004F4A4B">
      <w:pPr>
        <w:rPr>
          <w:rFonts w:cs="Arial"/>
        </w:rPr>
      </w:pPr>
      <w:r w:rsidRPr="004F4A4B">
        <w:rPr>
          <w:rFonts w:cs="Arial"/>
        </w:rPr>
        <w:t>Romo, J., Ingelmo, M., Velasco, J., Curran, S., Pillai, J.R. and Braco, E. (2024) ‘Development and implementation of (more) sustainable and resilient electric vehicle charging infrastructure in public buildings.’ In </w:t>
      </w:r>
      <w:r w:rsidRPr="004F4A4B">
        <w:rPr>
          <w:rFonts w:cs="Arial"/>
          <w:i/>
          <w:iCs/>
        </w:rPr>
        <w:t>Transport Research Arena Conference</w:t>
      </w:r>
      <w:r w:rsidRPr="004F4A4B">
        <w:rPr>
          <w:rFonts w:cs="Arial"/>
        </w:rPr>
        <w:t> (pp. 721-727). Available at:</w:t>
      </w:r>
      <w:r w:rsidRPr="004F4A4B">
        <w:rPr>
          <w:rFonts w:cs="Arial"/>
          <w:color w:val="222222"/>
          <w:shd w:val="clear" w:color="auto" w:fill="FFFFFF"/>
        </w:rPr>
        <w:t xml:space="preserve"> </w:t>
      </w:r>
      <w:hyperlink r:id="rId17" w:history="1">
        <w:r w:rsidRPr="004F4A4B">
          <w:rPr>
            <w:rStyle w:val="Hyperlink"/>
            <w:rFonts w:cs="Arial"/>
          </w:rPr>
          <w:t>https://doi.org/10.1007/978-3-031-89444-2_104</w:t>
        </w:r>
      </w:hyperlink>
      <w:r w:rsidRPr="004F4A4B">
        <w:rPr>
          <w:rFonts w:cs="Arial"/>
        </w:rPr>
        <w:t xml:space="preserve"> </w:t>
      </w:r>
    </w:p>
    <w:p w14:paraId="7E0BB69C" w14:textId="77777777" w:rsidR="004F4A4B" w:rsidRPr="004F4A4B" w:rsidRDefault="004F4A4B" w:rsidP="004F4A4B">
      <w:pPr>
        <w:rPr>
          <w:rFonts w:cs="Arial"/>
        </w:rPr>
      </w:pPr>
      <w:r w:rsidRPr="004F4A4B">
        <w:rPr>
          <w:rFonts w:cs="Arial"/>
        </w:rPr>
        <w:t>Stewart, I., Burnett, N., Bolton, P. and Hewitt, T. (2026). </w:t>
      </w:r>
      <w:r w:rsidRPr="004F4A4B">
        <w:rPr>
          <w:rFonts w:cs="Arial"/>
          <w:i/>
          <w:iCs/>
        </w:rPr>
        <w:t>The UK’s plans and progress to reach net zero by 2050 - House of Commons Library</w:t>
      </w:r>
      <w:r w:rsidRPr="004F4A4B">
        <w:rPr>
          <w:rFonts w:cs="Arial"/>
        </w:rPr>
        <w:t>. [online] House of Commons Library. Available at: https://commonslibrary.parliament.uk/research-briefings/cbp-9888/ [Accessed 14 July 2026].</w:t>
      </w:r>
    </w:p>
    <w:p w14:paraId="22698997" w14:textId="77777777" w:rsidR="004F4A4B" w:rsidRPr="004F4A4B" w:rsidRDefault="004F4A4B" w:rsidP="004F4A4B">
      <w:pPr>
        <w:rPr>
          <w:rFonts w:cs="Arial"/>
        </w:rPr>
      </w:pPr>
      <w:r w:rsidRPr="004F4A4B">
        <w:rPr>
          <w:rFonts w:cs="Arial"/>
        </w:rPr>
        <w:t>unep.org. (2024). </w:t>
      </w:r>
      <w:r w:rsidRPr="004F4A4B">
        <w:rPr>
          <w:rFonts w:cs="Arial"/>
          <w:i/>
          <w:iCs/>
        </w:rPr>
        <w:t>Emissions Gap Report 2024</w:t>
      </w:r>
      <w:r w:rsidRPr="004F4A4B">
        <w:rPr>
          <w:rFonts w:cs="Arial"/>
        </w:rPr>
        <w:t>. [online] UNEP - UN Environment Programme. Available at: https://www.unep.org/resources/emissions-gap-report-2024 [Accessed 14 July 2026].</w:t>
      </w:r>
    </w:p>
    <w:p w14:paraId="45D036B4" w14:textId="77777777" w:rsidR="004F4A4B" w:rsidRPr="004F4A4B" w:rsidRDefault="004F4A4B" w:rsidP="004F4A4B">
      <w:pPr>
        <w:rPr>
          <w:rFonts w:cs="Arial"/>
        </w:rPr>
      </w:pPr>
      <w:r w:rsidRPr="004F4A4B">
        <w:rPr>
          <w:rFonts w:cs="Arial"/>
        </w:rPr>
        <w:t>Unfccc.int. (2020). </w:t>
      </w:r>
      <w:r w:rsidRPr="004F4A4B">
        <w:rPr>
          <w:rFonts w:cs="Arial"/>
          <w:i/>
          <w:iCs/>
        </w:rPr>
        <w:t>The Paris Agreement | UNFCCC</w:t>
      </w:r>
      <w:r w:rsidRPr="004F4A4B">
        <w:rPr>
          <w:rFonts w:cs="Arial"/>
        </w:rPr>
        <w:t>. [online] Available at: https://unfccc.int/process-and-meetings/the-paris-agreement [Accessed 14 July 2026].</w:t>
      </w:r>
    </w:p>
    <w:p w14:paraId="5FCF70DA" w14:textId="77777777" w:rsidR="004F4A4B" w:rsidRPr="004F4A4B" w:rsidRDefault="004F4A4B" w:rsidP="004F4A4B">
      <w:pPr>
        <w:rPr>
          <w:rFonts w:cs="Arial"/>
        </w:rPr>
      </w:pPr>
      <w:r w:rsidRPr="004F4A4B">
        <w:rPr>
          <w:rFonts w:cs="Arial"/>
        </w:rPr>
        <w:t>United Nations Environment Programme. (2024). </w:t>
      </w:r>
      <w:r w:rsidRPr="004F4A4B">
        <w:rPr>
          <w:rFonts w:cs="Arial"/>
          <w:i/>
          <w:iCs/>
        </w:rPr>
        <w:t>Emissions Gap Report 2024</w:t>
      </w:r>
      <w:r w:rsidRPr="004F4A4B">
        <w:rPr>
          <w:rFonts w:cs="Arial"/>
        </w:rPr>
        <w:t>. [online] UNEP - UN Environment Programme. Available at: https://www.unep.org/resources/emissions-gap-report-2024 [Accessed 14 July 2026].</w:t>
      </w:r>
    </w:p>
    <w:p w14:paraId="342956C1" w14:textId="77777777" w:rsidR="004F4A4B" w:rsidRPr="004F4A4B" w:rsidRDefault="004F4A4B" w:rsidP="004F4A4B">
      <w:pPr>
        <w:rPr>
          <w:rFonts w:cs="Arial"/>
        </w:rPr>
      </w:pPr>
      <w:r w:rsidRPr="004F4A4B">
        <w:rPr>
          <w:rFonts w:cs="Arial"/>
        </w:rPr>
        <w:lastRenderedPageBreak/>
        <w:t>United Nations. (2024). </w:t>
      </w:r>
      <w:r w:rsidRPr="004F4A4B">
        <w:rPr>
          <w:rFonts w:cs="Arial"/>
          <w:i/>
          <w:iCs/>
        </w:rPr>
        <w:t>Climate Reports | United Nations</w:t>
      </w:r>
      <w:r w:rsidRPr="004F4A4B">
        <w:rPr>
          <w:rFonts w:cs="Arial"/>
        </w:rPr>
        <w:t>. [online] United Nations. Available at: https://www.un.org/en/climatechange/reports [Accessed 14 July 2026].</w:t>
      </w:r>
    </w:p>
    <w:p w14:paraId="30F1F1BF" w14:textId="77777777" w:rsidR="004F4A4B" w:rsidRPr="004F4A4B" w:rsidRDefault="004F4A4B" w:rsidP="00AA74D2">
      <w:pPr>
        <w:spacing w:before="240"/>
        <w:rPr>
          <w:rFonts w:cs="Arial"/>
        </w:rPr>
      </w:pPr>
      <w:r w:rsidRPr="004F4A4B">
        <w:rPr>
          <w:rFonts w:cs="Arial"/>
        </w:rPr>
        <w:t xml:space="preserve">WHO (2023) </w:t>
      </w:r>
      <w:r w:rsidRPr="004F4A4B">
        <w:rPr>
          <w:rFonts w:cs="Arial"/>
          <w:i/>
          <w:iCs/>
        </w:rPr>
        <w:t>Universal health coverage</w:t>
      </w:r>
      <w:r w:rsidRPr="004F4A4B">
        <w:rPr>
          <w:rFonts w:cs="Arial"/>
        </w:rPr>
        <w:t xml:space="preserve">, </w:t>
      </w:r>
      <w:r w:rsidRPr="004F4A4B">
        <w:rPr>
          <w:rFonts w:cs="Arial"/>
          <w:i/>
          <w:iCs/>
        </w:rPr>
        <w:t>Www.who.int</w:t>
      </w:r>
      <w:r w:rsidRPr="004F4A4B">
        <w:rPr>
          <w:rFonts w:cs="Arial"/>
        </w:rPr>
        <w:t>. Available at: https://www.who.int/health-topics/universal-health-coverage (Accessed: July 14, 2026).</w:t>
      </w:r>
    </w:p>
    <w:p w14:paraId="4CD3F8BD" w14:textId="77777777" w:rsidR="004F4A4B" w:rsidRPr="004F4A4B" w:rsidRDefault="004F4A4B" w:rsidP="00AA74D2">
      <w:pPr>
        <w:spacing w:before="240"/>
        <w:rPr>
          <w:rFonts w:cs="Arial"/>
        </w:rPr>
      </w:pPr>
      <w:r w:rsidRPr="004F4A4B">
        <w:rPr>
          <w:rFonts w:cs="Arial"/>
        </w:rPr>
        <w:t xml:space="preserve">World Bank (2025) </w:t>
      </w:r>
      <w:r w:rsidRPr="004F4A4B">
        <w:rPr>
          <w:rFonts w:cs="Arial"/>
          <w:i/>
          <w:iCs/>
        </w:rPr>
        <w:t>Tracking Universal Health Coverage (UHC): 2025 Global Monitoring Report</w:t>
      </w:r>
      <w:r w:rsidRPr="004F4A4B">
        <w:rPr>
          <w:rFonts w:cs="Arial"/>
        </w:rPr>
        <w:t xml:space="preserve">, </w:t>
      </w:r>
      <w:r w:rsidRPr="004F4A4B">
        <w:rPr>
          <w:rFonts w:cs="Arial"/>
          <w:i/>
          <w:iCs/>
        </w:rPr>
        <w:t>World Bank</w:t>
      </w:r>
      <w:r w:rsidRPr="004F4A4B">
        <w:rPr>
          <w:rFonts w:cs="Arial"/>
        </w:rPr>
        <w:t>. World Bank Group. Available at: https://www.worldbank.org/en/topic/universalhealthcoverage/publication/2025-global-monitoring-report-gmr (Accessed: July 14, 2026).</w:t>
      </w:r>
    </w:p>
    <w:p w14:paraId="7AFA4804" w14:textId="77777777" w:rsidR="004F4A4B" w:rsidRPr="004F4A4B" w:rsidRDefault="004F4A4B" w:rsidP="00AA74D2">
      <w:pPr>
        <w:spacing w:before="240"/>
        <w:rPr>
          <w:rFonts w:cs="Arial"/>
        </w:rPr>
      </w:pPr>
      <w:r w:rsidRPr="004F4A4B">
        <w:rPr>
          <w:rFonts w:cs="Arial"/>
        </w:rPr>
        <w:t xml:space="preserve">World Health Organization (2025) </w:t>
      </w:r>
      <w:r w:rsidRPr="004F4A4B">
        <w:rPr>
          <w:rFonts w:cs="Arial"/>
          <w:i/>
          <w:iCs/>
        </w:rPr>
        <w:t>Universal Health Coverage (UHC)</w:t>
      </w:r>
      <w:r w:rsidRPr="004F4A4B">
        <w:rPr>
          <w:rFonts w:cs="Arial"/>
        </w:rPr>
        <w:t xml:space="preserve">, </w:t>
      </w:r>
      <w:r w:rsidRPr="004F4A4B">
        <w:rPr>
          <w:rFonts w:cs="Arial"/>
          <w:i/>
          <w:iCs/>
        </w:rPr>
        <w:t>World Health Organization</w:t>
      </w:r>
      <w:r w:rsidRPr="004F4A4B">
        <w:rPr>
          <w:rFonts w:cs="Arial"/>
        </w:rPr>
        <w:t>. Available at: https://www.who.int/news-room/fact-sheets/detail/universal-health-coverage-(uhc) (Accessed: July 14, 2026).</w:t>
      </w:r>
    </w:p>
    <w:sectPr w:rsidR="004F4A4B" w:rsidRPr="004F4A4B" w:rsidSect="00317934">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1968F" w14:textId="77777777" w:rsidR="001E04C1" w:rsidRDefault="001E04C1" w:rsidP="00BA5557">
      <w:pPr>
        <w:spacing w:after="0" w:line="240" w:lineRule="auto"/>
      </w:pPr>
      <w:r>
        <w:separator/>
      </w:r>
    </w:p>
  </w:endnote>
  <w:endnote w:type="continuationSeparator" w:id="0">
    <w:p w14:paraId="316C36F2" w14:textId="77777777" w:rsidR="001E04C1" w:rsidRDefault="001E04C1" w:rsidP="00BA5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89486"/>
      <w:docPartObj>
        <w:docPartGallery w:val="Page Numbers (Bottom of Page)"/>
        <w:docPartUnique/>
      </w:docPartObj>
    </w:sdtPr>
    <w:sdtEndPr>
      <w:rPr>
        <w:color w:val="7F7F7F"/>
        <w:spacing w:val="60"/>
      </w:rPr>
    </w:sdtEndPr>
    <w:sdtContent>
      <w:p w14:paraId="385855B9" w14:textId="62436EA8" w:rsidR="00BA5557" w:rsidRDefault="00BA5557" w:rsidP="00317934">
        <w:pPr>
          <w:pStyle w:val="Footer"/>
          <w:pBdr>
            <w:top w:val="single" w:sz="4" w:space="1" w:color="D9D9D9"/>
          </w:pBdr>
          <w:jc w:val="right"/>
        </w:pPr>
        <w:r>
          <w:fldChar w:fldCharType="begin"/>
        </w:r>
        <w:r>
          <w:instrText xml:space="preserve"> PAGE   \* MERGEFORMAT </w:instrText>
        </w:r>
        <w:r>
          <w:fldChar w:fldCharType="separate"/>
        </w:r>
        <w:r>
          <w:rPr>
            <w:noProof/>
          </w:rPr>
          <w:t>2</w:t>
        </w:r>
        <w:r>
          <w:rPr>
            <w:noProof/>
          </w:rPr>
          <w:fldChar w:fldCharType="end"/>
        </w:r>
        <w:r>
          <w:t xml:space="preserve"> | </w:t>
        </w:r>
        <w:r w:rsidRPr="00416F7D">
          <w:rPr>
            <w:color w:val="7F7F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9FCB2" w14:textId="77777777" w:rsidR="001E04C1" w:rsidRDefault="001E04C1" w:rsidP="00BA5557">
      <w:pPr>
        <w:spacing w:after="0" w:line="240" w:lineRule="auto"/>
      </w:pPr>
      <w:r>
        <w:separator/>
      </w:r>
    </w:p>
  </w:footnote>
  <w:footnote w:type="continuationSeparator" w:id="0">
    <w:p w14:paraId="1A2C7A92" w14:textId="77777777" w:rsidR="001E04C1" w:rsidRDefault="001E04C1" w:rsidP="00BA55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164821"/>
    <w:multiLevelType w:val="hybridMultilevel"/>
    <w:tmpl w:val="BF72F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5595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0CC"/>
    <w:rsid w:val="00051A3B"/>
    <w:rsid w:val="000C1F7B"/>
    <w:rsid w:val="00112B67"/>
    <w:rsid w:val="00151C75"/>
    <w:rsid w:val="001C5CC5"/>
    <w:rsid w:val="001D77A2"/>
    <w:rsid w:val="001E04C1"/>
    <w:rsid w:val="001E359D"/>
    <w:rsid w:val="001F31B7"/>
    <w:rsid w:val="001F4515"/>
    <w:rsid w:val="002A3807"/>
    <w:rsid w:val="002D458C"/>
    <w:rsid w:val="003078D4"/>
    <w:rsid w:val="00316614"/>
    <w:rsid w:val="00317934"/>
    <w:rsid w:val="0032340C"/>
    <w:rsid w:val="003278FD"/>
    <w:rsid w:val="00343B8C"/>
    <w:rsid w:val="0037498B"/>
    <w:rsid w:val="003A455A"/>
    <w:rsid w:val="00416F7D"/>
    <w:rsid w:val="004248DC"/>
    <w:rsid w:val="00480A77"/>
    <w:rsid w:val="004F4A4B"/>
    <w:rsid w:val="0050681C"/>
    <w:rsid w:val="00526E6B"/>
    <w:rsid w:val="005652C0"/>
    <w:rsid w:val="005B6269"/>
    <w:rsid w:val="005C6669"/>
    <w:rsid w:val="005E1ACE"/>
    <w:rsid w:val="00610AB2"/>
    <w:rsid w:val="006240CC"/>
    <w:rsid w:val="006417DF"/>
    <w:rsid w:val="00691D3B"/>
    <w:rsid w:val="006B4086"/>
    <w:rsid w:val="006D007C"/>
    <w:rsid w:val="006E4C93"/>
    <w:rsid w:val="006E77DC"/>
    <w:rsid w:val="006F004B"/>
    <w:rsid w:val="00710AE0"/>
    <w:rsid w:val="00720B1A"/>
    <w:rsid w:val="00756EC2"/>
    <w:rsid w:val="00795748"/>
    <w:rsid w:val="007A3211"/>
    <w:rsid w:val="007F254A"/>
    <w:rsid w:val="00814782"/>
    <w:rsid w:val="00865220"/>
    <w:rsid w:val="008723B2"/>
    <w:rsid w:val="008A04C3"/>
    <w:rsid w:val="008B2E42"/>
    <w:rsid w:val="008D2F6B"/>
    <w:rsid w:val="008D4B8A"/>
    <w:rsid w:val="00941726"/>
    <w:rsid w:val="00943C32"/>
    <w:rsid w:val="009571FB"/>
    <w:rsid w:val="00975D4B"/>
    <w:rsid w:val="00986E0F"/>
    <w:rsid w:val="009A6013"/>
    <w:rsid w:val="009E711E"/>
    <w:rsid w:val="00A06D92"/>
    <w:rsid w:val="00A2749B"/>
    <w:rsid w:val="00AA74D2"/>
    <w:rsid w:val="00AD0703"/>
    <w:rsid w:val="00B0167A"/>
    <w:rsid w:val="00B5256A"/>
    <w:rsid w:val="00BA2BF8"/>
    <w:rsid w:val="00BA5557"/>
    <w:rsid w:val="00BC2999"/>
    <w:rsid w:val="00C16948"/>
    <w:rsid w:val="00C24F80"/>
    <w:rsid w:val="00C36D30"/>
    <w:rsid w:val="00C51493"/>
    <w:rsid w:val="00C71E11"/>
    <w:rsid w:val="00CE2A15"/>
    <w:rsid w:val="00D470B6"/>
    <w:rsid w:val="00D64940"/>
    <w:rsid w:val="00DE31A8"/>
    <w:rsid w:val="00DE6230"/>
    <w:rsid w:val="00E1376C"/>
    <w:rsid w:val="00E17DC6"/>
    <w:rsid w:val="00E33EC9"/>
    <w:rsid w:val="00E40BCC"/>
    <w:rsid w:val="00E6222A"/>
    <w:rsid w:val="00E859B4"/>
    <w:rsid w:val="00ED08C5"/>
    <w:rsid w:val="00ED4E38"/>
    <w:rsid w:val="00F02BF5"/>
    <w:rsid w:val="00F05CB4"/>
    <w:rsid w:val="00F168ED"/>
    <w:rsid w:val="00F2717F"/>
    <w:rsid w:val="00F60723"/>
    <w:rsid w:val="00F62F92"/>
    <w:rsid w:val="00FB79F0"/>
    <w:rsid w:val="00FE74D2"/>
    <w:rsid w:val="00FF5C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DD85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669"/>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C71E11"/>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9E711E"/>
    <w:pPr>
      <w:keepNext/>
      <w:keepLines/>
      <w:spacing w:before="160" w:after="80"/>
      <w:outlineLvl w:val="1"/>
    </w:pPr>
    <w:rPr>
      <w:rFonts w:eastAsiaTheme="majorEastAsia" w:cstheme="majorBidi"/>
      <w:b/>
      <w:sz w:val="26"/>
      <w:szCs w:val="32"/>
      <w:lang w:val="en-US"/>
    </w:rPr>
  </w:style>
  <w:style w:type="paragraph" w:styleId="Heading3">
    <w:name w:val="heading 3"/>
    <w:basedOn w:val="Normal"/>
    <w:next w:val="Normal"/>
    <w:link w:val="Heading3Char"/>
    <w:uiPriority w:val="9"/>
    <w:semiHidden/>
    <w:unhideWhenUsed/>
    <w:qFormat/>
    <w:rsid w:val="006240C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40C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240C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240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40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40C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40C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E1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9E711E"/>
    <w:rPr>
      <w:rFonts w:ascii="Arial" w:eastAsiaTheme="majorEastAsia" w:hAnsi="Arial" w:cstheme="majorBidi"/>
      <w:b/>
      <w:sz w:val="26"/>
      <w:szCs w:val="32"/>
      <w:lang w:val="en-US"/>
    </w:rPr>
  </w:style>
  <w:style w:type="character" w:customStyle="1" w:styleId="Heading3Char">
    <w:name w:val="Heading 3 Char"/>
    <w:basedOn w:val="DefaultParagraphFont"/>
    <w:link w:val="Heading3"/>
    <w:uiPriority w:val="9"/>
    <w:semiHidden/>
    <w:rsid w:val="006240C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240C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240C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240C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240C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240C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240C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240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0C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240C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0C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240CC"/>
    <w:pPr>
      <w:spacing w:before="160"/>
      <w:jc w:val="center"/>
    </w:pPr>
    <w:rPr>
      <w:i/>
      <w:iCs/>
      <w:color w:val="404040" w:themeColor="text1" w:themeTint="BF"/>
    </w:rPr>
  </w:style>
  <w:style w:type="character" w:customStyle="1" w:styleId="QuoteChar">
    <w:name w:val="Quote Char"/>
    <w:basedOn w:val="DefaultParagraphFont"/>
    <w:link w:val="Quote"/>
    <w:uiPriority w:val="29"/>
    <w:rsid w:val="006240CC"/>
    <w:rPr>
      <w:rFonts w:ascii="Times New Roman" w:hAnsi="Times New Roman"/>
      <w:i/>
      <w:iCs/>
      <w:color w:val="404040" w:themeColor="text1" w:themeTint="BF"/>
      <w:lang w:val="en-GB"/>
    </w:rPr>
  </w:style>
  <w:style w:type="paragraph" w:styleId="ListParagraph">
    <w:name w:val="List Paragraph"/>
    <w:basedOn w:val="Normal"/>
    <w:uiPriority w:val="34"/>
    <w:qFormat/>
    <w:rsid w:val="006240CC"/>
    <w:pPr>
      <w:ind w:left="720"/>
      <w:contextualSpacing/>
    </w:pPr>
  </w:style>
  <w:style w:type="character" w:styleId="IntenseEmphasis">
    <w:name w:val="Intense Emphasis"/>
    <w:basedOn w:val="DefaultParagraphFont"/>
    <w:uiPriority w:val="21"/>
    <w:qFormat/>
    <w:rsid w:val="006240CC"/>
    <w:rPr>
      <w:i/>
      <w:iCs/>
      <w:color w:val="2F5496" w:themeColor="accent1" w:themeShade="BF"/>
    </w:rPr>
  </w:style>
  <w:style w:type="paragraph" w:styleId="IntenseQuote">
    <w:name w:val="Intense Quote"/>
    <w:basedOn w:val="Normal"/>
    <w:next w:val="Normal"/>
    <w:link w:val="IntenseQuoteChar"/>
    <w:uiPriority w:val="30"/>
    <w:qFormat/>
    <w:rsid w:val="006240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40CC"/>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6240CC"/>
    <w:rPr>
      <w:b/>
      <w:bCs/>
      <w:smallCaps/>
      <w:color w:val="2F5496" w:themeColor="accent1" w:themeShade="BF"/>
      <w:spacing w:val="5"/>
    </w:rPr>
  </w:style>
  <w:style w:type="table" w:styleId="TableGrid">
    <w:name w:val="Table Grid"/>
    <w:basedOn w:val="TableNormal"/>
    <w:uiPriority w:val="39"/>
    <w:rsid w:val="00ED4E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5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557"/>
    <w:rPr>
      <w:rFonts w:ascii="Arial" w:hAnsi="Arial"/>
      <w:sz w:val="22"/>
      <w:lang w:val="en-GB"/>
    </w:rPr>
  </w:style>
  <w:style w:type="paragraph" w:styleId="Footer">
    <w:name w:val="footer"/>
    <w:basedOn w:val="Normal"/>
    <w:link w:val="FooterChar"/>
    <w:uiPriority w:val="99"/>
    <w:unhideWhenUsed/>
    <w:rsid w:val="00BA5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557"/>
    <w:rPr>
      <w:rFonts w:ascii="Arial" w:hAnsi="Arial"/>
      <w:sz w:val="22"/>
      <w:lang w:val="en-GB"/>
    </w:rPr>
  </w:style>
  <w:style w:type="character" w:styleId="Hyperlink">
    <w:name w:val="Hyperlink"/>
    <w:basedOn w:val="DefaultParagraphFont"/>
    <w:uiPriority w:val="99"/>
    <w:unhideWhenUsed/>
    <w:rsid w:val="00BA5557"/>
    <w:rPr>
      <w:color w:val="0563C1" w:themeColor="hyperlink"/>
      <w:u w:val="single"/>
    </w:rPr>
  </w:style>
  <w:style w:type="paragraph" w:styleId="Revision">
    <w:name w:val="Revision"/>
    <w:hidden/>
    <w:uiPriority w:val="99"/>
    <w:semiHidden/>
    <w:rsid w:val="00E40BCC"/>
    <w:pPr>
      <w:spacing w:after="0" w:line="240" w:lineRule="auto"/>
    </w:pPr>
    <w:rPr>
      <w:rFonts w:ascii="Arial" w:hAnsi="Arial"/>
      <w:sz w:val="22"/>
      <w:lang w:val="en-GB"/>
    </w:rPr>
  </w:style>
  <w:style w:type="paragraph" w:styleId="TOCHeading">
    <w:name w:val="TOC Heading"/>
    <w:basedOn w:val="Heading1"/>
    <w:next w:val="Normal"/>
    <w:uiPriority w:val="39"/>
    <w:unhideWhenUsed/>
    <w:qFormat/>
    <w:rsid w:val="00416F7D"/>
    <w:pPr>
      <w:spacing w:before="240" w:after="0" w:line="259" w:lineRule="auto"/>
      <w:jc w:val="left"/>
      <w:outlineLvl w:val="9"/>
    </w:pPr>
    <w:rPr>
      <w:rFonts w:asciiTheme="majorHAnsi" w:hAnsiTheme="majorHAnsi"/>
      <w:b w:val="0"/>
      <w:color w:val="2F5496" w:themeColor="accent1" w:themeShade="BF"/>
      <w:kern w:val="0"/>
      <w:sz w:val="32"/>
      <w:szCs w:val="32"/>
      <w:lang w:eastAsia="en-GB"/>
      <w14:ligatures w14:val="none"/>
    </w:rPr>
  </w:style>
  <w:style w:type="paragraph" w:styleId="TOC1">
    <w:name w:val="toc 1"/>
    <w:basedOn w:val="Normal"/>
    <w:next w:val="Normal"/>
    <w:autoRedefine/>
    <w:uiPriority w:val="39"/>
    <w:unhideWhenUsed/>
    <w:rsid w:val="00416F7D"/>
    <w:pPr>
      <w:spacing w:after="100"/>
    </w:pPr>
  </w:style>
  <w:style w:type="paragraph" w:styleId="TOC2">
    <w:name w:val="toc 2"/>
    <w:basedOn w:val="Normal"/>
    <w:next w:val="Normal"/>
    <w:autoRedefine/>
    <w:uiPriority w:val="39"/>
    <w:unhideWhenUsed/>
    <w:rsid w:val="00416F7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07/978-3-031-89444-2_104" TargetMode="External"/><Relationship Id="rId2" Type="http://schemas.openxmlformats.org/officeDocument/2006/relationships/numbering" Target="numbering.xml"/><Relationship Id="rId16" Type="http://schemas.openxmlformats.org/officeDocument/2006/relationships/hyperlink" Target="https://doi.org/10.3390/su1511892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80/23251042.2021.2021604"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149C2-E1EC-48E1-BD03-7A089697F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3384</Words>
  <Characters>19295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2026-07-14T06:11:00Z</dcterms:created>
  <dcterms:modified xsi:type="dcterms:W3CDTF">2026-07-17T09:54:00Z</dcterms:modified>
</cp:coreProperties>
</file>