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59003996"/>
        <w:docPartObj>
          <w:docPartGallery w:val="Cover Pages"/>
          <w:docPartUnique/>
        </w:docPartObj>
      </w:sdtPr>
      <w:sdtEndPr>
        <w:rPr>
          <w:rFonts w:ascii="Times New Roman" w:eastAsia="Times New Roman" w:hAnsi="Times New Roman" w:cs="Times New Roman"/>
          <w:b/>
          <w:bCs/>
          <w:sz w:val="28"/>
          <w:szCs w:val="28"/>
          <w:u w:val="single"/>
        </w:rPr>
      </w:sdtEndPr>
      <w:sdtContent>
        <w:p w14:paraId="6F48AEAD" w14:textId="77777777" w:rsidR="003510A9" w:rsidRDefault="00BA465F">
          <w:r>
            <w:rPr>
              <w:noProof/>
            </w:rPr>
            <mc:AlternateContent>
              <mc:Choice Requires="wpg">
                <w:drawing>
                  <wp:anchor distT="0" distB="0" distL="114300" distR="114300" simplePos="0" relativeHeight="251658240" behindDoc="1" locked="0" layoutInCell="1" allowOverlap="1" wp14:anchorId="061870D5" wp14:editId="72AD3CF2">
                    <wp:simplePos x="0" y="0"/>
                    <wp:positionH relativeFrom="page">
                      <wp:align>center</wp:align>
                    </wp:positionH>
                    <wp:positionV relativeFrom="page">
                      <wp:align>center</wp:align>
                    </wp:positionV>
                    <wp:extent cx="6665653" cy="9718511"/>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665653" cy="9718511"/>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rotWithShape="1">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B07F823" w14:textId="77777777" w:rsidR="003510A9" w:rsidRDefault="003510A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wps:bodyPr>
                            </wps:wsp>
                            <wpg:grpSp>
                              <wpg:cNvPr id="55" name="Group 2"/>
                              <wpg:cNvGrpSpPr/>
                              <wpg:grpSpPr>
                                <a:xfrm>
                                  <a:off x="2524125" y="0"/>
                                  <a:ext cx="4329113" cy="4491038"/>
                                  <a:chOff x="0" y="0"/>
                                  <a:chExt cx="4329113" cy="4491038"/>
                                </a:xfrm>
                                <a:solidFill>
                                  <a:schemeClr val="bg1"/>
                                </a:solidFill>
                              </wpg:grpSpPr>
                              <wps:wsp>
                                <wps:cNvPr id="56" name="Freeform 56"/>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276FDD5D" w14:textId="77777777" w:rsidR="003510A9" w:rsidRDefault="00BA465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w:t>
                                      </w:r>
                                    </w:p>
                                  </w:sdtContent>
                                </w:sdt>
                                <w:sdt>
                                  <w:sdtPr>
                                    <w:rPr>
                                      <w:sz w:val="36"/>
                                      <w:szCs w:val="36"/>
                                    </w:rPr>
                                    <w:alias w:val="Subtitle"/>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98C0524" w14:textId="77777777" w:rsidR="003510A9" w:rsidRDefault="00BA465F">
                                      <w:pPr>
                                        <w:pStyle w:val="NoSpacing"/>
                                        <w:spacing w:before="120"/>
                                        <w:rPr>
                                          <w:color w:val="4472C4" w:themeColor="accent1"/>
                                          <w:sz w:val="36"/>
                                          <w:szCs w:val="36"/>
                                        </w:rPr>
                                      </w:pPr>
                                      <w:r w:rsidRPr="00270247">
                                        <w:rPr>
                                          <w:sz w:val="36"/>
                                          <w:szCs w:val="36"/>
                                        </w:rPr>
                                        <w:t xml:space="preserve">By </w:t>
                                      </w:r>
                                      <w:r>
                                        <w:rPr>
                                          <w:sz w:val="36"/>
                                          <w:szCs w:val="36"/>
                                        </w:rPr>
                                        <w:t>Aissa Laameche 1908274</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061870D5" id="Group 48" o:spid="_x0000_s1026" style="position:absolute;margin-left:0;margin-top:0;width:524.85pt;height:765.25pt;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" fillcolor="#485870 [3122]" stroked="f" strokeweight="1pt">
                        <v:fill color2="#3d4b5f [2882]" rotate="t" angle="348" colors="0 #88acbb;6554f #88acbb" focus="100%" type="gradient"/>
                        <v:textbox inset="54pt,54pt,1in,5in">
                          <w:txbxContent>
                            <w:p w14:paraId="7B07F823" w14:textId="77777777" w:rsidR="003510A9" w:rsidRDefault="003510A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276FDD5D" w14:textId="77777777" w:rsidR="003510A9" w:rsidRDefault="00BA465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w:t>
                                </w:r>
                              </w:p>
                            </w:sdtContent>
                          </w:sdt>
                          <w:sdt>
                            <w:sdtPr>
                              <w:rPr>
                                <w:sz w:val="36"/>
                                <w:szCs w:val="36"/>
                              </w:rPr>
                              <w:alias w:val="Subtitle"/>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98C0524" w14:textId="77777777" w:rsidR="003510A9" w:rsidRDefault="00BA465F">
                                <w:pPr>
                                  <w:pStyle w:val="NoSpacing"/>
                                  <w:spacing w:before="120"/>
                                  <w:rPr>
                                    <w:color w:val="4472C4" w:themeColor="accent1"/>
                                    <w:sz w:val="36"/>
                                    <w:szCs w:val="36"/>
                                  </w:rPr>
                                </w:pPr>
                                <w:r w:rsidRPr="00270247">
                                  <w:rPr>
                                    <w:sz w:val="36"/>
                                    <w:szCs w:val="36"/>
                                  </w:rPr>
                                  <w:t xml:space="preserve">By </w:t>
                                </w:r>
                                <w:r>
                                  <w:rPr>
                                    <w:sz w:val="36"/>
                                    <w:szCs w:val="36"/>
                                  </w:rPr>
                                  <w:t>Aissa Laameche 1908274</w:t>
                                </w:r>
                              </w:p>
                            </w:sdtContent>
                          </w:sdt>
                        </w:txbxContent>
                      </v:textbox>
                    </v:shape>
                    <w10:wrap anchorx="page" anchory="page"/>
                  </v:group>
                </w:pict>
              </mc:Fallback>
            </mc:AlternateContent>
          </w:r>
        </w:p>
        <w:p w14:paraId="526205C1" w14:textId="77777777" w:rsidR="003510A9" w:rsidRDefault="00BA465F">
          <w:pPr>
            <w:spacing w:after="160" w:line="259" w:lineRule="auto"/>
            <w:rPr>
              <w:rFonts w:ascii="Times New Roman" w:eastAsia="Times New Roman" w:hAnsi="Times New Roman" w:cs="Times New Roman"/>
              <w:b/>
              <w:bCs/>
              <w:sz w:val="28"/>
              <w:szCs w:val="28"/>
              <w:u w:val="single"/>
            </w:rPr>
          </w:pPr>
          <w:r>
            <w:rPr>
              <w:rFonts w:ascii="Times New Roman" w:eastAsia="Times New Roman" w:hAnsi="Times New Roman" w:cs="Times New Roman"/>
              <w:b/>
              <w:bCs/>
              <w:sz w:val="28"/>
              <w:szCs w:val="28"/>
              <w:u w:val="single"/>
            </w:rPr>
            <w:br w:type="page"/>
          </w:r>
        </w:p>
      </w:sdtContent>
    </w:sdt>
    <w:p w14:paraId="15838DF7" w14:textId="5CA0FA0F" w:rsidR="003B3CD7" w:rsidRPr="00871F17" w:rsidRDefault="00BA465F" w:rsidP="003B3CD7">
      <w:pPr>
        <w:spacing w:line="480" w:lineRule="auto"/>
        <w:jc w:val="both"/>
        <w:rPr>
          <w:rFonts w:ascii="Times New Roman" w:hAnsi="Times New Roman" w:cs="Times New Roman"/>
          <w:b/>
          <w:bCs/>
          <w:sz w:val="24"/>
          <w:szCs w:val="24"/>
        </w:rPr>
      </w:pPr>
      <w:r w:rsidRPr="00871F17">
        <w:rPr>
          <w:rFonts w:ascii="Times New Roman" w:hAnsi="Times New Roman" w:cs="Times New Roman"/>
          <w:b/>
          <w:bCs/>
          <w:sz w:val="24"/>
          <w:szCs w:val="24"/>
        </w:rPr>
        <w:lastRenderedPageBreak/>
        <w:t xml:space="preserve">Question 1 </w:t>
      </w:r>
    </w:p>
    <w:p w14:paraId="72E9EFD4" w14:textId="77777777" w:rsidR="003B3CD7" w:rsidRDefault="00BA465F" w:rsidP="003B3CD7">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sz w:val="24"/>
          <w:szCs w:val="24"/>
        </w:rPr>
        <w:t xml:space="preserve"> contract refers to an agreement that gives rise to obligations that are enforceable by the law. A contract is only enforceable when all essential elements of a contract have been satisfied. A valid contract has five essential elements that are: offer, acc</w:t>
      </w:r>
      <w:r>
        <w:rPr>
          <w:rFonts w:ascii="Times New Roman" w:hAnsi="Times New Roman" w:cs="Times New Roman"/>
          <w:sz w:val="24"/>
          <w:szCs w:val="24"/>
        </w:rPr>
        <w:t xml:space="preserve">eptance, consideration, intention to establish legal relations, and form of a contract. An offer regards an expression indicating a person's willingness to contract on specified terms made to be bound upon acceptance by the person to whom it is addressed. </w:t>
      </w:r>
      <w:r>
        <w:rPr>
          <w:rFonts w:ascii="Times New Roman" w:hAnsi="Times New Roman" w:cs="Times New Roman"/>
          <w:sz w:val="24"/>
          <w:szCs w:val="24"/>
        </w:rPr>
        <w:t xml:space="preserve">The offeror must indicate the intention to be bound by the offer upon acceptance by the other party. This was the position in </w:t>
      </w:r>
      <w:bookmarkStart w:id="0" w:name="_Hlk65847082"/>
      <w:r w:rsidRPr="00910E63">
        <w:rPr>
          <w:rFonts w:ascii="Times New Roman" w:hAnsi="Times New Roman" w:cs="Times New Roman"/>
          <w:i/>
          <w:sz w:val="24"/>
          <w:szCs w:val="24"/>
        </w:rPr>
        <w:t>Carlill v Carbolic Smoke Ball Company [1893].</w:t>
      </w:r>
      <w:bookmarkEnd w:id="0"/>
      <w:r w:rsidRPr="00910E63">
        <w:rPr>
          <w:rFonts w:ascii="Times New Roman" w:hAnsi="Times New Roman" w:cs="Times New Roman"/>
          <w:i/>
          <w:sz w:val="24"/>
          <w:szCs w:val="24"/>
        </w:rPr>
        <w:t xml:space="preserve"> </w:t>
      </w:r>
      <w:r>
        <w:rPr>
          <w:rFonts w:ascii="Times New Roman" w:hAnsi="Times New Roman" w:cs="Times New Roman"/>
          <w:sz w:val="24"/>
          <w:szCs w:val="24"/>
        </w:rPr>
        <w:t xml:space="preserve">The facts are that a medical firm advertised its new drug, ‘carbolic smoke ball’ to </w:t>
      </w:r>
      <w:r>
        <w:rPr>
          <w:rFonts w:ascii="Times New Roman" w:hAnsi="Times New Roman" w:cs="Times New Roman"/>
          <w:sz w:val="24"/>
          <w:szCs w:val="24"/>
        </w:rPr>
        <w:t xml:space="preserve">cure flu, and if it failed, buyers would be awarded £100. Upon suit, Carbolic argued that the advert was not to be considered as a legally binding offer. Nevertheless, the court held that the advertisement was an offer as an intention to be bound could be </w:t>
      </w:r>
      <w:r>
        <w:rPr>
          <w:rFonts w:ascii="Times New Roman" w:hAnsi="Times New Roman" w:cs="Times New Roman"/>
          <w:sz w:val="24"/>
          <w:szCs w:val="24"/>
        </w:rPr>
        <w:t xml:space="preserve">inferred from the statement that the company had deposited </w:t>
      </w:r>
      <w:r w:rsidR="00BD00AF">
        <w:rPr>
          <w:rFonts w:ascii="Times New Roman" w:hAnsi="Times New Roman" w:cs="Times New Roman"/>
          <w:sz w:val="24"/>
          <w:szCs w:val="24"/>
        </w:rPr>
        <w:t>£</w:t>
      </w:r>
      <w:r>
        <w:rPr>
          <w:rFonts w:ascii="Times New Roman" w:hAnsi="Times New Roman" w:cs="Times New Roman"/>
          <w:sz w:val="24"/>
          <w:szCs w:val="24"/>
        </w:rPr>
        <w:t xml:space="preserve">1000 in their bank “showing customer’s sincerity.” </w:t>
      </w:r>
    </w:p>
    <w:p w14:paraId="13A29393" w14:textId="77777777" w:rsidR="003B3CD7" w:rsidRDefault="00BA465F" w:rsidP="003B3CD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Besides, an offer may be revoked at any time before acceptance. Nevertheless, </w:t>
      </w:r>
      <w:bookmarkStart w:id="1" w:name="_Hlk65847395"/>
      <w:r>
        <w:rPr>
          <w:rFonts w:ascii="Times New Roman" w:hAnsi="Times New Roman" w:cs="Times New Roman"/>
          <w:sz w:val="24"/>
          <w:szCs w:val="24"/>
        </w:rPr>
        <w:t xml:space="preserve">the same should be communicated to the offeree in </w:t>
      </w:r>
      <w:r w:rsidRPr="00563962">
        <w:rPr>
          <w:rFonts w:ascii="Times New Roman" w:hAnsi="Times New Roman" w:cs="Times New Roman"/>
          <w:i/>
          <w:sz w:val="24"/>
          <w:szCs w:val="24"/>
        </w:rPr>
        <w:t>Payne v Cave [17</w:t>
      </w:r>
      <w:r w:rsidRPr="00563962">
        <w:rPr>
          <w:rFonts w:ascii="Times New Roman" w:hAnsi="Times New Roman" w:cs="Times New Roman"/>
          <w:i/>
          <w:sz w:val="24"/>
          <w:szCs w:val="24"/>
        </w:rPr>
        <w:t>89]</w:t>
      </w:r>
      <w:r>
        <w:rPr>
          <w:rFonts w:ascii="Times New Roman" w:hAnsi="Times New Roman" w:cs="Times New Roman"/>
          <w:sz w:val="24"/>
          <w:szCs w:val="24"/>
        </w:rPr>
        <w:t xml:space="preserve">. </w:t>
      </w:r>
      <w:bookmarkEnd w:id="1"/>
      <w:r>
        <w:rPr>
          <w:rFonts w:ascii="Times New Roman" w:hAnsi="Times New Roman" w:cs="Times New Roman"/>
          <w:sz w:val="24"/>
          <w:szCs w:val="24"/>
        </w:rPr>
        <w:t xml:space="preserve">If not communicated, the revocation is ineffective, as was determined in </w:t>
      </w:r>
      <w:r w:rsidRPr="004D045E">
        <w:rPr>
          <w:rFonts w:ascii="Times New Roman" w:hAnsi="Times New Roman" w:cs="Times New Roman"/>
          <w:i/>
          <w:sz w:val="24"/>
          <w:szCs w:val="24"/>
        </w:rPr>
        <w:t>Byrne v Van Tienhoven [1880]</w:t>
      </w:r>
      <w:r>
        <w:rPr>
          <w:rFonts w:ascii="Times New Roman" w:hAnsi="Times New Roman" w:cs="Times New Roman"/>
          <w:sz w:val="24"/>
          <w:szCs w:val="24"/>
        </w:rPr>
        <w:t>.  The communication need not be communicated by the offeror personally as a reliable 3rd party can do the same. Communication ceases to take effect a</w:t>
      </w:r>
      <w:r>
        <w:rPr>
          <w:rFonts w:ascii="Times New Roman" w:hAnsi="Times New Roman" w:cs="Times New Roman"/>
          <w:sz w:val="24"/>
          <w:szCs w:val="24"/>
        </w:rPr>
        <w:t xml:space="preserve">s an acceptance where it attempts to vary the offer's terms as this amounts to a </w:t>
      </w:r>
      <w:r w:rsidR="007B0CDD">
        <w:rPr>
          <w:rFonts w:ascii="Times New Roman" w:hAnsi="Times New Roman" w:cs="Times New Roman"/>
          <w:sz w:val="24"/>
          <w:szCs w:val="24"/>
        </w:rPr>
        <w:t>counte</w:t>
      </w:r>
      <w:r w:rsidR="00BD00AF">
        <w:rPr>
          <w:rFonts w:ascii="Times New Roman" w:hAnsi="Times New Roman" w:cs="Times New Roman"/>
          <w:sz w:val="24"/>
          <w:szCs w:val="24"/>
        </w:rPr>
        <w:t>r-</w:t>
      </w:r>
      <w:r w:rsidR="007B0CDD">
        <w:rPr>
          <w:rFonts w:ascii="Times New Roman" w:hAnsi="Times New Roman" w:cs="Times New Roman"/>
          <w:sz w:val="24"/>
          <w:szCs w:val="24"/>
        </w:rPr>
        <w:t>offer</w:t>
      </w:r>
      <w:r>
        <w:rPr>
          <w:rFonts w:ascii="Times New Roman" w:hAnsi="Times New Roman" w:cs="Times New Roman"/>
          <w:sz w:val="24"/>
          <w:szCs w:val="24"/>
        </w:rPr>
        <w:t>. A counter-offer</w:t>
      </w:r>
      <w:r>
        <w:rPr>
          <w:rFonts w:ascii="Times New Roman" w:hAnsi="Times New Roman" w:cs="Times New Roman"/>
          <w:sz w:val="24"/>
          <w:szCs w:val="24"/>
        </w:rPr>
        <w:t xml:space="preserve"> is regarded as a rejection of the initial offer and cannot be restored or accepted as in </w:t>
      </w:r>
      <w:r w:rsidRPr="00C33F13">
        <w:rPr>
          <w:rFonts w:ascii="Times New Roman" w:hAnsi="Times New Roman" w:cs="Times New Roman"/>
          <w:i/>
          <w:sz w:val="24"/>
          <w:szCs w:val="24"/>
        </w:rPr>
        <w:t>Hyde v Wrench [1840]</w:t>
      </w:r>
      <w:r>
        <w:rPr>
          <w:rFonts w:ascii="Times New Roman" w:hAnsi="Times New Roman" w:cs="Times New Roman"/>
          <w:i/>
          <w:sz w:val="24"/>
          <w:szCs w:val="24"/>
        </w:rPr>
        <w:t xml:space="preserve"> </w:t>
      </w:r>
      <w:r>
        <w:rPr>
          <w:rFonts w:ascii="Times New Roman" w:hAnsi="Times New Roman" w:cs="Times New Roman"/>
          <w:sz w:val="24"/>
          <w:szCs w:val="24"/>
        </w:rPr>
        <w:t xml:space="preserve">unless parties agree otherwise. On the other hand, an offer cannot be rejected once the performance of the same has commenced. In </w:t>
      </w:r>
      <w:r w:rsidRPr="00E77410">
        <w:rPr>
          <w:rFonts w:ascii="Times New Roman" w:hAnsi="Times New Roman" w:cs="Times New Roman"/>
          <w:i/>
          <w:iCs/>
          <w:sz w:val="24"/>
          <w:szCs w:val="24"/>
        </w:rPr>
        <w:t>Errington v Err</w:t>
      </w:r>
      <w:r w:rsidRPr="00E77410">
        <w:rPr>
          <w:rFonts w:ascii="Times New Roman" w:hAnsi="Times New Roman" w:cs="Times New Roman"/>
          <w:i/>
          <w:iCs/>
          <w:sz w:val="24"/>
          <w:szCs w:val="24"/>
        </w:rPr>
        <w:t>ington [1952]</w:t>
      </w:r>
      <w:r>
        <w:rPr>
          <w:rFonts w:ascii="Times New Roman" w:hAnsi="Times New Roman" w:cs="Times New Roman"/>
          <w:i/>
          <w:iCs/>
          <w:sz w:val="24"/>
          <w:szCs w:val="24"/>
        </w:rPr>
        <w:t>,</w:t>
      </w:r>
      <w:r>
        <w:rPr>
          <w:rFonts w:ascii="Times New Roman" w:hAnsi="Times New Roman" w:cs="Times New Roman"/>
          <w:sz w:val="24"/>
          <w:szCs w:val="24"/>
        </w:rPr>
        <w:t xml:space="preserve"> the wife was justified to remain in the house considering that she was in the course of performing the acceptance of the offer. Also, an offer cannot be accepted were time for it has lapsed. In </w:t>
      </w:r>
      <w:r w:rsidRPr="00C564E9">
        <w:rPr>
          <w:rFonts w:ascii="Times New Roman" w:hAnsi="Times New Roman" w:cs="Times New Roman"/>
          <w:i/>
          <w:iCs/>
          <w:sz w:val="24"/>
          <w:szCs w:val="24"/>
        </w:rPr>
        <w:t>Victoria Hotel v Montefiore</w:t>
      </w:r>
      <w:r>
        <w:rPr>
          <w:rFonts w:ascii="Times New Roman" w:hAnsi="Times New Roman" w:cs="Times New Roman"/>
          <w:sz w:val="24"/>
          <w:szCs w:val="24"/>
        </w:rPr>
        <w:t xml:space="preserve"> </w:t>
      </w:r>
      <w:r w:rsidRPr="00C564E9">
        <w:rPr>
          <w:rFonts w:ascii="Times New Roman" w:hAnsi="Times New Roman" w:cs="Times New Roman"/>
          <w:i/>
          <w:iCs/>
          <w:sz w:val="24"/>
          <w:szCs w:val="24"/>
        </w:rPr>
        <w:t>[1866]</w:t>
      </w:r>
      <w:r>
        <w:rPr>
          <w:rFonts w:ascii="Times New Roman" w:hAnsi="Times New Roman" w:cs="Times New Roman"/>
          <w:sz w:val="24"/>
          <w:szCs w:val="24"/>
        </w:rPr>
        <w:t>,  Victoria</w:t>
      </w:r>
      <w:r w:rsidR="005F6F3C">
        <w:rPr>
          <w:rFonts w:ascii="Times New Roman" w:hAnsi="Times New Roman" w:cs="Times New Roman"/>
          <w:sz w:val="24"/>
          <w:szCs w:val="24"/>
        </w:rPr>
        <w:t xml:space="preserve"> Hotel </w:t>
      </w:r>
      <w:r>
        <w:rPr>
          <w:rFonts w:ascii="Times New Roman" w:hAnsi="Times New Roman" w:cs="Times New Roman"/>
          <w:sz w:val="24"/>
          <w:szCs w:val="24"/>
        </w:rPr>
        <w:t>action for specific performance was not successful</w:t>
      </w:r>
      <w:r w:rsidR="00602FBB">
        <w:rPr>
          <w:rFonts w:ascii="Times New Roman" w:hAnsi="Times New Roman" w:cs="Times New Roman"/>
          <w:sz w:val="24"/>
          <w:szCs w:val="24"/>
        </w:rPr>
        <w:t>.</w:t>
      </w:r>
    </w:p>
    <w:p w14:paraId="5F04361B" w14:textId="77777777" w:rsidR="009915E2" w:rsidRDefault="00BA465F" w:rsidP="009915E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 Acceptance refers to a final and </w:t>
      </w:r>
      <w:bookmarkStart w:id="2" w:name="_Hlk65847241"/>
      <w:r>
        <w:rPr>
          <w:rFonts w:ascii="Times New Roman" w:hAnsi="Times New Roman" w:cs="Times New Roman"/>
          <w:sz w:val="24"/>
          <w:szCs w:val="24"/>
        </w:rPr>
        <w:t xml:space="preserve">unqualified expression of consent to the terms of a contract. </w:t>
      </w:r>
      <w:bookmarkEnd w:id="2"/>
      <w:r>
        <w:rPr>
          <w:rFonts w:ascii="Times New Roman" w:hAnsi="Times New Roman" w:cs="Times New Roman"/>
          <w:sz w:val="24"/>
          <w:szCs w:val="24"/>
        </w:rPr>
        <w:t>Like an offer, it should indicate an intention to be bound by its terms. It should be accepted accord</w:t>
      </w:r>
      <w:r>
        <w:rPr>
          <w:rFonts w:ascii="Times New Roman" w:hAnsi="Times New Roman" w:cs="Times New Roman"/>
          <w:sz w:val="24"/>
          <w:szCs w:val="24"/>
        </w:rPr>
        <w:t xml:space="preserve">ing to its specific terms. Acceptance can occur through conduct as was established in </w:t>
      </w:r>
      <w:r w:rsidRPr="001B46C8">
        <w:rPr>
          <w:rFonts w:ascii="Times New Roman" w:hAnsi="Times New Roman" w:cs="Times New Roman"/>
          <w:i/>
          <w:sz w:val="24"/>
          <w:szCs w:val="24"/>
        </w:rPr>
        <w:t>Brogden v Metropolitan [1887]</w:t>
      </w:r>
      <w:r>
        <w:rPr>
          <w:rFonts w:ascii="Times New Roman" w:hAnsi="Times New Roman" w:cs="Times New Roman"/>
          <w:i/>
          <w:sz w:val="24"/>
          <w:szCs w:val="24"/>
        </w:rPr>
        <w:t>,</w:t>
      </w:r>
      <w:r w:rsidRPr="001B46C8">
        <w:rPr>
          <w:rFonts w:ascii="Times New Roman" w:hAnsi="Times New Roman" w:cs="Times New Roman"/>
          <w:i/>
          <w:sz w:val="24"/>
          <w:szCs w:val="24"/>
        </w:rPr>
        <w:t xml:space="preserve"> </w:t>
      </w:r>
      <w:r>
        <w:rPr>
          <w:rFonts w:ascii="Times New Roman" w:hAnsi="Times New Roman" w:cs="Times New Roman"/>
          <w:sz w:val="24"/>
          <w:szCs w:val="24"/>
        </w:rPr>
        <w:t>where the House of Lords held that a valid contract was created between suppliers Brogden and Metropolitan Railway following the conduct of</w:t>
      </w:r>
      <w:r>
        <w:rPr>
          <w:rFonts w:ascii="Times New Roman" w:hAnsi="Times New Roman" w:cs="Times New Roman"/>
          <w:sz w:val="24"/>
          <w:szCs w:val="24"/>
        </w:rPr>
        <w:t xml:space="preserve"> the parties to amend the draft contract, which constituted a counter</w:t>
      </w:r>
      <w:r w:rsidR="00454D73">
        <w:rPr>
          <w:rFonts w:ascii="Times New Roman" w:hAnsi="Times New Roman" w:cs="Times New Roman"/>
          <w:sz w:val="24"/>
          <w:szCs w:val="24"/>
        </w:rPr>
        <w:t>-</w:t>
      </w:r>
      <w:r>
        <w:rPr>
          <w:rFonts w:ascii="Times New Roman" w:hAnsi="Times New Roman" w:cs="Times New Roman"/>
          <w:sz w:val="24"/>
          <w:szCs w:val="24"/>
        </w:rPr>
        <w:t xml:space="preserve">offer. </w:t>
      </w:r>
    </w:p>
    <w:p w14:paraId="3F9CA37E" w14:textId="77777777" w:rsidR="009915E2" w:rsidRDefault="00BA465F" w:rsidP="009915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Usually, an acceptance takes no legal effect until it has been communicated to the offeror, as it can bring about hardships to the offeror if he is not aware that his offer has </w:t>
      </w:r>
      <w:r>
        <w:rPr>
          <w:rFonts w:ascii="Times New Roman" w:hAnsi="Times New Roman" w:cs="Times New Roman"/>
          <w:sz w:val="24"/>
          <w:szCs w:val="24"/>
        </w:rPr>
        <w:t xml:space="preserve">been accepted. In </w:t>
      </w:r>
      <w:r w:rsidRPr="00C4512B">
        <w:rPr>
          <w:rFonts w:ascii="Times New Roman" w:hAnsi="Times New Roman" w:cs="Times New Roman"/>
          <w:i/>
          <w:iCs/>
          <w:sz w:val="24"/>
          <w:szCs w:val="24"/>
        </w:rPr>
        <w:t>Flethouse v Blindley [1862]</w:t>
      </w:r>
      <w:r>
        <w:rPr>
          <w:rFonts w:ascii="Times New Roman" w:hAnsi="Times New Roman" w:cs="Times New Roman"/>
          <w:sz w:val="24"/>
          <w:szCs w:val="24"/>
        </w:rPr>
        <w:t>, Felthouse</w:t>
      </w:r>
      <w:r>
        <w:rPr>
          <w:rFonts w:ascii="Times New Roman" w:hAnsi="Times New Roman" w:cs="Times New Roman"/>
          <w:sz w:val="24"/>
          <w:szCs w:val="24"/>
        </w:rPr>
        <w:t xml:space="preserve"> offered to buy a horse from his nephew, which he wrote to him stating his consideration. The nephew though intending to sell the house did not respond to the offer and sold the horse to another person. Upon suit, it was held that he did not accept it desp</w:t>
      </w:r>
      <w:r>
        <w:rPr>
          <w:rFonts w:ascii="Times New Roman" w:hAnsi="Times New Roman" w:cs="Times New Roman"/>
          <w:sz w:val="24"/>
          <w:szCs w:val="24"/>
        </w:rPr>
        <w:t xml:space="preserve">ite the intention to accept the offer.   </w:t>
      </w:r>
    </w:p>
    <w:p w14:paraId="7738F203" w14:textId="77777777" w:rsidR="003B3CD7" w:rsidRDefault="003B3CD7" w:rsidP="003B3CD7">
      <w:pPr>
        <w:spacing w:line="480" w:lineRule="auto"/>
        <w:jc w:val="both"/>
        <w:rPr>
          <w:rFonts w:ascii="Times New Roman" w:hAnsi="Times New Roman" w:cs="Times New Roman"/>
          <w:sz w:val="24"/>
          <w:szCs w:val="24"/>
        </w:rPr>
      </w:pPr>
    </w:p>
    <w:p w14:paraId="5EA943BD" w14:textId="77777777" w:rsidR="003B3CD7" w:rsidRDefault="00BA465F" w:rsidP="003B3CD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contract exists upon the establishment of the above essential elements. Therefore, according to the rule in </w:t>
      </w:r>
      <w:r>
        <w:rPr>
          <w:rFonts w:ascii="Times New Roman" w:hAnsi="Times New Roman" w:cs="Times New Roman"/>
          <w:i/>
          <w:iCs/>
          <w:sz w:val="24"/>
          <w:szCs w:val="24"/>
        </w:rPr>
        <w:t xml:space="preserve">Carbolic, </w:t>
      </w:r>
      <w:r>
        <w:rPr>
          <w:rFonts w:ascii="Times New Roman" w:hAnsi="Times New Roman" w:cs="Times New Roman"/>
          <w:sz w:val="24"/>
          <w:szCs w:val="24"/>
        </w:rPr>
        <w:t>Jack’s letter does not amount to an offer since his statement does not infer that the outline</w:t>
      </w:r>
      <w:r>
        <w:rPr>
          <w:rFonts w:ascii="Times New Roman" w:hAnsi="Times New Roman" w:cs="Times New Roman"/>
          <w:sz w:val="24"/>
          <w:szCs w:val="24"/>
        </w:rPr>
        <w:t xml:space="preserve">d terms will bind him. Since there is no offer, Kate’s reply cannot be considered as an acceptance. Jack did not indicate any intention to be bound, thus disqualifying it as a contract regarding the intention to create a legal contract. For consideration, </w:t>
      </w:r>
      <w:r>
        <w:rPr>
          <w:rFonts w:ascii="Times New Roman" w:hAnsi="Times New Roman" w:cs="Times New Roman"/>
          <w:sz w:val="24"/>
          <w:szCs w:val="24"/>
        </w:rPr>
        <w:t xml:space="preserve">although it is present, the other missing essential factors disqualify it as a contract. </w:t>
      </w:r>
    </w:p>
    <w:p w14:paraId="1E98A42C" w14:textId="77777777" w:rsidR="003B3CD7" w:rsidRDefault="00BA465F" w:rsidP="003B3CD7">
      <w:pPr>
        <w:spacing w:line="480" w:lineRule="auto"/>
        <w:jc w:val="both"/>
        <w:rPr>
          <w:rFonts w:ascii="Times New Roman" w:hAnsi="Times New Roman" w:cs="Times New Roman"/>
          <w:sz w:val="24"/>
          <w:szCs w:val="24"/>
        </w:rPr>
      </w:pPr>
      <w:r>
        <w:rPr>
          <w:rFonts w:ascii="Times New Roman" w:hAnsi="Times New Roman" w:cs="Times New Roman"/>
          <w:sz w:val="24"/>
          <w:szCs w:val="24"/>
        </w:rPr>
        <w:t>Following this, there is a need to consider whether Jack’s letter amounts to an invitation to treat. An invitation to treat</w:t>
      </w:r>
      <w:r w:rsidRPr="00B5435D">
        <w:rPr>
          <w:rFonts w:ascii="Times New Roman" w:hAnsi="Times New Roman" w:cs="Times New Roman"/>
          <w:sz w:val="24"/>
          <w:szCs w:val="24"/>
        </w:rPr>
        <w:t xml:space="preserve"> refers to an indication of willingness to </w:t>
      </w:r>
      <w:r w:rsidRPr="00B5435D">
        <w:rPr>
          <w:rFonts w:ascii="Times New Roman" w:hAnsi="Times New Roman" w:cs="Times New Roman"/>
          <w:sz w:val="24"/>
          <w:szCs w:val="24"/>
        </w:rPr>
        <w:t xml:space="preserve">be part of a business. Normally, it is an invitation for one to make an offer or start negotiations. In </w:t>
      </w:r>
      <w:bookmarkStart w:id="3" w:name="_Hlk65842758"/>
      <w:r w:rsidRPr="00B5435D">
        <w:rPr>
          <w:rFonts w:ascii="Times New Roman" w:hAnsi="Times New Roman" w:cs="Times New Roman"/>
          <w:i/>
          <w:iCs/>
          <w:sz w:val="24"/>
          <w:szCs w:val="24"/>
        </w:rPr>
        <w:t xml:space="preserve">Gibson v Manchester City Council </w:t>
      </w:r>
      <w:bookmarkEnd w:id="3"/>
      <w:r w:rsidRPr="00B5435D">
        <w:rPr>
          <w:rFonts w:ascii="Times New Roman" w:hAnsi="Times New Roman" w:cs="Times New Roman"/>
          <w:i/>
          <w:iCs/>
          <w:sz w:val="24"/>
          <w:szCs w:val="24"/>
        </w:rPr>
        <w:t>[1979],</w:t>
      </w:r>
      <w:r w:rsidRPr="00B5435D">
        <w:rPr>
          <w:rFonts w:ascii="Times New Roman" w:hAnsi="Times New Roman" w:cs="Times New Roman"/>
          <w:sz w:val="24"/>
          <w:szCs w:val="24"/>
        </w:rPr>
        <w:t xml:space="preserve"> the Council sent Gibson a document asking him to make a formal invitation to buy and that the Council ‘may be p</w:t>
      </w:r>
      <w:r w:rsidRPr="00B5435D">
        <w:rPr>
          <w:rFonts w:ascii="Times New Roman" w:hAnsi="Times New Roman" w:cs="Times New Roman"/>
          <w:sz w:val="24"/>
          <w:szCs w:val="24"/>
        </w:rPr>
        <w:t xml:space="preserve">repared to sell’ the house to him. He </w:t>
      </w:r>
      <w:r w:rsidRPr="00B5435D">
        <w:rPr>
          <w:rFonts w:ascii="Times New Roman" w:hAnsi="Times New Roman" w:cs="Times New Roman"/>
          <w:sz w:val="24"/>
          <w:szCs w:val="24"/>
        </w:rPr>
        <w:lastRenderedPageBreak/>
        <w:t>signed the document and returned it. The House of Lords held that a contract had not been concluded because the Council had not made an offer capable of being accepted.</w:t>
      </w:r>
    </w:p>
    <w:p w14:paraId="60DEDEC9" w14:textId="77777777" w:rsidR="003B3CD7" w:rsidRDefault="00BA465F" w:rsidP="003B3CD7">
      <w:pPr>
        <w:spacing w:line="480" w:lineRule="auto"/>
        <w:jc w:val="both"/>
        <w:rPr>
          <w:rFonts w:ascii="Times New Roman" w:hAnsi="Times New Roman" w:cs="Times New Roman"/>
          <w:sz w:val="24"/>
          <w:szCs w:val="24"/>
        </w:rPr>
      </w:pPr>
      <w:r w:rsidRPr="00B5435D">
        <w:rPr>
          <w:rFonts w:ascii="Times New Roman" w:hAnsi="Times New Roman" w:cs="Times New Roman"/>
          <w:sz w:val="24"/>
          <w:szCs w:val="24"/>
        </w:rPr>
        <w:t xml:space="preserve">Similarly, in </w:t>
      </w:r>
      <w:r w:rsidRPr="00B5435D">
        <w:rPr>
          <w:rFonts w:ascii="Times New Roman" w:hAnsi="Times New Roman" w:cs="Times New Roman"/>
          <w:i/>
          <w:iCs/>
          <w:sz w:val="24"/>
          <w:szCs w:val="24"/>
        </w:rPr>
        <w:t>Fisher v Bell [1961],</w:t>
      </w:r>
      <w:r w:rsidRPr="00B5435D">
        <w:rPr>
          <w:rFonts w:ascii="Times New Roman" w:hAnsi="Times New Roman" w:cs="Times New Roman"/>
          <w:sz w:val="24"/>
          <w:szCs w:val="24"/>
        </w:rPr>
        <w:t xml:space="preserve"> the court est</w:t>
      </w:r>
      <w:r w:rsidRPr="00B5435D">
        <w:rPr>
          <w:rFonts w:ascii="Times New Roman" w:hAnsi="Times New Roman" w:cs="Times New Roman"/>
          <w:sz w:val="24"/>
          <w:szCs w:val="24"/>
        </w:rPr>
        <w:t xml:space="preserve">ablished that where goods are displayed in a shop with a price tag, such display is regarded as an invitation to treat by the seller and not an offer. Also, an invitation to treat was established in </w:t>
      </w:r>
      <w:r w:rsidRPr="00B26D55">
        <w:rPr>
          <w:rFonts w:ascii="Times New Roman" w:hAnsi="Times New Roman" w:cs="Times New Roman"/>
          <w:i/>
          <w:iCs/>
          <w:sz w:val="24"/>
          <w:szCs w:val="24"/>
        </w:rPr>
        <w:t>Clifton v Palumbo [1994</w:t>
      </w:r>
      <w:r>
        <w:rPr>
          <w:rFonts w:ascii="Times New Roman" w:hAnsi="Times New Roman" w:cs="Times New Roman"/>
          <w:i/>
          <w:iCs/>
          <w:sz w:val="24"/>
          <w:szCs w:val="24"/>
        </w:rPr>
        <w:t xml:space="preserve">]. </w:t>
      </w:r>
      <w:r>
        <w:rPr>
          <w:rFonts w:ascii="Times New Roman" w:hAnsi="Times New Roman" w:cs="Times New Roman"/>
          <w:sz w:val="24"/>
          <w:szCs w:val="24"/>
        </w:rPr>
        <w:t>Plaintiff wrote a letter readin</w:t>
      </w:r>
      <w:r>
        <w:rPr>
          <w:rFonts w:ascii="Times New Roman" w:hAnsi="Times New Roman" w:cs="Times New Roman"/>
          <w:sz w:val="24"/>
          <w:szCs w:val="24"/>
        </w:rPr>
        <w:t xml:space="preserve">g, “I am </w:t>
      </w:r>
      <w:r w:rsidRPr="00B5435D">
        <w:rPr>
          <w:rFonts w:ascii="Times New Roman" w:hAnsi="Times New Roman" w:cs="Times New Roman"/>
          <w:sz w:val="24"/>
          <w:szCs w:val="24"/>
        </w:rPr>
        <w:t>prepared to offer you</w:t>
      </w:r>
      <w:r>
        <w:rPr>
          <w:rFonts w:ascii="Times New Roman" w:hAnsi="Times New Roman" w:cs="Times New Roman"/>
          <w:sz w:val="24"/>
          <w:szCs w:val="24"/>
        </w:rPr>
        <w:t xml:space="preserve"> </w:t>
      </w:r>
      <w:r w:rsidRPr="00B5435D">
        <w:rPr>
          <w:rFonts w:ascii="Times New Roman" w:hAnsi="Times New Roman" w:cs="Times New Roman"/>
          <w:sz w:val="24"/>
          <w:szCs w:val="24"/>
        </w:rPr>
        <w:t>my Lytham estate for</w:t>
      </w:r>
      <w:r>
        <w:rPr>
          <w:rFonts w:ascii="Times New Roman" w:hAnsi="Times New Roman" w:cs="Times New Roman"/>
          <w:sz w:val="24"/>
          <w:szCs w:val="24"/>
        </w:rPr>
        <w:t xml:space="preserve"> </w:t>
      </w:r>
      <w:r w:rsidRPr="00B5435D">
        <w:rPr>
          <w:rFonts w:ascii="Times New Roman" w:hAnsi="Times New Roman" w:cs="Times New Roman"/>
          <w:sz w:val="24"/>
          <w:szCs w:val="24"/>
        </w:rPr>
        <w:t>£600,00</w:t>
      </w:r>
      <w:r>
        <w:rPr>
          <w:rFonts w:ascii="Times New Roman" w:hAnsi="Times New Roman" w:cs="Times New Roman"/>
          <w:sz w:val="24"/>
          <w:szCs w:val="24"/>
        </w:rPr>
        <w:t xml:space="preserve">0 and that </w:t>
      </w:r>
      <w:r w:rsidRPr="00B5435D">
        <w:rPr>
          <w:rFonts w:ascii="Times New Roman" w:hAnsi="Times New Roman" w:cs="Times New Roman"/>
          <w:sz w:val="24"/>
          <w:szCs w:val="24"/>
        </w:rPr>
        <w:t>a reasonable and sufficient time shall be granted to you for the examination and consideration</w:t>
      </w:r>
      <w:r>
        <w:rPr>
          <w:rFonts w:ascii="Times New Roman" w:hAnsi="Times New Roman" w:cs="Times New Roman"/>
          <w:sz w:val="24"/>
          <w:szCs w:val="24"/>
        </w:rPr>
        <w:t xml:space="preserve">.” The court held that the letter did not amount to a definite offer to sell. </w:t>
      </w:r>
    </w:p>
    <w:p w14:paraId="6115A4B4" w14:textId="77777777" w:rsidR="003B3CD7" w:rsidRPr="003D0581" w:rsidRDefault="00BA465F" w:rsidP="003B3CD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Under Jack’s </w:t>
      </w:r>
      <w:r>
        <w:rPr>
          <w:rFonts w:ascii="Times New Roman" w:hAnsi="Times New Roman" w:cs="Times New Roman"/>
          <w:sz w:val="24"/>
          <w:szCs w:val="24"/>
        </w:rPr>
        <w:t xml:space="preserve">circumstance, he wrote “willing to negotiate”, which amounts to an invitation for the performers to quote their price, unlike an offer. Additionally, Kate replied to the letter without making an offer, and just like Gibson in </w:t>
      </w:r>
      <w:r w:rsidRPr="00B5435D">
        <w:rPr>
          <w:rFonts w:ascii="Times New Roman" w:hAnsi="Times New Roman" w:cs="Times New Roman"/>
          <w:i/>
          <w:iCs/>
          <w:sz w:val="24"/>
          <w:szCs w:val="24"/>
        </w:rPr>
        <w:t>Gibson v Manchester City Counc</w:t>
      </w:r>
      <w:r w:rsidRPr="00B5435D">
        <w:rPr>
          <w:rFonts w:ascii="Times New Roman" w:hAnsi="Times New Roman" w:cs="Times New Roman"/>
          <w:i/>
          <w:iCs/>
          <w:sz w:val="24"/>
          <w:szCs w:val="24"/>
        </w:rPr>
        <w:t>il</w:t>
      </w:r>
      <w:r w:rsidR="00A40269">
        <w:rPr>
          <w:rFonts w:ascii="Times New Roman" w:hAnsi="Times New Roman" w:cs="Times New Roman"/>
          <w:i/>
          <w:iCs/>
          <w:sz w:val="24"/>
          <w:szCs w:val="24"/>
        </w:rPr>
        <w:t xml:space="preserve"> [1979]</w:t>
      </w:r>
      <w:r>
        <w:rPr>
          <w:rFonts w:ascii="Times New Roman" w:hAnsi="Times New Roman" w:cs="Times New Roman"/>
          <w:i/>
          <w:iCs/>
          <w:sz w:val="24"/>
          <w:szCs w:val="24"/>
        </w:rPr>
        <w:t xml:space="preserve">, </w:t>
      </w:r>
      <w:r>
        <w:rPr>
          <w:rFonts w:ascii="Times New Roman" w:hAnsi="Times New Roman" w:cs="Times New Roman"/>
          <w:sz w:val="24"/>
          <w:szCs w:val="24"/>
        </w:rPr>
        <w:t xml:space="preserve">the contract cannot be said to have been concluded when no offer was made. Therefore, a valid contract is not created between Jack and Kate as Jack’s letter amounted to an invitation to treat. </w:t>
      </w:r>
    </w:p>
    <w:p w14:paraId="165C6582" w14:textId="77777777" w:rsidR="003B3CD7" w:rsidRDefault="00BA465F" w:rsidP="003B3CD7">
      <w:pPr>
        <w:spacing w:line="480" w:lineRule="auto"/>
        <w:jc w:val="both"/>
        <w:rPr>
          <w:rFonts w:ascii="Times New Roman" w:hAnsi="Times New Roman" w:cs="Times New Roman"/>
          <w:b/>
          <w:bCs/>
          <w:sz w:val="24"/>
          <w:szCs w:val="24"/>
        </w:rPr>
      </w:pPr>
      <w:r w:rsidRPr="007B4845">
        <w:rPr>
          <w:rFonts w:ascii="Times New Roman" w:hAnsi="Times New Roman" w:cs="Times New Roman"/>
          <w:b/>
          <w:bCs/>
          <w:sz w:val="24"/>
          <w:szCs w:val="24"/>
        </w:rPr>
        <w:t xml:space="preserve">Question 2 </w:t>
      </w:r>
    </w:p>
    <w:p w14:paraId="71AEF714" w14:textId="77777777" w:rsidR="003B3CD7" w:rsidRDefault="00BA465F" w:rsidP="003B3CD7">
      <w:pPr>
        <w:spacing w:line="480" w:lineRule="auto"/>
        <w:jc w:val="both"/>
        <w:rPr>
          <w:rFonts w:ascii="Times New Roman" w:hAnsi="Times New Roman" w:cs="Times New Roman"/>
          <w:sz w:val="24"/>
          <w:szCs w:val="24"/>
        </w:rPr>
      </w:pPr>
      <w:r w:rsidRPr="00E04E1A">
        <w:rPr>
          <w:rFonts w:ascii="Times New Roman" w:hAnsi="Times New Roman" w:cs="Times New Roman"/>
          <w:sz w:val="24"/>
          <w:szCs w:val="24"/>
        </w:rPr>
        <w:t xml:space="preserve">Regrading whether a valid contract </w:t>
      </w:r>
      <w:r>
        <w:rPr>
          <w:rFonts w:ascii="Times New Roman" w:hAnsi="Times New Roman" w:cs="Times New Roman"/>
          <w:sz w:val="24"/>
          <w:szCs w:val="24"/>
        </w:rPr>
        <w:t>exists between Logan and Jack, the essential elements of a contract discussed in question 1 are equally important and need to be determined. This follows that, upon Jack’s invitation to treat, Logan made an offer indicati</w:t>
      </w:r>
      <w:r>
        <w:rPr>
          <w:rFonts w:ascii="Times New Roman" w:hAnsi="Times New Roman" w:cs="Times New Roman"/>
          <w:sz w:val="24"/>
          <w:szCs w:val="24"/>
        </w:rPr>
        <w:t xml:space="preserve">ng an intention to be bound. Logan’s letter could be inferred to indicate the intention to be bound legally as was determined in </w:t>
      </w:r>
      <w:r w:rsidRPr="00910E63">
        <w:rPr>
          <w:rFonts w:ascii="Times New Roman" w:hAnsi="Times New Roman" w:cs="Times New Roman"/>
          <w:i/>
          <w:sz w:val="24"/>
          <w:szCs w:val="24"/>
        </w:rPr>
        <w:t>Carlill v Carbolic Smoke Ball Company [1893].</w:t>
      </w:r>
      <w:r>
        <w:rPr>
          <w:rFonts w:ascii="Times New Roman" w:hAnsi="Times New Roman" w:cs="Times New Roman"/>
          <w:i/>
          <w:sz w:val="24"/>
          <w:szCs w:val="24"/>
        </w:rPr>
        <w:t xml:space="preserve"> </w:t>
      </w:r>
      <w:r>
        <w:rPr>
          <w:rFonts w:ascii="Times New Roman" w:hAnsi="Times New Roman" w:cs="Times New Roman"/>
          <w:iCs/>
          <w:sz w:val="24"/>
          <w:szCs w:val="24"/>
        </w:rPr>
        <w:t>Logan’s offer was for</w:t>
      </w:r>
      <w:r>
        <w:rPr>
          <w:rFonts w:ascii="Times New Roman" w:hAnsi="Times New Roman" w:cs="Times New Roman"/>
          <w:sz w:val="24"/>
          <w:szCs w:val="24"/>
        </w:rPr>
        <w:t xml:space="preserve"> a consideration of £ 750. Upon receipt by Jack, he replied </w:t>
      </w:r>
      <w:r>
        <w:rPr>
          <w:rFonts w:ascii="Times New Roman" w:hAnsi="Times New Roman" w:cs="Times New Roman"/>
          <w:sz w:val="24"/>
          <w:szCs w:val="24"/>
        </w:rPr>
        <w:t>to the letter on 1</w:t>
      </w:r>
      <w:r w:rsidRPr="00FB3418">
        <w:rPr>
          <w:rFonts w:ascii="Times New Roman" w:hAnsi="Times New Roman" w:cs="Times New Roman"/>
          <w:sz w:val="24"/>
          <w:szCs w:val="24"/>
          <w:vertAlign w:val="superscript"/>
        </w:rPr>
        <w:t>st</w:t>
      </w:r>
      <w:r>
        <w:rPr>
          <w:rFonts w:ascii="Times New Roman" w:hAnsi="Times New Roman" w:cs="Times New Roman"/>
          <w:sz w:val="24"/>
          <w:szCs w:val="24"/>
        </w:rPr>
        <w:t xml:space="preserve"> May, agreeing to the terms </w:t>
      </w:r>
      <w:r w:rsidR="007B0CDD">
        <w:rPr>
          <w:rFonts w:ascii="Times New Roman" w:hAnsi="Times New Roman" w:cs="Times New Roman"/>
          <w:sz w:val="24"/>
          <w:szCs w:val="24"/>
        </w:rPr>
        <w:t>because of</w:t>
      </w:r>
      <w:r>
        <w:rPr>
          <w:rFonts w:ascii="Times New Roman" w:hAnsi="Times New Roman" w:cs="Times New Roman"/>
          <w:sz w:val="24"/>
          <w:szCs w:val="24"/>
        </w:rPr>
        <w:t xml:space="preserve"> accepting the offer. Jack’s reply to Logan’s offer was an unqualified expression of assent to the terms of a contract, thus accepting acceptance. Similarly, the reply amounted to an acceptance as h</w:t>
      </w:r>
      <w:r>
        <w:rPr>
          <w:rFonts w:ascii="Times New Roman" w:hAnsi="Times New Roman" w:cs="Times New Roman"/>
          <w:sz w:val="24"/>
          <w:szCs w:val="24"/>
        </w:rPr>
        <w:t xml:space="preserve">e communicated his intention to be bound by the terms established in </w:t>
      </w:r>
      <w:bookmarkStart w:id="4" w:name="_Hlk65851652"/>
      <w:r w:rsidRPr="00563962">
        <w:rPr>
          <w:rFonts w:ascii="Times New Roman" w:hAnsi="Times New Roman" w:cs="Times New Roman"/>
          <w:i/>
          <w:sz w:val="24"/>
          <w:szCs w:val="24"/>
        </w:rPr>
        <w:t>Payne v Cave [1789]</w:t>
      </w:r>
      <w:r>
        <w:rPr>
          <w:rFonts w:ascii="Times New Roman" w:hAnsi="Times New Roman" w:cs="Times New Roman"/>
          <w:sz w:val="24"/>
          <w:szCs w:val="24"/>
        </w:rPr>
        <w:t xml:space="preserve">. </w:t>
      </w:r>
      <w:bookmarkEnd w:id="4"/>
      <w:r>
        <w:rPr>
          <w:rFonts w:ascii="Times New Roman" w:hAnsi="Times New Roman" w:cs="Times New Roman"/>
          <w:sz w:val="24"/>
          <w:szCs w:val="24"/>
        </w:rPr>
        <w:t xml:space="preserve">Therefore, there exists a valid contract between Logan and Jack. </w:t>
      </w:r>
    </w:p>
    <w:p w14:paraId="6049A5B6" w14:textId="77777777" w:rsidR="003B3CD7" w:rsidRPr="00E04E1A" w:rsidRDefault="00BA465F" w:rsidP="003B3CD7">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Following the existence of a valid contract between Logan and Jack, the contract ought to be perform</w:t>
      </w:r>
      <w:r>
        <w:rPr>
          <w:rFonts w:ascii="Times New Roman" w:hAnsi="Times New Roman" w:cs="Times New Roman"/>
          <w:sz w:val="24"/>
          <w:szCs w:val="24"/>
        </w:rPr>
        <w:t xml:space="preserve">ed to the latter. They agreed to have Logan perform at the event and be paid </w:t>
      </w:r>
      <w:r w:rsidR="007B0CDD">
        <w:rPr>
          <w:rFonts w:ascii="Times New Roman" w:hAnsi="Times New Roman" w:cs="Times New Roman"/>
          <w:sz w:val="24"/>
          <w:szCs w:val="24"/>
        </w:rPr>
        <w:t>£</w:t>
      </w:r>
      <w:r>
        <w:rPr>
          <w:rFonts w:ascii="Times New Roman" w:hAnsi="Times New Roman" w:cs="Times New Roman"/>
          <w:sz w:val="24"/>
          <w:szCs w:val="24"/>
        </w:rPr>
        <w:t xml:space="preserve">750. Although Jack, by paying Logan the </w:t>
      </w:r>
      <w:r w:rsidR="007B0CDD">
        <w:rPr>
          <w:rFonts w:ascii="Times New Roman" w:hAnsi="Times New Roman" w:cs="Times New Roman"/>
          <w:sz w:val="24"/>
          <w:szCs w:val="24"/>
        </w:rPr>
        <w:t>£</w:t>
      </w:r>
      <w:r>
        <w:rPr>
          <w:rFonts w:ascii="Times New Roman" w:hAnsi="Times New Roman" w:cs="Times New Roman"/>
          <w:sz w:val="24"/>
          <w:szCs w:val="24"/>
        </w:rPr>
        <w:t xml:space="preserve">750, would have met the agreed consideration, he would have failed to have Logan perform during the event, consequences will be </w:t>
      </w:r>
      <w:r w:rsidR="007B0CDD">
        <w:rPr>
          <w:rFonts w:ascii="Times New Roman" w:hAnsi="Times New Roman" w:cs="Times New Roman"/>
          <w:sz w:val="24"/>
          <w:szCs w:val="24"/>
        </w:rPr>
        <w:t>a breach</w:t>
      </w:r>
      <w:r>
        <w:rPr>
          <w:rFonts w:ascii="Times New Roman" w:hAnsi="Times New Roman" w:cs="Times New Roman"/>
          <w:sz w:val="24"/>
          <w:szCs w:val="24"/>
        </w:rPr>
        <w:t xml:space="preserve"> </w:t>
      </w:r>
      <w:r>
        <w:rPr>
          <w:rFonts w:ascii="Times New Roman" w:hAnsi="Times New Roman" w:cs="Times New Roman"/>
          <w:sz w:val="24"/>
          <w:szCs w:val="24"/>
        </w:rPr>
        <w:t>of contract. Concerning the postal rule, the general rule is that</w:t>
      </w:r>
      <w:r w:rsidRPr="00373042">
        <w:rPr>
          <w:rFonts w:ascii="Times New Roman" w:hAnsi="Times New Roman" w:cs="Times New Roman"/>
          <w:sz w:val="24"/>
          <w:szCs w:val="24"/>
        </w:rPr>
        <w:t xml:space="preserve"> </w:t>
      </w:r>
      <w:r>
        <w:rPr>
          <w:rFonts w:ascii="Times New Roman" w:hAnsi="Times New Roman" w:cs="Times New Roman"/>
          <w:sz w:val="24"/>
          <w:szCs w:val="24"/>
        </w:rPr>
        <w:t>acceptance takes effect upon posting the letter of acceptance regardless of whether it is lost, delayed, or destroyed. The rule was established in</w:t>
      </w:r>
      <w:r w:rsidRPr="00802DF2">
        <w:rPr>
          <w:rFonts w:ascii="Times New Roman" w:hAnsi="Times New Roman" w:cs="Times New Roman"/>
          <w:sz w:val="24"/>
          <w:szCs w:val="24"/>
        </w:rPr>
        <w:t xml:space="preserve"> </w:t>
      </w:r>
      <w:bookmarkStart w:id="5" w:name="_Hlk65851790"/>
      <w:r w:rsidRPr="00373042">
        <w:rPr>
          <w:rFonts w:ascii="Times New Roman" w:hAnsi="Times New Roman" w:cs="Times New Roman"/>
          <w:i/>
          <w:iCs/>
          <w:sz w:val="24"/>
          <w:szCs w:val="24"/>
        </w:rPr>
        <w:t>Adam v Lindsell [1818]</w:t>
      </w:r>
      <w:r>
        <w:rPr>
          <w:rFonts w:ascii="Times New Roman" w:hAnsi="Times New Roman" w:cs="Times New Roman"/>
          <w:sz w:val="24"/>
          <w:szCs w:val="24"/>
        </w:rPr>
        <w:t xml:space="preserve"> </w:t>
      </w:r>
      <w:bookmarkEnd w:id="5"/>
      <w:r>
        <w:rPr>
          <w:rFonts w:ascii="Times New Roman" w:hAnsi="Times New Roman" w:cs="Times New Roman"/>
          <w:sz w:val="24"/>
          <w:szCs w:val="24"/>
        </w:rPr>
        <w:t xml:space="preserve">and similarly applied in </w:t>
      </w:r>
      <w:bookmarkStart w:id="6" w:name="_Hlk65851761"/>
      <w:r w:rsidRPr="00373042">
        <w:rPr>
          <w:rFonts w:ascii="Times New Roman" w:hAnsi="Times New Roman" w:cs="Times New Roman"/>
          <w:i/>
          <w:iCs/>
          <w:sz w:val="24"/>
          <w:szCs w:val="24"/>
        </w:rPr>
        <w:t>Henthorn v Fraser [1892]</w:t>
      </w:r>
      <w:bookmarkEnd w:id="6"/>
      <w:r>
        <w:rPr>
          <w:rFonts w:ascii="Times New Roman" w:hAnsi="Times New Roman" w:cs="Times New Roman"/>
          <w:i/>
          <w:sz w:val="24"/>
          <w:szCs w:val="24"/>
        </w:rPr>
        <w:t xml:space="preserve">. </w:t>
      </w:r>
      <w:r>
        <w:rPr>
          <w:rFonts w:ascii="Times New Roman" w:hAnsi="Times New Roman" w:cs="Times New Roman"/>
          <w:sz w:val="24"/>
          <w:szCs w:val="24"/>
        </w:rPr>
        <w:t xml:space="preserve">However, the rule is not applicable where the express terms of the offer exclude it. Also, in </w:t>
      </w:r>
      <w:bookmarkStart w:id="7" w:name="_Hlk65851710"/>
      <w:r w:rsidRPr="004B2EEB">
        <w:rPr>
          <w:rFonts w:ascii="Times New Roman" w:hAnsi="Times New Roman" w:cs="Times New Roman"/>
          <w:i/>
          <w:iCs/>
          <w:sz w:val="24"/>
          <w:szCs w:val="24"/>
        </w:rPr>
        <w:t>Householdfire Insurance v Grant [1879]</w:t>
      </w:r>
      <w:r>
        <w:rPr>
          <w:rFonts w:ascii="Times New Roman" w:hAnsi="Times New Roman" w:cs="Times New Roman"/>
          <w:i/>
          <w:iCs/>
          <w:sz w:val="24"/>
          <w:szCs w:val="24"/>
        </w:rPr>
        <w:t>,</w:t>
      </w:r>
      <w:r w:rsidRPr="004B2EEB">
        <w:rPr>
          <w:rFonts w:ascii="Times New Roman" w:hAnsi="Times New Roman" w:cs="Times New Roman"/>
          <w:i/>
          <w:iCs/>
          <w:sz w:val="24"/>
          <w:szCs w:val="24"/>
        </w:rPr>
        <w:t xml:space="preserve"> </w:t>
      </w:r>
      <w:bookmarkEnd w:id="7"/>
      <w:r>
        <w:rPr>
          <w:rFonts w:ascii="Times New Roman" w:hAnsi="Times New Roman" w:cs="Times New Roman"/>
          <w:sz w:val="24"/>
          <w:szCs w:val="24"/>
        </w:rPr>
        <w:t>the court established acceptance by post is complete as soon as the let</w:t>
      </w:r>
      <w:r>
        <w:rPr>
          <w:rFonts w:ascii="Times New Roman" w:hAnsi="Times New Roman" w:cs="Times New Roman"/>
          <w:sz w:val="24"/>
          <w:szCs w:val="24"/>
        </w:rPr>
        <w:t xml:space="preserve">ter is sent to the correct post office. Further, in </w:t>
      </w:r>
      <w:bookmarkStart w:id="8" w:name="_Hlk65851620"/>
      <w:r w:rsidRPr="00373042">
        <w:rPr>
          <w:rFonts w:ascii="Times New Roman" w:hAnsi="Times New Roman" w:cs="Times New Roman"/>
          <w:i/>
          <w:iCs/>
          <w:sz w:val="24"/>
          <w:szCs w:val="24"/>
        </w:rPr>
        <w:t>Entores v Miles Far East Corporation [1995].</w:t>
      </w:r>
      <w:r w:rsidRPr="00802DF2">
        <w:rPr>
          <w:rFonts w:ascii="Times New Roman" w:hAnsi="Times New Roman" w:cs="Times New Roman"/>
          <w:b/>
          <w:bCs/>
          <w:i/>
          <w:iCs/>
          <w:sz w:val="24"/>
          <w:szCs w:val="24"/>
        </w:rPr>
        <w:t xml:space="preserve"> </w:t>
      </w:r>
      <w:bookmarkEnd w:id="8"/>
      <w:r w:rsidRPr="00E04E1A">
        <w:rPr>
          <w:rFonts w:ascii="Times New Roman" w:hAnsi="Times New Roman" w:cs="Times New Roman"/>
          <w:sz w:val="24"/>
          <w:szCs w:val="24"/>
        </w:rPr>
        <w:t>This case was concerning the application of the postal rule to instantaneous forms of communication. The court established that the postal rule is not applicab</w:t>
      </w:r>
      <w:r w:rsidRPr="00E04E1A">
        <w:rPr>
          <w:rFonts w:ascii="Times New Roman" w:hAnsi="Times New Roman" w:cs="Times New Roman"/>
          <w:sz w:val="24"/>
          <w:szCs w:val="24"/>
        </w:rPr>
        <w:t>le in instantaneous communications. Therefore, such forms of communication</w:t>
      </w:r>
      <w:r>
        <w:rPr>
          <w:rFonts w:ascii="Times New Roman" w:hAnsi="Times New Roman" w:cs="Times New Roman"/>
          <w:sz w:val="24"/>
          <w:szCs w:val="24"/>
        </w:rPr>
        <w:t>,</w:t>
      </w:r>
      <w:r w:rsidRPr="00E04E1A">
        <w:rPr>
          <w:rFonts w:ascii="Times New Roman" w:hAnsi="Times New Roman" w:cs="Times New Roman"/>
          <w:sz w:val="24"/>
          <w:szCs w:val="24"/>
        </w:rPr>
        <w:t xml:space="preserve"> including telex acceptance</w:t>
      </w:r>
      <w:r>
        <w:rPr>
          <w:rFonts w:ascii="Times New Roman" w:hAnsi="Times New Roman" w:cs="Times New Roman"/>
          <w:sz w:val="24"/>
          <w:szCs w:val="24"/>
        </w:rPr>
        <w:t>,</w:t>
      </w:r>
      <w:r w:rsidRPr="00E04E1A">
        <w:rPr>
          <w:rFonts w:ascii="Times New Roman" w:hAnsi="Times New Roman" w:cs="Times New Roman"/>
          <w:sz w:val="24"/>
          <w:szCs w:val="24"/>
        </w:rPr>
        <w:t xml:space="preserve"> are deemed to have occurred upon receipt. </w:t>
      </w:r>
      <w:r>
        <w:rPr>
          <w:rFonts w:ascii="Times New Roman" w:hAnsi="Times New Roman" w:cs="Times New Roman"/>
          <w:sz w:val="24"/>
          <w:szCs w:val="24"/>
        </w:rPr>
        <w:t>Therefore, in line with the postal rule, Jack has breached their contract. Following this, Logan’s remedy woul</w:t>
      </w:r>
      <w:r>
        <w:rPr>
          <w:rFonts w:ascii="Times New Roman" w:hAnsi="Times New Roman" w:cs="Times New Roman"/>
          <w:sz w:val="24"/>
          <w:szCs w:val="24"/>
        </w:rPr>
        <w:t xml:space="preserve">d be to institute a suit for specific performance. The result is that Logan could claim for the $500 from Jack, stating that he has suffered loss him failing to meet the terms of their contract. </w:t>
      </w:r>
    </w:p>
    <w:p w14:paraId="0467233E" w14:textId="77777777" w:rsidR="003B3CD7" w:rsidRDefault="00BA465F" w:rsidP="003B3CD7">
      <w:pPr>
        <w:spacing w:line="480" w:lineRule="auto"/>
        <w:jc w:val="both"/>
        <w:rPr>
          <w:rFonts w:ascii="Times New Roman" w:hAnsi="Times New Roman" w:cs="Times New Roman"/>
          <w:b/>
          <w:bCs/>
          <w:sz w:val="24"/>
          <w:szCs w:val="24"/>
        </w:rPr>
      </w:pPr>
      <w:r w:rsidRPr="007B4845">
        <w:rPr>
          <w:rFonts w:ascii="Times New Roman" w:hAnsi="Times New Roman" w:cs="Times New Roman"/>
          <w:b/>
          <w:bCs/>
          <w:sz w:val="24"/>
          <w:szCs w:val="24"/>
        </w:rPr>
        <w:t xml:space="preserve">Question 3 </w:t>
      </w:r>
    </w:p>
    <w:p w14:paraId="03BFB920" w14:textId="77777777" w:rsidR="003B3CD7" w:rsidRPr="00B645CE" w:rsidRDefault="00BA465F" w:rsidP="003B3CD7">
      <w:pPr>
        <w:spacing w:line="480" w:lineRule="auto"/>
        <w:jc w:val="both"/>
        <w:rPr>
          <w:rFonts w:ascii="Times New Roman" w:hAnsi="Times New Roman" w:cs="Times New Roman"/>
          <w:sz w:val="24"/>
          <w:szCs w:val="24"/>
        </w:rPr>
      </w:pPr>
      <w:r w:rsidRPr="00B645CE">
        <w:rPr>
          <w:rFonts w:ascii="Times New Roman" w:hAnsi="Times New Roman" w:cs="Times New Roman"/>
          <w:sz w:val="24"/>
          <w:szCs w:val="24"/>
        </w:rPr>
        <w:t>Regarding whether Jack is obligated to pay DJ Ma</w:t>
      </w:r>
      <w:r w:rsidRPr="00B645CE">
        <w:rPr>
          <w:rFonts w:ascii="Times New Roman" w:hAnsi="Times New Roman" w:cs="Times New Roman"/>
          <w:sz w:val="24"/>
          <w:szCs w:val="24"/>
        </w:rPr>
        <w:t xml:space="preserve">son for his performance, </w:t>
      </w:r>
      <w:r>
        <w:rPr>
          <w:rFonts w:ascii="Times New Roman" w:hAnsi="Times New Roman" w:cs="Times New Roman"/>
          <w:sz w:val="24"/>
          <w:szCs w:val="24"/>
        </w:rPr>
        <w:t>this follows that he approached him to perform at the event, which they agreed at a consideration of £1,500. Also, since DJ Mason has fulfilled his part of the contract by showing up for the performance, Jack is obligated to pay hi</w:t>
      </w:r>
      <w:r>
        <w:rPr>
          <w:rFonts w:ascii="Times New Roman" w:hAnsi="Times New Roman" w:cs="Times New Roman"/>
          <w:sz w:val="24"/>
          <w:szCs w:val="24"/>
        </w:rPr>
        <w:t>m. This follows that, although both Jack and DJ Mason have not entirely fulfilled part of their contract, the confusion that led to DJ Mason not entirely fulfilling his contract was occasioned by Jack’s mistake and the consequences would be, he will have t</w:t>
      </w:r>
      <w:r>
        <w:rPr>
          <w:rFonts w:ascii="Times New Roman" w:hAnsi="Times New Roman" w:cs="Times New Roman"/>
          <w:sz w:val="24"/>
          <w:szCs w:val="24"/>
        </w:rPr>
        <w:t xml:space="preserve">o pay DJ Mason for partly performing at the event. The elements could be supported based on the </w:t>
      </w:r>
      <w:r>
        <w:rPr>
          <w:rFonts w:ascii="Times New Roman" w:hAnsi="Times New Roman" w:cs="Times New Roman"/>
          <w:sz w:val="24"/>
          <w:szCs w:val="24"/>
        </w:rPr>
        <w:lastRenderedPageBreak/>
        <w:t xml:space="preserve">case of </w:t>
      </w:r>
      <w:bookmarkStart w:id="9" w:name="_Hlk65851586"/>
      <w:r w:rsidRPr="00561115">
        <w:rPr>
          <w:rFonts w:ascii="Times New Roman" w:hAnsi="Times New Roman" w:cs="Times New Roman"/>
          <w:i/>
          <w:iCs/>
          <w:sz w:val="24"/>
          <w:szCs w:val="24"/>
        </w:rPr>
        <w:t xml:space="preserve">Heonig v. Issacs </w:t>
      </w:r>
      <w:r>
        <w:rPr>
          <w:rFonts w:ascii="Times New Roman" w:hAnsi="Times New Roman" w:cs="Times New Roman"/>
          <w:i/>
          <w:iCs/>
          <w:sz w:val="24"/>
          <w:szCs w:val="24"/>
        </w:rPr>
        <w:t>[</w:t>
      </w:r>
      <w:r w:rsidRPr="00561115">
        <w:rPr>
          <w:rFonts w:ascii="Times New Roman" w:hAnsi="Times New Roman" w:cs="Times New Roman"/>
          <w:i/>
          <w:iCs/>
          <w:sz w:val="24"/>
          <w:szCs w:val="24"/>
        </w:rPr>
        <w:t>1952</w:t>
      </w:r>
      <w:r>
        <w:rPr>
          <w:rFonts w:ascii="Times New Roman" w:hAnsi="Times New Roman" w:cs="Times New Roman"/>
          <w:i/>
          <w:iCs/>
          <w:sz w:val="24"/>
          <w:szCs w:val="24"/>
        </w:rPr>
        <w:t>],</w:t>
      </w:r>
      <w:r>
        <w:rPr>
          <w:rFonts w:ascii="Times New Roman" w:hAnsi="Times New Roman" w:cs="Times New Roman"/>
          <w:sz w:val="24"/>
          <w:szCs w:val="24"/>
        </w:rPr>
        <w:t xml:space="preserve"> </w:t>
      </w:r>
      <w:bookmarkEnd w:id="9"/>
      <w:r>
        <w:rPr>
          <w:rFonts w:ascii="Times New Roman" w:hAnsi="Times New Roman" w:cs="Times New Roman"/>
          <w:sz w:val="24"/>
          <w:szCs w:val="24"/>
        </w:rPr>
        <w:t>where the court established that, in any contract where a substantial amount of work is performed, payment should be made. Ther</w:t>
      </w:r>
      <w:r>
        <w:rPr>
          <w:rFonts w:ascii="Times New Roman" w:hAnsi="Times New Roman" w:cs="Times New Roman"/>
          <w:sz w:val="24"/>
          <w:szCs w:val="24"/>
        </w:rPr>
        <w:t>efore, the mitigating factor for payment in this scenario is that, as part of his contractual obligation, DJ Mason showed up for the event and performed for two hours, unlike the agreement of performing for the three hours will result of fulfilling a subst</w:t>
      </w:r>
      <w:r>
        <w:rPr>
          <w:rFonts w:ascii="Times New Roman" w:hAnsi="Times New Roman" w:cs="Times New Roman"/>
          <w:sz w:val="24"/>
          <w:szCs w:val="24"/>
        </w:rPr>
        <w:t>antial part of the contract, and a certain amount of money would have to be paid in the for DJ Mason.</w:t>
      </w:r>
    </w:p>
    <w:p w14:paraId="6D2DAB8E" w14:textId="77777777" w:rsidR="005C7CFD" w:rsidRDefault="005C7CFD"/>
    <w:p w14:paraId="0C1B69DD" w14:textId="77777777" w:rsidR="003B3CD7" w:rsidRDefault="003B3CD7"/>
    <w:p w14:paraId="12B8FFC1" w14:textId="77777777" w:rsidR="007B0CDD" w:rsidRPr="00601CF6" w:rsidRDefault="00BA465F" w:rsidP="007B0CDD">
      <w:pPr>
        <w:pStyle w:val="NormalWeb"/>
        <w:spacing w:before="0" w:beforeAutospacing="0" w:after="0" w:afterAutospacing="0" w:line="480" w:lineRule="auto"/>
        <w:rPr>
          <w:b/>
          <w:bCs/>
        </w:rPr>
      </w:pPr>
      <w:r w:rsidRPr="00601CF6">
        <w:rPr>
          <w:b/>
          <w:bCs/>
        </w:rPr>
        <w:t>Question 4</w:t>
      </w:r>
    </w:p>
    <w:p w14:paraId="5E3858FE" w14:textId="77777777" w:rsidR="007B0CDD" w:rsidRPr="008C3AAC" w:rsidRDefault="00BA465F" w:rsidP="007B0CDD">
      <w:pPr>
        <w:pStyle w:val="NormalWeb"/>
        <w:spacing w:before="0" w:beforeAutospacing="0" w:after="0" w:afterAutospacing="0" w:line="480" w:lineRule="auto"/>
      </w:pPr>
      <w:r w:rsidRPr="008C3AAC">
        <w:t xml:space="preserve">           The relationship between Nell and Jack was based on friendship. As a result, there was no intention to create legal </w:t>
      </w:r>
      <w:r w:rsidRPr="008C3AAC">
        <w:t>relations on the legal formality of laws. Generally, there are different forms of domestic and social agreement common in a contract. According to </w:t>
      </w:r>
      <w:r>
        <w:rPr>
          <w:rStyle w:val="Emphasis"/>
        </w:rPr>
        <w:t>Balfour v Balfour [1919]</w:t>
      </w:r>
      <w:r w:rsidRPr="008C3AAC">
        <w:t xml:space="preserve">, a </w:t>
      </w:r>
      <w:r>
        <w:t>social or domestic</w:t>
      </w:r>
      <w:r w:rsidRPr="008C3AAC">
        <w:t xml:space="preserve"> contract involves a contract agreement between persons with a </w:t>
      </w:r>
      <w:r w:rsidRPr="008C3AAC">
        <w:t>family or friend relation. It is characteri</w:t>
      </w:r>
      <w:r>
        <w:t>z</w:t>
      </w:r>
      <w:r w:rsidRPr="008C3AAC">
        <w:t>ed by an understanding between each party and no specific legal laws. Generally, there are no legal agreements in these contracts since individuals present terms and elements on the contract based on their relati</w:t>
      </w:r>
      <w:r w:rsidRPr="008C3AAC">
        <w:t>onship. There is usually no intention in the legal formation of laws that hinder elements presented in the contract. Unlike social and domestic settings, commercial laws are contracts made through legal intentions to minimize any form of breach of contract</w:t>
      </w:r>
      <w:r w:rsidRPr="008C3AAC">
        <w:t>. Based on </w:t>
      </w:r>
      <w:r w:rsidRPr="008C3AAC">
        <w:rPr>
          <w:i/>
          <w:iCs/>
          <w:shd w:val="clear" w:color="auto" w:fill="FFFFFF"/>
        </w:rPr>
        <w:t>Partridge v. Crittenden</w:t>
      </w:r>
      <w:r w:rsidRPr="008C3AAC">
        <w:rPr>
          <w:shd w:val="clear" w:color="auto" w:fill="FFFFFF"/>
        </w:rPr>
        <w:t xml:space="preserve"> (1968) </w:t>
      </w:r>
      <w:r w:rsidRPr="008C3AAC">
        <w:t>case, parties involved must ensure crucial issues enacted through the contract offer have satisfied both parties without enforcement.</w:t>
      </w:r>
    </w:p>
    <w:p w14:paraId="32BAE5DC" w14:textId="7082DB73" w:rsidR="007B0CDD" w:rsidRPr="008C3AAC" w:rsidRDefault="00BA465F" w:rsidP="007B0CDD">
      <w:pPr>
        <w:pStyle w:val="NormalWeb"/>
        <w:spacing w:before="0" w:beforeAutospacing="0" w:after="0" w:afterAutospacing="0" w:line="480" w:lineRule="auto"/>
      </w:pPr>
      <w:r w:rsidRPr="008C3AAC">
        <w:t>           Domestic and social contracts are distinguished from commercial contr</w:t>
      </w:r>
      <w:r w:rsidRPr="008C3AAC">
        <w:t>acts through courts. For domestic contracts, the court establishes the doctrine of whether both parties are presumably intents to enforce the contract into law. According to </w:t>
      </w:r>
      <w:r w:rsidRPr="008C3AAC">
        <w:rPr>
          <w:rStyle w:val="Emphasis"/>
        </w:rPr>
        <w:t>Carbolic Smoke Ball Case</w:t>
      </w:r>
      <w:r w:rsidRPr="008C3AAC">
        <w:t> (1893), when one party is unsatisfied with legal intentio</w:t>
      </w:r>
      <w:r w:rsidRPr="008C3AAC">
        <w:t xml:space="preserve">ns, the court deems the </w:t>
      </w:r>
      <w:r w:rsidRPr="008C3AAC">
        <w:lastRenderedPageBreak/>
        <w:t>domestic contract a form of the agreement without legal obligation. More so, suppose the parties involved have sufficient evidence on the intentions of legality on the contract. If no fundamental evidence is provided, then the agree</w:t>
      </w:r>
      <w:r w:rsidRPr="008C3AAC">
        <w:t>ment between the parties presented is invalid since it does not meet the prerequisite on legality (</w:t>
      </w:r>
      <w:r w:rsidRPr="008C3AAC">
        <w:rPr>
          <w:rStyle w:val="Emphasis"/>
        </w:rPr>
        <w:t>Court of Appeal, Hoenig v. Isaacs</w:t>
      </w:r>
      <w:r w:rsidR="00BC5381">
        <w:rPr>
          <w:rStyle w:val="Emphasis"/>
        </w:rPr>
        <w:t xml:space="preserve"> [</w:t>
      </w:r>
      <w:r w:rsidRPr="008C3AAC">
        <w:rPr>
          <w:rStyle w:val="Emphasis"/>
        </w:rPr>
        <w:t>1952</w:t>
      </w:r>
      <w:r w:rsidR="00146A9F">
        <w:rPr>
          <w:rStyle w:val="Emphasis"/>
        </w:rPr>
        <w:t>]</w:t>
      </w:r>
      <w:r>
        <w:rPr>
          <w:rStyle w:val="Emphasis"/>
        </w:rPr>
        <w:t>)</w:t>
      </w:r>
      <w:r w:rsidRPr="008C3AAC">
        <w:t xml:space="preserve">. From the case study, Jack requested Nell to perform stand-up comedy, facilitated through their friendship ties. A </w:t>
      </w:r>
      <w:r w:rsidRPr="008C3AAC">
        <w:t>failure enhanced this by other artists and lack of agreement on the contract. Consequently, Jack requested services from her friend to entertain his students to cover the previous artist's damages. </w:t>
      </w:r>
    </w:p>
    <w:p w14:paraId="4710FDBE" w14:textId="77777777" w:rsidR="007B0CDD" w:rsidRPr="00601CF6" w:rsidRDefault="00BA465F" w:rsidP="007B0CDD">
      <w:pPr>
        <w:pStyle w:val="NormalWeb"/>
        <w:spacing w:before="0" w:beforeAutospacing="0" w:after="0" w:afterAutospacing="0" w:line="480" w:lineRule="auto"/>
        <w:rPr>
          <w:b/>
          <w:bCs/>
        </w:rPr>
      </w:pPr>
      <w:r w:rsidRPr="00601CF6">
        <w:rPr>
          <w:b/>
          <w:bCs/>
        </w:rPr>
        <w:t>Question 5</w:t>
      </w:r>
    </w:p>
    <w:p w14:paraId="71E32D2C" w14:textId="77777777" w:rsidR="007B0CDD" w:rsidRPr="008C3AAC" w:rsidRDefault="00BA465F" w:rsidP="007B0CDD">
      <w:pPr>
        <w:pStyle w:val="NormalWeb"/>
        <w:spacing w:before="0" w:beforeAutospacing="0" w:after="0" w:afterAutospacing="0" w:line="480" w:lineRule="auto"/>
      </w:pPr>
      <w:r w:rsidRPr="008C3AAC">
        <w:t>           There was a valid consideration for</w:t>
      </w:r>
      <w:r w:rsidRPr="008C3AAC">
        <w:t xml:space="preserve"> Jack's promise to pay Nell £250. Following Nell's agreement to perform at her friend's event, Jack was liable to pay the promise agreed. The principle integrated into this argument is based on the relationship established between the two Jack and Nell. Be</w:t>
      </w:r>
      <w:r w:rsidRPr="008C3AAC">
        <w:t>sides, Nell was motivated to perform following consideration on the agreement established. Undoubtedly, past considerations in contract formation are important segments in forming a contract. It is used to ensure an agreement between parties involved forms</w:t>
      </w:r>
      <w:r w:rsidRPr="008C3AAC">
        <w:t xml:space="preserve"> a valid contract. According to</w:t>
      </w:r>
      <w:r>
        <w:t xml:space="preserve"> Lampleigh v Braithway [1615]</w:t>
      </w:r>
      <w:r w:rsidRPr="008C3AAC">
        <w:t>, past consideration is integrated to ensure parties involved had obliged to the prerequisite in agreement. The same scenario applies to an obligation in the agreement with contractual formation b</w:t>
      </w:r>
      <w:r w:rsidRPr="008C3AAC">
        <w:t>etween Jack and Nell. Without the past consideration, Jack and Nell's agreement would not be classified as a gift, and hence Nell would either accept the presented or disregard it based on their relationship. As such, gifts are not treated as contract agre</w:t>
      </w:r>
      <w:r w:rsidRPr="008C3AAC">
        <w:t>ements since there are no legal formalities.</w:t>
      </w:r>
    </w:p>
    <w:p w14:paraId="3348F84E" w14:textId="77777777" w:rsidR="007B0CDD" w:rsidRPr="008C3AAC" w:rsidRDefault="00BA465F" w:rsidP="007B0CDD">
      <w:pPr>
        <w:pStyle w:val="NormalWeb"/>
        <w:spacing w:before="0" w:beforeAutospacing="0" w:after="0" w:afterAutospacing="0" w:line="480" w:lineRule="auto"/>
      </w:pPr>
      <w:r w:rsidRPr="008C3AAC">
        <w:t xml:space="preserve">           Furthermore, since consideration is </w:t>
      </w:r>
      <w:r w:rsidR="009915E2" w:rsidRPr="008C3AAC">
        <w:t>characteri</w:t>
      </w:r>
      <w:r w:rsidR="009915E2">
        <w:t>z</w:t>
      </w:r>
      <w:r w:rsidR="009915E2" w:rsidRPr="008C3AAC">
        <w:t>ed</w:t>
      </w:r>
      <w:r w:rsidRPr="008C3AAC">
        <w:t xml:space="preserve"> by an exchange of services with an item of value, especially monetary payment, individuals must align to the necessary terms and conditions. In a cour</w:t>
      </w:r>
      <w:r w:rsidRPr="008C3AAC">
        <w:t xml:space="preserve">t of law, individuals with issues on past considerations measure </w:t>
      </w:r>
      <w:r w:rsidRPr="008C3AAC">
        <w:lastRenderedPageBreak/>
        <w:t>adequate consideration by the value of services generated or provided. From the case scenario between </w:t>
      </w:r>
      <w:r w:rsidRPr="008C3AAC">
        <w:rPr>
          <w:i/>
          <w:iCs/>
          <w:shd w:val="clear" w:color="auto" w:fill="FFFFFF"/>
        </w:rPr>
        <w:t>Partridge v. Crittenden</w:t>
      </w:r>
      <w:r w:rsidRPr="008C3AAC">
        <w:rPr>
          <w:shd w:val="clear" w:color="auto" w:fill="FFFFFF"/>
        </w:rPr>
        <w:t xml:space="preserve"> (1968</w:t>
      </w:r>
      <w:r w:rsidRPr="008C3AAC">
        <w:t xml:space="preserve">), the court applied adequate consideration to evaluate the </w:t>
      </w:r>
      <w:r w:rsidRPr="008C3AAC">
        <w:t>form of agreement between the parties. Notably, there is no equality in the services or goods provided to the value on the exchange. As such, both parties agree based on the amount promised that should be integrated. </w:t>
      </w:r>
    </w:p>
    <w:p w14:paraId="116AA3FA" w14:textId="77777777" w:rsidR="007B0CDD" w:rsidRDefault="00BA465F" w:rsidP="007B0CDD">
      <w:pPr>
        <w:pStyle w:val="NormalWeb"/>
        <w:spacing w:before="0" w:beforeAutospacing="0" w:after="0" w:afterAutospacing="0" w:line="480" w:lineRule="auto"/>
        <w:ind w:firstLine="720"/>
      </w:pPr>
      <w:r w:rsidRPr="008C3AAC">
        <w:t>However, suppose the agreed payment is</w:t>
      </w:r>
      <w:r w:rsidRPr="008C3AAC">
        <w:t xml:space="preserve"> lower than the worth of the goods and services. Adequate consideration is integrated to ensure parties involved in service provision are provided with sufficient value on the market. According to </w:t>
      </w:r>
      <w:r>
        <w:rPr>
          <w:rStyle w:val="Emphasis"/>
        </w:rPr>
        <w:t>Tweddle v Atkinson [1861]</w:t>
      </w:r>
      <w:r w:rsidRPr="008C3AAC">
        <w:t>, past consideration was integrate</w:t>
      </w:r>
      <w:r w:rsidRPr="008C3AAC">
        <w:t>d to ensure the value of goods met the promise as enacted in the contract. In this case, Nell should incorporate past consideration based on the contracts offered to previous performers. By integrating past considerations, Jack will be enforced to pay Nell</w:t>
      </w:r>
      <w:r w:rsidRPr="008C3AAC">
        <w:t xml:space="preserve"> since the exchange amount is lower than the terms of the contract previously offered to other individuals. </w:t>
      </w:r>
      <w:r w:rsidR="009915E2">
        <w:t>The result was</w:t>
      </w:r>
      <w:r w:rsidRPr="008C3AAC">
        <w:t xml:space="preserve"> there was a valid consideration for Jack's promise to pay £ 250 since services rendered were higher than the market's value. More so,</w:t>
      </w:r>
      <w:r w:rsidRPr="008C3AAC">
        <w:t xml:space="preserve"> parties involved had agreed on an exchange on the services before performing.</w:t>
      </w:r>
    </w:p>
    <w:p w14:paraId="432166EA" w14:textId="77777777" w:rsidR="007241D1" w:rsidRDefault="007241D1" w:rsidP="007B0CDD">
      <w:pPr>
        <w:pStyle w:val="NormalWeb"/>
        <w:spacing w:before="0" w:beforeAutospacing="0" w:after="0" w:afterAutospacing="0" w:line="480" w:lineRule="auto"/>
        <w:ind w:firstLine="720"/>
      </w:pPr>
    </w:p>
    <w:p w14:paraId="73760894" w14:textId="77777777" w:rsidR="007241D1" w:rsidRDefault="007241D1" w:rsidP="007B0CDD">
      <w:pPr>
        <w:pStyle w:val="NormalWeb"/>
        <w:spacing w:before="0" w:beforeAutospacing="0" w:after="0" w:afterAutospacing="0" w:line="480" w:lineRule="auto"/>
        <w:ind w:firstLine="720"/>
      </w:pPr>
    </w:p>
    <w:p w14:paraId="12341359" w14:textId="77777777" w:rsidR="007241D1" w:rsidRDefault="007241D1" w:rsidP="007B0CDD">
      <w:pPr>
        <w:pStyle w:val="NormalWeb"/>
        <w:spacing w:before="0" w:beforeAutospacing="0" w:after="0" w:afterAutospacing="0" w:line="480" w:lineRule="auto"/>
        <w:ind w:firstLine="720"/>
      </w:pPr>
    </w:p>
    <w:p w14:paraId="72D7014A" w14:textId="77777777" w:rsidR="007241D1" w:rsidRDefault="007241D1" w:rsidP="007B0CDD">
      <w:pPr>
        <w:pStyle w:val="NormalWeb"/>
        <w:spacing w:before="0" w:beforeAutospacing="0" w:after="0" w:afterAutospacing="0" w:line="480" w:lineRule="auto"/>
        <w:ind w:firstLine="720"/>
      </w:pPr>
    </w:p>
    <w:p w14:paraId="3D596A6B" w14:textId="77777777" w:rsidR="007241D1" w:rsidRDefault="007241D1" w:rsidP="007B0CDD">
      <w:pPr>
        <w:pStyle w:val="NormalWeb"/>
        <w:spacing w:before="0" w:beforeAutospacing="0" w:after="0" w:afterAutospacing="0" w:line="480" w:lineRule="auto"/>
        <w:ind w:firstLine="720"/>
      </w:pPr>
    </w:p>
    <w:p w14:paraId="2A547280" w14:textId="77777777" w:rsidR="00A16EDB" w:rsidRDefault="00A16EDB" w:rsidP="007B0CDD">
      <w:pPr>
        <w:pStyle w:val="NormalWeb"/>
        <w:spacing w:before="0" w:beforeAutospacing="0" w:after="0" w:afterAutospacing="0" w:line="480" w:lineRule="auto"/>
        <w:ind w:firstLine="720"/>
      </w:pPr>
    </w:p>
    <w:p w14:paraId="04B953FF" w14:textId="77777777" w:rsidR="00A16EDB" w:rsidRDefault="00A16EDB" w:rsidP="007B0CDD">
      <w:pPr>
        <w:pStyle w:val="NormalWeb"/>
        <w:spacing w:before="0" w:beforeAutospacing="0" w:after="0" w:afterAutospacing="0" w:line="480" w:lineRule="auto"/>
        <w:ind w:firstLine="720"/>
      </w:pPr>
    </w:p>
    <w:p w14:paraId="54D819A7" w14:textId="77777777" w:rsidR="00A16EDB" w:rsidRDefault="00A16EDB" w:rsidP="007B0CDD">
      <w:pPr>
        <w:pStyle w:val="NormalWeb"/>
        <w:spacing w:before="0" w:beforeAutospacing="0" w:after="0" w:afterAutospacing="0" w:line="480" w:lineRule="auto"/>
        <w:ind w:firstLine="720"/>
      </w:pPr>
    </w:p>
    <w:p w14:paraId="015D0878" w14:textId="77777777" w:rsidR="00A16EDB" w:rsidRDefault="00A16EDB" w:rsidP="007B0CDD">
      <w:pPr>
        <w:pStyle w:val="NormalWeb"/>
        <w:spacing w:before="0" w:beforeAutospacing="0" w:after="0" w:afterAutospacing="0" w:line="480" w:lineRule="auto"/>
        <w:ind w:firstLine="720"/>
      </w:pPr>
    </w:p>
    <w:p w14:paraId="691A8D2D" w14:textId="77777777" w:rsidR="00A16EDB" w:rsidRDefault="00A16EDB" w:rsidP="007B0CDD">
      <w:pPr>
        <w:pStyle w:val="NormalWeb"/>
        <w:spacing w:before="0" w:beforeAutospacing="0" w:after="0" w:afterAutospacing="0" w:line="480" w:lineRule="auto"/>
        <w:ind w:firstLine="720"/>
      </w:pPr>
    </w:p>
    <w:p w14:paraId="3AA6F049" w14:textId="77777777" w:rsidR="00A16EDB" w:rsidRDefault="00BA465F" w:rsidP="007B0CDD">
      <w:pPr>
        <w:pStyle w:val="NormalWeb"/>
        <w:spacing w:before="0" w:beforeAutospacing="0" w:after="0" w:afterAutospacing="0" w:line="480" w:lineRule="auto"/>
        <w:ind w:firstLine="720"/>
        <w:rPr>
          <w:b/>
          <w:bCs/>
          <w:sz w:val="28"/>
          <w:szCs w:val="28"/>
          <w:u w:val="single"/>
        </w:rPr>
      </w:pPr>
      <w:r w:rsidRPr="00410AE9">
        <w:rPr>
          <w:b/>
          <w:bCs/>
          <w:sz w:val="28"/>
          <w:szCs w:val="28"/>
          <w:u w:val="single"/>
        </w:rPr>
        <w:lastRenderedPageBreak/>
        <w:t>References</w:t>
      </w:r>
    </w:p>
    <w:p w14:paraId="315CE5E8" w14:textId="77777777" w:rsidR="00410AE9" w:rsidRDefault="00BA465F" w:rsidP="00410AE9">
      <w:pPr>
        <w:pStyle w:val="Bibliography"/>
        <w:rPr>
          <w:noProof/>
          <w:sz w:val="24"/>
          <w:szCs w:val="24"/>
        </w:rPr>
      </w:pPr>
      <w:r>
        <w:rPr>
          <w:b/>
          <w:bCs/>
          <w:sz w:val="28"/>
          <w:szCs w:val="28"/>
          <w:u w:val="single"/>
        </w:rPr>
        <w:fldChar w:fldCharType="begin"/>
      </w:r>
      <w:r>
        <w:rPr>
          <w:b/>
          <w:bCs/>
          <w:sz w:val="28"/>
          <w:szCs w:val="28"/>
          <w:u w:val="single"/>
          <w:lang w:val="en-GB"/>
        </w:rPr>
        <w:instrText xml:space="preserve"> BIBLIOGRAPHY  \l 2057 </w:instrText>
      </w:r>
      <w:r>
        <w:rPr>
          <w:b/>
          <w:bCs/>
          <w:sz w:val="28"/>
          <w:szCs w:val="28"/>
          <w:u w:val="single"/>
        </w:rPr>
        <w:fldChar w:fldCharType="separate"/>
      </w:r>
      <w:r>
        <w:rPr>
          <w:noProof/>
        </w:rPr>
        <w:t xml:space="preserve">Anon., 1952. </w:t>
      </w:r>
      <w:r>
        <w:rPr>
          <w:i/>
          <w:iCs/>
          <w:noProof/>
        </w:rPr>
        <w:t xml:space="preserve">Casemine. </w:t>
      </w:r>
      <w:r>
        <w:rPr>
          <w:noProof/>
        </w:rPr>
        <w:t xml:space="preserve">[Online] </w:t>
      </w:r>
    </w:p>
    <w:p w14:paraId="53ECB066" w14:textId="77777777" w:rsidR="00410AE9" w:rsidRDefault="00BA465F" w:rsidP="00410AE9">
      <w:pPr>
        <w:pStyle w:val="Bibliography"/>
        <w:rPr>
          <w:noProof/>
          <w:sz w:val="24"/>
          <w:szCs w:val="24"/>
        </w:rPr>
      </w:pPr>
      <w:r>
        <w:rPr>
          <w:noProof/>
        </w:rPr>
        <w:t xml:space="preserve">Available at: </w:t>
      </w:r>
      <w:r>
        <w:rPr>
          <w:noProof/>
          <w:u w:val="single"/>
        </w:rPr>
        <w:t>https://www.casemine.com/judgement/uk/5a8ff87960d03e7f57ec110a</w:t>
      </w:r>
    </w:p>
    <w:p w14:paraId="3A381EF5" w14:textId="77777777" w:rsidR="00410AE9" w:rsidRDefault="00BA465F" w:rsidP="00410AE9">
      <w:pPr>
        <w:pStyle w:val="Bibliography"/>
        <w:rPr>
          <w:noProof/>
          <w:sz w:val="24"/>
          <w:szCs w:val="24"/>
        </w:rPr>
      </w:pPr>
      <w:r>
        <w:rPr>
          <w:noProof/>
        </w:rPr>
        <w:t>[Accessed 01 March 2021].</w:t>
      </w:r>
    </w:p>
    <w:p w14:paraId="1608780B" w14:textId="77777777" w:rsidR="00410AE9" w:rsidRDefault="00BA465F" w:rsidP="00410AE9">
      <w:pPr>
        <w:pStyle w:val="Bibliography"/>
        <w:rPr>
          <w:noProof/>
        </w:rPr>
      </w:pPr>
      <w:r>
        <w:rPr>
          <w:noProof/>
        </w:rPr>
        <w:t xml:space="preserve">Anon., 2003. </w:t>
      </w:r>
      <w:r>
        <w:rPr>
          <w:i/>
          <w:iCs/>
          <w:noProof/>
        </w:rPr>
        <w:t xml:space="preserve">e-lawsource.co .uk. </w:t>
      </w:r>
      <w:r>
        <w:rPr>
          <w:noProof/>
        </w:rPr>
        <w:t xml:space="preserve">[Online] </w:t>
      </w:r>
    </w:p>
    <w:p w14:paraId="5DF20C12" w14:textId="77777777" w:rsidR="00410AE9" w:rsidRDefault="00BA465F" w:rsidP="00410AE9">
      <w:pPr>
        <w:pStyle w:val="Bibliography"/>
        <w:rPr>
          <w:noProof/>
        </w:rPr>
      </w:pPr>
      <w:r>
        <w:rPr>
          <w:noProof/>
        </w:rPr>
        <w:t xml:space="preserve">Available at: </w:t>
      </w:r>
      <w:r>
        <w:rPr>
          <w:noProof/>
          <w:u w:val="single"/>
        </w:rPr>
        <w:t>http://www.e-lawresources.co.uk/Ramsgate-Victoria-Hotel-v-Montefoire.php</w:t>
      </w:r>
    </w:p>
    <w:p w14:paraId="29C5F2B8" w14:textId="77777777" w:rsidR="00410AE9" w:rsidRDefault="00BA465F" w:rsidP="00410AE9">
      <w:pPr>
        <w:pStyle w:val="Bibliography"/>
        <w:rPr>
          <w:noProof/>
        </w:rPr>
      </w:pPr>
      <w:r>
        <w:rPr>
          <w:noProof/>
        </w:rPr>
        <w:t>[Accessed 25 February 2021].</w:t>
      </w:r>
    </w:p>
    <w:p w14:paraId="29FD5111" w14:textId="77777777" w:rsidR="00410AE9" w:rsidRDefault="00BA465F" w:rsidP="00410AE9">
      <w:pPr>
        <w:pStyle w:val="Bibliography"/>
        <w:rPr>
          <w:noProof/>
        </w:rPr>
      </w:pPr>
      <w:r>
        <w:rPr>
          <w:noProof/>
        </w:rPr>
        <w:t xml:space="preserve">Anon., 2003. </w:t>
      </w:r>
      <w:r>
        <w:rPr>
          <w:i/>
          <w:iCs/>
          <w:noProof/>
        </w:rPr>
        <w:t xml:space="preserve">Wikipedia. </w:t>
      </w:r>
      <w:r>
        <w:rPr>
          <w:noProof/>
        </w:rPr>
        <w:t xml:space="preserve">[Online] </w:t>
      </w:r>
    </w:p>
    <w:p w14:paraId="761BB2F1" w14:textId="77777777" w:rsidR="00410AE9" w:rsidRDefault="00BA465F" w:rsidP="00410AE9">
      <w:pPr>
        <w:pStyle w:val="Bibliography"/>
        <w:rPr>
          <w:noProof/>
        </w:rPr>
      </w:pPr>
      <w:r>
        <w:rPr>
          <w:noProof/>
        </w:rPr>
        <w:t xml:space="preserve">Available at: </w:t>
      </w:r>
      <w:r>
        <w:rPr>
          <w:noProof/>
          <w:u w:val="single"/>
        </w:rPr>
        <w:t>https://en.wikipedia.org/wiki/Fisher_v_Bell</w:t>
      </w:r>
    </w:p>
    <w:p w14:paraId="1FACC97B" w14:textId="77777777" w:rsidR="00410AE9" w:rsidRDefault="00BA465F" w:rsidP="00410AE9">
      <w:pPr>
        <w:pStyle w:val="Bibliography"/>
        <w:rPr>
          <w:noProof/>
        </w:rPr>
      </w:pPr>
      <w:r>
        <w:rPr>
          <w:noProof/>
        </w:rPr>
        <w:t>[Accessed 27 February 2021].</w:t>
      </w:r>
    </w:p>
    <w:p w14:paraId="42BA25F6" w14:textId="77777777" w:rsidR="00410AE9" w:rsidRDefault="00BA465F" w:rsidP="00410AE9">
      <w:pPr>
        <w:pStyle w:val="Bibliography"/>
        <w:rPr>
          <w:noProof/>
        </w:rPr>
      </w:pPr>
      <w:r>
        <w:rPr>
          <w:noProof/>
        </w:rPr>
        <w:t xml:space="preserve">Anon., 2010. </w:t>
      </w:r>
      <w:r>
        <w:rPr>
          <w:i/>
          <w:iCs/>
          <w:noProof/>
        </w:rPr>
        <w:t xml:space="preserve">Oxbridge Notes. </w:t>
      </w:r>
      <w:r>
        <w:rPr>
          <w:noProof/>
        </w:rPr>
        <w:t xml:space="preserve">[Online] </w:t>
      </w:r>
    </w:p>
    <w:p w14:paraId="7A4F23A2" w14:textId="77777777" w:rsidR="00410AE9" w:rsidRDefault="00BA465F" w:rsidP="00410AE9">
      <w:pPr>
        <w:pStyle w:val="Bibliography"/>
        <w:rPr>
          <w:noProof/>
        </w:rPr>
      </w:pPr>
      <w:r>
        <w:rPr>
          <w:noProof/>
        </w:rPr>
        <w:t xml:space="preserve">Available at: </w:t>
      </w:r>
      <w:r>
        <w:rPr>
          <w:noProof/>
          <w:u w:val="single"/>
        </w:rPr>
        <w:t>https://www.oxbridgenotes.co.uk/law_cases/henthorn-v-fraser</w:t>
      </w:r>
    </w:p>
    <w:p w14:paraId="4916F2D0" w14:textId="77777777" w:rsidR="00410AE9" w:rsidRDefault="00BA465F" w:rsidP="00410AE9">
      <w:pPr>
        <w:pStyle w:val="Bibliography"/>
        <w:rPr>
          <w:noProof/>
        </w:rPr>
      </w:pPr>
      <w:r>
        <w:rPr>
          <w:noProof/>
        </w:rPr>
        <w:t xml:space="preserve">[Accessed 28 February </w:t>
      </w:r>
      <w:r>
        <w:rPr>
          <w:noProof/>
        </w:rPr>
        <w:t>2021].</w:t>
      </w:r>
    </w:p>
    <w:p w14:paraId="106E043C" w14:textId="77777777" w:rsidR="00410AE9" w:rsidRDefault="00BA465F" w:rsidP="00410AE9">
      <w:pPr>
        <w:pStyle w:val="Bibliography"/>
        <w:rPr>
          <w:noProof/>
        </w:rPr>
      </w:pPr>
      <w:r>
        <w:rPr>
          <w:noProof/>
        </w:rPr>
        <w:t xml:space="preserve">Anon., 2017. </w:t>
      </w:r>
      <w:r>
        <w:rPr>
          <w:i/>
          <w:iCs/>
          <w:noProof/>
        </w:rPr>
        <w:t xml:space="preserve">Liuk. </w:t>
      </w:r>
      <w:r>
        <w:rPr>
          <w:noProof/>
        </w:rPr>
        <w:t xml:space="preserve">[Online] </w:t>
      </w:r>
    </w:p>
    <w:p w14:paraId="67A53023" w14:textId="77777777" w:rsidR="00410AE9" w:rsidRDefault="00BA465F" w:rsidP="00410AE9">
      <w:pPr>
        <w:pStyle w:val="Bibliography"/>
        <w:rPr>
          <w:noProof/>
        </w:rPr>
      </w:pPr>
      <w:r>
        <w:rPr>
          <w:noProof/>
        </w:rPr>
        <w:t xml:space="preserve">Available at: </w:t>
      </w:r>
      <w:r>
        <w:rPr>
          <w:noProof/>
          <w:u w:val="single"/>
        </w:rPr>
        <w:t>https://liuk.co.uk/tweddle-v-atkinson-1861/</w:t>
      </w:r>
    </w:p>
    <w:p w14:paraId="47348D59" w14:textId="77777777" w:rsidR="00410AE9" w:rsidRDefault="00BA465F" w:rsidP="00410AE9">
      <w:pPr>
        <w:pStyle w:val="Bibliography"/>
        <w:rPr>
          <w:noProof/>
        </w:rPr>
      </w:pPr>
      <w:r>
        <w:rPr>
          <w:noProof/>
        </w:rPr>
        <w:t>[Accessed 03 MARCH 2021].</w:t>
      </w:r>
    </w:p>
    <w:p w14:paraId="461F78FB" w14:textId="77777777" w:rsidR="00410AE9" w:rsidRDefault="00BA465F" w:rsidP="00410AE9">
      <w:pPr>
        <w:pStyle w:val="Bibliography"/>
        <w:rPr>
          <w:noProof/>
        </w:rPr>
      </w:pPr>
      <w:r>
        <w:rPr>
          <w:noProof/>
        </w:rPr>
        <w:t xml:space="preserve">Anon., 2021. </w:t>
      </w:r>
      <w:r>
        <w:rPr>
          <w:i/>
          <w:iCs/>
          <w:noProof/>
        </w:rPr>
        <w:t xml:space="preserve">Case brief WIKI. </w:t>
      </w:r>
      <w:r>
        <w:rPr>
          <w:noProof/>
        </w:rPr>
        <w:t xml:space="preserve">[Online] </w:t>
      </w:r>
    </w:p>
    <w:p w14:paraId="4071135E" w14:textId="77777777" w:rsidR="00410AE9" w:rsidRDefault="00BA465F" w:rsidP="00410AE9">
      <w:pPr>
        <w:pStyle w:val="Bibliography"/>
        <w:rPr>
          <w:noProof/>
        </w:rPr>
      </w:pPr>
      <w:r>
        <w:rPr>
          <w:noProof/>
        </w:rPr>
        <w:t xml:space="preserve">Available at: </w:t>
      </w:r>
      <w:r>
        <w:rPr>
          <w:noProof/>
          <w:u w:val="single"/>
        </w:rPr>
        <w:t>https://casebrief.fandom.com/wiki/Felthouse_v_Bindley</w:t>
      </w:r>
    </w:p>
    <w:p w14:paraId="4D00E35A" w14:textId="77777777" w:rsidR="00410AE9" w:rsidRDefault="00BA465F" w:rsidP="00410AE9">
      <w:pPr>
        <w:pStyle w:val="Bibliography"/>
        <w:rPr>
          <w:noProof/>
        </w:rPr>
      </w:pPr>
      <w:r>
        <w:rPr>
          <w:noProof/>
        </w:rPr>
        <w:t>[Accessed 26 February 2021].</w:t>
      </w:r>
    </w:p>
    <w:p w14:paraId="361EC43F" w14:textId="77777777" w:rsidR="00410AE9" w:rsidRDefault="00BA465F" w:rsidP="00410AE9">
      <w:pPr>
        <w:pStyle w:val="Bibliography"/>
        <w:rPr>
          <w:noProof/>
        </w:rPr>
      </w:pPr>
      <w:r>
        <w:rPr>
          <w:noProof/>
        </w:rPr>
        <w:t xml:space="preserve">Anon., 2021. </w:t>
      </w:r>
      <w:r>
        <w:rPr>
          <w:i/>
          <w:iCs/>
          <w:noProof/>
        </w:rPr>
        <w:t xml:space="preserve">EL Explore Law. </w:t>
      </w:r>
      <w:r>
        <w:rPr>
          <w:noProof/>
        </w:rPr>
        <w:t xml:space="preserve">[Online] </w:t>
      </w:r>
    </w:p>
    <w:p w14:paraId="555B627A" w14:textId="77777777" w:rsidR="00410AE9" w:rsidRDefault="00BA465F" w:rsidP="00410AE9">
      <w:pPr>
        <w:pStyle w:val="Bibliography"/>
        <w:rPr>
          <w:noProof/>
        </w:rPr>
      </w:pPr>
      <w:r>
        <w:rPr>
          <w:noProof/>
        </w:rPr>
        <w:t xml:space="preserve">Available at: </w:t>
      </w:r>
      <w:r>
        <w:rPr>
          <w:noProof/>
          <w:u w:val="single"/>
        </w:rPr>
        <w:t>https://www.explore-law.com/errington-v-errington/</w:t>
      </w:r>
    </w:p>
    <w:p w14:paraId="2DDDC800" w14:textId="77777777" w:rsidR="00410AE9" w:rsidRDefault="00BA465F" w:rsidP="00410AE9">
      <w:pPr>
        <w:pStyle w:val="Bibliography"/>
        <w:rPr>
          <w:noProof/>
        </w:rPr>
      </w:pPr>
      <w:r>
        <w:rPr>
          <w:noProof/>
        </w:rPr>
        <w:t>[Accessed 25 February 2021].</w:t>
      </w:r>
    </w:p>
    <w:p w14:paraId="304E6E22" w14:textId="77777777" w:rsidR="00410AE9" w:rsidRDefault="00BA465F" w:rsidP="00410AE9">
      <w:pPr>
        <w:pStyle w:val="Bibliography"/>
        <w:rPr>
          <w:noProof/>
        </w:rPr>
      </w:pPr>
      <w:r>
        <w:rPr>
          <w:noProof/>
        </w:rPr>
        <w:t xml:space="preserve">Anon., 2021. </w:t>
      </w:r>
      <w:r>
        <w:rPr>
          <w:i/>
          <w:iCs/>
          <w:noProof/>
        </w:rPr>
        <w:t xml:space="preserve">FANDOM. </w:t>
      </w:r>
      <w:r>
        <w:rPr>
          <w:noProof/>
        </w:rPr>
        <w:t xml:space="preserve">[Online] </w:t>
      </w:r>
    </w:p>
    <w:p w14:paraId="4BE3E8CA" w14:textId="77777777" w:rsidR="00410AE9" w:rsidRDefault="00BA465F" w:rsidP="00410AE9">
      <w:pPr>
        <w:pStyle w:val="Bibliography"/>
        <w:rPr>
          <w:noProof/>
        </w:rPr>
      </w:pPr>
      <w:r>
        <w:rPr>
          <w:noProof/>
        </w:rPr>
        <w:t xml:space="preserve">Available at: </w:t>
      </w:r>
      <w:r>
        <w:rPr>
          <w:noProof/>
          <w:u w:val="single"/>
        </w:rPr>
        <w:t>https://casebrief.fandom.com/wiki/Lampleigh_v_Brathwait</w:t>
      </w:r>
    </w:p>
    <w:p w14:paraId="01667071" w14:textId="77777777" w:rsidR="00410AE9" w:rsidRDefault="00BA465F" w:rsidP="00410AE9">
      <w:pPr>
        <w:pStyle w:val="Bibliography"/>
        <w:rPr>
          <w:noProof/>
        </w:rPr>
      </w:pPr>
      <w:r>
        <w:rPr>
          <w:noProof/>
        </w:rPr>
        <w:t>[Accessed 03 march 20</w:t>
      </w:r>
      <w:r>
        <w:rPr>
          <w:noProof/>
        </w:rPr>
        <w:t>21].</w:t>
      </w:r>
    </w:p>
    <w:p w14:paraId="51F45779" w14:textId="77777777" w:rsidR="00410AE9" w:rsidRDefault="00BA465F" w:rsidP="00410AE9">
      <w:pPr>
        <w:pStyle w:val="Bibliography"/>
        <w:rPr>
          <w:noProof/>
        </w:rPr>
      </w:pPr>
      <w:r>
        <w:rPr>
          <w:noProof/>
        </w:rPr>
        <w:t xml:space="preserve">Anon., 2021. </w:t>
      </w:r>
      <w:r>
        <w:rPr>
          <w:i/>
          <w:iCs/>
          <w:noProof/>
        </w:rPr>
        <w:t xml:space="preserve">law case summaries. </w:t>
      </w:r>
      <w:r>
        <w:rPr>
          <w:noProof/>
        </w:rPr>
        <w:t xml:space="preserve">[Online] </w:t>
      </w:r>
    </w:p>
    <w:p w14:paraId="25CC8E2F" w14:textId="77777777" w:rsidR="00410AE9" w:rsidRDefault="00BA465F" w:rsidP="00410AE9">
      <w:pPr>
        <w:pStyle w:val="Bibliography"/>
        <w:rPr>
          <w:noProof/>
        </w:rPr>
      </w:pPr>
      <w:r>
        <w:rPr>
          <w:noProof/>
        </w:rPr>
        <w:t xml:space="preserve">Available at: </w:t>
      </w:r>
      <w:r>
        <w:rPr>
          <w:noProof/>
          <w:u w:val="single"/>
        </w:rPr>
        <w:t>https://lawcasesummaries.com/knowledge-base/adams-v-lindsell-1818-ewhc-kb-j59/</w:t>
      </w:r>
    </w:p>
    <w:p w14:paraId="33775C1E" w14:textId="77777777" w:rsidR="00410AE9" w:rsidRDefault="00BA465F" w:rsidP="00410AE9">
      <w:pPr>
        <w:pStyle w:val="Bibliography"/>
        <w:rPr>
          <w:noProof/>
        </w:rPr>
      </w:pPr>
      <w:r>
        <w:rPr>
          <w:noProof/>
        </w:rPr>
        <w:lastRenderedPageBreak/>
        <w:t>[Accessed 28 February 2021].</w:t>
      </w:r>
    </w:p>
    <w:p w14:paraId="0515C9D6" w14:textId="77777777" w:rsidR="00410AE9" w:rsidRDefault="00BA465F" w:rsidP="00410AE9">
      <w:pPr>
        <w:pStyle w:val="Bibliography"/>
        <w:rPr>
          <w:noProof/>
        </w:rPr>
      </w:pPr>
      <w:r>
        <w:rPr>
          <w:noProof/>
        </w:rPr>
        <w:t xml:space="preserve">Anon., 2021. </w:t>
      </w:r>
      <w:r>
        <w:rPr>
          <w:i/>
          <w:iCs/>
          <w:noProof/>
        </w:rPr>
        <w:t xml:space="preserve">Law case summaries. </w:t>
      </w:r>
      <w:r>
        <w:rPr>
          <w:noProof/>
        </w:rPr>
        <w:t xml:space="preserve">[Online] </w:t>
      </w:r>
    </w:p>
    <w:p w14:paraId="2FECCF8A" w14:textId="77777777" w:rsidR="00410AE9" w:rsidRDefault="00BA465F" w:rsidP="00410AE9">
      <w:pPr>
        <w:pStyle w:val="Bibliography"/>
        <w:rPr>
          <w:noProof/>
        </w:rPr>
      </w:pPr>
      <w:r>
        <w:rPr>
          <w:noProof/>
        </w:rPr>
        <w:t xml:space="preserve">Available at: </w:t>
      </w:r>
      <w:r>
        <w:rPr>
          <w:noProof/>
          <w:u w:val="single"/>
        </w:rPr>
        <w:t>https://lawcasesummaries.com/knowledge-base/byrne-co-v-leon-van-tien-hoven-co-1880-5-cpd-344/</w:t>
      </w:r>
    </w:p>
    <w:p w14:paraId="2AE2AED6" w14:textId="77777777" w:rsidR="00410AE9" w:rsidRDefault="00BA465F" w:rsidP="00410AE9">
      <w:pPr>
        <w:pStyle w:val="Bibliography"/>
        <w:rPr>
          <w:noProof/>
        </w:rPr>
      </w:pPr>
      <w:r>
        <w:rPr>
          <w:noProof/>
        </w:rPr>
        <w:t>[Accessed 24 02 2021].</w:t>
      </w:r>
    </w:p>
    <w:p w14:paraId="555A0914" w14:textId="77777777" w:rsidR="00410AE9" w:rsidRDefault="00BA465F" w:rsidP="00410AE9">
      <w:pPr>
        <w:pStyle w:val="Bibliography"/>
        <w:rPr>
          <w:noProof/>
        </w:rPr>
      </w:pPr>
      <w:r>
        <w:rPr>
          <w:noProof/>
        </w:rPr>
        <w:t xml:space="preserve">Anon., 2021. </w:t>
      </w:r>
      <w:r>
        <w:rPr>
          <w:i/>
          <w:iCs/>
          <w:noProof/>
        </w:rPr>
        <w:t xml:space="preserve">Open Law map. </w:t>
      </w:r>
      <w:r>
        <w:rPr>
          <w:noProof/>
        </w:rPr>
        <w:t xml:space="preserve">[Online] </w:t>
      </w:r>
    </w:p>
    <w:p w14:paraId="7A1B2D16" w14:textId="77777777" w:rsidR="00410AE9" w:rsidRDefault="00BA465F" w:rsidP="00410AE9">
      <w:pPr>
        <w:pStyle w:val="Bibliography"/>
        <w:rPr>
          <w:noProof/>
        </w:rPr>
      </w:pPr>
      <w:r>
        <w:rPr>
          <w:noProof/>
        </w:rPr>
        <w:t xml:space="preserve">Available at: </w:t>
      </w:r>
      <w:r>
        <w:rPr>
          <w:noProof/>
          <w:u w:val="single"/>
        </w:rPr>
        <w:t>https://openlawmap.co.uk/locations/hyde-v-wrench</w:t>
      </w:r>
    </w:p>
    <w:p w14:paraId="7F9DA99D" w14:textId="77777777" w:rsidR="00410AE9" w:rsidRDefault="00BA465F" w:rsidP="00410AE9">
      <w:pPr>
        <w:pStyle w:val="Bibliography"/>
        <w:rPr>
          <w:noProof/>
        </w:rPr>
      </w:pPr>
      <w:r>
        <w:rPr>
          <w:noProof/>
        </w:rPr>
        <w:t>[Accessed 24 February 2021].</w:t>
      </w:r>
    </w:p>
    <w:p w14:paraId="5E80D95B" w14:textId="77777777" w:rsidR="00410AE9" w:rsidRDefault="00BA465F" w:rsidP="00410AE9">
      <w:pPr>
        <w:pStyle w:val="Bibliography"/>
        <w:rPr>
          <w:noProof/>
        </w:rPr>
      </w:pPr>
      <w:r>
        <w:rPr>
          <w:noProof/>
        </w:rPr>
        <w:t>Anon., 202</w:t>
      </w:r>
      <w:r>
        <w:rPr>
          <w:noProof/>
        </w:rPr>
        <w:t xml:space="preserve">1. </w:t>
      </w:r>
      <w:r>
        <w:rPr>
          <w:i/>
          <w:iCs/>
          <w:noProof/>
        </w:rPr>
        <w:t xml:space="preserve">Web stroke. </w:t>
      </w:r>
      <w:r>
        <w:rPr>
          <w:noProof/>
        </w:rPr>
        <w:t xml:space="preserve">[Online] </w:t>
      </w:r>
    </w:p>
    <w:p w14:paraId="101F5280" w14:textId="77777777" w:rsidR="00410AE9" w:rsidRDefault="00BA465F" w:rsidP="00410AE9">
      <w:pPr>
        <w:pStyle w:val="Bibliography"/>
        <w:rPr>
          <w:noProof/>
        </w:rPr>
      </w:pPr>
      <w:r>
        <w:rPr>
          <w:noProof/>
        </w:rPr>
        <w:t xml:space="preserve">Available at: </w:t>
      </w:r>
      <w:r>
        <w:rPr>
          <w:noProof/>
          <w:u w:val="single"/>
        </w:rPr>
        <w:t>https://webstroke.co.uk/law/gibson-v-manchester-city-council-1978</w:t>
      </w:r>
    </w:p>
    <w:p w14:paraId="1CACB532" w14:textId="77777777" w:rsidR="00410AE9" w:rsidRDefault="00BA465F" w:rsidP="00410AE9">
      <w:pPr>
        <w:pStyle w:val="Bibliography"/>
        <w:rPr>
          <w:noProof/>
        </w:rPr>
      </w:pPr>
      <w:r>
        <w:rPr>
          <w:noProof/>
        </w:rPr>
        <w:t>[Accessed 26 February 2021].</w:t>
      </w:r>
    </w:p>
    <w:p w14:paraId="28AFF796" w14:textId="77777777" w:rsidR="00410AE9" w:rsidRDefault="00BA465F" w:rsidP="00410AE9">
      <w:pPr>
        <w:pStyle w:val="Bibliography"/>
        <w:rPr>
          <w:noProof/>
        </w:rPr>
      </w:pPr>
      <w:r>
        <w:rPr>
          <w:noProof/>
        </w:rPr>
        <w:t xml:space="preserve">Brandly, M., 2011. </w:t>
      </w:r>
      <w:r>
        <w:rPr>
          <w:i/>
          <w:iCs/>
          <w:noProof/>
        </w:rPr>
        <w:t xml:space="preserve">Wordpress. </w:t>
      </w:r>
      <w:r>
        <w:rPr>
          <w:noProof/>
        </w:rPr>
        <w:t xml:space="preserve">[Online] </w:t>
      </w:r>
    </w:p>
    <w:p w14:paraId="01BA06B8" w14:textId="77777777" w:rsidR="00410AE9" w:rsidRDefault="00BA465F" w:rsidP="00410AE9">
      <w:pPr>
        <w:pStyle w:val="Bibliography"/>
        <w:rPr>
          <w:noProof/>
        </w:rPr>
      </w:pPr>
      <w:r>
        <w:rPr>
          <w:noProof/>
        </w:rPr>
        <w:t xml:space="preserve">Available at: </w:t>
      </w:r>
      <w:r>
        <w:rPr>
          <w:noProof/>
          <w:u w:val="single"/>
        </w:rPr>
        <w:t>https://mikebrandlyauctioneer.wordpress.com/2010/12/29/old-english-auction-case-law-2/</w:t>
      </w:r>
    </w:p>
    <w:p w14:paraId="58A0706C" w14:textId="77777777" w:rsidR="00410AE9" w:rsidRDefault="00BA465F" w:rsidP="00410AE9">
      <w:pPr>
        <w:pStyle w:val="Bibliography"/>
        <w:rPr>
          <w:noProof/>
        </w:rPr>
      </w:pPr>
      <w:r>
        <w:rPr>
          <w:noProof/>
        </w:rPr>
        <w:t>[Accessed 24 February 2021].</w:t>
      </w:r>
    </w:p>
    <w:p w14:paraId="1E05C631" w14:textId="77777777" w:rsidR="00410AE9" w:rsidRDefault="00BA465F" w:rsidP="00410AE9">
      <w:pPr>
        <w:pStyle w:val="Bibliography"/>
        <w:rPr>
          <w:noProof/>
        </w:rPr>
      </w:pPr>
      <w:r>
        <w:rPr>
          <w:noProof/>
        </w:rPr>
        <w:t xml:space="preserve">Guttman, F., 1994. </w:t>
      </w:r>
      <w:r>
        <w:rPr>
          <w:i/>
          <w:iCs/>
          <w:noProof/>
        </w:rPr>
        <w:t xml:space="preserve">Studocu. </w:t>
      </w:r>
      <w:r>
        <w:rPr>
          <w:noProof/>
        </w:rPr>
        <w:t xml:space="preserve">[Online] </w:t>
      </w:r>
    </w:p>
    <w:p w14:paraId="5E90FFF2" w14:textId="77777777" w:rsidR="00410AE9" w:rsidRDefault="00BA465F" w:rsidP="00410AE9">
      <w:pPr>
        <w:pStyle w:val="Bibliography"/>
        <w:rPr>
          <w:noProof/>
        </w:rPr>
      </w:pPr>
      <w:r>
        <w:rPr>
          <w:noProof/>
        </w:rPr>
        <w:t xml:space="preserve">Available at: </w:t>
      </w:r>
      <w:r>
        <w:rPr>
          <w:noProof/>
          <w:u w:val="single"/>
        </w:rPr>
        <w:t>https://www.studocu.com/en-gb/document/brunel-university-london/law-of-trusts/lecture-no</w:t>
      </w:r>
      <w:r>
        <w:rPr>
          <w:noProof/>
          <w:u w:val="single"/>
        </w:rPr>
        <w:t>tes/clifton-v-palumbo-1944-2-all-er-497/5102051/view</w:t>
      </w:r>
    </w:p>
    <w:p w14:paraId="7BB7BEF4" w14:textId="77777777" w:rsidR="00410AE9" w:rsidRDefault="00BA465F" w:rsidP="00410AE9">
      <w:pPr>
        <w:pStyle w:val="Bibliography"/>
        <w:rPr>
          <w:noProof/>
        </w:rPr>
      </w:pPr>
      <w:r>
        <w:rPr>
          <w:noProof/>
        </w:rPr>
        <w:t>[Accessed 27 February 2021].</w:t>
      </w:r>
    </w:p>
    <w:p w14:paraId="532580E3" w14:textId="77777777" w:rsidR="00410AE9" w:rsidRDefault="00BA465F" w:rsidP="00410AE9">
      <w:pPr>
        <w:pStyle w:val="Bibliography"/>
        <w:rPr>
          <w:noProof/>
        </w:rPr>
      </w:pPr>
      <w:r>
        <w:rPr>
          <w:noProof/>
        </w:rPr>
        <w:t xml:space="preserve">Jackson, N., 2019. </w:t>
      </w:r>
      <w:r>
        <w:rPr>
          <w:i/>
          <w:iCs/>
          <w:noProof/>
        </w:rPr>
        <w:t xml:space="preserve">Law trove. </w:t>
      </w:r>
      <w:r>
        <w:rPr>
          <w:noProof/>
        </w:rPr>
        <w:t xml:space="preserve">[Online] </w:t>
      </w:r>
    </w:p>
    <w:p w14:paraId="60CE742E" w14:textId="77777777" w:rsidR="00410AE9" w:rsidRDefault="00BA465F" w:rsidP="00410AE9">
      <w:pPr>
        <w:pStyle w:val="Bibliography"/>
        <w:rPr>
          <w:noProof/>
        </w:rPr>
      </w:pPr>
      <w:r>
        <w:rPr>
          <w:noProof/>
        </w:rPr>
        <w:t xml:space="preserve">Available at: </w:t>
      </w:r>
      <w:r>
        <w:rPr>
          <w:noProof/>
          <w:u w:val="single"/>
        </w:rPr>
        <w:t>https://www.oxfordlawtrove.com/view/10.1093/he/9780191883750.001.0001/he-9780191883750-chapter-11</w:t>
      </w:r>
    </w:p>
    <w:p w14:paraId="6B4C023E" w14:textId="77777777" w:rsidR="00410AE9" w:rsidRDefault="00BA465F" w:rsidP="00410AE9">
      <w:pPr>
        <w:pStyle w:val="Bibliography"/>
        <w:rPr>
          <w:noProof/>
        </w:rPr>
      </w:pPr>
      <w:r>
        <w:rPr>
          <w:noProof/>
        </w:rPr>
        <w:t>[Accessed 02 March 202</w:t>
      </w:r>
      <w:r>
        <w:rPr>
          <w:noProof/>
        </w:rPr>
        <w:t>1].</w:t>
      </w:r>
    </w:p>
    <w:p w14:paraId="5DFEF630" w14:textId="77777777" w:rsidR="00410AE9" w:rsidRDefault="00BA465F" w:rsidP="00410AE9">
      <w:pPr>
        <w:pStyle w:val="Bibliography"/>
        <w:rPr>
          <w:noProof/>
        </w:rPr>
      </w:pPr>
      <w:r>
        <w:rPr>
          <w:noProof/>
        </w:rPr>
        <w:t xml:space="preserve">Jackson, N., 2020. </w:t>
      </w:r>
      <w:r>
        <w:rPr>
          <w:i/>
          <w:iCs/>
          <w:noProof/>
        </w:rPr>
        <w:t xml:space="preserve">Law trove. </w:t>
      </w:r>
      <w:r>
        <w:rPr>
          <w:noProof/>
        </w:rPr>
        <w:t xml:space="preserve">[Online] </w:t>
      </w:r>
    </w:p>
    <w:p w14:paraId="19377E69" w14:textId="77777777" w:rsidR="00410AE9" w:rsidRDefault="00BA465F" w:rsidP="00410AE9">
      <w:pPr>
        <w:pStyle w:val="Bibliography"/>
        <w:rPr>
          <w:noProof/>
        </w:rPr>
      </w:pPr>
      <w:r>
        <w:rPr>
          <w:noProof/>
        </w:rPr>
        <w:t xml:space="preserve">Available at: </w:t>
      </w:r>
      <w:r>
        <w:rPr>
          <w:noProof/>
          <w:u w:val="single"/>
        </w:rPr>
        <w:t>https://www.oxfordlawtrove.com/view/10.1093/he/9780191897672.001.0001/he-9780191897672-chapter-7</w:t>
      </w:r>
    </w:p>
    <w:p w14:paraId="00F93600" w14:textId="77777777" w:rsidR="00410AE9" w:rsidRDefault="00BA465F" w:rsidP="00410AE9">
      <w:pPr>
        <w:pStyle w:val="Bibliography"/>
        <w:rPr>
          <w:noProof/>
        </w:rPr>
      </w:pPr>
      <w:r>
        <w:rPr>
          <w:noProof/>
        </w:rPr>
        <w:t>[Accessed 22 February 2021].</w:t>
      </w:r>
    </w:p>
    <w:p w14:paraId="739945C9" w14:textId="77777777" w:rsidR="00410AE9" w:rsidRDefault="00BA465F" w:rsidP="00410AE9">
      <w:pPr>
        <w:pStyle w:val="Bibliography"/>
        <w:rPr>
          <w:noProof/>
        </w:rPr>
      </w:pPr>
      <w:r>
        <w:rPr>
          <w:noProof/>
        </w:rPr>
        <w:t xml:space="preserve">Marshall, D., 2006. </w:t>
      </w:r>
      <w:r>
        <w:rPr>
          <w:i/>
          <w:iCs/>
          <w:noProof/>
        </w:rPr>
        <w:t xml:space="preserve">JSTOR. </w:t>
      </w:r>
      <w:r>
        <w:rPr>
          <w:noProof/>
        </w:rPr>
        <w:t xml:space="preserve">[Online] </w:t>
      </w:r>
    </w:p>
    <w:p w14:paraId="5A171B2B" w14:textId="77777777" w:rsidR="00410AE9" w:rsidRDefault="00BA465F" w:rsidP="00410AE9">
      <w:pPr>
        <w:pStyle w:val="Bibliography"/>
        <w:rPr>
          <w:noProof/>
        </w:rPr>
      </w:pPr>
      <w:r>
        <w:rPr>
          <w:noProof/>
        </w:rPr>
        <w:t xml:space="preserve">Available at: </w:t>
      </w:r>
      <w:r>
        <w:rPr>
          <w:noProof/>
          <w:u w:val="single"/>
        </w:rPr>
        <w:t>https://www.jstor.org</w:t>
      </w:r>
      <w:r>
        <w:rPr>
          <w:noProof/>
          <w:u w:val="single"/>
        </w:rPr>
        <w:t>/stable/3304206?seq=1#metadata_info_tab_contents</w:t>
      </w:r>
    </w:p>
    <w:p w14:paraId="437A1C42" w14:textId="77777777" w:rsidR="00410AE9" w:rsidRDefault="00BA465F" w:rsidP="00410AE9">
      <w:pPr>
        <w:pStyle w:val="Bibliography"/>
        <w:rPr>
          <w:noProof/>
        </w:rPr>
      </w:pPr>
      <w:r>
        <w:rPr>
          <w:noProof/>
        </w:rPr>
        <w:lastRenderedPageBreak/>
        <w:t>[Accessed 01 March 2021].</w:t>
      </w:r>
    </w:p>
    <w:p w14:paraId="3E9AEF70" w14:textId="77777777" w:rsidR="00410AE9" w:rsidRDefault="00BA465F" w:rsidP="00410AE9">
      <w:pPr>
        <w:pStyle w:val="Bibliography"/>
        <w:rPr>
          <w:noProof/>
        </w:rPr>
      </w:pPr>
      <w:r>
        <w:rPr>
          <w:noProof/>
        </w:rPr>
        <w:t xml:space="preserve">Reuters, T., 2021. </w:t>
      </w:r>
      <w:r>
        <w:rPr>
          <w:i/>
          <w:iCs/>
          <w:noProof/>
        </w:rPr>
        <w:t xml:space="preserve">Thomson Reuters. </w:t>
      </w:r>
      <w:r>
        <w:rPr>
          <w:noProof/>
        </w:rPr>
        <w:t xml:space="preserve">[Online] </w:t>
      </w:r>
    </w:p>
    <w:p w14:paraId="58E05EE6" w14:textId="77777777" w:rsidR="00410AE9" w:rsidRDefault="00BA465F" w:rsidP="00410AE9">
      <w:pPr>
        <w:pStyle w:val="Bibliography"/>
        <w:rPr>
          <w:noProof/>
        </w:rPr>
      </w:pPr>
      <w:r>
        <w:rPr>
          <w:noProof/>
        </w:rPr>
        <w:t xml:space="preserve">Available at: </w:t>
      </w:r>
      <w:r>
        <w:rPr>
          <w:noProof/>
          <w:u w:val="single"/>
        </w:rPr>
        <w:t>http://www.e-lawresources.co.uk/Ramsgate-Victoria-Hotel-v-Montefoire.php</w:t>
      </w:r>
    </w:p>
    <w:p w14:paraId="32A574C6" w14:textId="77777777" w:rsidR="00410AE9" w:rsidRDefault="00BA465F" w:rsidP="00410AE9">
      <w:pPr>
        <w:pStyle w:val="Bibliography"/>
        <w:rPr>
          <w:noProof/>
        </w:rPr>
      </w:pPr>
      <w:r>
        <w:rPr>
          <w:noProof/>
        </w:rPr>
        <w:t>[Accessed 25 February 2021].</w:t>
      </w:r>
    </w:p>
    <w:p w14:paraId="107D93E5" w14:textId="77777777" w:rsidR="00410AE9" w:rsidRDefault="00BA465F" w:rsidP="00410AE9">
      <w:pPr>
        <w:pStyle w:val="Bibliography"/>
        <w:rPr>
          <w:noProof/>
        </w:rPr>
      </w:pPr>
      <w:r>
        <w:rPr>
          <w:noProof/>
        </w:rPr>
        <w:t xml:space="preserve">Saprai, 2017. </w:t>
      </w:r>
      <w:r>
        <w:rPr>
          <w:i/>
          <w:iCs/>
          <w:noProof/>
        </w:rPr>
        <w:t>Wiley</w:t>
      </w:r>
      <w:r>
        <w:rPr>
          <w:i/>
          <w:iCs/>
          <w:noProof/>
        </w:rPr>
        <w:t xml:space="preserve"> Online Library. </w:t>
      </w:r>
      <w:r>
        <w:rPr>
          <w:noProof/>
        </w:rPr>
        <w:t xml:space="preserve">[Online] </w:t>
      </w:r>
    </w:p>
    <w:p w14:paraId="3C9F6200" w14:textId="77777777" w:rsidR="00410AE9" w:rsidRDefault="00BA465F" w:rsidP="00410AE9">
      <w:pPr>
        <w:pStyle w:val="Bibliography"/>
        <w:rPr>
          <w:noProof/>
        </w:rPr>
      </w:pPr>
      <w:r>
        <w:rPr>
          <w:noProof/>
        </w:rPr>
        <w:t xml:space="preserve">Available at: </w:t>
      </w:r>
      <w:r>
        <w:rPr>
          <w:noProof/>
          <w:u w:val="single"/>
        </w:rPr>
        <w:t>https://onlinelibrary.wiley.com/doi/abs/10.1111/lest.12162</w:t>
      </w:r>
    </w:p>
    <w:p w14:paraId="497F817A" w14:textId="77777777" w:rsidR="00410AE9" w:rsidRDefault="00BA465F" w:rsidP="00410AE9">
      <w:pPr>
        <w:pStyle w:val="Bibliography"/>
        <w:rPr>
          <w:noProof/>
        </w:rPr>
      </w:pPr>
      <w:r>
        <w:rPr>
          <w:noProof/>
        </w:rPr>
        <w:t>[Accessed 02 March 2021].</w:t>
      </w:r>
    </w:p>
    <w:p w14:paraId="3B96F93E" w14:textId="77777777" w:rsidR="00410AE9" w:rsidRPr="00410AE9" w:rsidRDefault="00BA465F" w:rsidP="00410AE9">
      <w:pPr>
        <w:pStyle w:val="NormalWeb"/>
        <w:spacing w:before="0" w:beforeAutospacing="0" w:after="0" w:afterAutospacing="0" w:line="480" w:lineRule="auto"/>
        <w:ind w:firstLine="720"/>
        <w:rPr>
          <w:b/>
          <w:bCs/>
          <w:sz w:val="28"/>
          <w:szCs w:val="28"/>
          <w:u w:val="single"/>
        </w:rPr>
      </w:pPr>
      <w:r>
        <w:rPr>
          <w:b/>
          <w:bCs/>
          <w:sz w:val="28"/>
          <w:szCs w:val="28"/>
          <w:u w:val="single"/>
        </w:rPr>
        <w:fldChar w:fldCharType="end"/>
      </w:r>
    </w:p>
    <w:p w14:paraId="51BA65FE" w14:textId="52C536E5" w:rsidR="007241D1" w:rsidRPr="003F7EAA" w:rsidRDefault="00BA465F" w:rsidP="00601CF6">
      <w:pPr>
        <w:pStyle w:val="NormalWeb"/>
        <w:spacing w:before="0" w:beforeAutospacing="0" w:after="0" w:afterAutospacing="0" w:line="480" w:lineRule="auto"/>
        <w:ind w:firstLine="720"/>
        <w:jc w:val="both"/>
        <w:rPr>
          <w:b/>
          <w:bCs/>
          <w:sz w:val="28"/>
          <w:szCs w:val="28"/>
          <w:u w:val="single"/>
        </w:rPr>
      </w:pPr>
      <w:r>
        <w:rPr>
          <w:b/>
          <w:bCs/>
          <w:sz w:val="28"/>
          <w:szCs w:val="28"/>
          <w:u w:val="single"/>
        </w:rPr>
        <w:t>List of cases</w:t>
      </w:r>
    </w:p>
    <w:p w14:paraId="76E7AAFF" w14:textId="77777777" w:rsidR="00C177A6" w:rsidRDefault="00BA465F" w:rsidP="00601CF6">
      <w:pPr>
        <w:pStyle w:val="NormalWeb"/>
        <w:spacing w:before="0" w:beforeAutospacing="0" w:after="0" w:afterAutospacing="0" w:line="480" w:lineRule="auto"/>
        <w:ind w:firstLine="720"/>
        <w:jc w:val="both"/>
      </w:pPr>
      <w:r>
        <w:t>Carlil</w:t>
      </w:r>
      <w:r w:rsidR="007D1F2E">
        <w:t>l v Carbolic Smoke Bawl C</w:t>
      </w:r>
      <w:r w:rsidR="002A156B">
        <w:t>o</w:t>
      </w:r>
      <w:r w:rsidR="007D1F2E">
        <w:t xml:space="preserve"> [</w:t>
      </w:r>
      <w:r w:rsidR="002A156B">
        <w:t>1983] 1 QB 256</w:t>
      </w:r>
    </w:p>
    <w:p w14:paraId="3097DDCB" w14:textId="77777777" w:rsidR="002A156B" w:rsidRDefault="00BA465F" w:rsidP="00601CF6">
      <w:pPr>
        <w:pStyle w:val="NormalWeb"/>
        <w:spacing w:before="0" w:beforeAutospacing="0" w:after="0" w:afterAutospacing="0" w:line="480" w:lineRule="auto"/>
        <w:ind w:firstLine="720"/>
        <w:jc w:val="both"/>
      </w:pPr>
      <w:r>
        <w:t>Payne v Cave [</w:t>
      </w:r>
      <w:r w:rsidR="00EC02EC">
        <w:t>1789] 3 TR 148</w:t>
      </w:r>
    </w:p>
    <w:p w14:paraId="4D24709D" w14:textId="77777777" w:rsidR="007241D1" w:rsidRDefault="00BA465F" w:rsidP="00601CF6">
      <w:pPr>
        <w:pStyle w:val="NormalWeb"/>
        <w:spacing w:before="0" w:beforeAutospacing="0" w:after="0" w:afterAutospacing="0" w:line="480" w:lineRule="auto"/>
        <w:jc w:val="both"/>
      </w:pPr>
      <w:r>
        <w:t xml:space="preserve">            Byrne </w:t>
      </w:r>
      <w:r w:rsidR="001723CF">
        <w:t xml:space="preserve">&amp; </w:t>
      </w:r>
      <w:r w:rsidR="00E2646F">
        <w:t xml:space="preserve">Co </w:t>
      </w:r>
      <w:r w:rsidR="00C62035">
        <w:t xml:space="preserve">v </w:t>
      </w:r>
      <w:r w:rsidR="00E2646F">
        <w:t xml:space="preserve">Leon </w:t>
      </w:r>
      <w:r w:rsidR="00C62035">
        <w:t>Van Tienhoven</w:t>
      </w:r>
      <w:r w:rsidR="00E2646F">
        <w:t xml:space="preserve"> &amp; Co</w:t>
      </w:r>
      <w:r w:rsidR="00FA09DE">
        <w:t xml:space="preserve"> [</w:t>
      </w:r>
      <w:r w:rsidR="00C34876">
        <w:t>1880] 5 CPD 344</w:t>
      </w:r>
    </w:p>
    <w:p w14:paraId="0A0115E6" w14:textId="77777777" w:rsidR="003943E0" w:rsidRDefault="00BA465F" w:rsidP="00601CF6">
      <w:pPr>
        <w:pStyle w:val="NormalWeb"/>
        <w:spacing w:before="0" w:beforeAutospacing="0" w:after="0" w:afterAutospacing="0" w:line="480" w:lineRule="auto"/>
        <w:jc w:val="both"/>
      </w:pPr>
      <w:r>
        <w:t xml:space="preserve">            Hyde v Wrench [</w:t>
      </w:r>
      <w:r w:rsidR="00D026C2">
        <w:t>1840] EWHC Ch J90</w:t>
      </w:r>
    </w:p>
    <w:p w14:paraId="66B1CA61" w14:textId="77777777" w:rsidR="005223E3" w:rsidRDefault="00BA465F" w:rsidP="00601CF6">
      <w:pPr>
        <w:pStyle w:val="NormalWeb"/>
        <w:spacing w:before="0" w:beforeAutospacing="0" w:after="0" w:afterAutospacing="0" w:line="480" w:lineRule="auto"/>
        <w:jc w:val="both"/>
      </w:pPr>
      <w:r>
        <w:t xml:space="preserve">            Errington v Errington </w:t>
      </w:r>
      <w:r w:rsidR="00227B14">
        <w:t>and Wood [1951]</w:t>
      </w:r>
      <w:r w:rsidR="00E87387">
        <w:t xml:space="preserve"> </w:t>
      </w:r>
      <w:r w:rsidR="002A4DE0">
        <w:t>EWCA Civ 2</w:t>
      </w:r>
    </w:p>
    <w:p w14:paraId="4DADE36C" w14:textId="77777777" w:rsidR="004144A3" w:rsidRDefault="00BA465F" w:rsidP="00601CF6">
      <w:pPr>
        <w:pStyle w:val="NormalWeb"/>
        <w:spacing w:before="0" w:beforeAutospacing="0" w:after="0" w:afterAutospacing="0" w:line="480" w:lineRule="auto"/>
        <w:jc w:val="both"/>
      </w:pPr>
      <w:r>
        <w:t xml:space="preserve">            Victoria Hotel v Montefiore [1866</w:t>
      </w:r>
      <w:r w:rsidR="00A7374F">
        <w:t>] LR 1 Ex 109</w:t>
      </w:r>
    </w:p>
    <w:p w14:paraId="22FA8D90" w14:textId="77777777" w:rsidR="00986AE6" w:rsidRDefault="00BA465F" w:rsidP="00601CF6">
      <w:pPr>
        <w:pStyle w:val="NormalWeb"/>
        <w:spacing w:before="0" w:beforeAutospacing="0" w:after="0" w:afterAutospacing="0" w:line="480" w:lineRule="auto"/>
        <w:jc w:val="both"/>
      </w:pPr>
      <w:r>
        <w:t xml:space="preserve">            Brogden v </w:t>
      </w:r>
      <w:r w:rsidR="000A7602">
        <w:t>M</w:t>
      </w:r>
      <w:r>
        <w:t xml:space="preserve">etropolitan </w:t>
      </w:r>
      <w:r w:rsidR="000A7602">
        <w:t>Rly Co [</w:t>
      </w:r>
      <w:r w:rsidR="005A622F">
        <w:t>1877]</w:t>
      </w:r>
      <w:r w:rsidR="00764658">
        <w:t xml:space="preserve"> 2 App Cas. 666</w:t>
      </w:r>
    </w:p>
    <w:p w14:paraId="0115934D" w14:textId="77777777" w:rsidR="00BD0F80" w:rsidRDefault="00BA465F" w:rsidP="00601CF6">
      <w:pPr>
        <w:pStyle w:val="NormalWeb"/>
        <w:spacing w:before="0" w:beforeAutospacing="0" w:after="0" w:afterAutospacing="0" w:line="480" w:lineRule="auto"/>
        <w:jc w:val="both"/>
      </w:pPr>
      <w:r>
        <w:t xml:space="preserve">            Felthouse v </w:t>
      </w:r>
      <w:r w:rsidR="00F07417">
        <w:t>B</w:t>
      </w:r>
      <w:r>
        <w:t>indley [1862]</w:t>
      </w:r>
      <w:r w:rsidR="00F07417">
        <w:t xml:space="preserve"> EWHC CP J 35 </w:t>
      </w:r>
    </w:p>
    <w:p w14:paraId="33C0971D" w14:textId="77777777" w:rsidR="00DF4655" w:rsidRDefault="00BA465F" w:rsidP="00601CF6">
      <w:pPr>
        <w:pStyle w:val="NormalWeb"/>
        <w:spacing w:before="0" w:beforeAutospacing="0" w:after="0" w:afterAutospacing="0" w:line="480" w:lineRule="auto"/>
        <w:jc w:val="both"/>
      </w:pPr>
      <w:r>
        <w:t xml:space="preserve">            </w:t>
      </w:r>
      <w:r w:rsidR="00FA142E">
        <w:t>Gibson v Manchester City Council [1979] 1 WLR 294</w:t>
      </w:r>
    </w:p>
    <w:p w14:paraId="7E71F878" w14:textId="77777777" w:rsidR="00A368C1" w:rsidRDefault="00BA465F" w:rsidP="00601CF6">
      <w:pPr>
        <w:pStyle w:val="NormalWeb"/>
        <w:spacing w:before="0" w:beforeAutospacing="0" w:after="0" w:afterAutospacing="0" w:line="480" w:lineRule="auto"/>
        <w:jc w:val="both"/>
      </w:pPr>
      <w:r>
        <w:t xml:space="preserve">            </w:t>
      </w:r>
      <w:r w:rsidR="00D80D1B">
        <w:t xml:space="preserve">Fisher v Bell [1961] 1 QB 394 </w:t>
      </w:r>
    </w:p>
    <w:p w14:paraId="7555FD21" w14:textId="77777777" w:rsidR="0056587E" w:rsidRDefault="00BA465F" w:rsidP="00601CF6">
      <w:pPr>
        <w:pStyle w:val="NormalWeb"/>
        <w:spacing w:before="0" w:beforeAutospacing="0" w:after="0" w:afterAutospacing="0" w:line="480" w:lineRule="auto"/>
        <w:jc w:val="both"/>
      </w:pPr>
      <w:r>
        <w:t xml:space="preserve">            </w:t>
      </w:r>
      <w:r w:rsidR="00C958BD">
        <w:t>Clifton v Palumbo [1944] 2 A</w:t>
      </w:r>
      <w:r w:rsidR="000974C0">
        <w:t>ll ER 497</w:t>
      </w:r>
    </w:p>
    <w:p w14:paraId="7EDCC203" w14:textId="77777777" w:rsidR="00546F4F" w:rsidRDefault="00BA465F" w:rsidP="00601CF6">
      <w:pPr>
        <w:pStyle w:val="NormalWeb"/>
        <w:spacing w:before="0" w:beforeAutospacing="0" w:after="0" w:afterAutospacing="0" w:line="480" w:lineRule="auto"/>
        <w:jc w:val="both"/>
      </w:pPr>
      <w:r>
        <w:t xml:space="preserve">       </w:t>
      </w:r>
      <w:r>
        <w:t xml:space="preserve">     Adam v Lindsell </w:t>
      </w:r>
      <w:r w:rsidR="00167FAD">
        <w:t>[1818] EWHC KB</w:t>
      </w:r>
      <w:r w:rsidR="004063E2">
        <w:t xml:space="preserve"> J59</w:t>
      </w:r>
    </w:p>
    <w:p w14:paraId="760BE400" w14:textId="77777777" w:rsidR="0020231E" w:rsidRDefault="00BA465F" w:rsidP="00601CF6">
      <w:pPr>
        <w:pStyle w:val="NormalWeb"/>
        <w:spacing w:before="0" w:beforeAutospacing="0" w:after="0" w:afterAutospacing="0" w:line="480" w:lineRule="auto"/>
        <w:jc w:val="both"/>
      </w:pPr>
      <w:r>
        <w:t xml:space="preserve">            </w:t>
      </w:r>
      <w:r w:rsidR="005A070E">
        <w:t xml:space="preserve">Henthorn v Fraser [1892] 2 Ch 27 </w:t>
      </w:r>
    </w:p>
    <w:p w14:paraId="4136B808" w14:textId="77777777" w:rsidR="00074FD8" w:rsidRDefault="00BA465F" w:rsidP="00601CF6">
      <w:pPr>
        <w:pStyle w:val="NormalWeb"/>
        <w:spacing w:before="0" w:beforeAutospacing="0" w:after="0" w:afterAutospacing="0" w:line="480" w:lineRule="auto"/>
        <w:jc w:val="both"/>
      </w:pPr>
      <w:r>
        <w:t xml:space="preserve">            </w:t>
      </w:r>
      <w:r w:rsidR="006D6166">
        <w:t xml:space="preserve">Household Fire Insurance </w:t>
      </w:r>
      <w:r w:rsidR="00F156A7">
        <w:t xml:space="preserve">v Grant [1879] </w:t>
      </w:r>
      <w:r w:rsidR="002E30B0">
        <w:t>LR 4 Ex D 216</w:t>
      </w:r>
    </w:p>
    <w:p w14:paraId="6B3ED143" w14:textId="77777777" w:rsidR="001C424A" w:rsidRDefault="00BA465F" w:rsidP="00601CF6">
      <w:pPr>
        <w:pStyle w:val="NormalWeb"/>
        <w:spacing w:before="0" w:beforeAutospacing="0" w:after="0" w:afterAutospacing="0" w:line="480" w:lineRule="auto"/>
        <w:jc w:val="both"/>
      </w:pPr>
      <w:r>
        <w:t xml:space="preserve"> </w:t>
      </w:r>
      <w:r w:rsidR="0086219D">
        <w:t xml:space="preserve">           H</w:t>
      </w:r>
      <w:r w:rsidR="00AB0C20">
        <w:t>oeing v Isaacs [1952] 2 A</w:t>
      </w:r>
      <w:r w:rsidR="00722C62">
        <w:t>ll ER 176</w:t>
      </w:r>
    </w:p>
    <w:p w14:paraId="63EEE6AE" w14:textId="77777777" w:rsidR="00722C62" w:rsidRDefault="00BA465F" w:rsidP="00601CF6">
      <w:pPr>
        <w:pStyle w:val="NormalWeb"/>
        <w:spacing w:before="0" w:beforeAutospacing="0" w:after="0" w:afterAutospacing="0" w:line="480" w:lineRule="auto"/>
        <w:jc w:val="both"/>
      </w:pPr>
      <w:r>
        <w:t xml:space="preserve">            Ba</w:t>
      </w:r>
      <w:r w:rsidR="000F4DC4">
        <w:t>lfour v Balfour [</w:t>
      </w:r>
      <w:r w:rsidR="00474C02">
        <w:t>1919] 2 KB 571</w:t>
      </w:r>
    </w:p>
    <w:p w14:paraId="5F149E6A" w14:textId="77777777" w:rsidR="002B347A" w:rsidRDefault="00BA465F" w:rsidP="00601CF6">
      <w:pPr>
        <w:pStyle w:val="NormalWeb"/>
        <w:spacing w:before="0" w:beforeAutospacing="0" w:after="0" w:afterAutospacing="0" w:line="480" w:lineRule="auto"/>
        <w:jc w:val="both"/>
      </w:pPr>
      <w:r>
        <w:t xml:space="preserve">          </w:t>
      </w:r>
      <w:r>
        <w:t xml:space="preserve">  Partridge v </w:t>
      </w:r>
      <w:r w:rsidR="0059328A">
        <w:t>Crittenden [ 1968] 2 All ER 421</w:t>
      </w:r>
    </w:p>
    <w:p w14:paraId="350E365B" w14:textId="77777777" w:rsidR="0059328A" w:rsidRDefault="00BA465F" w:rsidP="00601CF6">
      <w:pPr>
        <w:pStyle w:val="NormalWeb"/>
        <w:spacing w:before="0" w:beforeAutospacing="0" w:after="0" w:afterAutospacing="0" w:line="480" w:lineRule="auto"/>
        <w:jc w:val="both"/>
      </w:pPr>
      <w:r>
        <w:lastRenderedPageBreak/>
        <w:t xml:space="preserve">            T</w:t>
      </w:r>
      <w:r w:rsidR="00300013">
        <w:t>weddle v Atkinson [1861] EWHC QB J</w:t>
      </w:r>
      <w:r w:rsidR="003D2934">
        <w:t xml:space="preserve"> </w:t>
      </w:r>
      <w:r w:rsidR="00300013">
        <w:t>57</w:t>
      </w:r>
    </w:p>
    <w:p w14:paraId="7D47FF78" w14:textId="77777777" w:rsidR="00C67DCA" w:rsidRDefault="00BA465F" w:rsidP="00601CF6">
      <w:pPr>
        <w:pStyle w:val="NormalWeb"/>
        <w:spacing w:before="0" w:beforeAutospacing="0" w:after="0" w:afterAutospacing="0" w:line="480" w:lineRule="auto"/>
        <w:jc w:val="both"/>
      </w:pPr>
      <w:r>
        <w:t xml:space="preserve">            Lampleigh v </w:t>
      </w:r>
      <w:r w:rsidR="003665C2">
        <w:t xml:space="preserve">Braithwaite [1615] EWHC KB </w:t>
      </w:r>
      <w:r>
        <w:t>J</w:t>
      </w:r>
      <w:r w:rsidR="003D2934">
        <w:t xml:space="preserve"> </w:t>
      </w:r>
      <w:r>
        <w:t>17</w:t>
      </w:r>
    </w:p>
    <w:p w14:paraId="4E20AA8F" w14:textId="77777777" w:rsidR="003D2934" w:rsidRDefault="003D2934" w:rsidP="00986AE6">
      <w:pPr>
        <w:pStyle w:val="NormalWeb"/>
        <w:spacing w:before="0" w:beforeAutospacing="0" w:after="0" w:afterAutospacing="0" w:line="480" w:lineRule="auto"/>
      </w:pPr>
    </w:p>
    <w:p w14:paraId="563C157A" w14:textId="77777777" w:rsidR="00B32870" w:rsidRDefault="00BA465F" w:rsidP="00986AE6">
      <w:pPr>
        <w:pStyle w:val="NormalWeb"/>
        <w:spacing w:before="0" w:beforeAutospacing="0" w:after="0" w:afterAutospacing="0" w:line="480" w:lineRule="auto"/>
      </w:pPr>
      <w:r>
        <w:t xml:space="preserve"> </w:t>
      </w:r>
    </w:p>
    <w:p w14:paraId="5A10C7E1" w14:textId="77777777" w:rsidR="00474C02" w:rsidRDefault="00474C02" w:rsidP="00986AE6">
      <w:pPr>
        <w:pStyle w:val="NormalWeb"/>
        <w:spacing w:before="0" w:beforeAutospacing="0" w:after="0" w:afterAutospacing="0" w:line="480" w:lineRule="auto"/>
      </w:pPr>
    </w:p>
    <w:p w14:paraId="50D0E56B" w14:textId="77777777" w:rsidR="001C424A" w:rsidRDefault="001C424A" w:rsidP="00986AE6">
      <w:pPr>
        <w:pStyle w:val="NormalWeb"/>
        <w:spacing w:before="0" w:beforeAutospacing="0" w:after="0" w:afterAutospacing="0" w:line="480" w:lineRule="auto"/>
      </w:pPr>
    </w:p>
    <w:p w14:paraId="78FE1C2D" w14:textId="77777777" w:rsidR="001C424A" w:rsidRDefault="001C424A" w:rsidP="00986AE6">
      <w:pPr>
        <w:pStyle w:val="NormalWeb"/>
        <w:spacing w:before="0" w:beforeAutospacing="0" w:after="0" w:afterAutospacing="0" w:line="480" w:lineRule="auto"/>
      </w:pPr>
    </w:p>
    <w:p w14:paraId="478BD02D" w14:textId="77777777" w:rsidR="004063E2" w:rsidRDefault="004063E2" w:rsidP="00986AE6">
      <w:pPr>
        <w:pStyle w:val="NormalWeb"/>
        <w:spacing w:before="0" w:beforeAutospacing="0" w:after="0" w:afterAutospacing="0" w:line="480" w:lineRule="auto"/>
      </w:pPr>
    </w:p>
    <w:p w14:paraId="59BE227E" w14:textId="77777777" w:rsidR="000974C0" w:rsidRDefault="000974C0" w:rsidP="00986AE6">
      <w:pPr>
        <w:pStyle w:val="NormalWeb"/>
        <w:spacing w:before="0" w:beforeAutospacing="0" w:after="0" w:afterAutospacing="0" w:line="480" w:lineRule="auto"/>
      </w:pPr>
    </w:p>
    <w:p w14:paraId="6E3E14F0" w14:textId="77777777" w:rsidR="00466E5C" w:rsidRDefault="00466E5C" w:rsidP="00986AE6">
      <w:pPr>
        <w:pStyle w:val="NormalWeb"/>
        <w:spacing w:before="0" w:beforeAutospacing="0" w:after="0" w:afterAutospacing="0" w:line="480" w:lineRule="auto"/>
      </w:pPr>
    </w:p>
    <w:p w14:paraId="5EB61ADF" w14:textId="77777777" w:rsidR="008565B3" w:rsidRDefault="008565B3" w:rsidP="00986AE6">
      <w:pPr>
        <w:pStyle w:val="NormalWeb"/>
        <w:spacing w:before="0" w:beforeAutospacing="0" w:after="0" w:afterAutospacing="0" w:line="480" w:lineRule="auto"/>
      </w:pPr>
    </w:p>
    <w:p w14:paraId="0B31B535" w14:textId="77777777" w:rsidR="009754D8" w:rsidRDefault="009754D8" w:rsidP="00986AE6">
      <w:pPr>
        <w:pStyle w:val="NormalWeb"/>
        <w:spacing w:before="0" w:beforeAutospacing="0" w:after="0" w:afterAutospacing="0" w:line="480" w:lineRule="auto"/>
      </w:pPr>
    </w:p>
    <w:p w14:paraId="0D015DB7" w14:textId="77777777" w:rsidR="009754D8" w:rsidRDefault="009754D8" w:rsidP="00986AE6">
      <w:pPr>
        <w:pStyle w:val="NormalWeb"/>
        <w:spacing w:before="0" w:beforeAutospacing="0" w:after="0" w:afterAutospacing="0" w:line="480" w:lineRule="auto"/>
      </w:pPr>
    </w:p>
    <w:p w14:paraId="0874F672" w14:textId="77777777" w:rsidR="00A16EDB" w:rsidRDefault="00A16EDB" w:rsidP="00986AE6">
      <w:pPr>
        <w:pStyle w:val="NormalWeb"/>
        <w:spacing w:before="0" w:beforeAutospacing="0" w:after="0" w:afterAutospacing="0" w:line="480" w:lineRule="auto"/>
      </w:pPr>
    </w:p>
    <w:p w14:paraId="0A1F3967" w14:textId="77777777" w:rsidR="0024054D" w:rsidRDefault="0024054D" w:rsidP="00986AE6">
      <w:pPr>
        <w:pStyle w:val="NormalWeb"/>
        <w:spacing w:before="0" w:beforeAutospacing="0" w:after="0" w:afterAutospacing="0" w:line="480" w:lineRule="auto"/>
      </w:pPr>
    </w:p>
    <w:p w14:paraId="6AE9CA8E" w14:textId="77777777" w:rsidR="00986AE6" w:rsidRDefault="00986AE6" w:rsidP="00230C4A">
      <w:pPr>
        <w:pStyle w:val="NormalWeb"/>
        <w:spacing w:before="0" w:beforeAutospacing="0" w:after="0" w:afterAutospacing="0" w:line="480" w:lineRule="auto"/>
        <w:jc w:val="right"/>
      </w:pPr>
    </w:p>
    <w:p w14:paraId="260C94E3" w14:textId="77777777" w:rsidR="00986AE6" w:rsidRDefault="00986AE6" w:rsidP="00230C4A">
      <w:pPr>
        <w:pStyle w:val="NormalWeb"/>
        <w:spacing w:before="0" w:beforeAutospacing="0" w:after="0" w:afterAutospacing="0" w:line="480" w:lineRule="auto"/>
        <w:jc w:val="right"/>
      </w:pPr>
    </w:p>
    <w:p w14:paraId="4BB88023" w14:textId="77777777" w:rsidR="00986AE6" w:rsidRDefault="00986AE6" w:rsidP="00230C4A">
      <w:pPr>
        <w:pStyle w:val="NormalWeb"/>
        <w:spacing w:before="0" w:beforeAutospacing="0" w:after="0" w:afterAutospacing="0" w:line="480" w:lineRule="auto"/>
        <w:jc w:val="right"/>
      </w:pPr>
    </w:p>
    <w:p w14:paraId="001896FC" w14:textId="77777777" w:rsidR="00A7374F" w:rsidRDefault="00A7374F" w:rsidP="006D5C63">
      <w:pPr>
        <w:pStyle w:val="NormalWeb"/>
        <w:spacing w:before="0" w:beforeAutospacing="0" w:after="0" w:afterAutospacing="0" w:line="480" w:lineRule="auto"/>
      </w:pPr>
    </w:p>
    <w:p w14:paraId="4A64F3F9" w14:textId="77777777" w:rsidR="00C932BC" w:rsidRDefault="00BA465F" w:rsidP="006D5C63">
      <w:pPr>
        <w:pStyle w:val="NormalWeb"/>
        <w:spacing w:before="0" w:beforeAutospacing="0" w:after="0" w:afterAutospacing="0" w:line="480" w:lineRule="auto"/>
      </w:pPr>
      <w:r>
        <w:t xml:space="preserve">            </w:t>
      </w:r>
    </w:p>
    <w:p w14:paraId="1DF07AAA" w14:textId="77777777" w:rsidR="00D026C2" w:rsidRDefault="00BA465F" w:rsidP="006D5C63">
      <w:pPr>
        <w:pStyle w:val="NormalWeb"/>
        <w:spacing w:before="0" w:beforeAutospacing="0" w:after="0" w:afterAutospacing="0" w:line="480" w:lineRule="auto"/>
      </w:pPr>
      <w:r>
        <w:t xml:space="preserve">            </w:t>
      </w:r>
    </w:p>
    <w:p w14:paraId="2D9E9FC1" w14:textId="77777777" w:rsidR="001A0086" w:rsidRPr="008C3AAC" w:rsidRDefault="001A0086" w:rsidP="001A0086">
      <w:pPr>
        <w:pStyle w:val="NormalWeb"/>
        <w:spacing w:before="0" w:beforeAutospacing="0" w:after="0" w:afterAutospacing="0" w:line="480" w:lineRule="auto"/>
        <w:jc w:val="both"/>
      </w:pPr>
    </w:p>
    <w:p w14:paraId="39637A58" w14:textId="77777777" w:rsidR="007B0CDD" w:rsidRPr="008C3AAC" w:rsidRDefault="007B0CDD" w:rsidP="007B0CDD">
      <w:pPr>
        <w:spacing w:line="480" w:lineRule="auto"/>
        <w:rPr>
          <w:rFonts w:ascii="Times New Roman" w:hAnsi="Times New Roman" w:cs="Times New Roman"/>
          <w:sz w:val="24"/>
          <w:szCs w:val="24"/>
        </w:rPr>
      </w:pPr>
    </w:p>
    <w:p w14:paraId="38594388" w14:textId="77777777" w:rsidR="003B3CD7" w:rsidRDefault="003B3CD7"/>
    <w:p w14:paraId="53808FC6" w14:textId="77777777" w:rsidR="003B3CD7" w:rsidRDefault="003B3CD7"/>
    <w:sectPr w:rsidR="003B3CD7" w:rsidSect="003510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CD7"/>
    <w:rsid w:val="00074FD8"/>
    <w:rsid w:val="0008346A"/>
    <w:rsid w:val="000974C0"/>
    <w:rsid w:val="000A7602"/>
    <w:rsid w:val="000F4DC4"/>
    <w:rsid w:val="00146A9F"/>
    <w:rsid w:val="00167294"/>
    <w:rsid w:val="00167FAD"/>
    <w:rsid w:val="001723CF"/>
    <w:rsid w:val="001A0086"/>
    <w:rsid w:val="001B46C8"/>
    <w:rsid w:val="001C424A"/>
    <w:rsid w:val="0020231E"/>
    <w:rsid w:val="00227B14"/>
    <w:rsid w:val="00230C4A"/>
    <w:rsid w:val="0024054D"/>
    <w:rsid w:val="00270247"/>
    <w:rsid w:val="00277C87"/>
    <w:rsid w:val="002A156B"/>
    <w:rsid w:val="002A4DE0"/>
    <w:rsid w:val="002B347A"/>
    <w:rsid w:val="002C3AEE"/>
    <w:rsid w:val="002E30B0"/>
    <w:rsid w:val="00300013"/>
    <w:rsid w:val="00330889"/>
    <w:rsid w:val="003510A9"/>
    <w:rsid w:val="00354AA4"/>
    <w:rsid w:val="003665C2"/>
    <w:rsid w:val="00372388"/>
    <w:rsid w:val="00373042"/>
    <w:rsid w:val="003943E0"/>
    <w:rsid w:val="003B3CD7"/>
    <w:rsid w:val="003D0581"/>
    <w:rsid w:val="003D2934"/>
    <w:rsid w:val="003F7EAA"/>
    <w:rsid w:val="004063E2"/>
    <w:rsid w:val="00410AE9"/>
    <w:rsid w:val="004144A3"/>
    <w:rsid w:val="00454D73"/>
    <w:rsid w:val="00466E5C"/>
    <w:rsid w:val="00474C02"/>
    <w:rsid w:val="004768AA"/>
    <w:rsid w:val="004B2EEB"/>
    <w:rsid w:val="004D045E"/>
    <w:rsid w:val="005223E3"/>
    <w:rsid w:val="00546F4F"/>
    <w:rsid w:val="00561115"/>
    <w:rsid w:val="00563962"/>
    <w:rsid w:val="0056587E"/>
    <w:rsid w:val="0059328A"/>
    <w:rsid w:val="005A070E"/>
    <w:rsid w:val="005A622F"/>
    <w:rsid w:val="005C7CFD"/>
    <w:rsid w:val="005F6F3C"/>
    <w:rsid w:val="00601CF6"/>
    <w:rsid w:val="00602FBB"/>
    <w:rsid w:val="00623C35"/>
    <w:rsid w:val="006B2C71"/>
    <w:rsid w:val="006D5C63"/>
    <w:rsid w:val="006D6166"/>
    <w:rsid w:val="006F1904"/>
    <w:rsid w:val="00722C62"/>
    <w:rsid w:val="007241D1"/>
    <w:rsid w:val="00764658"/>
    <w:rsid w:val="007B0CDD"/>
    <w:rsid w:val="007B4845"/>
    <w:rsid w:val="007D1F2E"/>
    <w:rsid w:val="00802DF2"/>
    <w:rsid w:val="00852112"/>
    <w:rsid w:val="008565B3"/>
    <w:rsid w:val="00857280"/>
    <w:rsid w:val="0086219D"/>
    <w:rsid w:val="00871F17"/>
    <w:rsid w:val="008C3AAC"/>
    <w:rsid w:val="00910E63"/>
    <w:rsid w:val="009754D8"/>
    <w:rsid w:val="00986AE6"/>
    <w:rsid w:val="009915E2"/>
    <w:rsid w:val="009E3E25"/>
    <w:rsid w:val="00A16EDB"/>
    <w:rsid w:val="00A368C1"/>
    <w:rsid w:val="00A40269"/>
    <w:rsid w:val="00A661E1"/>
    <w:rsid w:val="00A7374F"/>
    <w:rsid w:val="00A812D2"/>
    <w:rsid w:val="00AB0C20"/>
    <w:rsid w:val="00B26D55"/>
    <w:rsid w:val="00B32870"/>
    <w:rsid w:val="00B5435D"/>
    <w:rsid w:val="00B645CE"/>
    <w:rsid w:val="00BA465F"/>
    <w:rsid w:val="00BC5381"/>
    <w:rsid w:val="00BD00AF"/>
    <w:rsid w:val="00BD0F80"/>
    <w:rsid w:val="00BE0A12"/>
    <w:rsid w:val="00C177A6"/>
    <w:rsid w:val="00C33F13"/>
    <w:rsid w:val="00C34876"/>
    <w:rsid w:val="00C4512B"/>
    <w:rsid w:val="00C564E9"/>
    <w:rsid w:val="00C62035"/>
    <w:rsid w:val="00C67DCA"/>
    <w:rsid w:val="00C932BC"/>
    <w:rsid w:val="00C958BD"/>
    <w:rsid w:val="00CA66AA"/>
    <w:rsid w:val="00D026C2"/>
    <w:rsid w:val="00D80D1B"/>
    <w:rsid w:val="00D8703F"/>
    <w:rsid w:val="00DB6E09"/>
    <w:rsid w:val="00DC2750"/>
    <w:rsid w:val="00DF4655"/>
    <w:rsid w:val="00E0161D"/>
    <w:rsid w:val="00E0446E"/>
    <w:rsid w:val="00E04E1A"/>
    <w:rsid w:val="00E2646F"/>
    <w:rsid w:val="00E66CD0"/>
    <w:rsid w:val="00E77410"/>
    <w:rsid w:val="00E87387"/>
    <w:rsid w:val="00EC02EC"/>
    <w:rsid w:val="00F07417"/>
    <w:rsid w:val="00F156A7"/>
    <w:rsid w:val="00F278EE"/>
    <w:rsid w:val="00F80E48"/>
    <w:rsid w:val="00FA09DE"/>
    <w:rsid w:val="00FA142E"/>
    <w:rsid w:val="00FA763B"/>
    <w:rsid w:val="00FB3418"/>
    <w:rsid w:val="00FE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674E7"/>
  <w15:chartTrackingRefBased/>
  <w15:docId w15:val="{92F60969-265F-40B1-B656-9687776C9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3CD7"/>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0CD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B0CDD"/>
    <w:rPr>
      <w:i/>
      <w:iCs/>
    </w:rPr>
  </w:style>
  <w:style w:type="paragraph" w:styleId="Bibliography">
    <w:name w:val="Bibliography"/>
    <w:basedOn w:val="Normal"/>
    <w:next w:val="Normal"/>
    <w:uiPriority w:val="37"/>
    <w:unhideWhenUsed/>
    <w:rsid w:val="00410AE9"/>
  </w:style>
  <w:style w:type="paragraph" w:styleId="NoSpacing">
    <w:name w:val="No Spacing"/>
    <w:link w:val="NoSpacingChar"/>
    <w:uiPriority w:val="1"/>
    <w:qFormat/>
    <w:rsid w:val="003510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10A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Law21</b:Tag>
    <b:SourceType>InternetSite</b:SourceType>
    <b:Guid>{F0711D59-B076-46D7-8370-D09A7820E89D}</b:Guid>
    <b:Title>Law case summaries</b:Title>
    <b:Year>2021</b:Year>
    <b:YearAccessed>2021</b:YearAccessed>
    <b:MonthAccessed>02</b:MonthAccessed>
    <b:DayAccessed>24</b:DayAccessed>
    <b:URL>https://lawcasesummaries.com/knowledge-base/byrne-co-v-leon-van-tien-hoven-co-1880-5-cpd-344/</b:URL>
    <b:InternetSiteTitle>Lawcasesummaries.com</b:InternetSiteTitle>
    <b:RefOrder>2</b:RefOrder>
  </b:Source>
  <b:Source>
    <b:Tag>Ope21</b:Tag>
    <b:SourceType>InternetSite</b:SourceType>
    <b:Guid>{DBECD7A2-9F90-4E6A-94BD-B7032D14222D}</b:Guid>
    <b:Title>Open Law map</b:Title>
    <b:Year>2021</b:Year>
    <b:YearAccessed>2021</b:YearAccessed>
    <b:MonthAccessed>February </b:MonthAccessed>
    <b:DayAccessed>24</b:DayAccessed>
    <b:URL>https://openlawmap.co.uk/locations/hyde-v-wrench</b:URL>
    <b:InternetSiteTitle>Openlawmap.co.uk</b:InternetSiteTitle>
    <b:RefOrder>3</b:RefOrder>
  </b:Source>
  <b:Source>
    <b:Tag>ELE21</b:Tag>
    <b:SourceType>InternetSite</b:SourceType>
    <b:Guid>{9AA778A6-7D25-4FDD-8796-2AB24184A86D}</b:Guid>
    <b:Title>EL Explore Law</b:Title>
    <b:Year>2021</b:Year>
    <b:YearAccessed>2021</b:YearAccessed>
    <b:MonthAccessed>February</b:MonthAccessed>
    <b:DayAccessed>25</b:DayAccessed>
    <b:URL>https://www.explore-law.com/errington-v-errington/</b:URL>
    <b:InternetSiteTitle>explore-law.com</b:InternetSiteTitle>
    <b:RefOrder>4</b:RefOrder>
  </b:Source>
  <b:Source>
    <b:Tag>ela03</b:Tag>
    <b:SourceType>InternetSite</b:SourceType>
    <b:Guid>{9A06BB00-9A53-4064-9E5A-1DE9A28349E5}</b:Guid>
    <b:Title>e-lawsource.co .uk</b:Title>
    <b:Year>2003</b:Year>
    <b:YearAccessed>2021</b:YearAccessed>
    <b:MonthAccessed>February</b:MonthAccessed>
    <b:DayAccessed>25</b:DayAccessed>
    <b:URL>http://www.e-lawresources.co.uk/Ramsgate-Victoria-Hotel-v-Montefoire.php</b:URL>
    <b:InternetSiteTitle>E-lawsource.co.uk</b:InternetSiteTitle>
    <b:RefOrder>5</b:RefOrder>
  </b:Source>
  <b:Source>
    <b:Tag>reu21</b:Tag>
    <b:SourceType>InternetSite</b:SourceType>
    <b:Guid>{AE388548-10C9-4F75-857E-C3446CCA7DB6}</b:Guid>
    <b:Author>
      <b:Author>
        <b:NameList>
          <b:Person>
            <b:Last>reuters</b:Last>
            <b:First>Thomson</b:First>
          </b:Person>
        </b:NameList>
      </b:Author>
    </b:Author>
    <b:Title>Thomson reuters</b:Title>
    <b:Year>2021</b:Year>
    <b:YearAccessed>2021</b:YearAccessed>
    <b:MonthAccessed>February</b:MonthAccessed>
    <b:DayAccessed>25</b:DayAccessed>
    <b:URL>http://www.e-lawresources.co.uk/Ramsgate-Victoria-Hotel-v-Montefoire.php</b:URL>
    <b:InternetSiteTitle>Uk.praticallaw.thomsonreuters.com</b:InternetSiteTitle>
    <b:RefOrder>6</b:RefOrder>
  </b:Source>
  <b:Source>
    <b:Tag>Cas21</b:Tag>
    <b:SourceType>InternetSite</b:SourceType>
    <b:Guid>{EC196D25-E5E7-4D7C-B085-BD4A488E8395}</b:Guid>
    <b:Title>Case brief WIKI</b:Title>
    <b:Year>2021</b:Year>
    <b:YearAccessed>2021</b:YearAccessed>
    <b:MonthAccessed>february</b:MonthAccessed>
    <b:DayAccessed>26</b:DayAccessed>
    <b:URL>https://casebrief.fandom.com/wiki/Felthouse_v_Bindley</b:URL>
    <b:InternetSiteTitle>casebrief.fandom.com</b:InternetSiteTitle>
    <b:RefOrder>7</b:RefOrder>
  </b:Source>
  <b:Source>
    <b:Tag>Web21</b:Tag>
    <b:SourceType>InternetSite</b:SourceType>
    <b:Guid>{9766CBEA-2446-4D23-93C8-CFC15FF1287D}</b:Guid>
    <b:Title>Webstroke</b:Title>
    <b:Year>2021</b:Year>
    <b:YearAccessed>2021</b:YearAccessed>
    <b:MonthAccessed>February</b:MonthAccessed>
    <b:DayAccessed>26</b:DayAccessed>
    <b:URL>https://webstroke.co.uk/law/gibson-v-manchester-city-council-1978</b:URL>
    <b:RefOrder>8</b:RefOrder>
  </b:Source>
  <b:Source>
    <b:Tag>Jac20</b:Tag>
    <b:SourceType>InternetSite</b:SourceType>
    <b:Guid>{B8343B6B-2E24-4739-B5DC-53691101529D}</b:Guid>
    <b:Author>
      <b:Author>
        <b:NameList>
          <b:Person>
            <b:Last>Jackson</b:Last>
            <b:First>Nicola</b:First>
          </b:Person>
        </b:NameList>
      </b:Author>
    </b:Author>
    <b:Title>Law trove</b:Title>
    <b:Year>2020</b:Year>
    <b:YearAccessed>2021</b:YearAccessed>
    <b:MonthAccessed>february</b:MonthAccessed>
    <b:DayAccessed>22</b:DayAccessed>
    <b:URL>https://www.oxfordlawtrove.com/view/10.1093/he/9780191897672.001.0001/he-9780191897672-chapter-7</b:URL>
    <b:InternetSiteTitle>Oxfordlawtrove.com</b:InternetSiteTitle>
    <b:RefOrder>1</b:RefOrder>
  </b:Source>
  <b:Source>
    <b:Tag>Bra11</b:Tag>
    <b:SourceType>InternetSite</b:SourceType>
    <b:Guid>{C103FE1E-D6BB-4890-9F06-12F6A7BD00F9}</b:Guid>
    <b:Title>Wordpress</b:Title>
    <b:Year>2011</b:Year>
    <b:YearAccessed>2021</b:YearAccessed>
    <b:MonthAccessed>February</b:MonthAccessed>
    <b:DayAccessed>24</b:DayAccessed>
    <b:URL>https://mikebrandlyauctioneer.wordpress.com/2010/12/29/old-english-auction-case-law-2/</b:URL>
    <b:Author>
      <b:Author>
        <b:NameList>
          <b:Person>
            <b:Last>Brandly</b:Last>
            <b:First>M</b:First>
          </b:Person>
        </b:NameList>
      </b:Author>
    </b:Author>
    <b:InternetSiteTitle>Wordpress.com</b:InternetSiteTitle>
    <b:RefOrder>9</b:RefOrder>
  </b:Source>
  <b:Source>
    <b:Tag>Wik03</b:Tag>
    <b:SourceType>InternetSite</b:SourceType>
    <b:Guid>{ABEF3B56-9744-425F-AFA2-08EC866EDC16}</b:Guid>
    <b:Title>Wikipedia</b:Title>
    <b:Year>2003</b:Year>
    <b:YearAccessed>2021</b:YearAccessed>
    <b:MonthAccessed>febuary</b:MonthAccessed>
    <b:DayAccessed>27</b:DayAccessed>
    <b:URL>https://en.wikipedia.org/wiki/Fisher_v_Bell</b:URL>
    <b:RefOrder>10</b:RefOrder>
  </b:Source>
  <b:Source>
    <b:Tag>Gut94</b:Tag>
    <b:SourceType>InternetSite</b:SourceType>
    <b:Guid>{636BB425-56B7-45B1-89CA-4649105A6854}</b:Guid>
    <b:Author>
      <b:Author>
        <b:NameList>
          <b:Person>
            <b:Last>Guttman</b:Last>
            <b:First>F</b:First>
          </b:Person>
        </b:NameList>
      </b:Author>
    </b:Author>
    <b:Title>Studocu</b:Title>
    <b:Year>1994</b:Year>
    <b:YearAccessed>2021</b:YearAccessed>
    <b:MonthAccessed>Febuary </b:MonthAccessed>
    <b:DayAccessed>27</b:DayAccessed>
    <b:URL>https://www.studocu.com/en-gb/document/brunel-university-london/law-of-trusts/lecture-notes/clifton-v-palumbo-1944-2-all-er-497/5102051/view</b:URL>
    <b:RefOrder>11</b:RefOrder>
  </b:Source>
  <b:Source>
    <b:Tag>law21</b:Tag>
    <b:SourceType>InternetSite</b:SourceType>
    <b:Guid>{A11BEEAF-29D1-4507-A017-E67DA9612D56}</b:Guid>
    <b:Title>law case summaries</b:Title>
    <b:Year>2021</b:Year>
    <b:YearAccessed>2021</b:YearAccessed>
    <b:MonthAccessed>febuary</b:MonthAccessed>
    <b:DayAccessed>28</b:DayAccessed>
    <b:URL>https://lawcasesummaries.com/knowledge-base/adams-v-lindsell-1818-ewhc-kb-j59/</b:URL>
    <b:RefOrder>12</b:RefOrder>
  </b:Source>
  <b:Source>
    <b:Tag>Oxb10</b:Tag>
    <b:SourceType>InternetSite</b:SourceType>
    <b:Guid>{B606C3F6-5953-4287-971B-9ADECFF4A4D8}</b:Guid>
    <b:Title>Oxbridge Notes</b:Title>
    <b:Year>2010</b:Year>
    <b:YearAccessed>2021</b:YearAccessed>
    <b:MonthAccessed>February</b:MonthAccessed>
    <b:DayAccessed>28 </b:DayAccessed>
    <b:URL>https://www.oxbridgenotes.co.uk/law_cases/henthorn-v-fraser</b:URL>
    <b:RefOrder>13</b:RefOrder>
  </b:Source>
  <b:Source>
    <b:Tag>Mar06</b:Tag>
    <b:SourceType>InternetSite</b:SourceType>
    <b:Guid>{06494DC1-325E-4A74-A131-DF72FCD149B4}</b:Guid>
    <b:Author>
      <b:Author>
        <b:NameList>
          <b:Person>
            <b:Last>Marshall</b:Last>
            <b:First>D</b:First>
          </b:Person>
        </b:NameList>
      </b:Author>
    </b:Author>
    <b:Title>JSTOR</b:Title>
    <b:Year>2006</b:Year>
    <b:YearAccessed>2021</b:YearAccessed>
    <b:MonthAccessed>March</b:MonthAccessed>
    <b:DayAccessed>01</b:DayAccessed>
    <b:URL>https://www.jstor.org/stable/3304206?seq=1#metadata_info_tab_contents</b:URL>
    <b:RefOrder>14</b:RefOrder>
  </b:Source>
  <b:Source>
    <b:Tag>Cas52</b:Tag>
    <b:SourceType>InternetSite</b:SourceType>
    <b:Guid>{950D7F89-C7C9-4046-AAE4-AAA262DD95B6}</b:Guid>
    <b:Title>Casemine</b:Title>
    <b:Year>1952</b:Year>
    <b:YearAccessed>2021</b:YearAccessed>
    <b:MonthAccessed>March</b:MonthAccessed>
    <b:DayAccessed>01</b:DayAccessed>
    <b:URL>https://www.casemine.com/judgement/uk/5a8ff87960d03e7f57ec110a</b:URL>
    <b:RefOrder>15</b:RefOrder>
  </b:Source>
  <b:Source>
    <b:Tag>Sap17</b:Tag>
    <b:SourceType>InternetSite</b:SourceType>
    <b:Guid>{B69AB938-70E6-42DB-B8E5-C3431C6592C4}</b:Guid>
    <b:Author>
      <b:Author>
        <b:NameList>
          <b:Person>
            <b:Last>Saprai</b:Last>
          </b:Person>
        </b:NameList>
      </b:Author>
    </b:Author>
    <b:Title>Wiley online Library</b:Title>
    <b:Year>2017</b:Year>
    <b:YearAccessed>2021</b:YearAccessed>
    <b:MonthAccessed>March</b:MonthAccessed>
    <b:DayAccessed>02</b:DayAccessed>
    <b:URL>https://onlinelibrary.wiley.com/doi/abs/10.1111/lest.12162</b:URL>
    <b:RefOrder>16</b:RefOrder>
  </b:Source>
  <b:Source>
    <b:Tag>Jac19</b:Tag>
    <b:SourceType>InternetSite</b:SourceType>
    <b:Guid>{88E4C79B-924E-4139-BFEB-A3587DB7724A}</b:Guid>
    <b:Author>
      <b:Author>
        <b:NameList>
          <b:Person>
            <b:Last>Jackson</b:Last>
            <b:First>N</b:First>
          </b:Person>
        </b:NameList>
      </b:Author>
    </b:Author>
    <b:Title>Law trove</b:Title>
    <b:Year>2019</b:Year>
    <b:YearAccessed>2021</b:YearAccessed>
    <b:MonthAccessed>March</b:MonthAccessed>
    <b:DayAccessed>02</b:DayAccessed>
    <b:URL>https://www.oxfordlawtrove.com/view/10.1093/he/9780191883750.001.0001/he-9780191883750-chapter-11</b:URL>
    <b:RefOrder>17</b:RefOrder>
  </b:Source>
  <b:Source>
    <b:Tag>Liu17</b:Tag>
    <b:SourceType>InternetSite</b:SourceType>
    <b:Guid>{A1DD3E57-2C1F-4669-939A-F040DD8F9230}</b:Guid>
    <b:Title>Liuk</b:Title>
    <b:Year>2017</b:Year>
    <b:YearAccessed>2021</b:YearAccessed>
    <b:MonthAccessed>MARCH</b:MonthAccessed>
    <b:DayAccessed>03</b:DayAccessed>
    <b:URL>https://liuk.co.uk/tweddle-v-atkinson-1861/</b:URL>
    <b:RefOrder>18</b:RefOrder>
  </b:Source>
  <b:Source>
    <b:Tag>FAN21</b:Tag>
    <b:SourceType>InternetSite</b:SourceType>
    <b:Guid>{C3DA0256-7FEB-4659-9B77-F5C595981DFE}</b:Guid>
    <b:Title>FANDOM</b:Title>
    <b:Year>2021</b:Year>
    <b:YearAccessed>2021</b:YearAccessed>
    <b:MonthAccessed>march</b:MonthAccessed>
    <b:DayAccessed>03</b:DayAccessed>
    <b:URL>https://casebrief.fandom.com/wiki/Lampleigh_v_Brathwait</b:URL>
    <b:RefOrder>19</b:RefOrder>
  </b:Source>
</b:Sources>
</file>

<file path=customXml/itemProps1.xml><?xml version="1.0" encoding="utf-8"?>
<ds:datastoreItem xmlns:ds="http://schemas.openxmlformats.org/officeDocument/2006/customXml" ds:itemID="{F6FBEA8A-E979-485D-A1CE-19B4D0DD0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2687</Words>
  <Characters>15320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By Aissa Laameche 1908274</dc:subject>
  <dc:creator>Aissa Laameche (1908274)</dc:creator>
  <cp:lastModifiedBy>Aissa Laameche (1908274)</cp:lastModifiedBy>
  <cp:revision>4</cp:revision>
  <dcterms:created xsi:type="dcterms:W3CDTF">2021-03-05T19:42:00Z</dcterms:created>
  <dcterms:modified xsi:type="dcterms:W3CDTF">2021-03-05T19:42:00Z</dcterms:modified>
</cp:coreProperties>
</file>