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DE91769" w14:textId="77777777" w:rsidR="003C5C1D" w:rsidRDefault="000C02EA">
      <w:pPr>
        <w:pBdr>
          <w:top w:val="nil"/>
          <w:left w:val="nil"/>
          <w:bottom w:val="nil"/>
          <w:right w:val="nil"/>
          <w:between w:val="nil"/>
        </w:pBdr>
        <w:spacing w:before="30" w:after="30"/>
        <w:jc w:val="center"/>
        <w:rPr>
          <w:color w:val="5B9BD5"/>
          <w:sz w:val="22"/>
          <w:szCs w:val="22"/>
        </w:rPr>
      </w:pPr>
      <w:r>
        <w:rPr>
          <w:noProof/>
          <w:color w:val="5B9BD5"/>
          <w:sz w:val="22"/>
          <w:szCs w:val="22"/>
          <w:lang w:eastAsia="en-GB"/>
        </w:rPr>
        <w:drawing>
          <wp:inline distT="0" distB="0" distL="0" distR="0" wp14:anchorId="560E8E39" wp14:editId="0772F814">
            <wp:extent cx="1417320" cy="750898"/>
            <wp:effectExtent l="0" t="0" r="0" b="0"/>
            <wp:docPr id="15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8"/>
                    <a:srcRect/>
                    <a:stretch>
                      <a:fillRect/>
                    </a:stretch>
                  </pic:blipFill>
                  <pic:spPr>
                    <a:xfrm>
                      <a:off x="0" y="0"/>
                      <a:ext cx="1417320" cy="750898"/>
                    </a:xfrm>
                    <a:prstGeom prst="rect">
                      <a:avLst/>
                    </a:prstGeom>
                    <a:ln/>
                  </pic:spPr>
                </pic:pic>
              </a:graphicData>
            </a:graphic>
          </wp:inline>
        </w:drawing>
      </w:r>
    </w:p>
    <w:p w14:paraId="1233DD81" w14:textId="77777777" w:rsidR="003C5C1D" w:rsidRDefault="000C02EA">
      <w:pPr>
        <w:pBdr>
          <w:top w:val="single" w:sz="6" w:space="6" w:color="5B9BD5"/>
          <w:left w:val="nil"/>
          <w:bottom w:val="single" w:sz="6" w:space="6" w:color="5B9BD5"/>
          <w:right w:val="nil"/>
          <w:between w:val="nil"/>
        </w:pBdr>
        <w:spacing w:before="30" w:after="30"/>
        <w:jc w:val="center"/>
        <w:rPr>
          <w:smallCaps/>
          <w:color w:val="5B9BD5"/>
          <w:sz w:val="80"/>
          <w:szCs w:val="80"/>
        </w:rPr>
      </w:pPr>
      <w:r>
        <w:rPr>
          <w:smallCaps/>
          <w:color w:val="5B9BD5"/>
          <w:sz w:val="72"/>
          <w:szCs w:val="72"/>
        </w:rPr>
        <w:t>Finance for Business Managers</w:t>
      </w:r>
    </w:p>
    <w:p w14:paraId="6AC566D7" w14:textId="77777777" w:rsidR="003C5C1D" w:rsidRDefault="000C02EA">
      <w:pPr>
        <w:pBdr>
          <w:top w:val="nil"/>
          <w:left w:val="nil"/>
          <w:bottom w:val="nil"/>
          <w:right w:val="nil"/>
          <w:between w:val="nil"/>
        </w:pBdr>
        <w:spacing w:before="30" w:after="30"/>
        <w:jc w:val="center"/>
        <w:rPr>
          <w:color w:val="5B9BD5"/>
          <w:sz w:val="28"/>
          <w:szCs w:val="28"/>
        </w:rPr>
      </w:pPr>
      <w:r>
        <w:rPr>
          <w:color w:val="5B9BD5"/>
          <w:sz w:val="28"/>
          <w:szCs w:val="28"/>
        </w:rPr>
        <w:t>[Analysis of Tesco plc and Westward Plc]</w:t>
      </w:r>
    </w:p>
    <w:p w14:paraId="32074329" w14:textId="77777777" w:rsidR="003C5C1D" w:rsidRDefault="000C02EA">
      <w:pPr>
        <w:pBdr>
          <w:top w:val="nil"/>
          <w:left w:val="nil"/>
          <w:bottom w:val="nil"/>
          <w:right w:val="nil"/>
          <w:between w:val="nil"/>
        </w:pBdr>
        <w:spacing w:before="30" w:after="30"/>
        <w:jc w:val="center"/>
        <w:rPr>
          <w:color w:val="5B9BD5"/>
          <w:sz w:val="22"/>
          <w:szCs w:val="22"/>
        </w:rPr>
      </w:pPr>
      <w:r>
        <w:rPr>
          <w:noProof/>
          <w:color w:val="5B9BD5"/>
          <w:sz w:val="22"/>
          <w:szCs w:val="22"/>
          <w:lang w:eastAsia="en-GB"/>
        </w:rPr>
        <mc:AlternateContent>
          <mc:Choice Requires="wpg">
            <w:drawing>
              <wp:anchor distT="0" distB="0" distL="114300" distR="114300" simplePos="0" relativeHeight="251658240" behindDoc="0" locked="0" layoutInCell="1" hidden="0" allowOverlap="1" wp14:anchorId="60A3C2CC" wp14:editId="0574FA68">
                <wp:simplePos x="0" y="0"/>
                <wp:positionH relativeFrom="margin">
                  <wp:align>center</wp:align>
                </wp:positionH>
                <wp:positionV relativeFrom="page">
                  <wp:posOffset>9083358</wp:posOffset>
                </wp:positionV>
                <wp:extent cx="5741035" cy="599440"/>
                <wp:effectExtent l="0" t="0" r="0" b="0"/>
                <wp:wrapNone/>
                <wp:docPr id="145" name="Rectangle 145"/>
                <wp:cNvGraphicFramePr/>
                <a:graphic xmlns:a="http://schemas.openxmlformats.org/drawingml/2006/main">
                  <a:graphicData uri="http://schemas.microsoft.com/office/word/2010/wordprocessingShape">
                    <wps:wsp>
                      <wps:cNvSpPr/>
                      <wps:spPr>
                        <a:xfrm>
                          <a:off x="2480245" y="3485043"/>
                          <a:ext cx="5731510" cy="589915"/>
                        </a:xfrm>
                        <a:prstGeom prst="rect">
                          <a:avLst/>
                        </a:prstGeom>
                        <a:noFill/>
                        <a:ln>
                          <a:noFill/>
                        </a:ln>
                      </wps:spPr>
                      <wps:txbx>
                        <w:txbxContent>
                          <w:p w14:paraId="6A5077D8" w14:textId="77777777" w:rsidR="003C5C1D" w:rsidRDefault="000C02EA">
                            <w:pPr>
                              <w:spacing w:after="40" w:line="240" w:lineRule="auto"/>
                              <w:jc w:val="center"/>
                              <w:textDirection w:val="btLr"/>
                            </w:pPr>
                            <w:r>
                              <w:rPr>
                                <w:rFonts w:ascii="Arial" w:eastAsia="Arial" w:hAnsi="Arial" w:cs="Arial"/>
                                <w:smallCaps/>
                                <w:color w:val="5B9BD5"/>
                                <w:sz w:val="28"/>
                              </w:rPr>
                              <w:t>[DATE]</w:t>
                            </w:r>
                          </w:p>
                          <w:p w14:paraId="2C128990" w14:textId="77777777" w:rsidR="003C5C1D" w:rsidRDefault="000C02EA">
                            <w:pPr>
                              <w:spacing w:after="0" w:line="240" w:lineRule="auto"/>
                              <w:jc w:val="center"/>
                              <w:textDirection w:val="btLr"/>
                            </w:pPr>
                            <w:r>
                              <w:rPr>
                                <w:rFonts w:ascii="Arial" w:eastAsia="Arial" w:hAnsi="Arial" w:cs="Arial"/>
                                <w:smallCaps/>
                                <w:color w:val="5B9BD5"/>
                                <w:sz w:val="28"/>
                              </w:rPr>
                              <w:t>UNIVERSITY OF WALES TRINITY SAINT DAVID</w:t>
                            </w:r>
                          </w:p>
                          <w:p w14:paraId="5E3428F6" w14:textId="77777777" w:rsidR="003C5C1D" w:rsidRDefault="000C02EA">
                            <w:pPr>
                              <w:spacing w:after="0"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drawing>
              <wp:anchor allowOverlap="1" behindDoc="0" distB="0" distT="0" distL="114300" distR="114300" hidden="0" layoutInCell="1" locked="0" relativeHeight="0" simplePos="0">
                <wp:simplePos x="0" y="0"/>
                <wp:positionH relativeFrom="margin">
                  <wp:align>center</wp:align>
                </wp:positionH>
                <wp:positionV relativeFrom="page">
                  <wp:posOffset>9083358</wp:posOffset>
                </wp:positionV>
                <wp:extent cx="5741035" cy="599440"/>
                <wp:effectExtent b="0" l="0" r="0" t="0"/>
                <wp:wrapNone/>
                <wp:docPr id="145" name="image16.png"/>
                <a:graphic>
                  <a:graphicData uri="http://schemas.openxmlformats.org/drawingml/2006/picture">
                    <pic:pic>
                      <pic:nvPicPr>
                        <pic:cNvPr id="0" name="image16.png"/>
                        <pic:cNvPicPr preferRelativeResize="0"/>
                      </pic:nvPicPr>
                      <pic:blipFill>
                        <a:blip r:embed="rId9"/>
                        <a:srcRect/>
                        <a:stretch>
                          <a:fillRect/>
                        </a:stretch>
                      </pic:blipFill>
                      <pic:spPr>
                        <a:xfrm>
                          <a:off x="0" y="0"/>
                          <a:ext cx="5741035" cy="599440"/>
                        </a:xfrm>
                        <a:prstGeom prst="rect"/>
                        <a:ln/>
                      </pic:spPr>
                    </pic:pic>
                  </a:graphicData>
                </a:graphic>
              </wp:anchor>
            </w:drawing>
          </mc:Fallback>
        </mc:AlternateContent>
      </w:r>
      <w:r>
        <w:rPr>
          <w:noProof/>
          <w:color w:val="5B9BD5"/>
          <w:sz w:val="22"/>
          <w:szCs w:val="22"/>
          <w:lang w:eastAsia="en-GB"/>
        </w:rPr>
        <w:drawing>
          <wp:inline distT="0" distB="0" distL="0" distR="0" wp14:anchorId="73B729A4" wp14:editId="54C56BD1">
            <wp:extent cx="758952" cy="478932"/>
            <wp:effectExtent l="0" t="0" r="0" b="0"/>
            <wp:docPr id="15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758952" cy="478932"/>
                    </a:xfrm>
                    <a:prstGeom prst="rect">
                      <a:avLst/>
                    </a:prstGeom>
                    <a:ln/>
                  </pic:spPr>
                </pic:pic>
              </a:graphicData>
            </a:graphic>
          </wp:inline>
        </w:drawing>
      </w:r>
    </w:p>
    <w:p w14:paraId="5BA85BE0" w14:textId="77777777" w:rsidR="003C5C1D" w:rsidRDefault="000C02EA">
      <w:pPr>
        <w:pStyle w:val="Heading1"/>
        <w:spacing w:before="30" w:after="30"/>
        <w:jc w:val="center"/>
        <w:rPr>
          <w:rFonts w:ascii="Times New Roman" w:eastAsia="Times New Roman" w:hAnsi="Times New Roman" w:cs="Times New Roman"/>
        </w:rPr>
      </w:pPr>
      <w:r>
        <w:br w:type="page"/>
      </w:r>
      <w:bookmarkStart w:id="0" w:name="_Toc217489486"/>
      <w:r>
        <w:rPr>
          <w:rFonts w:ascii="Times New Roman" w:eastAsia="Times New Roman" w:hAnsi="Times New Roman" w:cs="Times New Roman"/>
        </w:rPr>
        <w:lastRenderedPageBreak/>
        <w:t>Executive Summary</w:t>
      </w:r>
      <w:bookmarkEnd w:id="0"/>
    </w:p>
    <w:p w14:paraId="64D9945D" w14:textId="77777777" w:rsidR="003C5C1D" w:rsidRDefault="000C02EA">
      <w:pPr>
        <w:spacing w:before="30" w:after="30"/>
      </w:pPr>
      <w:r>
        <w:t xml:space="preserve">The purpose of this report is to analyse the financial performance and investment decision-making by studying an FTSE 100 index firm, Tesco plc, and a capital investment case study of Westward Plc to help inform the making of wise managerial and strategic </w:t>
      </w:r>
      <w:r>
        <w:t>decisions. Task 1 of the report evaluates the Tesco plc financial performance based on ratio analysis of the 2024 and 2025 financial years. The profitability ratios show an overall improvement as there is a rise in the gross profit margin, net profit margi</w:t>
      </w:r>
      <w:r>
        <w:t xml:space="preserve">n, and the profit on capital employed, which shows that efficiency of operations and cost management has improved. Nevertheless, liquidity ratios suffered substantially, which implies an augmented solvency risk on a short-term basis. The efficiency ratios </w:t>
      </w:r>
      <w:r>
        <w:t>show active utilisation of assets and efficiency in using receivables, whereas the gearing ratios indicate that there is high dependence on debt funds, though this is manageable. Investor ratios depict increasing earnings per share, as well as better share</w:t>
      </w:r>
      <w:r>
        <w:t>holder returns, but market valuation ratio should be interpreted carefully. Suggestions were given to consolidate the working capital control, streamline the capital structure and increase the shareholder value. Task 2 of the report is an appraisal of thre</w:t>
      </w:r>
      <w:r>
        <w:t>e investments that can be proposed to Westward Plc through use of Net Present Value as well as Internal Rate of Return. The response of all the projects was positive NPVs, though the internet sales expansion option proved to be the most attractive financia</w:t>
      </w:r>
      <w:r>
        <w:t>lly since it gave the highest NPV, and the IRR was high and far greater than the cost of capital. Another analysis that was conducted was capital rationing analysis, which was used to determine the most appropriate combination of investments given a finite</w:t>
      </w:r>
      <w:r>
        <w:t xml:space="preserve"> budget of 2.5 million pounds. All in all, the report shows that effective decision-making and sustainable value generation are achieved with the help of sound financial analysis and strategic thinking. </w:t>
      </w:r>
    </w:p>
    <w:p w14:paraId="0A1D9485" w14:textId="77777777" w:rsidR="003C5C1D" w:rsidRDefault="000C02EA">
      <w:pPr>
        <w:keepNext/>
        <w:keepLines/>
        <w:pBdr>
          <w:top w:val="nil"/>
          <w:left w:val="nil"/>
          <w:bottom w:val="nil"/>
          <w:right w:val="nil"/>
          <w:between w:val="nil"/>
        </w:pBdr>
        <w:spacing w:before="30" w:after="30"/>
        <w:jc w:val="center"/>
        <w:rPr>
          <w:color w:val="2E75B5"/>
          <w:sz w:val="32"/>
          <w:szCs w:val="32"/>
        </w:rPr>
      </w:pPr>
      <w:r>
        <w:br w:type="page"/>
      </w:r>
    </w:p>
    <w:p w14:paraId="2BD778E7" w14:textId="77777777" w:rsidR="003C5C1D" w:rsidRDefault="000C02EA">
      <w:pPr>
        <w:keepNext/>
        <w:keepLines/>
        <w:pBdr>
          <w:top w:val="nil"/>
          <w:left w:val="nil"/>
          <w:bottom w:val="nil"/>
          <w:right w:val="nil"/>
          <w:between w:val="nil"/>
        </w:pBdr>
        <w:spacing w:before="30" w:after="30"/>
        <w:jc w:val="center"/>
        <w:rPr>
          <w:color w:val="2E75B5"/>
          <w:sz w:val="32"/>
          <w:szCs w:val="32"/>
        </w:rPr>
      </w:pPr>
      <w:r>
        <w:rPr>
          <w:color w:val="2E75B5"/>
          <w:sz w:val="32"/>
          <w:szCs w:val="32"/>
        </w:rPr>
        <w:lastRenderedPageBreak/>
        <w:t>Table of Contents</w:t>
      </w:r>
    </w:p>
    <w:sdt>
      <w:sdtPr>
        <w:id w:val="-2028830263"/>
        <w:docPartObj>
          <w:docPartGallery w:val="Table of Contents"/>
          <w:docPartUnique/>
        </w:docPartObj>
      </w:sdtPr>
      <w:sdtEndPr/>
      <w:sdtContent>
        <w:p w14:paraId="577A8160" w14:textId="54570C84" w:rsidR="00523C8C" w:rsidRDefault="000C02EA">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r>
            <w:fldChar w:fldCharType="begin"/>
          </w:r>
          <w:r>
            <w:instrText xml:space="preserve"> TOC \h \u \z \t "Heading 1,1,Heading 2,2,Heading 3,3,"</w:instrText>
          </w:r>
          <w:r>
            <w:fldChar w:fldCharType="separate"/>
          </w:r>
          <w:hyperlink w:anchor="_Toc217489486" w:history="1">
            <w:r w:rsidR="00523C8C" w:rsidRPr="001276BD">
              <w:rPr>
                <w:rStyle w:val="Hyperlink"/>
                <w:noProof/>
              </w:rPr>
              <w:t>Executive Summary</w:t>
            </w:r>
            <w:r w:rsidR="00523C8C">
              <w:rPr>
                <w:noProof/>
                <w:webHidden/>
              </w:rPr>
              <w:tab/>
            </w:r>
            <w:r w:rsidR="00523C8C">
              <w:rPr>
                <w:noProof/>
                <w:webHidden/>
              </w:rPr>
              <w:fldChar w:fldCharType="begin"/>
            </w:r>
            <w:r w:rsidR="00523C8C">
              <w:rPr>
                <w:noProof/>
                <w:webHidden/>
              </w:rPr>
              <w:instrText xml:space="preserve"> PAGEREF _Toc217489486 \h </w:instrText>
            </w:r>
            <w:r w:rsidR="00523C8C">
              <w:rPr>
                <w:noProof/>
                <w:webHidden/>
              </w:rPr>
            </w:r>
            <w:r w:rsidR="00523C8C">
              <w:rPr>
                <w:noProof/>
                <w:webHidden/>
              </w:rPr>
              <w:fldChar w:fldCharType="separate"/>
            </w:r>
            <w:r w:rsidR="00523C8C">
              <w:rPr>
                <w:noProof/>
                <w:webHidden/>
              </w:rPr>
              <w:t>1</w:t>
            </w:r>
            <w:r w:rsidR="00523C8C">
              <w:rPr>
                <w:noProof/>
                <w:webHidden/>
              </w:rPr>
              <w:fldChar w:fldCharType="end"/>
            </w:r>
          </w:hyperlink>
        </w:p>
        <w:p w14:paraId="11C22781" w14:textId="410B84CB" w:rsidR="00523C8C" w:rsidRDefault="000C02EA">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87" w:history="1">
            <w:r w:rsidR="00523C8C" w:rsidRPr="001276BD">
              <w:rPr>
                <w:rStyle w:val="Hyperlink"/>
                <w:noProof/>
              </w:rPr>
              <w:t>Introduction</w:t>
            </w:r>
            <w:r w:rsidR="00523C8C">
              <w:rPr>
                <w:noProof/>
                <w:webHidden/>
              </w:rPr>
              <w:tab/>
            </w:r>
            <w:r w:rsidR="00523C8C">
              <w:rPr>
                <w:noProof/>
                <w:webHidden/>
              </w:rPr>
              <w:fldChar w:fldCharType="begin"/>
            </w:r>
            <w:r w:rsidR="00523C8C">
              <w:rPr>
                <w:noProof/>
                <w:webHidden/>
              </w:rPr>
              <w:instrText xml:space="preserve"> PAGEREF _Toc217489487 \h </w:instrText>
            </w:r>
            <w:r w:rsidR="00523C8C">
              <w:rPr>
                <w:noProof/>
                <w:webHidden/>
              </w:rPr>
            </w:r>
            <w:r w:rsidR="00523C8C">
              <w:rPr>
                <w:noProof/>
                <w:webHidden/>
              </w:rPr>
              <w:fldChar w:fldCharType="separate"/>
            </w:r>
            <w:r w:rsidR="00523C8C">
              <w:rPr>
                <w:noProof/>
                <w:webHidden/>
              </w:rPr>
              <w:t>3</w:t>
            </w:r>
            <w:r w:rsidR="00523C8C">
              <w:rPr>
                <w:noProof/>
                <w:webHidden/>
              </w:rPr>
              <w:fldChar w:fldCharType="end"/>
            </w:r>
          </w:hyperlink>
        </w:p>
        <w:p w14:paraId="60723B5B" w14:textId="74EE3D48" w:rsidR="00523C8C" w:rsidRDefault="000C02EA">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88" w:history="1">
            <w:r w:rsidR="00523C8C" w:rsidRPr="001276BD">
              <w:rPr>
                <w:rStyle w:val="Hyperlink"/>
                <w:noProof/>
              </w:rPr>
              <w:t>Main Findings</w:t>
            </w:r>
            <w:r w:rsidR="00523C8C">
              <w:rPr>
                <w:noProof/>
                <w:webHidden/>
              </w:rPr>
              <w:tab/>
            </w:r>
            <w:r w:rsidR="00523C8C">
              <w:rPr>
                <w:noProof/>
                <w:webHidden/>
              </w:rPr>
              <w:fldChar w:fldCharType="begin"/>
            </w:r>
            <w:r w:rsidR="00523C8C">
              <w:rPr>
                <w:noProof/>
                <w:webHidden/>
              </w:rPr>
              <w:instrText xml:space="preserve"> PAGEREF _Toc217489488 \h </w:instrText>
            </w:r>
            <w:r w:rsidR="00523C8C">
              <w:rPr>
                <w:noProof/>
                <w:webHidden/>
              </w:rPr>
            </w:r>
            <w:r w:rsidR="00523C8C">
              <w:rPr>
                <w:noProof/>
                <w:webHidden/>
              </w:rPr>
              <w:fldChar w:fldCharType="separate"/>
            </w:r>
            <w:r w:rsidR="00523C8C">
              <w:rPr>
                <w:noProof/>
                <w:webHidden/>
              </w:rPr>
              <w:t>3</w:t>
            </w:r>
            <w:r w:rsidR="00523C8C">
              <w:rPr>
                <w:noProof/>
                <w:webHidden/>
              </w:rPr>
              <w:fldChar w:fldCharType="end"/>
            </w:r>
          </w:hyperlink>
        </w:p>
        <w:p w14:paraId="195BF471" w14:textId="2E78F1B0" w:rsidR="00523C8C" w:rsidRDefault="000C02EA">
          <w:pPr>
            <w:pStyle w:val="TOC2"/>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89" w:history="1">
            <w:r w:rsidR="00523C8C" w:rsidRPr="001276BD">
              <w:rPr>
                <w:rStyle w:val="Hyperlink"/>
                <w:noProof/>
              </w:rPr>
              <w:t>Task 1: Financial performance analysis of Tesco plc</w:t>
            </w:r>
            <w:r w:rsidR="00523C8C">
              <w:rPr>
                <w:noProof/>
                <w:webHidden/>
              </w:rPr>
              <w:tab/>
            </w:r>
            <w:r w:rsidR="00523C8C">
              <w:rPr>
                <w:noProof/>
                <w:webHidden/>
              </w:rPr>
              <w:fldChar w:fldCharType="begin"/>
            </w:r>
            <w:r w:rsidR="00523C8C">
              <w:rPr>
                <w:noProof/>
                <w:webHidden/>
              </w:rPr>
              <w:instrText xml:space="preserve"> PAGEREF _Toc217489489 \h </w:instrText>
            </w:r>
            <w:r w:rsidR="00523C8C">
              <w:rPr>
                <w:noProof/>
                <w:webHidden/>
              </w:rPr>
            </w:r>
            <w:r w:rsidR="00523C8C">
              <w:rPr>
                <w:noProof/>
                <w:webHidden/>
              </w:rPr>
              <w:fldChar w:fldCharType="separate"/>
            </w:r>
            <w:r w:rsidR="00523C8C">
              <w:rPr>
                <w:noProof/>
                <w:webHidden/>
              </w:rPr>
              <w:t>3</w:t>
            </w:r>
            <w:r w:rsidR="00523C8C">
              <w:rPr>
                <w:noProof/>
                <w:webHidden/>
              </w:rPr>
              <w:fldChar w:fldCharType="end"/>
            </w:r>
          </w:hyperlink>
        </w:p>
        <w:p w14:paraId="77BD597B" w14:textId="611E8DD3" w:rsidR="00523C8C" w:rsidRDefault="000C02EA">
          <w:pPr>
            <w:pStyle w:val="TOC2"/>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90" w:history="1">
            <w:r w:rsidR="00523C8C" w:rsidRPr="001276BD">
              <w:rPr>
                <w:rStyle w:val="Hyperlink"/>
                <w:noProof/>
              </w:rPr>
              <w:t>Task 2: Investment appraisal analysis of Westward Plc</w:t>
            </w:r>
            <w:r w:rsidR="00523C8C">
              <w:rPr>
                <w:noProof/>
                <w:webHidden/>
              </w:rPr>
              <w:tab/>
            </w:r>
            <w:r w:rsidR="00523C8C">
              <w:rPr>
                <w:noProof/>
                <w:webHidden/>
              </w:rPr>
              <w:fldChar w:fldCharType="begin"/>
            </w:r>
            <w:r w:rsidR="00523C8C">
              <w:rPr>
                <w:noProof/>
                <w:webHidden/>
              </w:rPr>
              <w:instrText xml:space="preserve"> PAGEREF _Toc217489490 \h </w:instrText>
            </w:r>
            <w:r w:rsidR="00523C8C">
              <w:rPr>
                <w:noProof/>
                <w:webHidden/>
              </w:rPr>
            </w:r>
            <w:r w:rsidR="00523C8C">
              <w:rPr>
                <w:noProof/>
                <w:webHidden/>
              </w:rPr>
              <w:fldChar w:fldCharType="separate"/>
            </w:r>
            <w:r w:rsidR="00523C8C">
              <w:rPr>
                <w:noProof/>
                <w:webHidden/>
              </w:rPr>
              <w:t>11</w:t>
            </w:r>
            <w:r w:rsidR="00523C8C">
              <w:rPr>
                <w:noProof/>
                <w:webHidden/>
              </w:rPr>
              <w:fldChar w:fldCharType="end"/>
            </w:r>
          </w:hyperlink>
        </w:p>
        <w:p w14:paraId="361EB9FF" w14:textId="195D5BB8" w:rsidR="00523C8C" w:rsidRDefault="000C02EA">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91" w:history="1">
            <w:r w:rsidR="00523C8C" w:rsidRPr="001276BD">
              <w:rPr>
                <w:rStyle w:val="Hyperlink"/>
                <w:noProof/>
              </w:rPr>
              <w:t>Conclusion</w:t>
            </w:r>
            <w:r w:rsidR="00523C8C">
              <w:rPr>
                <w:noProof/>
                <w:webHidden/>
              </w:rPr>
              <w:tab/>
            </w:r>
            <w:r w:rsidR="00523C8C">
              <w:rPr>
                <w:noProof/>
                <w:webHidden/>
              </w:rPr>
              <w:fldChar w:fldCharType="begin"/>
            </w:r>
            <w:r w:rsidR="00523C8C">
              <w:rPr>
                <w:noProof/>
                <w:webHidden/>
              </w:rPr>
              <w:instrText xml:space="preserve"> PAGEREF _Toc217489491 \h </w:instrText>
            </w:r>
            <w:r w:rsidR="00523C8C">
              <w:rPr>
                <w:noProof/>
                <w:webHidden/>
              </w:rPr>
            </w:r>
            <w:r w:rsidR="00523C8C">
              <w:rPr>
                <w:noProof/>
                <w:webHidden/>
              </w:rPr>
              <w:fldChar w:fldCharType="separate"/>
            </w:r>
            <w:r w:rsidR="00523C8C">
              <w:rPr>
                <w:noProof/>
                <w:webHidden/>
              </w:rPr>
              <w:t>18</w:t>
            </w:r>
            <w:r w:rsidR="00523C8C">
              <w:rPr>
                <w:noProof/>
                <w:webHidden/>
              </w:rPr>
              <w:fldChar w:fldCharType="end"/>
            </w:r>
          </w:hyperlink>
        </w:p>
        <w:p w14:paraId="53D23E48" w14:textId="3162DC64" w:rsidR="00523C8C" w:rsidRDefault="000C02EA">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92" w:history="1">
            <w:r w:rsidR="00523C8C" w:rsidRPr="001276BD">
              <w:rPr>
                <w:rStyle w:val="Hyperlink"/>
                <w:noProof/>
              </w:rPr>
              <w:t>Bibliography</w:t>
            </w:r>
            <w:r w:rsidR="00523C8C">
              <w:rPr>
                <w:noProof/>
                <w:webHidden/>
              </w:rPr>
              <w:tab/>
            </w:r>
            <w:r w:rsidR="00523C8C">
              <w:rPr>
                <w:noProof/>
                <w:webHidden/>
              </w:rPr>
              <w:fldChar w:fldCharType="begin"/>
            </w:r>
            <w:r w:rsidR="00523C8C">
              <w:rPr>
                <w:noProof/>
                <w:webHidden/>
              </w:rPr>
              <w:instrText xml:space="preserve"> PAGEREF _Toc217489492 \h </w:instrText>
            </w:r>
            <w:r w:rsidR="00523C8C">
              <w:rPr>
                <w:noProof/>
                <w:webHidden/>
              </w:rPr>
            </w:r>
            <w:r w:rsidR="00523C8C">
              <w:rPr>
                <w:noProof/>
                <w:webHidden/>
              </w:rPr>
              <w:fldChar w:fldCharType="separate"/>
            </w:r>
            <w:r w:rsidR="00523C8C">
              <w:rPr>
                <w:noProof/>
                <w:webHidden/>
              </w:rPr>
              <w:t>19</w:t>
            </w:r>
            <w:r w:rsidR="00523C8C">
              <w:rPr>
                <w:noProof/>
                <w:webHidden/>
              </w:rPr>
              <w:fldChar w:fldCharType="end"/>
            </w:r>
          </w:hyperlink>
        </w:p>
        <w:p w14:paraId="43AC3768" w14:textId="793EA87C" w:rsidR="00523C8C" w:rsidRDefault="000C02EA">
          <w:pPr>
            <w:pStyle w:val="TOC1"/>
            <w:tabs>
              <w:tab w:val="right" w:leader="dot" w:pos="9016"/>
            </w:tabs>
            <w:rPr>
              <w:rFonts w:asciiTheme="minorHAnsi" w:eastAsiaTheme="minorEastAsia" w:hAnsiTheme="minorHAnsi" w:cstheme="minorBidi"/>
              <w:noProof/>
              <w:color w:val="auto"/>
              <w:kern w:val="2"/>
              <w:highlight w:val="none"/>
              <w:lang w:val="en-US"/>
              <w14:ligatures w14:val="standardContextual"/>
            </w:rPr>
          </w:pPr>
          <w:hyperlink w:anchor="_Toc217489493" w:history="1">
            <w:r w:rsidR="00523C8C" w:rsidRPr="001276BD">
              <w:rPr>
                <w:rStyle w:val="Hyperlink"/>
                <w:noProof/>
              </w:rPr>
              <w:t>Appendix</w:t>
            </w:r>
            <w:r w:rsidR="00523C8C">
              <w:rPr>
                <w:noProof/>
                <w:webHidden/>
              </w:rPr>
              <w:tab/>
            </w:r>
            <w:r w:rsidR="00523C8C">
              <w:rPr>
                <w:noProof/>
                <w:webHidden/>
              </w:rPr>
              <w:fldChar w:fldCharType="begin"/>
            </w:r>
            <w:r w:rsidR="00523C8C">
              <w:rPr>
                <w:noProof/>
                <w:webHidden/>
              </w:rPr>
              <w:instrText xml:space="preserve"> PAGEREF _Toc217489493 \h </w:instrText>
            </w:r>
            <w:r w:rsidR="00523C8C">
              <w:rPr>
                <w:noProof/>
                <w:webHidden/>
              </w:rPr>
            </w:r>
            <w:r w:rsidR="00523C8C">
              <w:rPr>
                <w:noProof/>
                <w:webHidden/>
              </w:rPr>
              <w:fldChar w:fldCharType="separate"/>
            </w:r>
            <w:r w:rsidR="00523C8C">
              <w:rPr>
                <w:noProof/>
                <w:webHidden/>
              </w:rPr>
              <w:t>23</w:t>
            </w:r>
            <w:r w:rsidR="00523C8C">
              <w:rPr>
                <w:noProof/>
                <w:webHidden/>
              </w:rPr>
              <w:fldChar w:fldCharType="end"/>
            </w:r>
          </w:hyperlink>
        </w:p>
        <w:p w14:paraId="7B80F789" w14:textId="40D67629" w:rsidR="003C5C1D" w:rsidRDefault="000C02EA">
          <w:pPr>
            <w:pBdr>
              <w:top w:val="nil"/>
              <w:left w:val="nil"/>
              <w:bottom w:val="nil"/>
              <w:right w:val="nil"/>
              <w:between w:val="nil"/>
            </w:pBdr>
            <w:tabs>
              <w:tab w:val="right" w:leader="dot" w:pos="9016"/>
            </w:tabs>
            <w:spacing w:before="30" w:after="30"/>
            <w:jc w:val="left"/>
            <w:rPr>
              <w:color w:val="000000"/>
            </w:rPr>
          </w:pPr>
          <w:r>
            <w:fldChar w:fldCharType="end"/>
          </w:r>
        </w:p>
      </w:sdtContent>
    </w:sdt>
    <w:p w14:paraId="1DA53E07" w14:textId="77777777" w:rsidR="003C5C1D" w:rsidRDefault="003C5C1D">
      <w:pPr>
        <w:spacing w:before="30" w:after="30"/>
      </w:pPr>
    </w:p>
    <w:p w14:paraId="674964BD" w14:textId="77777777" w:rsidR="003C5C1D" w:rsidRDefault="000C02EA">
      <w:pPr>
        <w:pStyle w:val="Heading1"/>
        <w:spacing w:before="30" w:after="30"/>
        <w:rPr>
          <w:rFonts w:ascii="Times New Roman" w:eastAsia="Times New Roman" w:hAnsi="Times New Roman" w:cs="Times New Roman"/>
        </w:rPr>
      </w:pPr>
      <w:bookmarkStart w:id="1" w:name="_heading=h.7w0n4lpns20z" w:colFirst="0" w:colLast="0"/>
      <w:bookmarkEnd w:id="1"/>
      <w:r>
        <w:br w:type="page"/>
      </w:r>
    </w:p>
    <w:p w14:paraId="05AA8A78" w14:textId="77777777" w:rsidR="003C5C1D" w:rsidRDefault="000C02EA">
      <w:pPr>
        <w:pStyle w:val="Heading1"/>
        <w:spacing w:before="30" w:after="30"/>
        <w:rPr>
          <w:rFonts w:ascii="Times New Roman" w:eastAsia="Times New Roman" w:hAnsi="Times New Roman" w:cs="Times New Roman"/>
        </w:rPr>
      </w:pPr>
      <w:bookmarkStart w:id="2" w:name="_Toc217489487"/>
      <w:r>
        <w:rPr>
          <w:rFonts w:ascii="Times New Roman" w:eastAsia="Times New Roman" w:hAnsi="Times New Roman" w:cs="Times New Roman"/>
        </w:rPr>
        <w:lastRenderedPageBreak/>
        <w:t>Introduction</w:t>
      </w:r>
      <w:bookmarkEnd w:id="2"/>
      <w:r>
        <w:rPr>
          <w:rFonts w:ascii="Times New Roman" w:eastAsia="Times New Roman" w:hAnsi="Times New Roman" w:cs="Times New Roman"/>
        </w:rPr>
        <w:t xml:space="preserve"> </w:t>
      </w:r>
    </w:p>
    <w:p w14:paraId="7A8ECEF8" w14:textId="77777777" w:rsidR="003C5C1D" w:rsidRDefault="000C02EA">
      <w:pPr>
        <w:spacing w:before="30" w:after="30"/>
      </w:pPr>
      <w:r>
        <w:t>Financial decision-making is important in making sure that modern organisations remain viable and competitive in</w:t>
      </w:r>
      <w:r>
        <w:t xml:space="preserve"> the long term. Financial information is essential to managers and directors as they need it to determine performance, manage resources effectively, and make meaningful strategic judgments (</w:t>
      </w:r>
      <w:proofErr w:type="spellStart"/>
      <w:r>
        <w:t>Atrill</w:t>
      </w:r>
      <w:proofErr w:type="spellEnd"/>
      <w:r>
        <w:t>, 2019). In this respect, analysis of financial statements a</w:t>
      </w:r>
      <w:r>
        <w:t>nd assessment of investment opportunities could be deemed as important tools to assess present financial health and opportunities for further development. In case of publicly listed companies, such analysis is especially crucial as it determines the confid</w:t>
      </w:r>
      <w:r>
        <w:t>ence of shareholders, the value of shares on the market, and the choice of corporate governance.</w:t>
      </w:r>
    </w:p>
    <w:p w14:paraId="53A6F4D5" w14:textId="77777777" w:rsidR="003C5C1D" w:rsidRDefault="000C02EA">
      <w:pPr>
        <w:spacing w:before="30" w:after="30"/>
      </w:pPr>
      <w:r>
        <w:t>The two areas of financial management that are subject of this report are financial performance analysis and investment appraisal. The initial section of repor</w:t>
      </w:r>
      <w:r>
        <w:t>t considers Tesco plc, a major multinational grocery retailer and one of the companies of FTSE 100 Index. Competing in a very competitive and low-margin retail sector, Tesco continuously experiences the pressures associated with cost management, supply cha</w:t>
      </w:r>
      <w:r>
        <w:t>in management, liquidity management, and returns to the shareholders (Tesco, 2025). An analysis of Tesco's financial performance in last two years offers an understanding of effectiveness of the company in exploiting its resources, managing financial risk,</w:t>
      </w:r>
      <w:r>
        <w:t xml:space="preserve"> and value creation for its investors.</w:t>
      </w:r>
    </w:p>
    <w:p w14:paraId="470B6938" w14:textId="77777777" w:rsidR="003C5C1D" w:rsidRDefault="000C02EA">
      <w:pPr>
        <w:spacing w:before="30" w:after="30"/>
      </w:pPr>
      <w:r>
        <w:t>The second section of the report deals with a strategic choice of investment to be made by Westward Plc, which is a manufacturing firm that produces high-grade curtains. Westward Plc is contemplating three alternative</w:t>
      </w:r>
      <w:r>
        <w:t xml:space="preserve"> growth opportunities as part of four-year expansion strategies that involve various major capital investments and different risk-return profiles. These options require the application of the techniques of investment appraisal to determine whether they are</w:t>
      </w:r>
      <w:r>
        <w:t xml:space="preserve"> financially viable and measure them in connection with the shareholder wealth maximisation.</w:t>
      </w:r>
    </w:p>
    <w:p w14:paraId="1BD05B05" w14:textId="77777777" w:rsidR="003C5C1D" w:rsidRDefault="000C02EA">
      <w:pPr>
        <w:spacing w:before="30" w:after="30"/>
      </w:pPr>
      <w:r>
        <w:t>The report also gives a financial analysis and a wider managerial framework by integrating ratio analysis with discounted cash flow techniques. It also cites posit</w:t>
      </w:r>
      <w:r>
        <w:t>ives of using the numbers to aid in strategic decision-making, in addition to identifying practical shortcomings and broader aspects in which corporate financial decisions are made.</w:t>
      </w:r>
    </w:p>
    <w:p w14:paraId="234081D8" w14:textId="77777777" w:rsidR="003C5C1D" w:rsidRDefault="000C02EA">
      <w:pPr>
        <w:pStyle w:val="Heading1"/>
        <w:spacing w:before="30" w:after="30"/>
        <w:rPr>
          <w:rFonts w:ascii="Times New Roman" w:eastAsia="Times New Roman" w:hAnsi="Times New Roman" w:cs="Times New Roman"/>
        </w:rPr>
      </w:pPr>
      <w:bookmarkStart w:id="3" w:name="_Toc217489488"/>
      <w:r>
        <w:rPr>
          <w:rFonts w:ascii="Times New Roman" w:eastAsia="Times New Roman" w:hAnsi="Times New Roman" w:cs="Times New Roman"/>
        </w:rPr>
        <w:t>Main Findings</w:t>
      </w:r>
      <w:bookmarkEnd w:id="3"/>
    </w:p>
    <w:p w14:paraId="7CC209B1" w14:textId="77777777" w:rsidR="003C5C1D" w:rsidRDefault="000C02EA">
      <w:pPr>
        <w:pStyle w:val="Heading2"/>
        <w:spacing w:before="30" w:after="30"/>
        <w:rPr>
          <w:rFonts w:ascii="Times New Roman" w:eastAsia="Times New Roman" w:hAnsi="Times New Roman" w:cs="Times New Roman"/>
        </w:rPr>
      </w:pPr>
      <w:bookmarkStart w:id="4" w:name="_Toc217489489"/>
      <w:r>
        <w:rPr>
          <w:rFonts w:ascii="Times New Roman" w:eastAsia="Times New Roman" w:hAnsi="Times New Roman" w:cs="Times New Roman"/>
        </w:rPr>
        <w:t>Task 1: Financial performance analysis of Tesco plc</w:t>
      </w:r>
      <w:bookmarkEnd w:id="4"/>
    </w:p>
    <w:p w14:paraId="3AFABD6B" w14:textId="77777777" w:rsidR="003C5C1D" w:rsidRDefault="000C02EA">
      <w:pPr>
        <w:spacing w:before="30" w:after="30"/>
        <w:rPr>
          <w:b/>
          <w:bCs/>
          <w:i/>
          <w:iCs/>
        </w:rPr>
      </w:pPr>
      <w:r>
        <w:rPr>
          <w:b/>
          <w:bCs/>
          <w:i/>
          <w:iCs/>
        </w:rPr>
        <w:t>Methodol</w:t>
      </w:r>
      <w:r>
        <w:rPr>
          <w:b/>
          <w:bCs/>
          <w:i/>
          <w:iCs/>
        </w:rPr>
        <w:t xml:space="preserve">ogy and Data Source: </w:t>
      </w:r>
    </w:p>
    <w:p w14:paraId="40417DEC" w14:textId="77777777" w:rsidR="003C5C1D" w:rsidRDefault="000C02EA">
      <w:pPr>
        <w:spacing w:before="30" w:after="30"/>
        <w:jc w:val="center"/>
      </w:pPr>
      <w:r>
        <w:rPr>
          <w:noProof/>
          <w:lang w:eastAsia="en-GB"/>
        </w:rPr>
        <w:lastRenderedPageBreak/>
        <w:drawing>
          <wp:inline distT="114300" distB="114300" distL="114300" distR="114300" wp14:anchorId="34C618DA" wp14:editId="2EB43A90">
            <wp:extent cx="4961100" cy="3648075"/>
            <wp:effectExtent l="0" t="0" r="0" b="0"/>
            <wp:docPr id="15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961100" cy="3648075"/>
                    </a:xfrm>
                    <a:prstGeom prst="rect">
                      <a:avLst/>
                    </a:prstGeom>
                    <a:ln/>
                  </pic:spPr>
                </pic:pic>
              </a:graphicData>
            </a:graphic>
          </wp:inline>
        </w:drawing>
      </w:r>
    </w:p>
    <w:p w14:paraId="2B88AE96" w14:textId="77777777" w:rsidR="003C5C1D" w:rsidRDefault="000C02EA">
      <w:pPr>
        <w:spacing w:before="30" w:after="30"/>
        <w:jc w:val="center"/>
        <w:rPr>
          <w:b/>
          <w:bCs/>
        </w:rPr>
      </w:pPr>
      <w:r>
        <w:rPr>
          <w:b/>
          <w:bCs/>
        </w:rPr>
        <w:t>Figure 1: Tesco plc logo</w:t>
      </w:r>
    </w:p>
    <w:p w14:paraId="359E80E4" w14:textId="77777777" w:rsidR="003C5C1D" w:rsidRDefault="000C02EA">
      <w:pPr>
        <w:spacing w:before="30" w:after="30"/>
        <w:jc w:val="center"/>
      </w:pPr>
      <w:r>
        <w:t>(Source: Tesco, 2025)</w:t>
      </w:r>
    </w:p>
    <w:p w14:paraId="1CC380D9" w14:textId="77777777" w:rsidR="003C5C1D" w:rsidRDefault="000C02EA">
      <w:pPr>
        <w:spacing w:before="30" w:after="30"/>
      </w:pPr>
      <w:r>
        <w:t>The secondary financial data used in this analysis includes annual reports of 2025 published by Tesco plc regarding the last two financial years, February 2024 and 2025. These reports c</w:t>
      </w:r>
      <w:r>
        <w:t>ontain audited financial statements, which makes them reliable and consistent as far as the information utilized is concerned (Tesco, 2025). As main method of analysis, the ratio analysis is adopted as it makes it possible to consider both the financial pe</w:t>
      </w:r>
      <w:r>
        <w:t xml:space="preserve">rformance, position of a business, its efficiency over time, and to compare the results across time </w:t>
      </w:r>
      <w:r>
        <w:rPr>
          <w:b/>
          <w:bCs/>
          <w:i/>
          <w:iCs/>
        </w:rPr>
        <w:t>[Referenced to Appendix]</w:t>
      </w:r>
      <w:r>
        <w:t>.</w:t>
      </w:r>
    </w:p>
    <w:p w14:paraId="1332CC64" w14:textId="77777777" w:rsidR="003C5C1D" w:rsidRDefault="000C02EA">
      <w:pPr>
        <w:spacing w:before="30" w:after="30"/>
      </w:pPr>
      <w:r>
        <w:t>The ratios used fall under five major categories reflecting various aspects of financial performance. Profitability ratios determi</w:t>
      </w:r>
      <w:r>
        <w:t>ne Tesco's ability to generate returns on its activities. Liquidity ratios are used to analyse ability of the company to settle its short-term liabilities (</w:t>
      </w:r>
      <w:proofErr w:type="spellStart"/>
      <w:r>
        <w:t>Nasution</w:t>
      </w:r>
      <w:proofErr w:type="spellEnd"/>
      <w:r>
        <w:t xml:space="preserve"> and </w:t>
      </w:r>
      <w:proofErr w:type="spellStart"/>
      <w:r>
        <w:t>Yusleny</w:t>
      </w:r>
      <w:proofErr w:type="spellEnd"/>
      <w:r>
        <w:t xml:space="preserve">, 2023). Efficiency ratios look into efficiency in using the assets and working </w:t>
      </w:r>
      <w:r>
        <w:t>capital (Rashid, 2021). Gearing ratios help in gauging degree of financial risk due to the capital structure, but investor ratios will help to understand returns to shareholders and market perception (</w:t>
      </w:r>
      <w:proofErr w:type="spellStart"/>
      <w:r>
        <w:t>Tulung</w:t>
      </w:r>
      <w:proofErr w:type="spellEnd"/>
      <w:r>
        <w:t xml:space="preserve"> </w:t>
      </w:r>
      <w:r>
        <w:rPr>
          <w:i/>
          <w:iCs/>
        </w:rPr>
        <w:t xml:space="preserve">et al. </w:t>
      </w:r>
      <w:r>
        <w:t>2024). The use of secondary financial inf</w:t>
      </w:r>
      <w:r>
        <w:t>ormation is, however, limited because the data is historical and can be affected by accounting policies (Avi, 2023). Also, it does not exhaustively cover the aspect of qualitative or forward-looking elements impacting performance.</w:t>
      </w:r>
    </w:p>
    <w:p w14:paraId="1ED7DDB7" w14:textId="77777777" w:rsidR="003C5C1D" w:rsidRDefault="000C02EA">
      <w:pPr>
        <w:spacing w:before="30" w:after="30"/>
        <w:rPr>
          <w:b/>
          <w:bCs/>
          <w:i/>
          <w:iCs/>
        </w:rPr>
      </w:pPr>
      <w:r>
        <w:rPr>
          <w:b/>
          <w:bCs/>
          <w:i/>
          <w:iCs/>
        </w:rPr>
        <w:lastRenderedPageBreak/>
        <w:t xml:space="preserve">Ratio Calculations: </w:t>
      </w:r>
    </w:p>
    <w:p w14:paraId="5A617099" w14:textId="77777777" w:rsidR="003C5C1D" w:rsidRDefault="000C02EA">
      <w:pPr>
        <w:spacing w:before="30" w:after="30"/>
        <w:jc w:val="center"/>
      </w:pPr>
      <w:r>
        <w:rPr>
          <w:noProof/>
          <w:lang w:eastAsia="en-GB"/>
        </w:rPr>
        <w:drawing>
          <wp:inline distT="114300" distB="114300" distL="114300" distR="114300" wp14:anchorId="53377835" wp14:editId="120B778D">
            <wp:extent cx="5731200" cy="4521200"/>
            <wp:effectExtent l="0" t="0" r="0" b="0"/>
            <wp:docPr id="14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731200" cy="4521200"/>
                    </a:xfrm>
                    <a:prstGeom prst="rect">
                      <a:avLst/>
                    </a:prstGeom>
                    <a:ln/>
                  </pic:spPr>
                </pic:pic>
              </a:graphicData>
            </a:graphic>
          </wp:inline>
        </w:drawing>
      </w:r>
    </w:p>
    <w:p w14:paraId="6729837C" w14:textId="77777777" w:rsidR="003C5C1D" w:rsidRDefault="000C02EA">
      <w:pPr>
        <w:spacing w:before="30" w:after="30"/>
        <w:jc w:val="center"/>
        <w:rPr>
          <w:b/>
          <w:bCs/>
        </w:rPr>
      </w:pPr>
      <w:r>
        <w:rPr>
          <w:b/>
          <w:bCs/>
        </w:rPr>
        <w:t>Fi</w:t>
      </w:r>
      <w:r>
        <w:rPr>
          <w:b/>
          <w:bCs/>
        </w:rPr>
        <w:t>gure 2: Ratio Calculations</w:t>
      </w:r>
    </w:p>
    <w:p w14:paraId="3EA60716" w14:textId="77777777" w:rsidR="003C5C1D" w:rsidRDefault="000C02EA">
      <w:pPr>
        <w:spacing w:before="30" w:after="30"/>
        <w:jc w:val="center"/>
      </w:pPr>
      <w:r>
        <w:t>(Source: Self-made)</w:t>
      </w:r>
    </w:p>
    <w:p w14:paraId="026AA512" w14:textId="77777777" w:rsidR="003C5C1D" w:rsidRDefault="000C02EA">
      <w:pPr>
        <w:spacing w:before="30" w:after="30"/>
        <w:rPr>
          <w:b/>
          <w:bCs/>
          <w:i/>
          <w:iCs/>
        </w:rPr>
      </w:pPr>
      <w:r>
        <w:rPr>
          <w:b/>
          <w:bCs/>
          <w:i/>
          <w:iCs/>
        </w:rPr>
        <w:t>Profitability Analysis:</w:t>
      </w:r>
    </w:p>
    <w:p w14:paraId="504B615B" w14:textId="77777777" w:rsidR="003C5C1D" w:rsidRDefault="000C02EA">
      <w:pPr>
        <w:spacing w:before="30" w:after="30"/>
        <w:jc w:val="center"/>
      </w:pPr>
      <w:r>
        <w:rPr>
          <w:noProof/>
          <w:lang w:eastAsia="en-GB"/>
        </w:rPr>
        <w:drawing>
          <wp:inline distT="114300" distB="114300" distL="114300" distR="114300" wp14:anchorId="5CF61E15" wp14:editId="68ECFEDE">
            <wp:extent cx="4908713" cy="2573115"/>
            <wp:effectExtent l="0" t="0" r="0" b="0"/>
            <wp:docPr id="14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a:stretch>
                      <a:fillRect/>
                    </a:stretch>
                  </pic:blipFill>
                  <pic:spPr>
                    <a:xfrm>
                      <a:off x="0" y="0"/>
                      <a:ext cx="4908713" cy="2573115"/>
                    </a:xfrm>
                    <a:prstGeom prst="rect">
                      <a:avLst/>
                    </a:prstGeom>
                    <a:ln/>
                  </pic:spPr>
                </pic:pic>
              </a:graphicData>
            </a:graphic>
          </wp:inline>
        </w:drawing>
      </w:r>
    </w:p>
    <w:p w14:paraId="76E2B447" w14:textId="77777777" w:rsidR="003C5C1D" w:rsidRDefault="000C02EA">
      <w:pPr>
        <w:spacing w:before="30" w:after="30"/>
        <w:jc w:val="center"/>
        <w:rPr>
          <w:b/>
          <w:bCs/>
        </w:rPr>
      </w:pPr>
      <w:r>
        <w:rPr>
          <w:b/>
          <w:bCs/>
        </w:rPr>
        <w:t>Figure 3: Profitability Analysis</w:t>
      </w:r>
    </w:p>
    <w:p w14:paraId="722AFEED" w14:textId="77777777" w:rsidR="003C5C1D" w:rsidRDefault="000C02EA">
      <w:pPr>
        <w:spacing w:before="30" w:after="30"/>
        <w:jc w:val="center"/>
      </w:pPr>
      <w:r>
        <w:lastRenderedPageBreak/>
        <w:t>(Source: Self-made)</w:t>
      </w:r>
    </w:p>
    <w:p w14:paraId="7682C31B" w14:textId="77777777" w:rsidR="003C5C1D" w:rsidRDefault="000C02EA">
      <w:pPr>
        <w:spacing w:before="30" w:after="30"/>
      </w:pPr>
      <w:r>
        <w:t>The profitability ratios are used to measure how Tesco plc is able to make profits compared to the revenue and capital used. In th</w:t>
      </w:r>
      <w:r>
        <w:t>e two years, Tesco has shown an upward trend of overall profitability. The gross profit margin and increase of gross profit margin marginally between 7.11 in 2024 and 7.22 in 2025, show a better control of the cost or a more successful pricing policy. This</w:t>
      </w:r>
      <w:r>
        <w:t xml:space="preserve"> small improvement is despite company operating in the extremely competitive and low-margin grocery retail industry, meaning that the company is more efficient in its procurement and supply chain management. There was a greater increase in bottom-line perf</w:t>
      </w:r>
      <w:r>
        <w:t>ormance as the net profit margin went upwards of 1.75 to 2.33. This turnaround can be explained by cheaper operating expenses, more manageable expenses, and less relative expense of finance expenses (</w:t>
      </w:r>
      <w:proofErr w:type="spellStart"/>
      <w:r>
        <w:t>Sudacevschi</w:t>
      </w:r>
      <w:proofErr w:type="spellEnd"/>
      <w:r>
        <w:t xml:space="preserve"> and Stefan </w:t>
      </w:r>
      <w:proofErr w:type="spellStart"/>
      <w:r>
        <w:t>Duicu</w:t>
      </w:r>
      <w:proofErr w:type="spellEnd"/>
      <w:r>
        <w:t>, 2024). Considering the mag</w:t>
      </w:r>
      <w:r>
        <w:t>nitude of Tesco operations, even minor percentages turn into high absolute growth of profits, which supports the necessity to be strict with costs.</w:t>
      </w:r>
    </w:p>
    <w:p w14:paraId="1183CA23" w14:textId="77777777" w:rsidR="003C5C1D" w:rsidRDefault="000C02EA">
      <w:pPr>
        <w:spacing w:before="30" w:after="30"/>
      </w:pPr>
      <w:r>
        <w:t>The Return on Capital Employed (ROCE) changed between 2024 and 2025, switching up to 9.03% demonstrating eff</w:t>
      </w:r>
      <w:r>
        <w:t>iciency in long-term capital use to generate operating profit. This enhancement is attributable to improvement of operating performance as well as a decrease in capital employed, which is partly due to asset rationalisation and management of the working ca</w:t>
      </w:r>
      <w:r>
        <w:t>pital (</w:t>
      </w:r>
      <w:proofErr w:type="spellStart"/>
      <w:r>
        <w:t>Yusrini</w:t>
      </w:r>
      <w:proofErr w:type="spellEnd"/>
      <w:r>
        <w:t>, Hamid, and Khan, 2021). Increased ROCE is of pure essence, especially to shareholders, as they represent enhanced value-creation in comparison to the investment directed towards the business. On the whole, the trend of profitability of Tesc</w:t>
      </w:r>
      <w:r>
        <w:t xml:space="preserve">o is </w:t>
      </w:r>
      <w:proofErr w:type="spellStart"/>
      <w:r>
        <w:t>favorable</w:t>
      </w:r>
      <w:proofErr w:type="spellEnd"/>
      <w:r>
        <w:t>, but the margins are low, which reflects the nature of the grocery retail business and the necessity of operational effectiveness.</w:t>
      </w:r>
    </w:p>
    <w:p w14:paraId="07EE66C7" w14:textId="77777777" w:rsidR="003C5C1D" w:rsidRDefault="000C02EA">
      <w:pPr>
        <w:spacing w:before="30" w:after="30"/>
        <w:rPr>
          <w:b/>
          <w:bCs/>
          <w:i/>
          <w:iCs/>
        </w:rPr>
      </w:pPr>
      <w:r>
        <w:rPr>
          <w:b/>
          <w:bCs/>
          <w:i/>
          <w:iCs/>
        </w:rPr>
        <w:t xml:space="preserve">Liquidity Analysis: </w:t>
      </w:r>
    </w:p>
    <w:p w14:paraId="5FE98D66" w14:textId="77777777" w:rsidR="003C5C1D" w:rsidRDefault="000C02EA">
      <w:pPr>
        <w:spacing w:before="30" w:after="30"/>
        <w:jc w:val="center"/>
      </w:pPr>
      <w:r>
        <w:rPr>
          <w:noProof/>
          <w:lang w:eastAsia="en-GB"/>
        </w:rPr>
        <w:drawing>
          <wp:inline distT="114300" distB="114300" distL="114300" distR="114300" wp14:anchorId="66FA726C" wp14:editId="31048907">
            <wp:extent cx="4387688" cy="1981200"/>
            <wp:effectExtent l="0" t="0" r="0" b="0"/>
            <wp:docPr id="15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4387688" cy="1981200"/>
                    </a:xfrm>
                    <a:prstGeom prst="rect">
                      <a:avLst/>
                    </a:prstGeom>
                    <a:ln/>
                  </pic:spPr>
                </pic:pic>
              </a:graphicData>
            </a:graphic>
          </wp:inline>
        </w:drawing>
      </w:r>
    </w:p>
    <w:p w14:paraId="1DE2693C" w14:textId="77777777" w:rsidR="003C5C1D" w:rsidRDefault="000C02EA">
      <w:pPr>
        <w:spacing w:before="30" w:after="30"/>
        <w:jc w:val="center"/>
        <w:rPr>
          <w:b/>
          <w:bCs/>
        </w:rPr>
      </w:pPr>
      <w:r>
        <w:rPr>
          <w:b/>
          <w:bCs/>
        </w:rPr>
        <w:t>Figure 4: Liquidity Analysis</w:t>
      </w:r>
    </w:p>
    <w:p w14:paraId="11EBDAD9" w14:textId="77777777" w:rsidR="003C5C1D" w:rsidRDefault="000C02EA">
      <w:pPr>
        <w:spacing w:before="30" w:after="30"/>
        <w:jc w:val="center"/>
      </w:pPr>
      <w:r>
        <w:t>(Source: Self-made)</w:t>
      </w:r>
    </w:p>
    <w:p w14:paraId="20376537" w14:textId="77777777" w:rsidR="003C5C1D" w:rsidRDefault="000C02EA">
      <w:pPr>
        <w:spacing w:before="30" w:after="30"/>
      </w:pPr>
      <w:r>
        <w:lastRenderedPageBreak/>
        <w:t>Liquidity ratios are used to determine Tesco's capacity to finance its immediate financial liabilities. Findings show that there was a decline in liquidity during period between 2024 and 2025. The current ratio has decreased significantly to 0.64 as compar</w:t>
      </w:r>
      <w:r>
        <w:t xml:space="preserve">ed to 1.24, indicating that the current assets are no longer adequate to meet the current liabilities. Equally, the quick ratio decreased to 0.44 as compared to 1.05, showing that it has a lesser ability to </w:t>
      </w:r>
      <w:proofErr w:type="spellStart"/>
      <w:r>
        <w:t>fulfill</w:t>
      </w:r>
      <w:proofErr w:type="spellEnd"/>
      <w:r>
        <w:t xml:space="preserve"> short-term obligations without depending </w:t>
      </w:r>
      <w:r>
        <w:t>on inventory sales. This deterioration could be a result of variation in working capital policy of Tesco, such as less cash balances or more dependence on intensive short-term liabilities (Akgün and Memiş Karataş, 2023). Low liquidity ratios are not out of</w:t>
      </w:r>
      <w:r>
        <w:t xml:space="preserve"> the ordinary in the retail version because cash inflows are high and inventory turnover is high, but ratios below 1 are still an augmented liquidity risk, especially during economic uncertainties or periods of interest rate increases.</w:t>
      </w:r>
    </w:p>
    <w:p w14:paraId="0832B32B" w14:textId="77777777" w:rsidR="003C5C1D" w:rsidRDefault="000C02EA">
      <w:pPr>
        <w:spacing w:before="30" w:after="30"/>
      </w:pPr>
      <w:r>
        <w:t xml:space="preserve">Under the impact of </w:t>
      </w:r>
      <w:r>
        <w:t>the steady cash flow and pivotal supplier relations, Tesco has, a drastic decrease in the liquidity ratios can lead to a lack of financial flexibility. A low quick ratio would indicate that company would be more reliant on the inventory conversion, and the</w:t>
      </w:r>
      <w:r>
        <w:t xml:space="preserve"> business would be vulnerable to the operational risk in case a demand decreases, or the chain of supply would be disrupted (</w:t>
      </w:r>
      <w:proofErr w:type="spellStart"/>
      <w:r>
        <w:t>Tarighi</w:t>
      </w:r>
      <w:proofErr w:type="spellEnd"/>
      <w:r>
        <w:t xml:space="preserve"> </w:t>
      </w:r>
      <w:r>
        <w:rPr>
          <w:i/>
          <w:iCs/>
        </w:rPr>
        <w:t xml:space="preserve">et al. </w:t>
      </w:r>
      <w:r>
        <w:t>2024). On the whole, despite Tesco possibly being able to function at relatively low liquidity levels because of its</w:t>
      </w:r>
      <w:r>
        <w:t xml:space="preserve"> size and market standing, the downward trend should be closely observed by the management to make sure that short-term solvency risks are kept under control.</w:t>
      </w:r>
    </w:p>
    <w:p w14:paraId="1C103757" w14:textId="77777777" w:rsidR="003C5C1D" w:rsidRDefault="000C02EA">
      <w:pPr>
        <w:spacing w:before="30" w:after="30"/>
        <w:rPr>
          <w:b/>
          <w:bCs/>
          <w:i/>
          <w:iCs/>
        </w:rPr>
      </w:pPr>
      <w:r>
        <w:rPr>
          <w:b/>
          <w:bCs/>
          <w:i/>
          <w:iCs/>
        </w:rPr>
        <w:t xml:space="preserve">Gearing Analysis: </w:t>
      </w:r>
    </w:p>
    <w:p w14:paraId="3527B95B" w14:textId="77777777" w:rsidR="003C5C1D" w:rsidRDefault="000C02EA">
      <w:pPr>
        <w:spacing w:before="30" w:after="30"/>
        <w:jc w:val="center"/>
      </w:pPr>
      <w:r>
        <w:rPr>
          <w:noProof/>
          <w:lang w:eastAsia="en-GB"/>
        </w:rPr>
        <w:drawing>
          <wp:inline distT="114300" distB="114300" distL="114300" distR="114300" wp14:anchorId="1609ABAF" wp14:editId="0C0C1FC2">
            <wp:extent cx="4567238" cy="2215338"/>
            <wp:effectExtent l="0" t="0" r="0" b="0"/>
            <wp:docPr id="15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567238" cy="2215338"/>
                    </a:xfrm>
                    <a:prstGeom prst="rect">
                      <a:avLst/>
                    </a:prstGeom>
                    <a:ln/>
                  </pic:spPr>
                </pic:pic>
              </a:graphicData>
            </a:graphic>
          </wp:inline>
        </w:drawing>
      </w:r>
    </w:p>
    <w:p w14:paraId="4FFEAD1A" w14:textId="77777777" w:rsidR="003C5C1D" w:rsidRDefault="000C02EA">
      <w:pPr>
        <w:spacing w:before="30" w:after="30"/>
        <w:jc w:val="center"/>
        <w:rPr>
          <w:b/>
          <w:bCs/>
        </w:rPr>
      </w:pPr>
      <w:r>
        <w:rPr>
          <w:b/>
          <w:bCs/>
        </w:rPr>
        <w:t>Figure 5: Gearing Analysis</w:t>
      </w:r>
    </w:p>
    <w:p w14:paraId="78439E80" w14:textId="77777777" w:rsidR="003C5C1D" w:rsidRDefault="000C02EA">
      <w:pPr>
        <w:spacing w:before="30" w:after="30"/>
        <w:jc w:val="center"/>
      </w:pPr>
      <w:r>
        <w:t>(Source: Self-made)</w:t>
      </w:r>
    </w:p>
    <w:p w14:paraId="55248F75" w14:textId="77777777" w:rsidR="003C5C1D" w:rsidRDefault="000C02EA">
      <w:pPr>
        <w:spacing w:before="30" w:after="30"/>
      </w:pPr>
      <w:r>
        <w:t>The gearing ratios give an in</w:t>
      </w:r>
      <w:r>
        <w:t xml:space="preserve">sight into Tesco and its capital structure and financial risk exposure. The debt-to-equity ratio was a bit lower in 2025 than the 2.42 of 2024, and it shows </w:t>
      </w:r>
      <w:r>
        <w:lastRenderedPageBreak/>
        <w:t>that there was a slight decline in financial leverage. Even then, the value is high, indicating tha</w:t>
      </w:r>
      <w:r>
        <w:t>t Tesco depends heavily on debt funding. High gearing amplifies financial risk, especially where the interest rate is on the increase (Aldo, 2022). However, it can also serve shareholder returns when the debt is properly managed. The interest cover was rai</w:t>
      </w:r>
      <w:r>
        <w:t>sed to 3.63 times as opposed to 3.50 times, indicating a better capacity to provide interest due with operating profit. This enhancement indicates an increase in operating profitability and a decrease in the relative cost of finance, thus minimizing chance</w:t>
      </w:r>
      <w:r>
        <w:t>s of financial distress (</w:t>
      </w:r>
      <w:proofErr w:type="spellStart"/>
      <w:r>
        <w:t>Jariah</w:t>
      </w:r>
      <w:proofErr w:type="spellEnd"/>
      <w:r>
        <w:t xml:space="preserve">, and </w:t>
      </w:r>
      <w:proofErr w:type="spellStart"/>
      <w:r>
        <w:t>Lukiana</w:t>
      </w:r>
      <w:proofErr w:type="spellEnd"/>
      <w:r>
        <w:t>, 2023). The conventional definition of an interest cover is that it should be over 3 times, and this will provide little protection in case of negative economic shocks.</w:t>
      </w:r>
    </w:p>
    <w:p w14:paraId="76A05830" w14:textId="77777777" w:rsidR="003C5C1D" w:rsidRDefault="000C02EA">
      <w:pPr>
        <w:spacing w:before="30" w:after="30"/>
      </w:pPr>
      <w:r>
        <w:t xml:space="preserve">Tesco's balance sheet indicates a </w:t>
      </w:r>
      <w:r>
        <w:t>risk-reward relationship. Though the company has high leverage, and it increases its vulnerability to declining economies, the consistency of the cash flows of the company and its market leadership eliminate part of this risk. Nevertheless, long-term use o</w:t>
      </w:r>
      <w:r>
        <w:t>f debt would limit the ability to borrow in the future and become much more exposed to fluctuations in credit terms (Naomi, 2023). All in all, the gearing stance of Tesco is manageable, yet controlling debt is the key to staying afloat and ensuring value o</w:t>
      </w:r>
      <w:r>
        <w:t>f shares.</w:t>
      </w:r>
    </w:p>
    <w:p w14:paraId="00641DBB" w14:textId="77777777" w:rsidR="003C5C1D" w:rsidRDefault="000C02EA">
      <w:pPr>
        <w:spacing w:before="30" w:after="30"/>
        <w:rPr>
          <w:b/>
          <w:bCs/>
          <w:i/>
          <w:iCs/>
        </w:rPr>
      </w:pPr>
      <w:r>
        <w:rPr>
          <w:b/>
          <w:bCs/>
          <w:i/>
          <w:iCs/>
        </w:rPr>
        <w:t xml:space="preserve">Efficiency Analysis: </w:t>
      </w:r>
    </w:p>
    <w:p w14:paraId="1BD53ED1" w14:textId="77777777" w:rsidR="003C5C1D" w:rsidRDefault="000C02EA">
      <w:pPr>
        <w:spacing w:before="30" w:after="30"/>
        <w:jc w:val="center"/>
      </w:pPr>
      <w:r>
        <w:rPr>
          <w:noProof/>
          <w:lang w:eastAsia="en-GB"/>
        </w:rPr>
        <w:drawing>
          <wp:inline distT="114300" distB="114300" distL="114300" distR="114300" wp14:anchorId="482B1E62" wp14:editId="39396553">
            <wp:extent cx="4910138" cy="2381661"/>
            <wp:effectExtent l="0" t="0" r="0" b="0"/>
            <wp:docPr id="15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910138" cy="2381661"/>
                    </a:xfrm>
                    <a:prstGeom prst="rect">
                      <a:avLst/>
                    </a:prstGeom>
                    <a:ln/>
                  </pic:spPr>
                </pic:pic>
              </a:graphicData>
            </a:graphic>
          </wp:inline>
        </w:drawing>
      </w:r>
    </w:p>
    <w:p w14:paraId="5ED78E06" w14:textId="77777777" w:rsidR="003C5C1D" w:rsidRDefault="000C02EA">
      <w:pPr>
        <w:spacing w:before="30" w:after="30"/>
        <w:jc w:val="center"/>
        <w:rPr>
          <w:b/>
          <w:bCs/>
        </w:rPr>
      </w:pPr>
      <w:r>
        <w:rPr>
          <w:b/>
          <w:bCs/>
        </w:rPr>
        <w:t>Figure 6: Efficiency Analysis</w:t>
      </w:r>
    </w:p>
    <w:p w14:paraId="0E7069F4" w14:textId="77777777" w:rsidR="003C5C1D" w:rsidRDefault="000C02EA">
      <w:pPr>
        <w:spacing w:before="30" w:after="30"/>
        <w:jc w:val="center"/>
      </w:pPr>
      <w:r>
        <w:t>(Source: Self-made)</w:t>
      </w:r>
    </w:p>
    <w:p w14:paraId="099D6D17" w14:textId="77777777" w:rsidR="003C5C1D" w:rsidRDefault="000C02EA">
      <w:pPr>
        <w:spacing w:before="30" w:after="30"/>
      </w:pPr>
      <w:r>
        <w:t xml:space="preserve">The efficiency ratios are used to determine the efficiency with which Tesco uses its assets and working capital to generate revenue. The inventory turnover slowed a bit as </w:t>
      </w:r>
      <w:r>
        <w:t>it went down to 23.85 times in 2024 to 23.20 times in 2025, indicating the inventory movement at a slightly slower pace. Although this change is not significant, it might indicate an increase in the stock level because of inflation pressure or strategic in</w:t>
      </w:r>
      <w:r>
        <w:t>ventory tailoring to address the uncertainty in supply chain management (</w:t>
      </w:r>
      <w:proofErr w:type="spellStart"/>
      <w:r>
        <w:t>Kelka</w:t>
      </w:r>
      <w:proofErr w:type="spellEnd"/>
      <w:r>
        <w:t xml:space="preserve">, 2024). The number of days outstanding debts decreased by </w:t>
      </w:r>
      <w:r>
        <w:lastRenderedPageBreak/>
        <w:t>7 days to 6 days, which means that trade receivables were collected faster. This can lead to an improvement in the cash</w:t>
      </w:r>
      <w:r>
        <w:t xml:space="preserve"> flow and minimise risk of non-payment of debts, but receivables are still a relatively small part of the Tesco asset base since most sales in the retail business are through the use of cash and card transactions.</w:t>
      </w:r>
    </w:p>
    <w:p w14:paraId="776ECEB7" w14:textId="77777777" w:rsidR="003C5C1D" w:rsidRDefault="000C02EA">
      <w:pPr>
        <w:spacing w:before="30" w:after="30"/>
      </w:pPr>
      <w:r>
        <w:t>The increase of asset turnover was substan</w:t>
      </w:r>
      <w:r>
        <w:t>tial, as the ratio rose by 1.45 to 1.80 and indicating the utilization of assets in a more effective way to bring in revenue. The improvement could be associated with disposal of assets, store optimisation, or the swift sales level in comparison to the ass</w:t>
      </w:r>
      <w:r>
        <w:t>et base. Increased asset turnover is especially useful in low-margin industries, where profitability depends very much on the volume and efficiency (</w:t>
      </w:r>
      <w:proofErr w:type="spellStart"/>
      <w:r>
        <w:t>Baddi</w:t>
      </w:r>
      <w:proofErr w:type="spellEnd"/>
      <w:r>
        <w:t xml:space="preserve">, and </w:t>
      </w:r>
      <w:proofErr w:type="spellStart"/>
      <w:r>
        <w:t>Junnaykar</w:t>
      </w:r>
      <w:proofErr w:type="spellEnd"/>
      <w:r>
        <w:t>, 2025). On balance, Tesco applies high operational efficiency, including positive chan</w:t>
      </w:r>
      <w:r>
        <w:t>ges in the asset utilisation and receivable management. But the lower turnover of inventory is an indication that there is more optimisation to provide to make the working capital more efficient.</w:t>
      </w:r>
    </w:p>
    <w:p w14:paraId="70FD27A2" w14:textId="77777777" w:rsidR="003C5C1D" w:rsidRDefault="000C02EA">
      <w:pPr>
        <w:spacing w:before="30" w:after="30"/>
        <w:rPr>
          <w:b/>
          <w:bCs/>
          <w:i/>
          <w:iCs/>
        </w:rPr>
      </w:pPr>
      <w:r>
        <w:rPr>
          <w:b/>
          <w:bCs/>
          <w:i/>
          <w:iCs/>
        </w:rPr>
        <w:t xml:space="preserve">Investor Analysis: </w:t>
      </w:r>
    </w:p>
    <w:p w14:paraId="3AE65415" w14:textId="77777777" w:rsidR="003C5C1D" w:rsidRDefault="000C02EA">
      <w:pPr>
        <w:spacing w:before="30" w:after="30"/>
        <w:jc w:val="center"/>
      </w:pPr>
      <w:r>
        <w:rPr>
          <w:noProof/>
          <w:lang w:eastAsia="en-GB"/>
        </w:rPr>
        <w:drawing>
          <wp:inline distT="114300" distB="114300" distL="114300" distR="114300" wp14:anchorId="69F1052E" wp14:editId="5E60A25B">
            <wp:extent cx="4967718" cy="2105583"/>
            <wp:effectExtent l="0" t="0" r="0" b="0"/>
            <wp:docPr id="16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4967718" cy="2105583"/>
                    </a:xfrm>
                    <a:prstGeom prst="rect">
                      <a:avLst/>
                    </a:prstGeom>
                    <a:ln/>
                  </pic:spPr>
                </pic:pic>
              </a:graphicData>
            </a:graphic>
          </wp:inline>
        </w:drawing>
      </w:r>
    </w:p>
    <w:p w14:paraId="31348890" w14:textId="77777777" w:rsidR="003C5C1D" w:rsidRDefault="000C02EA">
      <w:pPr>
        <w:spacing w:before="30" w:after="30"/>
        <w:jc w:val="center"/>
        <w:rPr>
          <w:b/>
          <w:bCs/>
        </w:rPr>
      </w:pPr>
      <w:r>
        <w:rPr>
          <w:b/>
          <w:bCs/>
        </w:rPr>
        <w:t>Figure 7: Investor Analysis</w:t>
      </w:r>
    </w:p>
    <w:p w14:paraId="4767DB79" w14:textId="77777777" w:rsidR="003C5C1D" w:rsidRDefault="000C02EA">
      <w:pPr>
        <w:spacing w:before="30" w:after="30"/>
        <w:jc w:val="center"/>
      </w:pPr>
      <w:r>
        <w:t>(Source: S</w:t>
      </w:r>
      <w:r>
        <w:t>elf-made)</w:t>
      </w:r>
    </w:p>
    <w:p w14:paraId="765B7EA8" w14:textId="77777777" w:rsidR="003C5C1D" w:rsidRDefault="000C02EA">
      <w:pPr>
        <w:spacing w:before="30" w:after="30"/>
      </w:pPr>
      <w:r>
        <w:t>Investor ratios determine the appeal of Tesco as a shareholder. Earnings Per Share (EPS) gained as in 2024 £1.68, but in 2025, the figure is 2.39, which indicates excellent growth in profits, and in this case, the number of ordinary shares is low</w:t>
      </w:r>
      <w:r>
        <w:t xml:space="preserve">er than the number in 2024. The increase in EPS is a good indicator to investors that the company will be more profitable and will generate better returns per share. Although, price increased significantly, the Price/Earnings (P/E) ratio reduced to 157.59 </w:t>
      </w:r>
      <w:r>
        <w:t>when compared to 165.83. The decline can be mainly attributed to the extreme growth of EPS, which implies that the increase in earnings has outpaced growth of the share price (Sam, 2025). The low P/E ratio can show a better price to investors or a more cau</w:t>
      </w:r>
      <w:r>
        <w:t>tious attitude to the market in future growth.</w:t>
      </w:r>
    </w:p>
    <w:p w14:paraId="2F16DABC" w14:textId="77777777" w:rsidR="003C5C1D" w:rsidRDefault="000C02EA">
      <w:pPr>
        <w:spacing w:before="30" w:after="30"/>
      </w:pPr>
      <w:r>
        <w:lastRenderedPageBreak/>
        <w:t>This increase in EPS, accompanied by a fall in P/E ratio, is an indication of growing fundamentals, yet the absolute levels are still very high. This could be indicative of market volatility, accounting manipu</w:t>
      </w:r>
      <w:r>
        <w:t>lations, or one-off earnings influences, meaning it should be interpreted with caution (Cabán, 2024). On balance, investor ratios of Tesco indicate better returns on the shares and higher levels of confidence in the market, yet the investors must not negle</w:t>
      </w:r>
      <w:r>
        <w:t>ct these ratios and regard these on the larger scale of the market conditions and other non-financial forces.</w:t>
      </w:r>
    </w:p>
    <w:p w14:paraId="1AD220C3" w14:textId="77777777" w:rsidR="003C5C1D" w:rsidRDefault="000C02EA">
      <w:pPr>
        <w:spacing w:before="30" w:after="30"/>
        <w:rPr>
          <w:b/>
          <w:bCs/>
          <w:i/>
          <w:iCs/>
        </w:rPr>
      </w:pPr>
      <w:r>
        <w:rPr>
          <w:b/>
          <w:bCs/>
          <w:i/>
          <w:iCs/>
        </w:rPr>
        <w:t xml:space="preserve">Limitations of Ratio Analysis: </w:t>
      </w:r>
    </w:p>
    <w:p w14:paraId="0A3F90BD" w14:textId="77777777" w:rsidR="003C5C1D" w:rsidRDefault="000C02EA">
      <w:pPr>
        <w:spacing w:before="30" w:after="30"/>
      </w:pPr>
      <w:r>
        <w:t>The fact that ratio analysis is a powerful and popular method to evaluate financial performance, it possesses some</w:t>
      </w:r>
      <w:r>
        <w:t xml:space="preserve"> intrinsic limitations that cannot be ignored when </w:t>
      </w:r>
      <w:proofErr w:type="spellStart"/>
      <w:r>
        <w:t>analyzing</w:t>
      </w:r>
      <w:proofErr w:type="spellEnd"/>
      <w:r>
        <w:t xml:space="preserve"> the outcomes of Tesco plc. To begin with, ratio analysis is founded on historical financial data, which implies that it is a representation of the historical performance, as opposed to the future</w:t>
      </w:r>
      <w:r>
        <w:t xml:space="preserve"> perspective (Avi, 2023). Also, ratios might not accurately reflect the new risks, strategic developments, or the market environment in the future, especially in a fast-changing retailing environment where consumer behaviour and economic uncertainties are </w:t>
      </w:r>
      <w:r>
        <w:t>rapidly becoming dynamic (Leong, 2025).</w:t>
      </w:r>
    </w:p>
    <w:p w14:paraId="43A06978" w14:textId="77777777" w:rsidR="003C5C1D" w:rsidRDefault="000C02EA">
      <w:pPr>
        <w:spacing w:before="30" w:after="30"/>
      </w:pPr>
      <w:r>
        <w:t xml:space="preserve">Second, the accounting policy difference may have a great impact on outcome of the ratio. Tesco financial statements are prepared under the IFRS, and as such, the management makes judgments by use of IFRS in aspects </w:t>
      </w:r>
      <w:r>
        <w:t xml:space="preserve">like asset valuation, depreciation of assets, measurement of inventory, and recognition of revenue (Picker </w:t>
      </w:r>
      <w:r>
        <w:rPr>
          <w:i/>
          <w:iCs/>
        </w:rPr>
        <w:t xml:space="preserve">et al. </w:t>
      </w:r>
      <w:r>
        <w:t>2025). Period-to-period changes in accounting estimates or policies may mislead comparability, such that it is challenging to tell whether the</w:t>
      </w:r>
      <w:r>
        <w:t xml:space="preserve"> difference in ratios is truly due to improved performance, such as the tools accounting is adjusted to.</w:t>
      </w:r>
    </w:p>
    <w:p w14:paraId="7BFAED04" w14:textId="77777777" w:rsidR="003C5C1D" w:rsidRDefault="000C02EA">
      <w:pPr>
        <w:spacing w:before="30" w:after="30"/>
      </w:pPr>
      <w:r>
        <w:t>The major constraint is also inflation since the effects of inflation alter the financial ratios, where declining revenues and costs get inflated at hi</w:t>
      </w:r>
      <w:r>
        <w:t>storical cost of assets (</w:t>
      </w:r>
      <w:proofErr w:type="spellStart"/>
      <w:r>
        <w:t>Kelka</w:t>
      </w:r>
      <w:proofErr w:type="spellEnd"/>
      <w:r>
        <w:t>, 2024). During times of high inflation, both profitability ratios can seem to be more robust, even as the real purchasing power deteriorates, and asset-based ratios, including ROCE and asset turnover, can be exaggerated, decr</w:t>
      </w:r>
      <w:r>
        <w:t>easing the effectiveness of performance appraisal.</w:t>
      </w:r>
    </w:p>
    <w:p w14:paraId="6463BD25" w14:textId="77777777" w:rsidR="003C5C1D" w:rsidRDefault="000C02EA">
      <w:pPr>
        <w:spacing w:before="30" w:after="30"/>
      </w:pPr>
      <w:r>
        <w:t xml:space="preserve">In addition to this, ratio analysis gives minimal qualitative information. It fails to find non-financial metrics like brand strength, customer loyalty, the quality of management, supply chain resilience, </w:t>
      </w:r>
      <w:r>
        <w:t>or ESG that are very important to the long-term success of Tesco. Accordingly, ratios cannot come up with a comprehensive evaluation of business performance (Rashid, 2021). Seasonal distortion in ratio reliability is also experienced in the retail business</w:t>
      </w:r>
      <w:r>
        <w:t xml:space="preserve">. During the peak seasons like Christmas, Tesco has a large variation in sales and inventory </w:t>
      </w:r>
      <w:r>
        <w:lastRenderedPageBreak/>
        <w:t>levels, which may skew the ratios at the end of the year and decrease comparability of other periods.</w:t>
      </w:r>
    </w:p>
    <w:p w14:paraId="615C16AC" w14:textId="77777777" w:rsidR="003C5C1D" w:rsidRDefault="000C02EA">
      <w:pPr>
        <w:spacing w:before="30" w:after="30"/>
        <w:rPr>
          <w:b/>
          <w:bCs/>
          <w:i/>
          <w:iCs/>
        </w:rPr>
      </w:pPr>
      <w:r>
        <w:rPr>
          <w:b/>
          <w:bCs/>
          <w:i/>
          <w:iCs/>
        </w:rPr>
        <w:t xml:space="preserve">Recommendations for Financial Management Enhancement: </w:t>
      </w:r>
    </w:p>
    <w:p w14:paraId="24DEA358" w14:textId="77777777" w:rsidR="003C5C1D" w:rsidRDefault="000C02EA">
      <w:pPr>
        <w:spacing w:before="30" w:after="30"/>
      </w:pPr>
      <w:r>
        <w:t>Accord</w:t>
      </w:r>
      <w:r>
        <w:t>ing to the financial analysis, there are a few areas in which Tesco plc may improve its financial management to become more resilient and create long-term value. To begin with, Tesco needs to focus on working capital, as these ratios have decreased more th</w:t>
      </w:r>
      <w:r>
        <w:t>an in 2024 in 2025. Elaborate demand forecasting software and stricter control of inventory may serve to constrain existing level of excess stock without compromising the supply of the product (</w:t>
      </w:r>
      <w:proofErr w:type="spellStart"/>
      <w:r>
        <w:t>Harahap</w:t>
      </w:r>
      <w:proofErr w:type="spellEnd"/>
      <w:r>
        <w:t xml:space="preserve"> </w:t>
      </w:r>
      <w:r>
        <w:rPr>
          <w:i/>
          <w:iCs/>
        </w:rPr>
        <w:t xml:space="preserve">et al. </w:t>
      </w:r>
      <w:r>
        <w:t>2025). Also, additional streamlining of supplie</w:t>
      </w:r>
      <w:r>
        <w:t>r payment conditions and better coordination within the supply channel would help to maintain liquidity in the short term without damaging supplier associations.</w:t>
      </w:r>
    </w:p>
    <w:p w14:paraId="0C2D3F2A" w14:textId="77777777" w:rsidR="003C5C1D" w:rsidRDefault="000C02EA">
      <w:pPr>
        <w:spacing w:before="30" w:after="30"/>
      </w:pPr>
      <w:r>
        <w:t>Second, long-term cost management plans are important in the low-margin and competitive grocer</w:t>
      </w:r>
      <w:r>
        <w:t xml:space="preserve">y retail industry. Tesco must also stay invested in digital technologies, automation, and data analytics to simplify operations and decrease administrative and logistics expenses (Meng, 2024). Before the effect of inflation and increase in operating costs </w:t>
      </w:r>
      <w:r>
        <w:t xml:space="preserve">affects their profitability, efforts to enhance energy efficiency and store rationalisation would also be useful. </w:t>
      </w:r>
    </w:p>
    <w:p w14:paraId="3EDCD9B7" w14:textId="77777777" w:rsidR="003C5C1D" w:rsidRDefault="000C02EA">
      <w:pPr>
        <w:spacing w:before="30" w:after="30"/>
      </w:pPr>
      <w:r>
        <w:t>Third, the capital structure optimisation of the company should be discussed in order to decrease the financial risk. Even though the level of gearing in Tesco is still within control, overreliance on debt exposes it to the risks of fluctuation in interest</w:t>
      </w:r>
      <w:r>
        <w:t xml:space="preserve"> rates. Leveraging capital expenditure can be achieved by application of retained earnings, which will give strength to the balance sheet, resulting in financial flexibility (</w:t>
      </w:r>
      <w:proofErr w:type="spellStart"/>
      <w:r>
        <w:t>Odhiambo</w:t>
      </w:r>
      <w:proofErr w:type="spellEnd"/>
      <w:r>
        <w:t xml:space="preserve">, </w:t>
      </w:r>
      <w:proofErr w:type="spellStart"/>
      <w:r>
        <w:t>Murori</w:t>
      </w:r>
      <w:proofErr w:type="spellEnd"/>
      <w:r>
        <w:t xml:space="preserve">, and </w:t>
      </w:r>
      <w:proofErr w:type="spellStart"/>
      <w:r>
        <w:t>Aringo</w:t>
      </w:r>
      <w:proofErr w:type="spellEnd"/>
      <w:r>
        <w:t>, 2025).</w:t>
      </w:r>
    </w:p>
    <w:p w14:paraId="399928CF" w14:textId="77777777" w:rsidR="003C5C1D" w:rsidRDefault="000C02EA">
      <w:pPr>
        <w:spacing w:before="30" w:after="30"/>
      </w:pPr>
      <w:r>
        <w:t xml:space="preserve">It is also crucial to manage the cash flow. </w:t>
      </w:r>
      <w:r>
        <w:t>Better cash flow forecasting, having sufficient liquidity buffers, and a close watch of the cash conversion cycles would allow Tesco to react more appropriately to the sudden economic or operational shocks.</w:t>
      </w:r>
    </w:p>
    <w:p w14:paraId="43BF532F" w14:textId="77777777" w:rsidR="003C5C1D" w:rsidRDefault="000C02EA">
      <w:pPr>
        <w:spacing w:before="30" w:after="30"/>
      </w:pPr>
      <w:r>
        <w:t>Lastly, the improvement of shareholder value must</w:t>
      </w:r>
      <w:r>
        <w:t xml:space="preserve"> be one of the key objectives. This may be implemented by a sustainable growth of earnings, a strong capital discipline and dividends, and a share buy-back balance (Ndayisaba and Ahmed, 2023). Better development of financial strategy and long-term growth p</w:t>
      </w:r>
      <w:r>
        <w:t>lans will also help build investor confidence and boost the market valuation of Tesco.</w:t>
      </w:r>
    </w:p>
    <w:p w14:paraId="1DE6FE94" w14:textId="77777777" w:rsidR="003C5C1D" w:rsidRDefault="000C02EA">
      <w:pPr>
        <w:pStyle w:val="Heading2"/>
        <w:spacing w:before="30" w:after="30"/>
        <w:rPr>
          <w:rFonts w:ascii="Times New Roman" w:eastAsia="Times New Roman" w:hAnsi="Times New Roman" w:cs="Times New Roman"/>
        </w:rPr>
      </w:pPr>
      <w:bookmarkStart w:id="5" w:name="_Toc217489490"/>
      <w:r>
        <w:rPr>
          <w:rFonts w:ascii="Times New Roman" w:eastAsia="Times New Roman" w:hAnsi="Times New Roman" w:cs="Times New Roman"/>
        </w:rPr>
        <w:t>Task 2: Investment appraisal analysis of Westward Plc</w:t>
      </w:r>
      <w:bookmarkEnd w:id="5"/>
    </w:p>
    <w:p w14:paraId="41C138B3" w14:textId="77777777" w:rsidR="003C5C1D" w:rsidRDefault="000C02EA">
      <w:pPr>
        <w:spacing w:before="30" w:after="30"/>
        <w:rPr>
          <w:b/>
          <w:bCs/>
          <w:i/>
          <w:iCs/>
        </w:rPr>
      </w:pPr>
      <w:r>
        <w:rPr>
          <w:b/>
          <w:bCs/>
          <w:i/>
          <w:iCs/>
        </w:rPr>
        <w:t xml:space="preserve">Context of Investment Decision: </w:t>
      </w:r>
    </w:p>
    <w:p w14:paraId="2CA90910" w14:textId="77777777" w:rsidR="003C5C1D" w:rsidRDefault="000C02EA">
      <w:pPr>
        <w:spacing w:before="30" w:after="30"/>
      </w:pPr>
      <w:r>
        <w:t>Capital investment is one of the most strategically important decisions that an or</w:t>
      </w:r>
      <w:r>
        <w:t xml:space="preserve">ganisation would undertake because it deals with huge investments of finances, long-term allocation of </w:t>
      </w:r>
      <w:r>
        <w:lastRenderedPageBreak/>
        <w:t>resources, exposure to risks, and uncertainties. The good capital budgeting process helps the management to calculate the opportunities that exist in opt</w:t>
      </w:r>
      <w:r>
        <w:t xml:space="preserve">ions of investment (Bekaert, 2017). It also helps the management to choose projects that are in line with the objective of shareholder wealth maximisation (Frost and Rooney, 2021). In case of Westward Plc, a firm that is in the competitive home furnishing </w:t>
      </w:r>
      <w:r>
        <w:t>industry, the expansion decision is one of the core competencies that will determine the future growth, profitability, and competitiveness of the company.</w:t>
      </w:r>
    </w:p>
    <w:p w14:paraId="6BCD8313" w14:textId="77777777" w:rsidR="003C5C1D" w:rsidRDefault="000C02EA">
      <w:pPr>
        <w:spacing w:before="30" w:after="30"/>
        <w:rPr>
          <w:color w:val="000000"/>
        </w:rPr>
      </w:pPr>
      <w:r>
        <w:t>Westward Plc is currently evaluating three mutually independent investment alternatives as part of it</w:t>
      </w:r>
      <w:r>
        <w:t xml:space="preserve">s four-year expansion plan. Option A entails the expansion of its current and successful store to cover all product lines that may reinforce physical market strength and customer availability. </w:t>
      </w:r>
      <w:r>
        <w:rPr>
          <w:color w:val="000000"/>
        </w:rPr>
        <w:t xml:space="preserve">Option B is </w:t>
      </w:r>
      <w:proofErr w:type="spellStart"/>
      <w:r>
        <w:rPr>
          <w:color w:val="000000"/>
        </w:rPr>
        <w:t>centered</w:t>
      </w:r>
      <w:proofErr w:type="spellEnd"/>
      <w:r>
        <w:rPr>
          <w:color w:val="000000"/>
        </w:rPr>
        <w:t xml:space="preserve"> on creation of sales online, where it woul</w:t>
      </w:r>
      <w:r>
        <w:rPr>
          <w:color w:val="000000"/>
        </w:rPr>
        <w:t>d enable the company to capitalize on online opportunities, expand its market, and react to the evolving consumer buying trends. Option C suggests manufacturing wooden blinds and Roman blinds as one of the possible options, which is product diversification</w:t>
      </w:r>
      <w:r>
        <w:rPr>
          <w:color w:val="000000"/>
        </w:rPr>
        <w:t xml:space="preserve"> and entering of new market segments, but the start-up capital will be higher. Both alternatives are varied in terms of amount of investment, future cash flows, and risk, and a serious financial analysis is required (</w:t>
      </w:r>
      <w:r>
        <w:t>Bhimani, 2022</w:t>
      </w:r>
      <w:r>
        <w:rPr>
          <w:color w:val="000000"/>
        </w:rPr>
        <w:t>).</w:t>
      </w:r>
    </w:p>
    <w:p w14:paraId="462A6F0E" w14:textId="77777777" w:rsidR="003C5C1D" w:rsidRDefault="000C02EA">
      <w:pPr>
        <w:spacing w:before="30" w:after="30"/>
        <w:rPr>
          <w:color w:val="000000"/>
        </w:rPr>
      </w:pPr>
      <w:r>
        <w:rPr>
          <w:color w:val="000000"/>
        </w:rPr>
        <w:t>In order to evaluate th</w:t>
      </w:r>
      <w:r>
        <w:rPr>
          <w:color w:val="000000"/>
        </w:rPr>
        <w:t xml:space="preserve">e financial feasibility of the alternatives, this report uses discounted cash flow methods, namely Net Present Value (NPV) and Internal Rate of Return (IRR). NPV has been applied in estimating contribution of projects to the shareholder value, discounting </w:t>
      </w:r>
      <w:r>
        <w:rPr>
          <w:color w:val="000000"/>
        </w:rPr>
        <w:t>the future cash flows at the cost of capital in the company. And, the IRR adds on top of this analysis is the rate at which the preferred project will generate returns (</w:t>
      </w:r>
      <w:r>
        <w:t>Wangchuk, 2022</w:t>
      </w:r>
      <w:r>
        <w:rPr>
          <w:color w:val="000000"/>
        </w:rPr>
        <w:t>). These methods taken together offer an effective model of comparison of</w:t>
      </w:r>
      <w:r>
        <w:rPr>
          <w:color w:val="000000"/>
        </w:rPr>
        <w:t xml:space="preserve"> investment structures and facilitate well-informed managerial decision-making.</w:t>
      </w:r>
    </w:p>
    <w:p w14:paraId="64F34F5D" w14:textId="77777777" w:rsidR="003C5C1D" w:rsidRDefault="000C02EA">
      <w:pPr>
        <w:spacing w:before="30" w:after="30"/>
        <w:rPr>
          <w:b/>
          <w:bCs/>
          <w:i/>
          <w:iCs/>
        </w:rPr>
      </w:pPr>
      <w:r>
        <w:rPr>
          <w:b/>
          <w:bCs/>
          <w:i/>
          <w:iCs/>
        </w:rPr>
        <w:t xml:space="preserve">Net Present Value Analysis: </w:t>
      </w:r>
    </w:p>
    <w:p w14:paraId="65389679" w14:textId="77777777" w:rsidR="003C5C1D" w:rsidRDefault="000C02EA">
      <w:pPr>
        <w:spacing w:before="30" w:after="30"/>
      </w:pPr>
      <w:r>
        <w:t xml:space="preserve">This section analyses the three suggested investment projects of Westward Plc as an evaluation, utilizing the Net Present Value (NPV) technique, </w:t>
      </w:r>
      <w:r>
        <w:t>with a cost of capital of 6%. NPV is applied in determining the possible value of every project in excess of the necessary rate of far-off earnings of the firm, considering the aspects of taxation and capital allowance (Lu and Yin, 2021).</w:t>
      </w:r>
    </w:p>
    <w:p w14:paraId="46F18B2E" w14:textId="77777777" w:rsidR="003C5C1D" w:rsidRDefault="000C02EA">
      <w:pPr>
        <w:spacing w:before="30" w:after="30"/>
        <w:jc w:val="center"/>
      </w:pPr>
      <w:r>
        <w:rPr>
          <w:noProof/>
          <w:lang w:eastAsia="en-GB"/>
        </w:rPr>
        <w:lastRenderedPageBreak/>
        <w:drawing>
          <wp:inline distT="114300" distB="114300" distL="114300" distR="114300" wp14:anchorId="3C41656F" wp14:editId="33DD2E23">
            <wp:extent cx="5731200" cy="3632200"/>
            <wp:effectExtent l="0" t="0" r="0" b="0"/>
            <wp:docPr id="15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731200" cy="3632200"/>
                    </a:xfrm>
                    <a:prstGeom prst="rect">
                      <a:avLst/>
                    </a:prstGeom>
                    <a:ln/>
                  </pic:spPr>
                </pic:pic>
              </a:graphicData>
            </a:graphic>
          </wp:inline>
        </w:drawing>
      </w:r>
    </w:p>
    <w:p w14:paraId="3B753AC7" w14:textId="77777777" w:rsidR="003C5C1D" w:rsidRDefault="000C02EA">
      <w:pPr>
        <w:spacing w:before="30" w:after="30"/>
        <w:jc w:val="center"/>
        <w:rPr>
          <w:b/>
          <w:bCs/>
        </w:rPr>
      </w:pPr>
      <w:r>
        <w:rPr>
          <w:b/>
          <w:bCs/>
        </w:rPr>
        <w:t>Figure 8: Calcu</w:t>
      </w:r>
      <w:r>
        <w:rPr>
          <w:b/>
          <w:bCs/>
        </w:rPr>
        <w:t>lations of Net Cash Flows</w:t>
      </w:r>
    </w:p>
    <w:p w14:paraId="1B5CC0AF" w14:textId="77777777" w:rsidR="003C5C1D" w:rsidRDefault="000C02EA">
      <w:pPr>
        <w:spacing w:before="30" w:after="30"/>
        <w:jc w:val="center"/>
      </w:pPr>
      <w:r>
        <w:t>(Source: Self-made)</w:t>
      </w:r>
    </w:p>
    <w:p w14:paraId="5058ABA0" w14:textId="77777777" w:rsidR="003C5C1D" w:rsidRDefault="000C02EA">
      <w:pPr>
        <w:spacing w:before="30" w:after="30"/>
      </w:pPr>
      <w:r>
        <w:t>In all the options, the initial investment is incurred in Year 0. The corporation tax is paid at 25%, which is a calculation that the operating cash flows are modified to 75%, before tax. The capital allowances</w:t>
      </w:r>
      <w:r>
        <w:t xml:space="preserve"> are allowed at 20% based on straight-line, which creates a stable annual tax shield throughout the four years of the project life. These tax shields are re-entered into the after-tax operating cash flows to get the net annual cash flows as used in the NPV</w:t>
      </w:r>
      <w:r>
        <w:t xml:space="preserve"> calculation.</w:t>
      </w:r>
    </w:p>
    <w:p w14:paraId="74BCFFD9" w14:textId="77777777" w:rsidR="003C5C1D" w:rsidRDefault="000C02EA">
      <w:pPr>
        <w:spacing w:before="30" w:after="30"/>
      </w:pPr>
      <w:r>
        <w:t xml:space="preserve">The initial capital needed in option A is £600,000. Upon correction of the tax and provision of the annual capital allowance tax driving force of tax shield, 30,000 would give the net cash flows, which are trending in an increasing direction </w:t>
      </w:r>
      <w:r>
        <w:t>over the four years. At a discount rate of 6%, the overall present value of inflows outweighs the initial cost, which leads to the NPV of 643.17k. It means that the concept, Option A, is also financially feasible and would be a value addition to the firm.</w:t>
      </w:r>
    </w:p>
    <w:p w14:paraId="11B02929" w14:textId="77777777" w:rsidR="003C5C1D" w:rsidRDefault="000C02EA">
      <w:pPr>
        <w:spacing w:before="30" w:after="30"/>
      </w:pPr>
      <w:r>
        <w:t xml:space="preserve">B is a more expensive investment with a descriptive initial investment of 1,000,000, but with better cash flows during the project life. Capital allowances tax saves the company an annual tax of 50,000. Option B generates the highest NPV of £792.23k after </w:t>
      </w:r>
      <w:r>
        <w:t>discounting the tax-adjusted cash flows of 6 percent, and so, it would be better in terms of value creation, which is high compared to other alternatives.</w:t>
      </w:r>
    </w:p>
    <w:p w14:paraId="2E27D127" w14:textId="77777777" w:rsidR="003C5C1D" w:rsidRDefault="000C02EA">
      <w:pPr>
        <w:spacing w:before="30" w:after="30"/>
      </w:pPr>
      <w:r>
        <w:lastRenderedPageBreak/>
        <w:t>The alternative C involves the highest start-up cost of £1,600,000 and has an annual tax shield of 80</w:t>
      </w:r>
      <w:r>
        <w:t xml:space="preserve">,000. However, the greater amount of the total cash inflows is offset by a greater capital commitment, which lowers its relative appeal on a discounted basis. The NPV, thus, yields £742.48k, and this is positive but less than the one in the case of option </w:t>
      </w:r>
      <w:r>
        <w:t>B.</w:t>
      </w:r>
    </w:p>
    <w:p w14:paraId="488F950B" w14:textId="77777777" w:rsidR="003C5C1D" w:rsidRDefault="000C02EA">
      <w:pPr>
        <w:spacing w:before="30" w:after="30"/>
        <w:jc w:val="center"/>
      </w:pPr>
      <w:r>
        <w:rPr>
          <w:noProof/>
          <w:lang w:eastAsia="en-GB"/>
        </w:rPr>
        <w:drawing>
          <wp:inline distT="114300" distB="114300" distL="114300" distR="114300" wp14:anchorId="473FD440" wp14:editId="76BE656D">
            <wp:extent cx="5731200" cy="1270000"/>
            <wp:effectExtent l="0" t="0" r="0" b="0"/>
            <wp:docPr id="15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731200" cy="1270000"/>
                    </a:xfrm>
                    <a:prstGeom prst="rect">
                      <a:avLst/>
                    </a:prstGeom>
                    <a:ln/>
                  </pic:spPr>
                </pic:pic>
              </a:graphicData>
            </a:graphic>
          </wp:inline>
        </w:drawing>
      </w:r>
    </w:p>
    <w:p w14:paraId="47559299" w14:textId="77777777" w:rsidR="003C5C1D" w:rsidRDefault="000C02EA">
      <w:pPr>
        <w:spacing w:before="30" w:after="30"/>
        <w:jc w:val="center"/>
        <w:rPr>
          <w:b/>
          <w:bCs/>
        </w:rPr>
      </w:pPr>
      <w:r>
        <w:rPr>
          <w:b/>
          <w:bCs/>
        </w:rPr>
        <w:t>Figure 9: NPV Calculations</w:t>
      </w:r>
    </w:p>
    <w:p w14:paraId="38E5DBFD" w14:textId="77777777" w:rsidR="003C5C1D" w:rsidRDefault="000C02EA">
      <w:pPr>
        <w:spacing w:before="30" w:after="30"/>
        <w:jc w:val="center"/>
      </w:pPr>
      <w:r>
        <w:t>(Source: Self-made)</w:t>
      </w:r>
    </w:p>
    <w:p w14:paraId="65353BAB" w14:textId="77777777" w:rsidR="003C5C1D" w:rsidRDefault="000C02EA">
      <w:pPr>
        <w:spacing w:before="30" w:after="30"/>
        <w:rPr>
          <w:color w:val="000000"/>
        </w:rPr>
      </w:pPr>
      <w:r>
        <w:rPr>
          <w:color w:val="000000"/>
        </w:rPr>
        <w:t>According to the NPV values, the three projects are acceptable because they produce positive NPVs and consequently increase the shareholder wealth. Nevertheless, option B would be the best investment oppo</w:t>
      </w:r>
      <w:r>
        <w:rPr>
          <w:color w:val="000000"/>
        </w:rPr>
        <w:t>rtunity when comparing with others based on the financial performance with options A and C. Option B would have the highest NPV because it has the most capacity to give rise to value, taking into consideration the time value of money, taxation, and capital</w:t>
      </w:r>
      <w:r>
        <w:rPr>
          <w:color w:val="000000"/>
        </w:rPr>
        <w:t xml:space="preserve"> allowance (</w:t>
      </w:r>
      <w:r>
        <w:t>Arjunan, 2022</w:t>
      </w:r>
      <w:r>
        <w:rPr>
          <w:color w:val="000000"/>
        </w:rPr>
        <w:t>). Therefore, purely on financial considerations, Westward Plc ought to emphasize Option B.</w:t>
      </w:r>
    </w:p>
    <w:p w14:paraId="463F0941" w14:textId="77777777" w:rsidR="003C5C1D" w:rsidRDefault="000C02EA">
      <w:pPr>
        <w:spacing w:before="30" w:after="30"/>
        <w:rPr>
          <w:b/>
          <w:bCs/>
          <w:i/>
          <w:iCs/>
        </w:rPr>
      </w:pPr>
      <w:r>
        <w:rPr>
          <w:b/>
          <w:bCs/>
          <w:i/>
          <w:iCs/>
        </w:rPr>
        <w:t xml:space="preserve">Internal Rate of Return Analysis: </w:t>
      </w:r>
    </w:p>
    <w:p w14:paraId="7B52DF4C" w14:textId="77777777" w:rsidR="003C5C1D" w:rsidRDefault="000C02EA">
      <w:pPr>
        <w:spacing w:before="30" w:after="30"/>
        <w:jc w:val="center"/>
      </w:pPr>
      <w:r>
        <w:rPr>
          <w:noProof/>
          <w:lang w:eastAsia="en-GB"/>
        </w:rPr>
        <w:drawing>
          <wp:inline distT="114300" distB="114300" distL="114300" distR="114300" wp14:anchorId="01460010" wp14:editId="757D03DB">
            <wp:extent cx="5731200" cy="2159000"/>
            <wp:effectExtent l="0" t="0" r="0" b="0"/>
            <wp:docPr id="15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0"/>
                    <a:srcRect/>
                    <a:stretch>
                      <a:fillRect/>
                    </a:stretch>
                  </pic:blipFill>
                  <pic:spPr>
                    <a:xfrm>
                      <a:off x="0" y="0"/>
                      <a:ext cx="5731200" cy="2159000"/>
                    </a:xfrm>
                    <a:prstGeom prst="rect">
                      <a:avLst/>
                    </a:prstGeom>
                    <a:ln/>
                  </pic:spPr>
                </pic:pic>
              </a:graphicData>
            </a:graphic>
          </wp:inline>
        </w:drawing>
      </w:r>
    </w:p>
    <w:p w14:paraId="354D5AE6" w14:textId="77777777" w:rsidR="003C5C1D" w:rsidRDefault="000C02EA">
      <w:pPr>
        <w:spacing w:before="30" w:after="30"/>
        <w:jc w:val="center"/>
        <w:rPr>
          <w:b/>
          <w:bCs/>
        </w:rPr>
      </w:pPr>
      <w:r>
        <w:rPr>
          <w:b/>
          <w:bCs/>
        </w:rPr>
        <w:t>Figure 10: IRR Calculations</w:t>
      </w:r>
    </w:p>
    <w:p w14:paraId="73A4FFCB" w14:textId="77777777" w:rsidR="003C5C1D" w:rsidRDefault="000C02EA">
      <w:pPr>
        <w:spacing w:before="30" w:after="30"/>
        <w:jc w:val="center"/>
      </w:pPr>
      <w:r>
        <w:t>(Source: Self-made)</w:t>
      </w:r>
    </w:p>
    <w:p w14:paraId="1BF61193" w14:textId="77777777" w:rsidR="003C5C1D" w:rsidRDefault="000C02EA">
      <w:pPr>
        <w:spacing w:before="30" w:after="30"/>
      </w:pPr>
      <w:r>
        <w:t>After the analysis of Net Present Value, it is possibl</w:t>
      </w:r>
      <w:r>
        <w:t xml:space="preserve">e to obtain the Internal Rate of Return, the IRR of option B, because this project gave the biggest NPV and thus it was the one preferred </w:t>
      </w:r>
      <w:r>
        <w:lastRenderedPageBreak/>
        <w:t xml:space="preserve">as an investment. The IRR is the discount rate at which a project has an NPV of zero and the projected rate of return </w:t>
      </w:r>
      <w:r>
        <w:t>of the project (Wang, 2021).</w:t>
      </w:r>
    </w:p>
    <w:p w14:paraId="4A0CED93" w14:textId="77777777" w:rsidR="003C5C1D" w:rsidRDefault="000C02EA">
      <w:pPr>
        <w:spacing w:before="30" w:after="30"/>
      </w:pPr>
      <w:r>
        <w:t>The estimation of the IRR was done by using two discount rates through an interpolation approach (Arjunan, 2022). When discounted at 6% (R1), option B should have a positive NPV, and this is achieved by 792.23k, which is better</w:t>
      </w:r>
      <w:r>
        <w:t xml:space="preserve"> than the cost of capital. When the discount rate increases to 40% (R2), the NPV value is -132.94k, indicating that the discount rate at this point is more than the true IRR of the project. Since the IRR falls within the two rates, the linear interpolation</w:t>
      </w:r>
      <w:r>
        <w:t xml:space="preserve"> is used to determine the value of the IRR.</w:t>
      </w:r>
    </w:p>
    <w:p w14:paraId="6D02EA94" w14:textId="77777777" w:rsidR="003C5C1D" w:rsidRDefault="000C02EA">
      <w:pPr>
        <w:spacing w:before="30" w:after="30"/>
      </w:pPr>
      <w:r>
        <w:t>The standard formula for interpolation is used to calculate the IRR:</w:t>
      </w:r>
    </w:p>
    <w:p w14:paraId="23EE293A" w14:textId="77777777" w:rsidR="003C5C1D" w:rsidRDefault="000C02EA">
      <w:pPr>
        <w:numPr>
          <w:ilvl w:val="0"/>
          <w:numId w:val="2"/>
        </w:numPr>
        <w:spacing w:before="30" w:after="30"/>
      </w:pPr>
      <w:sdt>
        <w:sdtPr>
          <w:tag w:val="goog_rdk_0"/>
          <w:id w:val="-858601505"/>
        </w:sdtPr>
        <w:sdtEndPr/>
        <w:sdtContent>
          <w:r>
            <w:rPr>
              <w:rFonts w:ascii="Gungsuh" w:eastAsia="Gungsuh" w:hAnsi="Gungsuh" w:cs="Gungsuh"/>
            </w:rPr>
            <w:t>IRR = R1 + [NPV1 / (NPV1 − NPV2)] * (R2 − R1)</w:t>
          </w:r>
        </w:sdtContent>
      </w:sdt>
    </w:p>
    <w:p w14:paraId="02B05A7C" w14:textId="77777777" w:rsidR="003C5C1D" w:rsidRDefault="000C02EA">
      <w:pPr>
        <w:spacing w:before="30" w:after="30"/>
      </w:pPr>
      <w:r>
        <w:t>Applying the values according to the above formula:</w:t>
      </w:r>
    </w:p>
    <w:p w14:paraId="428BF44E" w14:textId="77777777" w:rsidR="003C5C1D" w:rsidRDefault="000C02EA">
      <w:pPr>
        <w:numPr>
          <w:ilvl w:val="0"/>
          <w:numId w:val="1"/>
        </w:numPr>
        <w:spacing w:before="30" w:after="30"/>
      </w:pPr>
      <w:sdt>
        <w:sdtPr>
          <w:tag w:val="goog_rdk_1"/>
          <w:id w:val="-1399294791"/>
        </w:sdtPr>
        <w:sdtEndPr/>
        <w:sdtContent>
          <w:r>
            <w:rPr>
              <w:rFonts w:ascii="Gungsuh" w:eastAsia="Gungsuh" w:hAnsi="Gungsuh" w:cs="Gungsuh"/>
            </w:rPr>
            <w:t xml:space="preserve">IRR = 6% + [(£792.23 / (£792.23 − </w:t>
          </w:r>
          <w:r>
            <w:rPr>
              <w:rFonts w:ascii="Gungsuh" w:eastAsia="Gungsuh" w:hAnsi="Gungsuh" w:cs="Gungsuh"/>
            </w:rPr>
            <w:t>(−£132.94))) * (40% − 6%)]</w:t>
          </w:r>
        </w:sdtContent>
      </w:sdt>
    </w:p>
    <w:p w14:paraId="0E282317" w14:textId="77777777" w:rsidR="003C5C1D" w:rsidRDefault="000C02EA">
      <w:pPr>
        <w:spacing w:before="30" w:after="30"/>
      </w:pPr>
      <w:r>
        <w:t>This generates an estimated IRR of 35.24%. This value is significantly larger than the cost of capital of Westward Plc, 6%, which means that the trend of Option B is likely to produce significantly above the necessary rate of t</w:t>
      </w:r>
      <w:r>
        <w:t>he company.</w:t>
      </w:r>
    </w:p>
    <w:p w14:paraId="34D6F02A" w14:textId="77777777" w:rsidR="003C5C1D" w:rsidRDefault="000C02EA">
      <w:pPr>
        <w:spacing w:before="30" w:after="30"/>
      </w:pPr>
      <w:r>
        <w:t>Using the IRR decision rule, the project that will be accepted is that with an IRR higher than the cost of capital, and vice versa should be rejected. Since the IRR of Option B is far higher than 6 percent, the project is purely financial and s</w:t>
      </w:r>
      <w:r>
        <w:t>trengthens the previous suggestion made on the basis of NPV. These two appraisal techniques always favour the decision to accept the second alternative, which is the most profitable investment for Westward Plc.</w:t>
      </w:r>
    </w:p>
    <w:p w14:paraId="34C847B0" w14:textId="77777777" w:rsidR="003C5C1D" w:rsidRDefault="000C02EA">
      <w:pPr>
        <w:spacing w:before="30" w:after="30"/>
        <w:rPr>
          <w:b/>
          <w:bCs/>
          <w:i/>
          <w:iCs/>
        </w:rPr>
      </w:pPr>
      <w:r>
        <w:rPr>
          <w:b/>
          <w:bCs/>
          <w:i/>
          <w:iCs/>
        </w:rPr>
        <w:t xml:space="preserve">Interpretation of Results for Management: </w:t>
      </w:r>
    </w:p>
    <w:p w14:paraId="0272E8E8" w14:textId="77777777" w:rsidR="003C5C1D" w:rsidRDefault="000C02EA">
      <w:pPr>
        <w:spacing w:before="30" w:after="30"/>
        <w:rPr>
          <w:b/>
          <w:bCs/>
        </w:rPr>
      </w:pPr>
      <w:r>
        <w:rPr>
          <w:b/>
          <w:bCs/>
        </w:rPr>
        <w:t>Di</w:t>
      </w:r>
      <w:r>
        <w:rPr>
          <w:b/>
          <w:bCs/>
        </w:rPr>
        <w:t>scussion of NPV Preference</w:t>
      </w:r>
    </w:p>
    <w:p w14:paraId="0D5DC814" w14:textId="77777777" w:rsidR="003C5C1D" w:rsidRDefault="000C02EA">
      <w:pPr>
        <w:spacing w:before="30" w:after="30"/>
      </w:pPr>
      <w:r>
        <w:t>Net Present Value (NPV) is the most generally accepted approach to investment appraisal, as it is commonly known as the most theoretically sound approach to appraisal of investments, since it freely integrates the time value of m</w:t>
      </w:r>
      <w:r>
        <w:t>oney because which appreciates the fact that money received today is valued higher than money received in the future. NPV represents timing and risk because discounting of the future cash flows is carried out at the cost of capital of the firm (</w:t>
      </w:r>
      <w:proofErr w:type="spellStart"/>
      <w:r>
        <w:t>Lilford</w:t>
      </w:r>
      <w:proofErr w:type="spellEnd"/>
      <w:r>
        <w:t>, 20</w:t>
      </w:r>
      <w:r>
        <w:t>23). Notably, NPV is solely focused on maximisation of shareholder wealth because a positive NPV shows that a project will yield a great deal of returns that exceed the usual rate needed and consequently an addition to market value of the firm. The additiv</w:t>
      </w:r>
      <w:r>
        <w:t>ity property is another strength, whereby NPVs of the independent projects can be added together and enable the management to determine the overall effect of a series of investments on the corporate value (Dobrowolski and Drozdowski, 2022). Moreover, NPV a</w:t>
      </w:r>
      <w:r>
        <w:t xml:space="preserve">lso uses the </w:t>
      </w:r>
      <w:r>
        <w:lastRenderedPageBreak/>
        <w:t>assumption of reinvestment of interim cash flows at the cost of capital, which is a realistic assumption, as opposed to high reinvestment rates as used by IRR. On this basis, the NPV is regarded as the most valid basis of strategic capital bud</w:t>
      </w:r>
      <w:r>
        <w:t>geting.</w:t>
      </w:r>
    </w:p>
    <w:p w14:paraId="61D158CB" w14:textId="77777777" w:rsidR="003C5C1D" w:rsidRDefault="000C02EA">
      <w:pPr>
        <w:spacing w:before="30" w:after="30"/>
        <w:rPr>
          <w:b/>
          <w:bCs/>
        </w:rPr>
      </w:pPr>
      <w:r>
        <w:rPr>
          <w:b/>
          <w:bCs/>
        </w:rPr>
        <w:t>Non-Discounting Methods</w:t>
      </w:r>
    </w:p>
    <w:p w14:paraId="37485710" w14:textId="77777777" w:rsidR="003C5C1D" w:rsidRDefault="000C02EA">
      <w:pPr>
        <w:spacing w:before="30" w:after="30"/>
      </w:pPr>
      <w:r>
        <w:t>Although discounted methods of cash flow are better, non-discounted approaches like Payback Period and Accounting Rate of Return (ARR) are still prevalent in practice. Payback Period is appreciated for flexibility and ease o</w:t>
      </w:r>
      <w:r>
        <w:t>f computation, which the managers can evaluate in a short time period to figure out how long it takes to pay back the initially invested funds. This approach also focuses on liquidity, which is of great concern, especially to a firm that experiences cash l</w:t>
      </w:r>
      <w:r>
        <w:t>imits (Sam, 2025). ARR, which is calculated on the basis of accounting profits, is congruent with financial statements and may be more recognizable to non-specialized-trained managers (</w:t>
      </w:r>
      <w:proofErr w:type="spellStart"/>
      <w:r>
        <w:t>Brodziński</w:t>
      </w:r>
      <w:proofErr w:type="spellEnd"/>
      <w:r>
        <w:t xml:space="preserve">, </w:t>
      </w:r>
      <w:proofErr w:type="spellStart"/>
      <w:r>
        <w:t>Brodzińska</w:t>
      </w:r>
      <w:proofErr w:type="spellEnd"/>
      <w:r>
        <w:t xml:space="preserve">, and </w:t>
      </w:r>
      <w:proofErr w:type="spellStart"/>
      <w:r>
        <w:t>Szadziun</w:t>
      </w:r>
      <w:proofErr w:type="spellEnd"/>
      <w:r>
        <w:t>, 2021). The two approaches are thu</w:t>
      </w:r>
      <w:r>
        <w:t>s appealing because of familiarity to the manager and communications facilitation, despite the disregard for time value of money and the potential to make suboptimal decisions.</w:t>
      </w:r>
    </w:p>
    <w:p w14:paraId="6D40C931" w14:textId="77777777" w:rsidR="003C5C1D" w:rsidRDefault="000C02EA">
      <w:pPr>
        <w:spacing w:before="30" w:after="30"/>
        <w:rPr>
          <w:b/>
          <w:bCs/>
        </w:rPr>
      </w:pPr>
      <w:r>
        <w:rPr>
          <w:b/>
          <w:bCs/>
        </w:rPr>
        <w:t>Other Investment Decision-Making Factors</w:t>
      </w:r>
    </w:p>
    <w:p w14:paraId="69734878" w14:textId="77777777" w:rsidR="003C5C1D" w:rsidRDefault="000C02EA">
      <w:pPr>
        <w:spacing w:before="30" w:after="30"/>
      </w:pPr>
      <w:r>
        <w:t>Although financial metrics must be cen</w:t>
      </w:r>
      <w:r>
        <w:t>tral in the quantitative appraisal, the investment decisions cannot be made based on financial metrics. Fit with the long-term objectives of the organisation is vital since projects that fit corporate strategy stand a higher chance of providing long-term v</w:t>
      </w:r>
      <w:r>
        <w:t xml:space="preserve">alue. Project viability may be greatly influenced by market conditions such as demand patterns and technological change (Attah </w:t>
      </w:r>
      <w:r>
        <w:rPr>
          <w:i/>
          <w:iCs/>
        </w:rPr>
        <w:t xml:space="preserve">et al. </w:t>
      </w:r>
      <w:r>
        <w:t xml:space="preserve">2024). Also, cash flow risks and uncertainties should be properly considered (Pereira </w:t>
      </w:r>
      <w:r>
        <w:rPr>
          <w:i/>
          <w:iCs/>
        </w:rPr>
        <w:t xml:space="preserve">et al. </w:t>
      </w:r>
      <w:r>
        <w:t xml:space="preserve">2024). The management should </w:t>
      </w:r>
      <w:r>
        <w:t>also look at the capability of operations, like the availability of skills and infrastructure, and other possible competitive reactions that can undermine the anticipated gains. These qualitative factors combined will make an investment decision balanced a</w:t>
      </w:r>
      <w:r>
        <w:t>nd well-informed.</w:t>
      </w:r>
    </w:p>
    <w:p w14:paraId="06B0248D" w14:textId="77777777" w:rsidR="003C5C1D" w:rsidRDefault="000C02EA">
      <w:pPr>
        <w:spacing w:before="30" w:after="30"/>
        <w:rPr>
          <w:b/>
          <w:bCs/>
          <w:i/>
          <w:iCs/>
        </w:rPr>
      </w:pPr>
      <w:r>
        <w:rPr>
          <w:b/>
          <w:bCs/>
          <w:i/>
          <w:iCs/>
        </w:rPr>
        <w:t xml:space="preserve">Optimal Investment Policy: </w:t>
      </w:r>
    </w:p>
    <w:p w14:paraId="2E76D97D" w14:textId="77777777" w:rsidR="003C5C1D" w:rsidRDefault="000C02EA">
      <w:pPr>
        <w:spacing w:before="30" w:after="30"/>
      </w:pPr>
      <w:r>
        <w:t>In cases of limited capital, capital rationing has to be applied in making investment decisions, and the aim is to optimise the total Net Present Value (NPV) using the budget at hand. Here, the capital limit that Westward Plc faces is a cap of £2.5 million</w:t>
      </w:r>
      <w:r>
        <w:t>, and the projects are identified to be divisible, that is to say, fractional investments can be made. In this type of situation, the most suitable decision criterion would be the Profitability Index (PI) (</w:t>
      </w:r>
      <w:proofErr w:type="spellStart"/>
      <w:r>
        <w:t>Vasiliev</w:t>
      </w:r>
      <w:proofErr w:type="spellEnd"/>
      <w:r>
        <w:t xml:space="preserve">, </w:t>
      </w:r>
      <w:proofErr w:type="spellStart"/>
      <w:r>
        <w:t>Vasilieva</w:t>
      </w:r>
      <w:proofErr w:type="spellEnd"/>
      <w:r>
        <w:t xml:space="preserve">, and </w:t>
      </w:r>
      <w:proofErr w:type="spellStart"/>
      <w:r>
        <w:t>Tupko</w:t>
      </w:r>
      <w:proofErr w:type="spellEnd"/>
      <w:r>
        <w:t>, 2022).</w:t>
      </w:r>
    </w:p>
    <w:p w14:paraId="208266F4" w14:textId="77777777" w:rsidR="003C5C1D" w:rsidRDefault="000C02EA">
      <w:pPr>
        <w:spacing w:before="30" w:after="30"/>
      </w:pPr>
      <w:r>
        <w:t>The Profita</w:t>
      </w:r>
      <w:r>
        <w:t>bility Index is computed as follows:</w:t>
      </w:r>
    </w:p>
    <w:p w14:paraId="45B4709D" w14:textId="77777777" w:rsidR="003C5C1D" w:rsidRDefault="000C02EA">
      <w:pPr>
        <w:numPr>
          <w:ilvl w:val="0"/>
          <w:numId w:val="3"/>
        </w:numPr>
        <w:spacing w:before="30" w:after="0"/>
      </w:pPr>
      <w:r>
        <w:lastRenderedPageBreak/>
        <w:t>PI = Present Value of Inflows /Startup Cost.</w:t>
      </w:r>
    </w:p>
    <w:p w14:paraId="365105F0" w14:textId="77777777" w:rsidR="003C5C1D" w:rsidRDefault="000C02EA">
      <w:pPr>
        <w:numPr>
          <w:ilvl w:val="0"/>
          <w:numId w:val="3"/>
        </w:numPr>
        <w:spacing w:after="0"/>
      </w:pPr>
      <w:r>
        <w:t>PI = (NPV + Initial Investment)/ Initial Investment)</w:t>
      </w:r>
    </w:p>
    <w:p w14:paraId="5D5D85ED" w14:textId="77777777" w:rsidR="003C5C1D" w:rsidRDefault="000C02EA">
      <w:pPr>
        <w:numPr>
          <w:ilvl w:val="0"/>
          <w:numId w:val="3"/>
        </w:numPr>
        <w:spacing w:after="30"/>
      </w:pPr>
      <w:r>
        <w:t>Then PI = (NPV + Initial Investment)/Initial Investment)</w:t>
      </w:r>
    </w:p>
    <w:p w14:paraId="67E7C8B6" w14:textId="77777777" w:rsidR="003C5C1D" w:rsidRDefault="000C02EA">
      <w:pPr>
        <w:spacing w:before="30" w:after="30"/>
      </w:pPr>
      <w:r>
        <w:t>Based on the NPVs between states calculated above, the result is</w:t>
      </w:r>
      <w:r>
        <w:t>:</w:t>
      </w:r>
    </w:p>
    <w:p w14:paraId="420BD25F" w14:textId="77777777" w:rsidR="003C5C1D" w:rsidRDefault="000C02EA">
      <w:pPr>
        <w:spacing w:before="30" w:after="30"/>
        <w:jc w:val="center"/>
      </w:pPr>
      <w:r>
        <w:rPr>
          <w:noProof/>
          <w:lang w:eastAsia="en-GB"/>
        </w:rPr>
        <w:drawing>
          <wp:inline distT="114300" distB="114300" distL="114300" distR="114300" wp14:anchorId="5809E28B" wp14:editId="0E44C8CA">
            <wp:extent cx="5731200" cy="622300"/>
            <wp:effectExtent l="0" t="0" r="0" b="0"/>
            <wp:docPr id="14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5731200" cy="622300"/>
                    </a:xfrm>
                    <a:prstGeom prst="rect">
                      <a:avLst/>
                    </a:prstGeom>
                    <a:ln/>
                  </pic:spPr>
                </pic:pic>
              </a:graphicData>
            </a:graphic>
          </wp:inline>
        </w:drawing>
      </w:r>
    </w:p>
    <w:p w14:paraId="5A9261B3" w14:textId="77777777" w:rsidR="003C5C1D" w:rsidRDefault="000C02EA">
      <w:pPr>
        <w:spacing w:before="30" w:after="30"/>
        <w:jc w:val="center"/>
        <w:rPr>
          <w:b/>
          <w:bCs/>
        </w:rPr>
      </w:pPr>
      <w:r>
        <w:rPr>
          <w:b/>
          <w:bCs/>
        </w:rPr>
        <w:t>Figure 11: Profitability Index Calculations</w:t>
      </w:r>
    </w:p>
    <w:p w14:paraId="3CBAEC0A" w14:textId="77777777" w:rsidR="003C5C1D" w:rsidRDefault="000C02EA">
      <w:pPr>
        <w:spacing w:before="30" w:after="30"/>
        <w:jc w:val="center"/>
      </w:pPr>
      <w:r>
        <w:t>(Source: Self-made)</w:t>
      </w:r>
    </w:p>
    <w:p w14:paraId="69FE1791" w14:textId="77777777" w:rsidR="003C5C1D" w:rsidRDefault="000C02EA">
      <w:pPr>
        <w:spacing w:before="30" w:after="30"/>
      </w:pPr>
      <w:r>
        <w:t>Projects as identified by the PI are thus ranked as:</w:t>
      </w:r>
    </w:p>
    <w:p w14:paraId="53DB1102" w14:textId="77777777" w:rsidR="003C5C1D" w:rsidRDefault="000C02EA">
      <w:pPr>
        <w:numPr>
          <w:ilvl w:val="0"/>
          <w:numId w:val="5"/>
        </w:numPr>
        <w:spacing w:before="30" w:after="30"/>
      </w:pPr>
      <w:r>
        <w:t xml:space="preserve">Option A (highest), Option </w:t>
      </w:r>
      <w:proofErr w:type="gramStart"/>
      <w:r>
        <w:t>B,  Option</w:t>
      </w:r>
      <w:proofErr w:type="gramEnd"/>
      <w:r>
        <w:t xml:space="preserve"> C (lowest)</w:t>
      </w:r>
    </w:p>
    <w:p w14:paraId="162852D2" w14:textId="77777777" w:rsidR="003C5C1D" w:rsidRDefault="000C02EA">
      <w:pPr>
        <w:spacing w:before="30" w:after="30"/>
      </w:pPr>
      <w:r>
        <w:t>Optimal Investment Policy:</w:t>
      </w:r>
    </w:p>
    <w:p w14:paraId="23FDF4A5" w14:textId="77777777" w:rsidR="003C5C1D" w:rsidRDefault="000C02EA">
      <w:pPr>
        <w:numPr>
          <w:ilvl w:val="0"/>
          <w:numId w:val="7"/>
        </w:numPr>
        <w:spacing w:before="30" w:after="0"/>
      </w:pPr>
      <w:r>
        <w:t>Invest fully in Option A: £600,000</w:t>
      </w:r>
    </w:p>
    <w:p w14:paraId="609F13D0" w14:textId="77777777" w:rsidR="003C5C1D" w:rsidRDefault="000C02EA">
      <w:pPr>
        <w:numPr>
          <w:ilvl w:val="0"/>
          <w:numId w:val="7"/>
        </w:numPr>
        <w:spacing w:after="0"/>
      </w:pPr>
      <w:r>
        <w:t xml:space="preserve">Invest fully in Option </w:t>
      </w:r>
      <w:r>
        <w:t>B: £1,000,000</w:t>
      </w:r>
    </w:p>
    <w:p w14:paraId="51C80367" w14:textId="77777777" w:rsidR="003C5C1D" w:rsidRDefault="000C02EA">
      <w:pPr>
        <w:numPr>
          <w:ilvl w:val="0"/>
          <w:numId w:val="7"/>
        </w:numPr>
        <w:spacing w:after="0"/>
      </w:pPr>
      <w:r>
        <w:t>Total capital used so far: £1,600,000</w:t>
      </w:r>
    </w:p>
    <w:p w14:paraId="01377564" w14:textId="77777777" w:rsidR="003C5C1D" w:rsidRDefault="000C02EA">
      <w:pPr>
        <w:numPr>
          <w:ilvl w:val="0"/>
          <w:numId w:val="7"/>
        </w:numPr>
        <w:spacing w:after="30"/>
      </w:pPr>
      <w:r>
        <w:t>Remaining budget: £900,000</w:t>
      </w:r>
    </w:p>
    <w:p w14:paraId="479F312E" w14:textId="77777777" w:rsidR="003C5C1D" w:rsidRDefault="000C02EA">
      <w:pPr>
        <w:spacing w:before="30" w:after="30"/>
      </w:pPr>
      <w:r>
        <w:t>Option C needs more capital, namely, £1,600,000; this permits only a portion of Option C to be followed:</w:t>
      </w:r>
    </w:p>
    <w:p w14:paraId="412E7FDD" w14:textId="77777777" w:rsidR="003C5C1D" w:rsidRDefault="000C02EA">
      <w:pPr>
        <w:numPr>
          <w:ilvl w:val="0"/>
          <w:numId w:val="8"/>
        </w:numPr>
        <w:spacing w:before="30" w:after="30"/>
      </w:pPr>
      <w:r>
        <w:t>Fraction of Option C = £900,000 / £1,600,000 = 0.5625 or 56.25%</w:t>
      </w:r>
    </w:p>
    <w:p w14:paraId="2FEC1189" w14:textId="77777777" w:rsidR="003C5C1D" w:rsidRDefault="000C02EA">
      <w:pPr>
        <w:spacing w:before="30" w:after="30"/>
      </w:pPr>
      <w:r>
        <w:t>Contribu</w:t>
      </w:r>
      <w:r>
        <w:t>tion of NPV of Option C:</w:t>
      </w:r>
    </w:p>
    <w:p w14:paraId="0E697CDB" w14:textId="77777777" w:rsidR="003C5C1D" w:rsidRDefault="000C02EA">
      <w:pPr>
        <w:numPr>
          <w:ilvl w:val="0"/>
          <w:numId w:val="4"/>
        </w:numPr>
        <w:spacing w:before="30" w:after="30"/>
      </w:pPr>
      <w:r>
        <w:t>56.25% * £742480.12 = £417,645.07 (approx.)</w:t>
      </w:r>
    </w:p>
    <w:p w14:paraId="7FE786FE" w14:textId="77777777" w:rsidR="003C5C1D" w:rsidRDefault="000C02EA">
      <w:pPr>
        <w:spacing w:before="30" w:after="30"/>
      </w:pPr>
      <w:r>
        <w:t>Resulting Total NPV</w:t>
      </w:r>
    </w:p>
    <w:p w14:paraId="7032A945" w14:textId="77777777" w:rsidR="003C5C1D" w:rsidRDefault="000C02EA">
      <w:pPr>
        <w:numPr>
          <w:ilvl w:val="0"/>
          <w:numId w:val="6"/>
        </w:numPr>
        <w:spacing w:before="30" w:after="0"/>
      </w:pPr>
      <w:r>
        <w:t>Option A NPV: £0.643,167.94</w:t>
      </w:r>
    </w:p>
    <w:p w14:paraId="6294A497" w14:textId="77777777" w:rsidR="003C5C1D" w:rsidRDefault="000C02EA">
      <w:pPr>
        <w:numPr>
          <w:ilvl w:val="0"/>
          <w:numId w:val="6"/>
        </w:numPr>
        <w:spacing w:after="0"/>
      </w:pPr>
      <w:r>
        <w:t>Option B NPV: £0.792,231.20</w:t>
      </w:r>
    </w:p>
    <w:p w14:paraId="7B7B1DAD" w14:textId="77777777" w:rsidR="003C5C1D" w:rsidRDefault="000C02EA">
      <w:pPr>
        <w:numPr>
          <w:ilvl w:val="0"/>
          <w:numId w:val="6"/>
        </w:numPr>
        <w:spacing w:after="0"/>
      </w:pPr>
      <w:r>
        <w:t>Fraction of Option C NPV: £417,645.07</w:t>
      </w:r>
    </w:p>
    <w:p w14:paraId="3D2E7A79" w14:textId="77777777" w:rsidR="003C5C1D" w:rsidRDefault="000C02EA">
      <w:pPr>
        <w:numPr>
          <w:ilvl w:val="0"/>
          <w:numId w:val="6"/>
        </w:numPr>
        <w:spacing w:after="30"/>
      </w:pPr>
      <w:r>
        <w:t>Total NPV = £1,853,044.21 (approx.)</w:t>
      </w:r>
    </w:p>
    <w:p w14:paraId="3B1D3AEA" w14:textId="77777777" w:rsidR="003C5C1D" w:rsidRDefault="000C02EA">
      <w:pPr>
        <w:spacing w:before="30" w:after="30"/>
      </w:pPr>
      <w:r>
        <w:t>In a capital rationing situation, wit</w:t>
      </w:r>
      <w:r>
        <w:t xml:space="preserve">h divisibility, the optimal investment policy is to completely invest in Options A and B and invest the remaining amount of capital in Option C. This plan will maximize the wealth of the shareholders as it produces the maximum NPV possible, which is about </w:t>
      </w:r>
      <w:r>
        <w:t>1.85 million out of the 2.5 million budget limit.</w:t>
      </w:r>
    </w:p>
    <w:p w14:paraId="6B69FD5E" w14:textId="77777777" w:rsidR="003C5C1D" w:rsidRDefault="000C02EA">
      <w:pPr>
        <w:spacing w:before="30" w:after="30"/>
        <w:rPr>
          <w:b/>
          <w:bCs/>
          <w:i/>
          <w:iCs/>
        </w:rPr>
      </w:pPr>
      <w:r>
        <w:rPr>
          <w:b/>
          <w:bCs/>
          <w:i/>
          <w:iCs/>
        </w:rPr>
        <w:t>Recommendation for Investment Financing:</w:t>
      </w:r>
    </w:p>
    <w:p w14:paraId="5C2A0199" w14:textId="77777777" w:rsidR="003C5C1D" w:rsidRDefault="000C02EA">
      <w:pPr>
        <w:spacing w:before="30" w:after="30"/>
      </w:pPr>
      <w:r>
        <w:t>In the proposed investment programme of Westward Plc, there are various long-term and flexible sources of funds, which come with different implications in terms of c</w:t>
      </w:r>
      <w:r>
        <w:t xml:space="preserve">osts, risk, </w:t>
      </w:r>
      <w:r>
        <w:lastRenderedPageBreak/>
        <w:t xml:space="preserve">control, and flexibility. Reinvestment of earnings is one of the internal options, and entails using profits in the form of retained earnings instead of distributing the same as dividends. One of the most prevalent external sources is the bank </w:t>
      </w:r>
      <w:r>
        <w:t>loans that can provide huge capital, and their repayments are predictable. Whereas interest expenses add cost and risk, loans do not leverage control. Equity finance (new share issue) could attract a significant amount of capital not repayable and not subj</w:t>
      </w:r>
      <w:r>
        <w:t>ect to interest, making it creditworthy (Han and Gu, 2021). Westward can acquire low-cost assets under lease, without impacting its cash flow (Danda, 2024). Flexibility is enhanced with these arrangements, though it can lead to increased total costs and no</w:t>
      </w:r>
      <w:r>
        <w:t>n-ownership. Lastly, financing through the means of government grants does not require repayment or interest, where provided in the form of subsidies, thereby limiting the cost and risk. Access and applicability may be restricted, however, by certain requi</w:t>
      </w:r>
      <w:r>
        <w:t>rements of eligibility and strict compliance. In short, retained earnings with a well-considered external financing may postpone the cost, provide control and flexibility, coupled with allowing strategic expansion of the company.</w:t>
      </w:r>
    </w:p>
    <w:p w14:paraId="528C2D90" w14:textId="77777777" w:rsidR="003C5C1D" w:rsidRDefault="000C02EA">
      <w:pPr>
        <w:pStyle w:val="Heading1"/>
        <w:spacing w:before="30" w:after="30"/>
        <w:rPr>
          <w:rFonts w:ascii="Times New Roman" w:eastAsia="Times New Roman" w:hAnsi="Times New Roman" w:cs="Times New Roman"/>
        </w:rPr>
      </w:pPr>
      <w:bookmarkStart w:id="6" w:name="_Toc217489491"/>
      <w:r>
        <w:rPr>
          <w:rFonts w:ascii="Times New Roman" w:eastAsia="Times New Roman" w:hAnsi="Times New Roman" w:cs="Times New Roman"/>
        </w:rPr>
        <w:t>Conclusion</w:t>
      </w:r>
      <w:bookmarkEnd w:id="6"/>
      <w:r>
        <w:rPr>
          <w:rFonts w:ascii="Times New Roman" w:eastAsia="Times New Roman" w:hAnsi="Times New Roman" w:cs="Times New Roman"/>
        </w:rPr>
        <w:t xml:space="preserve"> </w:t>
      </w:r>
    </w:p>
    <w:p w14:paraId="66BCC520" w14:textId="200DE528" w:rsidR="003C5C1D" w:rsidRDefault="000C02EA">
      <w:pPr>
        <w:spacing w:before="30" w:after="30"/>
      </w:pPr>
      <w:r>
        <w:t>The report has</w:t>
      </w:r>
      <w:r>
        <w:t xml:space="preserve"> presented an overall analysis of financial management and investment decision-making process using two related analysis processes. Task 1 critically evaluated the financial performance of Tesco plc through the ratio analysis in terms of profitability, liq</w:t>
      </w:r>
      <w:r>
        <w:t>uidity, efficiency, gearing, and perspectives of investors. Based on the results, it was revealed that Tesco has increased its profitability and shareholder returns over the period, through greater operating performance and asset utilisation. Nevertheless,</w:t>
      </w:r>
      <w:r>
        <w:t xml:space="preserve"> dwindling liquidity and high gearing mean continued short-term solvency problems and financial leverage issues. Although Tesco has a large size and a strong cash-generating capacity, which partially alleviates some of these risks, tighter working capital </w:t>
      </w:r>
      <w:r>
        <w:t>management, controlled cost management, and disciplined capital structure optimization should be highlighted by the analysis. The weaknesses of the ratio analysis, especially its age and non-qualitative nature, were also recognized, which supported the imp</w:t>
      </w:r>
      <w:r>
        <w:t>ortance of interpretation. Task 2 used discounted cash flow technique to conduct an appraisal investment of Westward Plc in detail. The analysis conducted to evaluate NPV and IRR showed that the development of internet sales, as the choice of the second al</w:t>
      </w:r>
      <w:r>
        <w:t xml:space="preserve">ternative, is the activity that adds the highest value. The capital rationing analysis showed further methods in which shareholder wealth can be maximised by funding constraints. </w:t>
      </w:r>
      <w:bookmarkStart w:id="7" w:name="_GoBack"/>
      <w:bookmarkEnd w:id="7"/>
    </w:p>
    <w:p w14:paraId="16C08A73" w14:textId="77777777" w:rsidR="003C5C1D" w:rsidRDefault="000C02EA">
      <w:pPr>
        <w:pStyle w:val="Heading1"/>
        <w:spacing w:before="30" w:after="30"/>
        <w:rPr>
          <w:rFonts w:ascii="Times New Roman" w:eastAsia="Times New Roman" w:hAnsi="Times New Roman" w:cs="Times New Roman"/>
        </w:rPr>
      </w:pPr>
      <w:bookmarkStart w:id="8" w:name="_heading=h.liirskhvr8va" w:colFirst="0" w:colLast="0"/>
      <w:bookmarkStart w:id="9" w:name="_Toc217489492"/>
      <w:bookmarkEnd w:id="8"/>
      <w:r>
        <w:rPr>
          <w:rFonts w:ascii="Times New Roman" w:eastAsia="Times New Roman" w:hAnsi="Times New Roman" w:cs="Times New Roman"/>
        </w:rPr>
        <w:lastRenderedPageBreak/>
        <w:t>Bibliography</w:t>
      </w:r>
      <w:bookmarkEnd w:id="9"/>
    </w:p>
    <w:p w14:paraId="64E78E99" w14:textId="77777777" w:rsidR="00523C8C" w:rsidRDefault="00523C8C">
      <w:pPr>
        <w:spacing w:before="30" w:after="30"/>
      </w:pPr>
      <w:r>
        <w:t xml:space="preserve">Akgün, A.I. and Memiş Karataş, A. (2023) Do impact of cash flows and working capital ratios on performance of listed firms during the crisis? The cases of EU-28 and Western European countries. Journal of Economic and Administrative Sciences. Available at: https://www.emerald.com/insight/content/doi/10.1108/jeas-01-2023-0018/full/html (Accessed on: 23 December 2025). </w:t>
      </w:r>
    </w:p>
    <w:p w14:paraId="22567B78" w14:textId="77777777" w:rsidR="00523C8C" w:rsidRDefault="00523C8C">
      <w:pPr>
        <w:spacing w:before="30" w:after="30"/>
      </w:pPr>
      <w:r>
        <w:t xml:space="preserve">Aldo, M. (2022) The Effect of Gearing, Price </w:t>
      </w:r>
      <w:proofErr w:type="spellStart"/>
      <w:r>
        <w:t>Earning</w:t>
      </w:r>
      <w:proofErr w:type="spellEnd"/>
      <w:r>
        <w:t xml:space="preserve"> Ratio, Interest Rate, Risk on Abnormal Return. Indonesian Interdisciplinary Journal of Sharia Economics (IIJSE), 5(2), pp.751-767. </w:t>
      </w:r>
    </w:p>
    <w:p w14:paraId="6ACB760B" w14:textId="77777777" w:rsidR="00523C8C" w:rsidRDefault="00523C8C">
      <w:pPr>
        <w:spacing w:before="30" w:after="30"/>
      </w:pPr>
      <w:r>
        <w:t xml:space="preserve">Arjunan, K. (2022) A new method to estimate NPV and IRR from the capital amortization schedule and the advantages of the new method. Australasian Accounting, Business and Finance Journal, 16(6). </w:t>
      </w:r>
    </w:p>
    <w:p w14:paraId="1A7C80D4" w14:textId="77777777" w:rsidR="00523C8C" w:rsidRDefault="00523C8C">
      <w:pPr>
        <w:spacing w:before="30" w:after="30"/>
      </w:pPr>
      <w:proofErr w:type="spellStart"/>
      <w:r>
        <w:t>Atrill</w:t>
      </w:r>
      <w:proofErr w:type="spellEnd"/>
      <w:r>
        <w:t xml:space="preserve">, P. (2019) Financial Management for Decision Makers. 9th </w:t>
      </w:r>
      <w:proofErr w:type="spellStart"/>
      <w:r>
        <w:t>edn</w:t>
      </w:r>
      <w:proofErr w:type="spellEnd"/>
      <w:r>
        <w:t>. Pearson.</w:t>
      </w:r>
    </w:p>
    <w:p w14:paraId="3567102B" w14:textId="77777777" w:rsidR="00523C8C" w:rsidRDefault="00523C8C">
      <w:pPr>
        <w:spacing w:before="30" w:after="30"/>
      </w:pPr>
      <w:r>
        <w:t xml:space="preserve">Attah, R.U., </w:t>
      </w:r>
      <w:proofErr w:type="spellStart"/>
      <w:r>
        <w:t>Garba</w:t>
      </w:r>
      <w:proofErr w:type="spellEnd"/>
      <w:r>
        <w:t>, B.M.P., Gil-</w:t>
      </w:r>
      <w:proofErr w:type="spellStart"/>
      <w:r>
        <w:t>Ozoudeh</w:t>
      </w:r>
      <w:proofErr w:type="spellEnd"/>
      <w:r>
        <w:t xml:space="preserve">, I., and </w:t>
      </w:r>
      <w:proofErr w:type="spellStart"/>
      <w:r>
        <w:t>Iwuanyanwu</w:t>
      </w:r>
      <w:proofErr w:type="spellEnd"/>
      <w:r>
        <w:t xml:space="preserve">, O. (2024) Best Practices in Project Management for Technology-Driven Initiatives: A Systematic Review of Market Expansion and Product Development Technique. Int J Eng Res Dev, 20(11), pp.1350-61. </w:t>
      </w:r>
    </w:p>
    <w:p w14:paraId="4DE42294" w14:textId="77777777" w:rsidR="00523C8C" w:rsidRDefault="00523C8C">
      <w:pPr>
        <w:spacing w:before="30" w:after="30"/>
      </w:pPr>
      <w:r>
        <w:t xml:space="preserve">Avi, M.S. (2023) FINANCIAL RATIOS: CONSIDERATIONS OF THEIR RELEVANCE TO CORPORATE FINANCIAL ANALYSIS AND AN IN-DEPTH LOOK AT THE MAJOR ERRORS OFTEN MAR THESE RATIOS. International Journal of Business &amp; Management Studies, 4(4), pp.27-60. </w:t>
      </w:r>
    </w:p>
    <w:p w14:paraId="440F6341" w14:textId="77777777" w:rsidR="00523C8C" w:rsidRDefault="00523C8C">
      <w:pPr>
        <w:spacing w:before="30" w:after="30"/>
      </w:pPr>
      <w:proofErr w:type="spellStart"/>
      <w:r>
        <w:t>Baddi</w:t>
      </w:r>
      <w:proofErr w:type="spellEnd"/>
      <w:r>
        <w:t xml:space="preserve">, M.V. and </w:t>
      </w:r>
      <w:proofErr w:type="spellStart"/>
      <w:r>
        <w:t>Junnaykar</w:t>
      </w:r>
      <w:proofErr w:type="spellEnd"/>
      <w:r>
        <w:t xml:space="preserve">, G. (2025) Impact of Financial Leverage on Financial Performance of Tyres </w:t>
      </w:r>
      <w:proofErr w:type="gramStart"/>
      <w:r>
        <w:t>And</w:t>
      </w:r>
      <w:proofErr w:type="gramEnd"/>
      <w:r>
        <w:t xml:space="preserve"> Allied Companies Using Dupont Analysis. </w:t>
      </w:r>
    </w:p>
    <w:p w14:paraId="1D5F8623" w14:textId="77777777" w:rsidR="00523C8C" w:rsidRDefault="00523C8C">
      <w:pPr>
        <w:spacing w:before="30" w:after="30"/>
      </w:pPr>
      <w:r>
        <w:t xml:space="preserve">Bekaert, G. (2017) 3rd </w:t>
      </w:r>
      <w:proofErr w:type="spellStart"/>
      <w:r>
        <w:t>edn</w:t>
      </w:r>
      <w:proofErr w:type="spellEnd"/>
      <w:r>
        <w:t xml:space="preserve">. Cambridge University Press. </w:t>
      </w:r>
    </w:p>
    <w:p w14:paraId="74A9B82A" w14:textId="77777777" w:rsidR="00523C8C" w:rsidRDefault="00523C8C">
      <w:pPr>
        <w:spacing w:before="30" w:after="30"/>
      </w:pPr>
      <w:r>
        <w:t xml:space="preserve">Bhimani, A. (2022) Financial Management for technology Start-ups: A Handbook for Growth. 2nd Edition Kogan Page. </w:t>
      </w:r>
    </w:p>
    <w:p w14:paraId="2E0B2017" w14:textId="77777777" w:rsidR="00523C8C" w:rsidRDefault="00523C8C">
      <w:pPr>
        <w:spacing w:before="30" w:after="30"/>
      </w:pPr>
      <w:r>
        <w:t xml:space="preserve">Brodziński, Z., Brodzińska, K. and </w:t>
      </w:r>
      <w:proofErr w:type="spellStart"/>
      <w:r>
        <w:t>Szadziun</w:t>
      </w:r>
      <w:proofErr w:type="spellEnd"/>
      <w:r>
        <w:t xml:space="preserve">, M., (2021) Photovoltaic farms—economic efficiency of investments in north-east Poland. Energies, 14(8), p.2087. Available at: https://www.mdpi.com/1996-1073/14/8/2087 (Accessed on: 23 December 2025). </w:t>
      </w:r>
    </w:p>
    <w:p w14:paraId="7BDADD81" w14:textId="77777777" w:rsidR="00523C8C" w:rsidRDefault="00523C8C">
      <w:pPr>
        <w:spacing w:before="30" w:after="30"/>
      </w:pPr>
      <w:r>
        <w:t xml:space="preserve">Cabán, D. (2024) Principles versus rules-based standards: Differential impact on accounting quality and relevance. Journal of Corporate Accounting &amp; Finance, 35(4), pp.174-191. Available at: https://onlinelibrary.wiley.com/doi/abs/10.1002/jcaf.22724 (Accessed on: 23 December 2025). </w:t>
      </w:r>
    </w:p>
    <w:p w14:paraId="1670A530" w14:textId="77777777" w:rsidR="00523C8C" w:rsidRDefault="00523C8C">
      <w:pPr>
        <w:spacing w:before="30" w:after="30"/>
      </w:pPr>
      <w:r>
        <w:lastRenderedPageBreak/>
        <w:t xml:space="preserve">Danda, R.R. (2024) Financial Services in the Capital Goods Sector: </w:t>
      </w:r>
      <w:proofErr w:type="spellStart"/>
      <w:r>
        <w:t>Analyzing</w:t>
      </w:r>
      <w:proofErr w:type="spellEnd"/>
      <w:r>
        <w:t xml:space="preserve"> Financing Solutions for Equipment Acquisition. Library Progress International, 44(3), pp.25066-25075. </w:t>
      </w:r>
    </w:p>
    <w:p w14:paraId="7A7DD7B5" w14:textId="77777777" w:rsidR="00523C8C" w:rsidRDefault="00523C8C">
      <w:pPr>
        <w:spacing w:before="30" w:after="30"/>
      </w:pPr>
      <w:r>
        <w:t xml:space="preserve">Dobrowolski, Z. and Drozdowski, G., (2022) Does the net present value as a financial metric fit investment in green energy </w:t>
      </w:r>
      <w:proofErr w:type="gramStart"/>
      <w:r>
        <w:t>security?.</w:t>
      </w:r>
      <w:proofErr w:type="gramEnd"/>
      <w:r>
        <w:t xml:space="preserve"> Energies, 15(1), p.353. Available at: https://www.mdpi.com/1996-1073/15/1/353 (Accessed on: 23 December 2025). </w:t>
      </w:r>
    </w:p>
    <w:p w14:paraId="48C94093" w14:textId="77777777" w:rsidR="00523C8C" w:rsidRDefault="00523C8C">
      <w:pPr>
        <w:spacing w:before="30" w:after="30"/>
      </w:pPr>
      <w:r>
        <w:t xml:space="preserve">Frost, G. and Rooney, J. (2021) Considerations of sustainability in capital budgeting decision-making. Journal of Cleaner Production, 312, p.127650. Available at: https://www.sciencedirect.com/science/article/pii/S0959652621018680 (Accessed on: 23 December 2025). </w:t>
      </w:r>
    </w:p>
    <w:p w14:paraId="6BBF3120" w14:textId="77777777" w:rsidR="00523C8C" w:rsidRDefault="00523C8C">
      <w:pPr>
        <w:spacing w:before="30" w:after="30"/>
      </w:pPr>
      <w:r>
        <w:t xml:space="preserve">Han, H. and Gu, X., (2021) Linkage between inclusive digital finance and high-tech enterprise innovation performance: role of debt and equity financing. Frontiers in psychology, 12, p.814408. </w:t>
      </w:r>
    </w:p>
    <w:p w14:paraId="20CC7DC8" w14:textId="77777777" w:rsidR="00523C8C" w:rsidRDefault="00523C8C">
      <w:pPr>
        <w:spacing w:before="30" w:after="30"/>
      </w:pPr>
      <w:proofErr w:type="spellStart"/>
      <w:r>
        <w:t>Harahap</w:t>
      </w:r>
      <w:proofErr w:type="spellEnd"/>
      <w:r>
        <w:t xml:space="preserve">, A.Z.M.K., Rahim, M.K.I.A., </w:t>
      </w:r>
      <w:proofErr w:type="spellStart"/>
      <w:r>
        <w:t>Malinjasari</w:t>
      </w:r>
      <w:proofErr w:type="spellEnd"/>
      <w:r>
        <w:t xml:space="preserve">, N., Salleh, S.M. and </w:t>
      </w:r>
      <w:proofErr w:type="spellStart"/>
      <w:r>
        <w:t>Ma'arof</w:t>
      </w:r>
      <w:proofErr w:type="spellEnd"/>
      <w:r>
        <w:t xml:space="preserve">, R.A., (2025) Enhancing the Inventory Management through Demand Forecasting. International Journal of Research and Innovation in Social Science, 9(1), pp.2737-2744. </w:t>
      </w:r>
    </w:p>
    <w:p w14:paraId="60021D86" w14:textId="77777777" w:rsidR="00523C8C" w:rsidRDefault="00523C8C">
      <w:pPr>
        <w:spacing w:before="30" w:after="30"/>
      </w:pPr>
      <w:r>
        <w:t xml:space="preserve">Jariah, A. and </w:t>
      </w:r>
      <w:proofErr w:type="spellStart"/>
      <w:r>
        <w:t>Lukiana</w:t>
      </w:r>
      <w:proofErr w:type="spellEnd"/>
      <w:r>
        <w:t xml:space="preserve">, N., (2023) Management of Financial Performance Based on Capital Structure, Liquidity Ratio, Coverage and Activity. Assets: </w:t>
      </w:r>
      <w:proofErr w:type="spellStart"/>
      <w:r>
        <w:t>Jurnal</w:t>
      </w:r>
      <w:proofErr w:type="spellEnd"/>
      <w:r>
        <w:t xml:space="preserve"> </w:t>
      </w:r>
      <w:proofErr w:type="spellStart"/>
      <w:r>
        <w:t>Ilmiah</w:t>
      </w:r>
      <w:proofErr w:type="spellEnd"/>
      <w:r>
        <w:t xml:space="preserve"> </w:t>
      </w:r>
      <w:proofErr w:type="spellStart"/>
      <w:r>
        <w:t>Ilmu</w:t>
      </w:r>
      <w:proofErr w:type="spellEnd"/>
      <w:r>
        <w:t xml:space="preserve"> </w:t>
      </w:r>
      <w:proofErr w:type="spellStart"/>
      <w:r>
        <w:t>Akuntansi</w:t>
      </w:r>
      <w:proofErr w:type="spellEnd"/>
      <w:r>
        <w:t xml:space="preserve">, </w:t>
      </w:r>
      <w:proofErr w:type="spellStart"/>
      <w:r>
        <w:t>Keuangan</w:t>
      </w:r>
      <w:proofErr w:type="spellEnd"/>
      <w:r>
        <w:t xml:space="preserve"> Dan </w:t>
      </w:r>
      <w:proofErr w:type="spellStart"/>
      <w:r>
        <w:t>Pajak</w:t>
      </w:r>
      <w:proofErr w:type="spellEnd"/>
      <w:r>
        <w:t>, 7(2), pp.1-7.</w:t>
      </w:r>
    </w:p>
    <w:p w14:paraId="4C337C8A" w14:textId="77777777" w:rsidR="00523C8C" w:rsidRDefault="00523C8C">
      <w:pPr>
        <w:spacing w:before="30" w:after="30"/>
      </w:pPr>
      <w:proofErr w:type="spellStart"/>
      <w:r>
        <w:t>Kelka</w:t>
      </w:r>
      <w:proofErr w:type="spellEnd"/>
      <w:r>
        <w:t xml:space="preserve">, H. (2024) Supply chain resilience: navigating disruptions through strategic inventory management. </w:t>
      </w:r>
    </w:p>
    <w:p w14:paraId="6E3D9252" w14:textId="77777777" w:rsidR="00523C8C" w:rsidRDefault="00523C8C">
      <w:pPr>
        <w:spacing w:before="30" w:after="30"/>
      </w:pPr>
      <w:r>
        <w:t xml:space="preserve">Leong, K. (2025) Understanding the Unique Characteristics of Valuation in Emerging Markets. In Valuation in Emerging Markets: Challenges, Approaches and Strategies (pp. 59-83). Cham: Springer Nature Switzerland. Available at: https://link.springer.com/chapter/10.1007/978-3-031-93526-8_4 (Accessed on: 23 December 2025). </w:t>
      </w:r>
    </w:p>
    <w:p w14:paraId="4B234BF9" w14:textId="77777777" w:rsidR="00523C8C" w:rsidRDefault="00523C8C">
      <w:pPr>
        <w:spacing w:before="30" w:after="30"/>
      </w:pPr>
      <w:proofErr w:type="spellStart"/>
      <w:r>
        <w:t>Lilford</w:t>
      </w:r>
      <w:proofErr w:type="spellEnd"/>
      <w:r>
        <w:t xml:space="preserve">, E. (2023) Natural resources: Cost of capital and discounting–Risk and uncertainty. Resources Policy, 80, p.103242. </w:t>
      </w:r>
    </w:p>
    <w:p w14:paraId="242676C9" w14:textId="77777777" w:rsidR="00523C8C" w:rsidRDefault="00523C8C">
      <w:pPr>
        <w:spacing w:before="30" w:after="30"/>
      </w:pPr>
      <w:r>
        <w:t xml:space="preserve">Lu, J. and Yin, S. (2021, April) Application of net present value method and internal rate of return method in investment decision. In Proceedings of the 4th International Conference on Global Economy, Finance and Humanities Research, Chongqing, China (pp. 10-11). </w:t>
      </w:r>
    </w:p>
    <w:p w14:paraId="72A7C300" w14:textId="77777777" w:rsidR="00523C8C" w:rsidRDefault="00523C8C">
      <w:pPr>
        <w:spacing w:before="30" w:after="30"/>
      </w:pPr>
      <w:r>
        <w:t xml:space="preserve">Meng, S. (2024) Operation Management of Grocery Retailer in the UK: A Case of Tesco. Pacific International Journal, 7(2), pp.136-142. </w:t>
      </w:r>
    </w:p>
    <w:p w14:paraId="28F0C9DE" w14:textId="77777777" w:rsidR="00523C8C" w:rsidRDefault="00523C8C">
      <w:pPr>
        <w:spacing w:before="30" w:after="30"/>
      </w:pPr>
      <w:r>
        <w:t xml:space="preserve">Naomi, I.W. (2023) Effects of Debt Financing on Financial Performance of Manufacturing Firms in Kenya. African Journal of Commercial Studies, 3(2), pp.86-95. </w:t>
      </w:r>
    </w:p>
    <w:p w14:paraId="387D0EA8" w14:textId="77777777" w:rsidR="00523C8C" w:rsidRDefault="00523C8C">
      <w:pPr>
        <w:spacing w:before="30" w:after="30"/>
      </w:pPr>
      <w:r>
        <w:lastRenderedPageBreak/>
        <w:t xml:space="preserve">Nasution, Y.A. and </w:t>
      </w:r>
      <w:proofErr w:type="spellStart"/>
      <w:r>
        <w:t>Yusleny</w:t>
      </w:r>
      <w:proofErr w:type="spellEnd"/>
      <w:r>
        <w:t xml:space="preserve">, Y. (2023, February) Financial Performance Measurement Using Profitability Ratios </w:t>
      </w:r>
      <w:proofErr w:type="gramStart"/>
      <w:r>
        <w:t>And</w:t>
      </w:r>
      <w:proofErr w:type="gramEnd"/>
      <w:r>
        <w:t xml:space="preserve"> Liquidity Ratios. In Proceedings Medan International Conference on Economic and Business (Vol. 1, pp. 1730-1741). </w:t>
      </w:r>
    </w:p>
    <w:p w14:paraId="30A82809" w14:textId="77777777" w:rsidR="00523C8C" w:rsidRDefault="00523C8C">
      <w:pPr>
        <w:spacing w:before="30" w:after="30"/>
      </w:pPr>
      <w:r>
        <w:t xml:space="preserve">Ndayisaba, G.A. and Ahmed, A.D. (2023) Corporate Share Buybacks: Impact on Equity Incentive Pay and Shareholder Value. Routledge. Available at: https://www.taylorfrancis.com/books/mono/10.4324/9781003227748/corporate-share-buybacks-abdullahi-dahir-ahmed-gilbert-amahoro-ndayisaba (Accessed on: 23 December 2025). </w:t>
      </w:r>
    </w:p>
    <w:p w14:paraId="3E14B56A" w14:textId="77777777" w:rsidR="00523C8C" w:rsidRDefault="00523C8C">
      <w:pPr>
        <w:spacing w:before="30" w:after="30"/>
      </w:pPr>
      <w:proofErr w:type="spellStart"/>
      <w:r>
        <w:t>Odhiambo</w:t>
      </w:r>
      <w:proofErr w:type="spellEnd"/>
      <w:r>
        <w:t xml:space="preserve">, J.D., </w:t>
      </w:r>
      <w:proofErr w:type="spellStart"/>
      <w:r>
        <w:t>Murori</w:t>
      </w:r>
      <w:proofErr w:type="spellEnd"/>
      <w:r>
        <w:t xml:space="preserve">, C.K., and </w:t>
      </w:r>
      <w:proofErr w:type="spellStart"/>
      <w:r>
        <w:t>Aringo</w:t>
      </w:r>
      <w:proofErr w:type="spellEnd"/>
      <w:r>
        <w:t xml:space="preserve">, C.E. (2025) Financial leverage and firm performance: An empirical review and analysis. East African Finance Journal, 4(1), pp.25-35. </w:t>
      </w:r>
    </w:p>
    <w:p w14:paraId="3B807CAC" w14:textId="77777777" w:rsidR="00523C8C" w:rsidRDefault="00523C8C">
      <w:pPr>
        <w:spacing w:before="30" w:after="30"/>
      </w:pPr>
      <w:r>
        <w:t xml:space="preserve">Pereira, A.V., Dias, R., Galvão, R. and Varela, M., (2024) Cash flow and its components in investment valuation. </w:t>
      </w:r>
      <w:proofErr w:type="spellStart"/>
      <w:r>
        <w:t>Revista</w:t>
      </w:r>
      <w:proofErr w:type="spellEnd"/>
      <w:r>
        <w:t xml:space="preserve"> de </w:t>
      </w:r>
      <w:proofErr w:type="spellStart"/>
      <w:r>
        <w:t>Gestão</w:t>
      </w:r>
      <w:proofErr w:type="spellEnd"/>
      <w:r>
        <w:t xml:space="preserve"> Social e </w:t>
      </w:r>
      <w:proofErr w:type="spellStart"/>
      <w:r>
        <w:t>Ambiental</w:t>
      </w:r>
      <w:proofErr w:type="spellEnd"/>
      <w:r>
        <w:t xml:space="preserve">, 18(5), pp.1-20. </w:t>
      </w:r>
    </w:p>
    <w:p w14:paraId="4B3BB22B" w14:textId="77777777" w:rsidR="00523C8C" w:rsidRDefault="00523C8C">
      <w:pPr>
        <w:spacing w:before="30" w:after="30"/>
      </w:pPr>
      <w:r>
        <w:t xml:space="preserve">Picker, R., van der Tas, L., </w:t>
      </w:r>
      <w:proofErr w:type="spellStart"/>
      <w:r>
        <w:t>Kolitz</w:t>
      </w:r>
      <w:proofErr w:type="spellEnd"/>
      <w:r>
        <w:t xml:space="preserve">, D., </w:t>
      </w:r>
      <w:proofErr w:type="spellStart"/>
      <w:r>
        <w:t>Livne</w:t>
      </w:r>
      <w:proofErr w:type="spellEnd"/>
      <w:r>
        <w:t xml:space="preserve">, G., Loftus, J., and Koning, M. (2025) Applying IFRS standards. John Wiley &amp; Sons. </w:t>
      </w:r>
    </w:p>
    <w:p w14:paraId="4C2EF3BD" w14:textId="77777777" w:rsidR="00523C8C" w:rsidRDefault="00523C8C">
      <w:pPr>
        <w:spacing w:before="30" w:after="30"/>
      </w:pPr>
      <w:r>
        <w:t xml:space="preserve">Rashid, C.A. (2021) The efficiency of financial ratios analysis to evaluate company’s profitability. Journal of Global Economics and Business, 2(4), pp.119-132. </w:t>
      </w:r>
    </w:p>
    <w:p w14:paraId="40496484" w14:textId="77777777" w:rsidR="00523C8C" w:rsidRDefault="00523C8C">
      <w:pPr>
        <w:spacing w:before="30" w:after="30"/>
      </w:pPr>
      <w:r>
        <w:t xml:space="preserve">Sam, R. (2025) Generalizing the P/E Ratio Through the Potential Payback Period (PPP): A Dynamic Approach to Stock Valuation. E Ratio through the Potential Payback Period (PPP): A Dynamic Approach to Stock Valuation (May 20, 2025). </w:t>
      </w:r>
    </w:p>
    <w:p w14:paraId="5AA1E109" w14:textId="77777777" w:rsidR="00523C8C" w:rsidRDefault="00523C8C">
      <w:pPr>
        <w:spacing w:before="30" w:after="30"/>
      </w:pPr>
      <w:r>
        <w:t xml:space="preserve">Sam, R. (2025) How to Adjust the P/E Ratio for Earnings Growth in Equity Valuation: PEG or </w:t>
      </w:r>
      <w:proofErr w:type="gramStart"/>
      <w:r>
        <w:t>PPP?.</w:t>
      </w:r>
      <w:proofErr w:type="gramEnd"/>
      <w:r>
        <w:t xml:space="preserve"> E Ratio for Earnings Growth in Equity Valuation: PEG or PPP. </w:t>
      </w:r>
    </w:p>
    <w:p w14:paraId="0F43023F" w14:textId="77777777" w:rsidR="00523C8C" w:rsidRDefault="00523C8C">
      <w:pPr>
        <w:spacing w:before="30" w:after="30"/>
      </w:pPr>
      <w:proofErr w:type="spellStart"/>
      <w:r>
        <w:t>Sudacevschi</w:t>
      </w:r>
      <w:proofErr w:type="spellEnd"/>
      <w:r>
        <w:t xml:space="preserve">, M. and Stefan Duicu, V.M. (2024) Financial Performance Analysis of The Company Through Profitability Ratios. Challenges of the Knowledge Society, 17(2068-7796). </w:t>
      </w:r>
    </w:p>
    <w:p w14:paraId="18B9D48D" w14:textId="77777777" w:rsidR="00523C8C" w:rsidRDefault="00523C8C">
      <w:pPr>
        <w:spacing w:before="30" w:after="30"/>
      </w:pPr>
      <w:proofErr w:type="spellStart"/>
      <w:r>
        <w:t>Tarighi</w:t>
      </w:r>
      <w:proofErr w:type="spellEnd"/>
      <w:r>
        <w:t xml:space="preserve">, H., Zimon, G., Sheikh, M.J., and </w:t>
      </w:r>
      <w:proofErr w:type="spellStart"/>
      <w:r>
        <w:t>Sayrani</w:t>
      </w:r>
      <w:proofErr w:type="spellEnd"/>
      <w:r>
        <w:t xml:space="preserve">, M. (2024) The impact of firm risk and the COVID-19 crisis on working capital management strategies: Evidence from a market affected by economic uncertainty. Risks, 12(4), p.72. Available at: https://www.mdpi.com/1911-8074/14/10/499 (Accessed on: 23 December 2025). </w:t>
      </w:r>
    </w:p>
    <w:p w14:paraId="2C1BD866" w14:textId="77777777" w:rsidR="00523C8C" w:rsidRDefault="00523C8C">
      <w:pPr>
        <w:spacing w:before="30" w:after="30"/>
      </w:pPr>
      <w:r>
        <w:t xml:space="preserve">Tesco (2025) Company Annual Report, 2025. Available at: https://www.tescoplc.com/media/ky0bfwpo/tesco_ar25_interactive.pdf (Accessed on: 23 December 2025). </w:t>
      </w:r>
    </w:p>
    <w:p w14:paraId="43499D37" w14:textId="77777777" w:rsidR="00523C8C" w:rsidRDefault="00523C8C">
      <w:pPr>
        <w:spacing w:before="30" w:after="30"/>
      </w:pPr>
      <w:proofErr w:type="spellStart"/>
      <w:r>
        <w:t>Tulung</w:t>
      </w:r>
      <w:proofErr w:type="spellEnd"/>
      <w:r>
        <w:t xml:space="preserve">, J.E., </w:t>
      </w:r>
      <w:proofErr w:type="spellStart"/>
      <w:r>
        <w:t>Sondakh</w:t>
      </w:r>
      <w:proofErr w:type="spellEnd"/>
      <w:r>
        <w:t xml:space="preserve">, J.J., </w:t>
      </w:r>
      <w:proofErr w:type="spellStart"/>
      <w:r>
        <w:t>Wangke</w:t>
      </w:r>
      <w:proofErr w:type="spellEnd"/>
      <w:r>
        <w:t xml:space="preserve">, S.J.C., and </w:t>
      </w:r>
      <w:proofErr w:type="spellStart"/>
      <w:r>
        <w:t>Posumah</w:t>
      </w:r>
      <w:proofErr w:type="spellEnd"/>
      <w:r>
        <w:t xml:space="preserve">, R.F.K. (2024) EFFECTS OF CAPITAL RATIO, QUALITY OF RECEIVABLES, LIQUIDITY, AND GEARING RATIO </w:t>
      </w:r>
      <w:r>
        <w:lastRenderedPageBreak/>
        <w:t xml:space="preserve">ON PROFITABILITY: A STUDY FINANCIAL INSTITUTIONS’ GOVERNANCE. Journal of Governance and Regulation/Volume, 13(3). </w:t>
      </w:r>
    </w:p>
    <w:p w14:paraId="7A2130DA" w14:textId="77777777" w:rsidR="00523C8C" w:rsidRDefault="00523C8C">
      <w:pPr>
        <w:spacing w:before="30" w:after="30"/>
      </w:pPr>
      <w:r>
        <w:t xml:space="preserve">Vasiliev, A., Vasilieva, N., and </w:t>
      </w:r>
      <w:proofErr w:type="spellStart"/>
      <w:r>
        <w:t>Tupko</w:t>
      </w:r>
      <w:proofErr w:type="spellEnd"/>
      <w:r>
        <w:t xml:space="preserve">, N. (2022) Development of a systems approach to assessment of investment project risks: risks of unacceptably low project profitability. Eastern-European journal of enterprise technologies, 1(4), p.115. </w:t>
      </w:r>
    </w:p>
    <w:p w14:paraId="665C0E48" w14:textId="77777777" w:rsidR="00523C8C" w:rsidRDefault="00523C8C">
      <w:pPr>
        <w:spacing w:before="30" w:after="30"/>
      </w:pPr>
      <w:r>
        <w:t xml:space="preserve">Wang, Y. (2021, December) The development and usage of NPV and IRR and their comparison. In 2021 3rd International Conference on Economic Management and Cultural Industry (ICEMCI 2021) (pp. 2044-2048). Atlantis Press. </w:t>
      </w:r>
    </w:p>
    <w:p w14:paraId="749CE05B" w14:textId="77777777" w:rsidR="00523C8C" w:rsidRDefault="00523C8C">
      <w:pPr>
        <w:spacing w:before="30" w:after="30"/>
      </w:pPr>
      <w:r>
        <w:t xml:space="preserve">Wangchuk, P. (2022) Application of depreciation net present value and internal rate of return in engineering projects a brief literature review. Journal of Applied Engineering, Technology and Management, 2(1), pp.25-30. </w:t>
      </w:r>
    </w:p>
    <w:p w14:paraId="4157FB18" w14:textId="77777777" w:rsidR="00523C8C" w:rsidRDefault="00523C8C">
      <w:pPr>
        <w:spacing w:before="30" w:after="30"/>
      </w:pPr>
      <w:r>
        <w:t xml:space="preserve">Yusrini, L., Hamid, S., and Khan, A.I. (2021) Working Capital Management and Firm's Financial Performance (ROCE). Turkish Online Journal of Qualitative Inquiry, 12(9). Available at: https://search.ebscohost.com/login.aspx?direct=true&amp;profile=ehost&amp;scope=site&amp;authtype=crawler&amp;jrnl=13096591&amp;AN=160604570&amp;h=42Lh7frRPXPgXjk9nDTKkEgNDdmbHlA2vk9Q7K3xwDixwu1qa61q%2F%2BZvfol93kA%2BZIRZXocmruZ9jeCdi1IOFA%3D%3D&amp;crl=c (Accessed on: 23 December 2025). </w:t>
      </w:r>
    </w:p>
    <w:p w14:paraId="47093AD5" w14:textId="77777777" w:rsidR="003C5C1D" w:rsidRDefault="003C5C1D">
      <w:pPr>
        <w:spacing w:before="30" w:after="30"/>
      </w:pPr>
    </w:p>
    <w:p w14:paraId="4822C90E" w14:textId="77777777" w:rsidR="003C5C1D" w:rsidRDefault="000C02EA">
      <w:pPr>
        <w:pStyle w:val="Heading1"/>
        <w:spacing w:before="30" w:after="30"/>
        <w:rPr>
          <w:rFonts w:ascii="Times New Roman" w:eastAsia="Times New Roman" w:hAnsi="Times New Roman" w:cs="Times New Roman"/>
        </w:rPr>
      </w:pPr>
      <w:bookmarkStart w:id="10" w:name="_heading=h.sitcop7vdd1l" w:colFirst="0" w:colLast="0"/>
      <w:bookmarkEnd w:id="10"/>
      <w:r>
        <w:br w:type="page"/>
      </w:r>
    </w:p>
    <w:p w14:paraId="79880974" w14:textId="77777777" w:rsidR="003C5C1D" w:rsidRDefault="000C02EA">
      <w:pPr>
        <w:pStyle w:val="Heading1"/>
        <w:spacing w:before="30" w:after="30"/>
        <w:rPr>
          <w:rFonts w:ascii="Times New Roman" w:eastAsia="Times New Roman" w:hAnsi="Times New Roman" w:cs="Times New Roman"/>
        </w:rPr>
      </w:pPr>
      <w:bookmarkStart w:id="11" w:name="_Toc217489493"/>
      <w:r>
        <w:rPr>
          <w:rFonts w:ascii="Times New Roman" w:eastAsia="Times New Roman" w:hAnsi="Times New Roman" w:cs="Times New Roman"/>
        </w:rPr>
        <w:lastRenderedPageBreak/>
        <w:t>Appendix</w:t>
      </w:r>
      <w:bookmarkEnd w:id="11"/>
    </w:p>
    <w:p w14:paraId="72DFB281" w14:textId="77777777" w:rsidR="003C5C1D" w:rsidRDefault="000C02EA">
      <w:pPr>
        <w:spacing w:before="30" w:after="30"/>
        <w:rPr>
          <w:b/>
          <w:bCs/>
          <w:i/>
          <w:iCs/>
        </w:rPr>
      </w:pPr>
      <w:r>
        <w:rPr>
          <w:b/>
          <w:bCs/>
          <w:i/>
          <w:iCs/>
        </w:rPr>
        <w:t>Tesco Income</w:t>
      </w:r>
      <w:r>
        <w:rPr>
          <w:b/>
          <w:bCs/>
          <w:i/>
          <w:iCs/>
        </w:rPr>
        <w:t xml:space="preserve"> Statement: </w:t>
      </w:r>
    </w:p>
    <w:p w14:paraId="0ACFF960" w14:textId="77777777" w:rsidR="003C5C1D" w:rsidRDefault="000C02EA">
      <w:pPr>
        <w:spacing w:before="30" w:after="30"/>
        <w:jc w:val="center"/>
      </w:pPr>
      <w:r>
        <w:rPr>
          <w:noProof/>
          <w:lang w:eastAsia="en-GB"/>
        </w:rPr>
        <w:drawing>
          <wp:inline distT="114300" distB="114300" distL="114300" distR="114300" wp14:anchorId="7FD79C22" wp14:editId="0D8DD1BF">
            <wp:extent cx="5731200" cy="2921000"/>
            <wp:effectExtent l="0" t="0" r="0" b="0"/>
            <wp:docPr id="14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2"/>
                    <a:srcRect/>
                    <a:stretch>
                      <a:fillRect/>
                    </a:stretch>
                  </pic:blipFill>
                  <pic:spPr>
                    <a:xfrm>
                      <a:off x="0" y="0"/>
                      <a:ext cx="5731200" cy="2921000"/>
                    </a:xfrm>
                    <a:prstGeom prst="rect">
                      <a:avLst/>
                    </a:prstGeom>
                    <a:ln/>
                  </pic:spPr>
                </pic:pic>
              </a:graphicData>
            </a:graphic>
          </wp:inline>
        </w:drawing>
      </w:r>
    </w:p>
    <w:p w14:paraId="679E8AC0" w14:textId="77777777" w:rsidR="003C5C1D" w:rsidRDefault="000C02EA">
      <w:pPr>
        <w:spacing w:before="30" w:after="30"/>
        <w:jc w:val="center"/>
      </w:pPr>
      <w:r>
        <w:t>(Source: Tesco, 2025)</w:t>
      </w:r>
    </w:p>
    <w:p w14:paraId="483DCE67" w14:textId="77777777" w:rsidR="003C5C1D" w:rsidRDefault="000C02EA">
      <w:pPr>
        <w:spacing w:before="30" w:after="30"/>
        <w:rPr>
          <w:b/>
          <w:bCs/>
          <w:i/>
          <w:iCs/>
        </w:rPr>
      </w:pPr>
      <w:r>
        <w:rPr>
          <w:b/>
          <w:bCs/>
          <w:i/>
          <w:iCs/>
        </w:rPr>
        <w:t xml:space="preserve">Tesco Balance Sheet: </w:t>
      </w:r>
    </w:p>
    <w:p w14:paraId="0624196B" w14:textId="77777777" w:rsidR="003C5C1D" w:rsidRDefault="000C02EA">
      <w:pPr>
        <w:spacing w:before="30" w:after="30"/>
        <w:jc w:val="center"/>
      </w:pPr>
      <w:r>
        <w:rPr>
          <w:noProof/>
          <w:lang w:eastAsia="en-GB"/>
        </w:rPr>
        <w:drawing>
          <wp:inline distT="114300" distB="114300" distL="114300" distR="114300" wp14:anchorId="14B43693" wp14:editId="609E62FE">
            <wp:extent cx="5731200" cy="3619500"/>
            <wp:effectExtent l="0" t="0" r="0" b="0"/>
            <wp:docPr id="159"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3"/>
                    <a:srcRect/>
                    <a:stretch>
                      <a:fillRect/>
                    </a:stretch>
                  </pic:blipFill>
                  <pic:spPr>
                    <a:xfrm>
                      <a:off x="0" y="0"/>
                      <a:ext cx="5731200" cy="3619500"/>
                    </a:xfrm>
                    <a:prstGeom prst="rect">
                      <a:avLst/>
                    </a:prstGeom>
                    <a:ln/>
                  </pic:spPr>
                </pic:pic>
              </a:graphicData>
            </a:graphic>
          </wp:inline>
        </w:drawing>
      </w:r>
    </w:p>
    <w:p w14:paraId="31EFC2BD" w14:textId="77777777" w:rsidR="003C5C1D" w:rsidRDefault="000C02EA">
      <w:pPr>
        <w:spacing w:before="30" w:after="30"/>
        <w:jc w:val="center"/>
      </w:pPr>
      <w:r>
        <w:t>(Source: Tesco, 2025)</w:t>
      </w:r>
    </w:p>
    <w:sectPr w:rsidR="003C5C1D">
      <w:footerReference w:type="default" r:id="rId24"/>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EE9182" w14:textId="77777777" w:rsidR="000C02EA" w:rsidRDefault="000C02EA">
      <w:pPr>
        <w:spacing w:after="0" w:line="240" w:lineRule="auto"/>
      </w:pPr>
      <w:r>
        <w:separator/>
      </w:r>
    </w:p>
  </w:endnote>
  <w:endnote w:type="continuationSeparator" w:id="0">
    <w:p w14:paraId="32A36283" w14:textId="77777777" w:rsidR="000C02EA" w:rsidRDefault="000C02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9D7561CC-000F-47B0-82B7-7C725A72E33C}"/>
  </w:font>
  <w:font w:name="Calibri Light">
    <w:panose1 w:val="020F0302020204030204"/>
    <w:charset w:val="00"/>
    <w:family w:val="swiss"/>
    <w:pitch w:val="variable"/>
    <w:sig w:usb0="E4002EFF" w:usb1="C000247B" w:usb2="00000009" w:usb3="00000000" w:csb0="000001FF" w:csb1="00000000"/>
    <w:embedRegular r:id="rId2" w:fontKey="{18FB5100-3ECD-4CF4-BBD4-02A0696F8C85}"/>
  </w:font>
  <w:font w:name="Georgia">
    <w:panose1 w:val="02040502050405020303"/>
    <w:charset w:val="00"/>
    <w:family w:val="roman"/>
    <w:pitch w:val="variable"/>
    <w:sig w:usb0="00000287" w:usb1="00000000" w:usb2="00000000" w:usb3="00000000" w:csb0="0000009F" w:csb1="00000000"/>
    <w:embedItalic r:id="rId3" w:fontKey="{9C9C9411-38C4-4FF3-B48F-165A664F5654}"/>
  </w:font>
  <w:font w:name="Arial">
    <w:panose1 w:val="020B0604020202020204"/>
    <w:charset w:val="00"/>
    <w:family w:val="swiss"/>
    <w:pitch w:val="variable"/>
    <w:sig w:usb0="E0002EFF" w:usb1="C000785B" w:usb2="00000009" w:usb3="00000000" w:csb0="000001FF" w:csb1="00000000"/>
  </w:font>
  <w:font w:name="Gungsuh">
    <w:charset w:val="81"/>
    <w:family w:val="roman"/>
    <w:pitch w:val="variable"/>
    <w:sig w:usb0="B00002AF" w:usb1="69D77CFB" w:usb2="00000030" w:usb3="00000000" w:csb0="0008009F" w:csb1="00000000"/>
    <w:embedRegular r:id="rId4" w:subsetted="1" w:fontKey="{99F54F9F-C4DB-4E10-8BED-39D48871BB0A}"/>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1A4503" w14:textId="00407BB5" w:rsidR="003C5C1D" w:rsidRDefault="000C02EA">
    <w:pPr>
      <w:pBdr>
        <w:top w:val="nil"/>
        <w:left w:val="nil"/>
        <w:bottom w:val="nil"/>
        <w:right w:val="nil"/>
        <w:between w:val="nil"/>
      </w:pBdr>
      <w:tabs>
        <w:tab w:val="center" w:pos="4513"/>
        <w:tab w:val="right" w:pos="9026"/>
      </w:tabs>
      <w:spacing w:after="0" w:line="240" w:lineRule="auto"/>
      <w:jc w:val="center"/>
      <w:rPr>
        <w:rFonts w:ascii="Calibri" w:eastAsia="Calibri" w:hAnsi="Calibri" w:cs="Calibri"/>
        <w:color w:val="000000"/>
        <w:sz w:val="22"/>
        <w:szCs w:val="22"/>
      </w:rPr>
    </w:pPr>
    <w:r>
      <w:rPr>
        <w:rFonts w:ascii="Calibri" w:eastAsia="Calibri" w:hAnsi="Calibri" w:cs="Calibri"/>
        <w:color w:val="000000"/>
        <w:sz w:val="22"/>
        <w:szCs w:val="22"/>
      </w:rPr>
      <w:fldChar w:fldCharType="begin"/>
    </w:r>
    <w:r>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sidR="00880179">
      <w:rPr>
        <w:rFonts w:ascii="Calibri" w:eastAsia="Calibri" w:hAnsi="Calibri" w:cs="Calibri"/>
        <w:noProof/>
        <w:color w:val="000000"/>
        <w:sz w:val="22"/>
        <w:szCs w:val="22"/>
      </w:rPr>
      <w:t>21</w:t>
    </w:r>
    <w:r>
      <w:rPr>
        <w:rFonts w:ascii="Calibri" w:eastAsia="Calibri" w:hAnsi="Calibri" w:cs="Calibri"/>
        <w:color w:val="000000"/>
        <w:sz w:val="22"/>
        <w:szCs w:val="22"/>
      </w:rPr>
      <w:fldChar w:fldCharType="end"/>
    </w:r>
  </w:p>
  <w:p w14:paraId="02D65DC8" w14:textId="77777777" w:rsidR="003C5C1D" w:rsidRDefault="003C5C1D">
    <w:pPr>
      <w:pBdr>
        <w:top w:val="nil"/>
        <w:left w:val="nil"/>
        <w:bottom w:val="nil"/>
        <w:right w:val="nil"/>
        <w:between w:val="nil"/>
      </w:pBdr>
      <w:tabs>
        <w:tab w:val="center" w:pos="4513"/>
        <w:tab w:val="right" w:pos="9026"/>
      </w:tabs>
      <w:spacing w:after="0" w:line="240" w:lineRule="auto"/>
      <w:jc w:val="left"/>
      <w:rPr>
        <w:rFonts w:ascii="Calibri" w:eastAsia="Calibri" w:hAnsi="Calibri" w:cs="Calibri"/>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B7C9E88" w14:textId="77777777" w:rsidR="000C02EA" w:rsidRDefault="000C02EA">
      <w:pPr>
        <w:spacing w:after="0" w:line="240" w:lineRule="auto"/>
      </w:pPr>
      <w:r>
        <w:separator/>
      </w:r>
    </w:p>
  </w:footnote>
  <w:footnote w:type="continuationSeparator" w:id="0">
    <w:p w14:paraId="31765C5E" w14:textId="77777777" w:rsidR="000C02EA" w:rsidRDefault="000C02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E76A6F"/>
    <w:multiLevelType w:val="multilevel"/>
    <w:tmpl w:val="F50690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275535"/>
    <w:multiLevelType w:val="multilevel"/>
    <w:tmpl w:val="118ECB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B40C3A"/>
    <w:multiLevelType w:val="multilevel"/>
    <w:tmpl w:val="9BC0A6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41B3DBC"/>
    <w:multiLevelType w:val="multilevel"/>
    <w:tmpl w:val="3AFC39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ED4098"/>
    <w:multiLevelType w:val="multilevel"/>
    <w:tmpl w:val="708C2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D3C6790"/>
    <w:multiLevelType w:val="multilevel"/>
    <w:tmpl w:val="8BFE1A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5982481"/>
    <w:multiLevelType w:val="multilevel"/>
    <w:tmpl w:val="3A72B6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B30280D"/>
    <w:multiLevelType w:val="multilevel"/>
    <w:tmpl w:val="53DA29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6"/>
  </w:num>
  <w:num w:numId="3">
    <w:abstractNumId w:val="0"/>
  </w:num>
  <w:num w:numId="4">
    <w:abstractNumId w:val="7"/>
  </w:num>
  <w:num w:numId="5">
    <w:abstractNumId w:val="4"/>
  </w:num>
  <w:num w:numId="6">
    <w:abstractNumId w:val="3"/>
  </w:num>
  <w:num w:numId="7">
    <w:abstractNumId w:val="5"/>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5C1D"/>
    <w:rsid w:val="000C02EA"/>
    <w:rsid w:val="0028130B"/>
    <w:rsid w:val="003B310A"/>
    <w:rsid w:val="003C5C1D"/>
    <w:rsid w:val="00523C8C"/>
    <w:rsid w:val="008801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4585B"/>
  <w15:docId w15:val="{9E95733D-12FB-4C48-81DB-5C30D8AAE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color w:val="222222"/>
        <w:sz w:val="24"/>
        <w:szCs w:val="24"/>
        <w:highlight w:val="white"/>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w:eastAsia="Calibri" w:hAnsi="Calibri" w:cs="Calibri"/>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w:eastAsia="Calibri" w:hAnsi="Calibri" w:cs="Calibri"/>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F33B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B24"/>
  </w:style>
  <w:style w:type="paragraph" w:styleId="Footer">
    <w:name w:val="footer"/>
    <w:basedOn w:val="Normal"/>
    <w:link w:val="FooterChar"/>
    <w:uiPriority w:val="99"/>
    <w:unhideWhenUsed/>
    <w:rsid w:val="00F33B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B24"/>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6.png"/><Relationship Id="rId14" Type="http://schemas.openxmlformats.org/officeDocument/2006/relationships/image" Target="media/image6.png"/><Relationship Id="rId22" Type="http://schemas.openxmlformats.org/officeDocument/2006/relationships/image" Target="media/image14.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CKhGyoh0V6Ij9eZYbOj5MS91bQ==">CgMxLjAaFAoBMBIPCg0IB0IJEgdHdW5nc3VoGhQKATESDwoNCAdCCRIHR3VuZ3N1aDINaC54MzR3azFjcmt0NDIOaC43dzBuNGxwbnMyMHoyDmguMWZpcWFtaHhxNzdsMg5oLmkzdDU4NTQwcjJ1aDIOaC52dWVnNDY1aThwZW8yDmguaGZqb2c5aDQ5YWU1Mg5oLmF0MWdxcTM1dTNjczIOaC5saWlyc2todnI4dmEyDmguamF3dTV0YnB6NGhjMg5oLnNpdGNvcDd2ZGQxbDIOaC5uNGR3d3VjdGhjYTE4AHIhMTdSQWpHRnVvMnZHY0lZcDlOaHpEM0hYSWE0QlROSWd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6476</Words>
  <Characters>36916</Characters>
  <DocSecurity>0</DocSecurity>
  <Lines>307</Lines>
  <Paragraphs>86</Paragraphs>
  <ScaleCrop>false</ScaleCrop>
  <Company/>
  <LinksUpToDate>false</LinksUpToDate>
  <CharactersWithSpaces>43306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2024-10-21T13:17:00Z</dcterms:created>
  <dcterms:modified xsi:type="dcterms:W3CDTF">2025-12-24T16:20:00Z</dcterms:modified>
</cp:coreProperties>
</file>