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70459" w14:textId="77777777" w:rsidR="00EC7152" w:rsidRDefault="00EC7152" w:rsidP="00BA1A09"/>
    <w:p w14:paraId="2251ABCF" w14:textId="77777777" w:rsidR="00BA1A09" w:rsidRDefault="00BA1A09" w:rsidP="00BA1A09"/>
    <w:p w14:paraId="4D2F118F" w14:textId="77777777" w:rsidR="00BA1A09" w:rsidRDefault="00BA1A09" w:rsidP="00BA1A09"/>
    <w:p w14:paraId="147C68A3" w14:textId="77777777" w:rsidR="00BA1A09" w:rsidRDefault="00BA1A09" w:rsidP="00BA1A09"/>
    <w:p w14:paraId="02636E42" w14:textId="77777777" w:rsidR="00BA1A09" w:rsidRDefault="00BA1A09" w:rsidP="00BA1A09"/>
    <w:p w14:paraId="2893FAD7" w14:textId="77777777" w:rsidR="00BA1A09" w:rsidRDefault="00BA1A09" w:rsidP="00BA1A09"/>
    <w:p w14:paraId="4ADDA359" w14:textId="77777777" w:rsidR="00BA1A09" w:rsidRDefault="00BA1A09" w:rsidP="00BA1A09"/>
    <w:p w14:paraId="5C779BA3" w14:textId="77777777" w:rsidR="00BA1A09" w:rsidRDefault="00BA1A09" w:rsidP="00BA1A09"/>
    <w:p w14:paraId="0B4E9CC2" w14:textId="277E03B7" w:rsidR="00EC7152" w:rsidRPr="00BA1A09" w:rsidRDefault="00EC7152" w:rsidP="00EC7152">
      <w:pPr>
        <w:jc w:val="center"/>
        <w:rPr>
          <w:sz w:val="40"/>
          <w:szCs w:val="40"/>
        </w:rPr>
      </w:pPr>
      <w:r w:rsidRPr="00BA1A09">
        <w:rPr>
          <w:sz w:val="40"/>
          <w:szCs w:val="40"/>
        </w:rPr>
        <w:t>Student Name:</w:t>
      </w:r>
      <w:r w:rsidR="00BA1A09" w:rsidRPr="00BA1A09">
        <w:rPr>
          <w:sz w:val="40"/>
          <w:szCs w:val="40"/>
        </w:rPr>
        <w:t xml:space="preserve"> Candelaria Stevenson</w:t>
      </w:r>
    </w:p>
    <w:p w14:paraId="61E06A75" w14:textId="203231C7" w:rsidR="00EC7152" w:rsidRPr="00BA1A09" w:rsidRDefault="00EC7152" w:rsidP="00EC7152">
      <w:pPr>
        <w:jc w:val="center"/>
        <w:rPr>
          <w:sz w:val="40"/>
          <w:szCs w:val="40"/>
        </w:rPr>
      </w:pPr>
      <w:r w:rsidRPr="00BA1A09">
        <w:rPr>
          <w:sz w:val="40"/>
          <w:szCs w:val="40"/>
        </w:rPr>
        <w:t>Student I</w:t>
      </w:r>
      <w:r w:rsidR="00BA1A09" w:rsidRPr="00BA1A09">
        <w:rPr>
          <w:sz w:val="40"/>
          <w:szCs w:val="40"/>
        </w:rPr>
        <w:t>D</w:t>
      </w:r>
      <w:r w:rsidRPr="00BA1A09">
        <w:rPr>
          <w:sz w:val="40"/>
          <w:szCs w:val="40"/>
        </w:rPr>
        <w:t>:</w:t>
      </w:r>
      <w:r w:rsidR="00BA1A09" w:rsidRPr="00BA1A09">
        <w:rPr>
          <w:sz w:val="40"/>
          <w:szCs w:val="40"/>
        </w:rPr>
        <w:t xml:space="preserve"> 2123564</w:t>
      </w:r>
    </w:p>
    <w:p w14:paraId="64993482" w14:textId="0FF34646" w:rsidR="00BA1A09" w:rsidRPr="00BA1A09" w:rsidRDefault="00BA1A09" w:rsidP="00EC7152">
      <w:pPr>
        <w:jc w:val="center"/>
        <w:rPr>
          <w:sz w:val="40"/>
          <w:szCs w:val="40"/>
        </w:rPr>
      </w:pPr>
      <w:r w:rsidRPr="00BA1A09">
        <w:rPr>
          <w:sz w:val="40"/>
          <w:szCs w:val="40"/>
        </w:rPr>
        <w:t xml:space="preserve">Module: Management &amp; </w:t>
      </w:r>
      <w:proofErr w:type="spellStart"/>
      <w:r w:rsidRPr="00BA1A09">
        <w:rPr>
          <w:sz w:val="40"/>
          <w:szCs w:val="40"/>
        </w:rPr>
        <w:t>Organisational</w:t>
      </w:r>
      <w:proofErr w:type="spellEnd"/>
      <w:r w:rsidRPr="00BA1A09">
        <w:rPr>
          <w:sz w:val="40"/>
          <w:szCs w:val="40"/>
        </w:rPr>
        <w:t xml:space="preserve"> </w:t>
      </w:r>
      <w:proofErr w:type="spellStart"/>
      <w:r w:rsidRPr="00BA1A09">
        <w:rPr>
          <w:sz w:val="40"/>
          <w:szCs w:val="40"/>
        </w:rPr>
        <w:t>Behaviour</w:t>
      </w:r>
      <w:proofErr w:type="spellEnd"/>
    </w:p>
    <w:p w14:paraId="3F497648" w14:textId="7CE67F70" w:rsidR="00BA1A09" w:rsidRPr="00BA1A09" w:rsidRDefault="00BA1A09" w:rsidP="00EC7152">
      <w:pPr>
        <w:jc w:val="center"/>
        <w:rPr>
          <w:sz w:val="40"/>
          <w:szCs w:val="40"/>
        </w:rPr>
      </w:pPr>
      <w:r w:rsidRPr="00BA1A09">
        <w:rPr>
          <w:sz w:val="40"/>
          <w:szCs w:val="40"/>
        </w:rPr>
        <w:t>Lecturer: Dale</w:t>
      </w:r>
      <w:r w:rsidR="000B2F66">
        <w:rPr>
          <w:sz w:val="40"/>
          <w:szCs w:val="40"/>
        </w:rPr>
        <w:t xml:space="preserve"> Clarke</w:t>
      </w:r>
    </w:p>
    <w:p w14:paraId="78686520" w14:textId="77777777" w:rsidR="00EC7152" w:rsidRDefault="00EC7152" w:rsidP="009D53A5">
      <w:pPr>
        <w:pStyle w:val="Heading1"/>
        <w:spacing w:after="240"/>
      </w:pPr>
    </w:p>
    <w:p w14:paraId="7960FC3E" w14:textId="77777777" w:rsidR="00EC7152" w:rsidRDefault="00EC7152" w:rsidP="009D53A5">
      <w:pPr>
        <w:pStyle w:val="Heading1"/>
        <w:spacing w:after="240"/>
      </w:pPr>
    </w:p>
    <w:p w14:paraId="18B9CC63" w14:textId="77777777" w:rsidR="00EC7152" w:rsidRDefault="00EC7152" w:rsidP="009D53A5">
      <w:pPr>
        <w:pStyle w:val="Heading1"/>
        <w:spacing w:after="240"/>
      </w:pPr>
    </w:p>
    <w:p w14:paraId="2AE2C12A" w14:textId="77777777" w:rsidR="00EC7152" w:rsidRDefault="00EC7152" w:rsidP="009D53A5">
      <w:pPr>
        <w:pStyle w:val="Heading1"/>
        <w:spacing w:after="240"/>
      </w:pPr>
    </w:p>
    <w:p w14:paraId="581941DF" w14:textId="77777777" w:rsidR="00EC7152" w:rsidRDefault="00EC7152" w:rsidP="009D53A5">
      <w:pPr>
        <w:pStyle w:val="Heading1"/>
        <w:spacing w:after="240"/>
      </w:pPr>
    </w:p>
    <w:p w14:paraId="5C00EB24" w14:textId="77777777" w:rsidR="00EC7152" w:rsidRDefault="00EC7152" w:rsidP="009D53A5">
      <w:pPr>
        <w:pStyle w:val="Heading1"/>
        <w:spacing w:after="240"/>
      </w:pPr>
    </w:p>
    <w:p w14:paraId="2A49A9D5" w14:textId="77777777" w:rsidR="00EC7152" w:rsidRDefault="00EC7152" w:rsidP="009D53A5">
      <w:pPr>
        <w:pStyle w:val="Heading1"/>
        <w:spacing w:after="240"/>
      </w:pPr>
    </w:p>
    <w:p w14:paraId="67051D7A" w14:textId="77777777" w:rsidR="00EC7152" w:rsidRDefault="00EC7152" w:rsidP="009D53A5">
      <w:pPr>
        <w:pStyle w:val="Heading1"/>
        <w:spacing w:after="240"/>
      </w:pPr>
    </w:p>
    <w:p w14:paraId="01954888" w14:textId="77777777" w:rsidR="009234FD" w:rsidRDefault="009234FD" w:rsidP="009D53A5">
      <w:pPr>
        <w:spacing w:after="240"/>
      </w:pPr>
    </w:p>
    <w:p w14:paraId="3995C853" w14:textId="1F18482A" w:rsidR="00623242" w:rsidRPr="00E60ECF" w:rsidRDefault="002E57FC" w:rsidP="009D53A5">
      <w:pPr>
        <w:spacing w:after="240"/>
        <w:rPr>
          <w:b/>
          <w:bCs/>
          <w:sz w:val="32"/>
          <w:szCs w:val="32"/>
        </w:rPr>
      </w:pPr>
      <w:r w:rsidRPr="00E60ECF">
        <w:rPr>
          <w:b/>
          <w:bCs/>
          <w:sz w:val="32"/>
          <w:szCs w:val="32"/>
        </w:rPr>
        <w:lastRenderedPageBreak/>
        <w:t>Moulton and Blake</w:t>
      </w:r>
      <w:r w:rsidR="00314AF1" w:rsidRPr="00E60ECF">
        <w:rPr>
          <w:b/>
          <w:bCs/>
          <w:sz w:val="32"/>
          <w:szCs w:val="32"/>
        </w:rPr>
        <w:t xml:space="preserve"> Managerial</w:t>
      </w:r>
      <w:r w:rsidRPr="00E60ECF">
        <w:rPr>
          <w:b/>
          <w:bCs/>
          <w:sz w:val="32"/>
          <w:szCs w:val="32"/>
        </w:rPr>
        <w:t xml:space="preserve"> Gr</w:t>
      </w:r>
      <w:r w:rsidR="00314AF1" w:rsidRPr="00E60ECF">
        <w:rPr>
          <w:b/>
          <w:bCs/>
          <w:sz w:val="32"/>
          <w:szCs w:val="32"/>
        </w:rPr>
        <w:t>i</w:t>
      </w:r>
      <w:r w:rsidRPr="00E60ECF">
        <w:rPr>
          <w:b/>
          <w:bCs/>
          <w:sz w:val="32"/>
          <w:szCs w:val="32"/>
        </w:rPr>
        <w:t>d</w:t>
      </w:r>
    </w:p>
    <w:p w14:paraId="6700E919" w14:textId="4383FD36" w:rsidR="00CA00C5" w:rsidRDefault="00CA00C5" w:rsidP="009D53A5">
      <w:pPr>
        <w:spacing w:after="240"/>
      </w:pPr>
      <w:r>
        <w:t xml:space="preserve">The hotel is in the red, and Craig Poole, the manager, is responsible for boosting morale among the staff. He is responsible for the overall happiness of the hotel's guests. Craig </w:t>
      </w:r>
      <w:r w:rsidR="00994403">
        <w:t>Poole’s</w:t>
      </w:r>
      <w:r>
        <w:t xml:space="preserve"> leadership style at the Hilton in Pennsylvania may be better understood via the lens of </w:t>
      </w:r>
      <w:r w:rsidR="006805A4">
        <w:t>The Blake and Mouton Management Structure.</w:t>
      </w:r>
    </w:p>
    <w:p w14:paraId="6577FC5A" w14:textId="4E6BCEA3" w:rsidR="00CA00C5" w:rsidRDefault="00CA00C5" w:rsidP="009D53A5">
      <w:pPr>
        <w:spacing w:after="240"/>
      </w:pPr>
      <w:r>
        <w:t>Craig Poole clearly cared about acting but not about pleasing his viewers, based on his movies and videos. With the help of an entry-level employee, Craig Poole has built a successful business. One possible explanation for Craig Poole's achievements is his autocratic managerial style. This is a strategy used by Craig Poole to ensure that he is the focus of any given situation</w:t>
      </w:r>
      <w:sdt>
        <w:sdtPr>
          <w:id w:val="-103805142"/>
          <w:citation/>
        </w:sdtPr>
        <w:sdtContent>
          <w:r w:rsidR="00B176C9">
            <w:fldChar w:fldCharType="begin"/>
          </w:r>
          <w:r w:rsidR="00B176C9">
            <w:instrText xml:space="preserve"> CITATION Ack19 \l 1033 </w:instrText>
          </w:r>
          <w:r w:rsidR="00B176C9">
            <w:fldChar w:fldCharType="separate"/>
          </w:r>
          <w:r w:rsidR="00B176C9">
            <w:rPr>
              <w:noProof/>
            </w:rPr>
            <w:t xml:space="preserve"> (Ackah, 2019)</w:t>
          </w:r>
          <w:r w:rsidR="00B176C9">
            <w:fldChar w:fldCharType="end"/>
          </w:r>
        </w:sdtContent>
      </w:sdt>
      <w:r>
        <w:t xml:space="preserve">. Many managers, like Craig Poole, just take it for granted that their staff is </w:t>
      </w:r>
      <w:r w:rsidR="00ED55B3">
        <w:t xml:space="preserve">happy with their jobs and salaries. When Craig Poole threatens undesirable results like termination of job, he also functions as a motivator. This is a really authoritarian thing to do </w:t>
      </w:r>
      <w:r>
        <w:t xml:space="preserve">unanimously </w:t>
      </w:r>
      <w:r w:rsidR="005003BA">
        <w:t>criticize</w:t>
      </w:r>
      <w:r>
        <w:t xml:space="preserve"> for being excessive even under pressure. Craig Poole has an impressive resume that includes General Manager of Sales and Regional Director roles in the hotel business, where he has earned a stellar reputation as a helpful team member. However, as Craig Poole has pointed out, this tactic may only </w:t>
      </w:r>
      <w:r w:rsidR="0015157C">
        <w:t>have a moment of success, humor, and persuasion while a group is struggling to process how to respond to a tragic event. However, this strategy is not without risk, since his current company might decide to move on.</w:t>
      </w:r>
      <w:r>
        <w:t>at any time. Two eight-part series were made on Craig Poole, the hotel manager of the Pennsylvania Hilton, and the highs and lows he encountered there before the hotel was sold</w:t>
      </w:r>
      <w:sdt>
        <w:sdtPr>
          <w:id w:val="1136222296"/>
          <w:citation/>
        </w:sdtPr>
        <w:sdtContent>
          <w:r w:rsidR="00B176C9">
            <w:fldChar w:fldCharType="begin"/>
          </w:r>
          <w:r w:rsidR="00B176C9">
            <w:instrText xml:space="preserve"> CITATION Arm123 \l 1033 </w:instrText>
          </w:r>
          <w:r w:rsidR="00B176C9">
            <w:fldChar w:fldCharType="separate"/>
          </w:r>
          <w:r w:rsidR="00B176C9">
            <w:rPr>
              <w:noProof/>
            </w:rPr>
            <w:t xml:space="preserve"> (Armstrong, 2012)</w:t>
          </w:r>
          <w:r w:rsidR="00B176C9">
            <w:fldChar w:fldCharType="end"/>
          </w:r>
        </w:sdtContent>
      </w:sdt>
      <w:r>
        <w:t xml:space="preserve">. Hotel </w:t>
      </w:r>
      <w:r w:rsidR="005003BA">
        <w:t>staff is</w:t>
      </w:r>
      <w:r>
        <w:t xml:space="preserve"> keeping an eye on Mike and Faye's nuptials at the Grosvenor. However, the Tickles are Merseyside natives. The financial toll of this documentary crew's failure to flourish in this section makes for intriguing conjecture. In the second episode of season two, episode two, Craig Poole decided to do something about the bar's lagging sales by throwing a magnificent evening of entertainment, replete with singing and dancing. Elderly </w:t>
      </w:r>
      <w:r w:rsidR="0015157C">
        <w:t>Wilf and Mary, a couple, celebrate their anniversary by booking a room at the Grosvenor. Because Craig Poole is desperate, he has resorted to this strategy.</w:t>
      </w:r>
      <w:r>
        <w:t xml:space="preserve"> so worried that people would turn against him as a leader that he is scared to create offense. In the premiere of Season 2, we got a taste of Craig Poole's poor management </w:t>
      </w:r>
      <w:r w:rsidR="005003BA">
        <w:t>especially</w:t>
      </w:r>
      <w:r w:rsidR="0015157C">
        <w:t xml:space="preserve"> when Faye said that her mother's hotel booking from 18 months before was still incomplete. The failure of Craig Poole's leadership skills to persuade Philip</w:t>
      </w:r>
      <w:r>
        <w:t xml:space="preserve"> to stay. Faye's distress and tears indicate that she did not agree with Craig Poole's decision. </w:t>
      </w:r>
      <w:r>
        <w:lastRenderedPageBreak/>
        <w:t>Craig Poole, as the hotel's manager, was liable for the money and should have taken more action to rescue it. Despite his authoritarian demeanor, I have faith that Craig Poole encourages genuine relationships to develop among staff members for the sake of the company's smooth running. However, it is equally important to be aware of what must be done. Craig Poole-style autocratic leaders are widespread. The office of Craig Poole has used this method of altering employee conduct. Craig Poole made great effort to seem confident and dominant</w:t>
      </w:r>
      <w:sdt>
        <w:sdtPr>
          <w:id w:val="1046112131"/>
          <w:citation/>
        </w:sdtPr>
        <w:sdtContent>
          <w:r w:rsidR="00B176C9">
            <w:fldChar w:fldCharType="begin"/>
          </w:r>
          <w:r w:rsidR="00B176C9">
            <w:instrText xml:space="preserve"> CITATION Bar17 \l 1033 </w:instrText>
          </w:r>
          <w:r w:rsidR="00B176C9">
            <w:fldChar w:fldCharType="separate"/>
          </w:r>
          <w:r w:rsidR="00B176C9">
            <w:rPr>
              <w:noProof/>
            </w:rPr>
            <w:t xml:space="preserve"> (Bartosch, 2017)</w:t>
          </w:r>
          <w:r w:rsidR="00B176C9">
            <w:fldChar w:fldCharType="end"/>
          </w:r>
        </w:sdtContent>
      </w:sdt>
      <w:r>
        <w:t>. That's why a look that doesn't include them has so much space to develop. As a leader, Craig Poole has put forth a lot of effort to motivate his team. Poole's life and career as manager of the Hilton Hotel in Pennsylvania were the subject of an eight-part documentary series. Craig Poole is the kind of manager that have his most influential employees do mundane tasks. The hotel's poor performance was exacerbated by this, leading to additional costs. He does this by creating a setting in which people are neither fearful of nor unfamiliar with interacting with one another in the course of their job. Hotel manager Craig Poole has an effective working relationship with the board of directors. Even while executives like themselves have sounded concerned about their workers and wanting to create a nice and inviting environment for their hotel, they nevertheless choose for this technique. Craig Poole, the manager of the Hilton in Pennsylvania, is well-liked for his high levels of responsibility and nice manner, despite his tendency to exclude his workers from decision-making</w:t>
      </w:r>
      <w:sdt>
        <w:sdtPr>
          <w:id w:val="-1331748844"/>
          <w:citation/>
        </w:sdtPr>
        <w:sdtContent>
          <w:r w:rsidR="00B176C9">
            <w:fldChar w:fldCharType="begin"/>
          </w:r>
          <w:r w:rsidR="00B176C9">
            <w:instrText xml:space="preserve"> CITATION Blo17 \l 1033 </w:instrText>
          </w:r>
          <w:r w:rsidR="00B176C9">
            <w:fldChar w:fldCharType="separate"/>
          </w:r>
          <w:r w:rsidR="00B176C9">
            <w:rPr>
              <w:noProof/>
            </w:rPr>
            <w:t xml:space="preserve"> (Bloisi, 2017)</w:t>
          </w:r>
          <w:r w:rsidR="00B176C9">
            <w:fldChar w:fldCharType="end"/>
          </w:r>
        </w:sdtContent>
      </w:sdt>
      <w:r>
        <w:t>. Great leaders, like Craig Poole, know how to inspire their teams to do their best work while also demonstrating genuine interest in and care for each member. He is a visionary leader with the ability to increase the company's top and bottom lines via the efforts of his staff. Craig Poole further highlights his leadership by speculating that he can strike a balance between the group's ambition to achieve its aims and the different motivations of its members with a well-coordinated strategy and lots of open communication. He does this by delegating tasks to his subordinates and doing background checks to ensure they are mature enough to carry them out with dedication. He thinks it's counterproductive to use this approach to teach newbies how to handle challenging jobs in novel contexts.</w:t>
      </w:r>
    </w:p>
    <w:p w14:paraId="73B994E2" w14:textId="278E705D" w:rsidR="00CA00C5" w:rsidRDefault="00CA00C5" w:rsidP="000B2F66">
      <w:pPr>
        <w:spacing w:after="240"/>
      </w:pPr>
      <w:r>
        <w:t>An authoritarian reading of the first two episodes of Season 2 would suggest that Craig Poole has been adopting a more authoritarian approach in order to facilitate his management of the hotel's staff. The episodes show that his meddling brought a stop to all operations at the hotel.</w:t>
      </w:r>
    </w:p>
    <w:p w14:paraId="59DCFB4A" w14:textId="528646A2" w:rsidR="00CA00C5" w:rsidRDefault="00CA00C5" w:rsidP="009D53A5">
      <w:pPr>
        <w:spacing w:after="240"/>
      </w:pPr>
      <w:r>
        <w:t xml:space="preserve">John Adair's simple Action-Centred Leadership (ACL) will be used for this evaluation because it </w:t>
      </w:r>
      <w:r>
        <w:lastRenderedPageBreak/>
        <w:t>is a plain leadership and management approach that Craig Poole can easily understand, put into practice, and adapt to his unique requirements at the Hilton Pennsylvania. Craig Poole places a premium on productivity, which he defines as the sum of his team's individual contributions plus the sum of his efforts to develop the team as a whole.</w:t>
      </w:r>
    </w:p>
    <w:p w14:paraId="45C84FD4" w14:textId="1D7D5028" w:rsidR="00CA00C5" w:rsidRDefault="00CA00C5" w:rsidP="009D53A5">
      <w:pPr>
        <w:spacing w:after="240"/>
      </w:pPr>
      <w:r>
        <w:t>Craig Poole, manager of the hotel and author besides, is a wizard at getting things done. He has leadership potential since he understands and can use all three principles of the Action Centered Leadership approach</w:t>
      </w:r>
      <w:sdt>
        <w:sdtPr>
          <w:id w:val="-1960484948"/>
          <w:citation/>
        </w:sdtPr>
        <w:sdtContent>
          <w:r w:rsidR="00B176C9">
            <w:fldChar w:fldCharType="begin"/>
          </w:r>
          <w:r w:rsidR="00B176C9">
            <w:instrText xml:space="preserve"> CITATION Blo17 \l 1033 </w:instrText>
          </w:r>
          <w:r w:rsidR="00B176C9">
            <w:fldChar w:fldCharType="separate"/>
          </w:r>
          <w:r w:rsidR="00B176C9">
            <w:rPr>
              <w:noProof/>
            </w:rPr>
            <w:t xml:space="preserve"> (Bloisi, 2017)</w:t>
          </w:r>
          <w:r w:rsidR="00B176C9">
            <w:fldChar w:fldCharType="end"/>
          </w:r>
        </w:sdtContent>
      </w:sdt>
      <w:r>
        <w:t>. The good outcomes, enhanced trust, assured team competency, and higher productivity per worker that arise from Craig Poole's mastery of striking this balance are what make him such a remarkable leader and manager. Craig Poole of the Hilton in Pennsylvania uses all three parts of John Adair's approach because he knows that harmony and success are most likely to emerge when the right balance is found between them. Craig Poole, like any good leader, may shift the weight he gives to the three criteria over time, but he always keeps their interdependence in mind.</w:t>
      </w:r>
    </w:p>
    <w:p w14:paraId="00F4FD12" w14:textId="4B5EA3E2" w:rsidR="00CA00C5" w:rsidRDefault="00CA00C5" w:rsidP="009D53A5">
      <w:pPr>
        <w:spacing w:after="240"/>
      </w:pPr>
      <w:r>
        <w:t>When attempting to foresee and overcome group conflicts, problems, or fights, Craig Poole and his employees keep an eye on expertise, morality, honesty, and a laser-like focus on objectives. Conditions for any organization to flourish include a rise in cooperative capacities and synergy, as well as an increase in individual and collective autonomy. The group dynamic may then be evaluated, and any required changes implemented. Therefore, the group's motivation to succeed will be greatly increased. The best approach to unite the soldiers, bring them together, and make sure they can immediately recognize one another is to establish what the Craig Poole signifies</w:t>
      </w:r>
      <w:sdt>
        <w:sdtPr>
          <w:id w:val="-373166694"/>
          <w:citation/>
        </w:sdtPr>
        <w:sdtContent>
          <w:r w:rsidR="00B176C9">
            <w:fldChar w:fldCharType="begin"/>
          </w:r>
          <w:r w:rsidR="00B176C9">
            <w:instrText xml:space="preserve"> CITATION Huc131 \l 1033 </w:instrText>
          </w:r>
          <w:r w:rsidR="00B176C9">
            <w:fldChar w:fldCharType="separate"/>
          </w:r>
          <w:r w:rsidR="00B176C9">
            <w:rPr>
              <w:noProof/>
            </w:rPr>
            <w:t xml:space="preserve"> (Huczynski, 2013)</w:t>
          </w:r>
          <w:r w:rsidR="00B176C9">
            <w:fldChar w:fldCharType="end"/>
          </w:r>
        </w:sdtContent>
      </w:sdt>
      <w:r>
        <w:t>. Internal and external group contacts have greatly grown and improved, but their flaws have been exposed. Craig Poole Each member of the team has been given the opportunity to identify and develop their unique skills by experienced leader Craig Poole, and they are putting this newfound knowledge to good use as they grow into responsible, independent adults. The versatility of his managerial style is what makes his usage of ACL so impressive. When it comes to management, Craig Poole is most concerned with striking a balance between output, revenue, and discipline. Craig Poole, in an effort to increase business, had his staff throw a party on a Saturday, as shown in the second episode of season two. He believes that teamwork is a crucial part of becoming a leader. The best ways to work together are to collect useful information, update each other on a regular basis, and set mutual goals.</w:t>
      </w:r>
    </w:p>
    <w:p w14:paraId="55843EBE" w14:textId="69C00157" w:rsidR="00CA00C5" w:rsidRDefault="00521881" w:rsidP="009D53A5">
      <w:pPr>
        <w:spacing w:after="240"/>
      </w:pPr>
      <w:r>
        <w:lastRenderedPageBreak/>
        <w:t>Craig Poole has an impressive resume as a hotel general manager and regional manager of operations. Relationship building and accommodating customers' needs are two ways a strategic leader may boost customer satisfaction. This approach stems from John Adair's action-centered administration mission framework; it's a great fit for the demands of contemporary executive leadership and has helped him achieve remarkable success. Craig Poole constantly monitors the environment for critical performance metrics</w:t>
      </w:r>
      <w:sdt>
        <w:sdtPr>
          <w:id w:val="-280804556"/>
          <w:citation/>
        </w:sdtPr>
        <w:sdtContent>
          <w:r w:rsidR="00B176C9">
            <w:fldChar w:fldCharType="begin"/>
          </w:r>
          <w:r w:rsidR="00B176C9">
            <w:instrText xml:space="preserve"> CITATION Kıl19 \l 1033 </w:instrText>
          </w:r>
          <w:r w:rsidR="00B176C9">
            <w:fldChar w:fldCharType="separate"/>
          </w:r>
          <w:r w:rsidR="00B176C9">
            <w:rPr>
              <w:noProof/>
            </w:rPr>
            <w:t xml:space="preserve"> (Kılıç, 2019)</w:t>
          </w:r>
          <w:r w:rsidR="00B176C9">
            <w:fldChar w:fldCharType="end"/>
          </w:r>
        </w:sdtContent>
      </w:sdt>
      <w:r>
        <w:t>. Craig Poole takes into account the importance of contextual performance characteristics while developing evaluation criteria. It has been shown that Craig Poole's method of management is very effective. Despite his authoritarian tendencies, Craig Poole has made an effort to keep everyone on the same page. He has shown an understanding of the group's mission and purpose, as well as his ability to place his position within the larger framework of the company's approach to time and workload management. His primary research contributions are in the domain of asset tagging (which encompasses people, processes, technologies, and strategies). Craig Poole has designed a comprehensive operational strategy that covers all necessary aspects</w:t>
      </w:r>
      <w:sdt>
        <w:sdtPr>
          <w:id w:val="-2000884776"/>
          <w:citation/>
        </w:sdtPr>
        <w:sdtContent>
          <w:r w:rsidR="00B176C9">
            <w:fldChar w:fldCharType="begin"/>
          </w:r>
          <w:r w:rsidR="00B176C9">
            <w:instrText xml:space="preserve"> CITATION Mac191 \l 1033 </w:instrText>
          </w:r>
          <w:r w:rsidR="00B176C9">
            <w:fldChar w:fldCharType="separate"/>
          </w:r>
          <w:r w:rsidR="00B176C9">
            <w:rPr>
              <w:noProof/>
            </w:rPr>
            <w:t xml:space="preserve"> (Mackey, 2019)</w:t>
          </w:r>
          <w:r w:rsidR="00B176C9">
            <w:fldChar w:fldCharType="end"/>
          </w:r>
        </w:sdtContent>
      </w:sdt>
      <w:r>
        <w:t>. As an example, once Philip left, Craig Poole looked for a way to replace a key player like him in the first episode of Season 2. Craig Poole has shown competence in defining roles and duties, key performance indicators, reporting standards, and metrics by developing rules, credibility, scheduling, and communication criteria, and monitoring and maintaining operations against requirements. Craig Poole has been keeping an eye on things to make sure they're running well and checking efficiency against the plan.</w:t>
      </w:r>
    </w:p>
    <w:p w14:paraId="3D720CFE" w14:textId="1E795643" w:rsidR="00CA00C5" w:rsidRDefault="00CA00C5" w:rsidP="009D53A5">
      <w:pPr>
        <w:spacing w:after="240"/>
      </w:pPr>
      <w:r>
        <w:t>Craig Poole has offered to be the project's primary source of feedback during its duration. Craig Poole has contributed much as a leader since he recognizes that every member of the team is unique and should be treated as such. Craig Poole has made important contributions to the field of customer service, namely in the hospitality industry. This innovation is also helpful in establishing and confirming individual student learning objectives and responsibilities. Craig Poole is known for taking on increasing levels of responsibility and professional growth, and he has been rewarded for his efforts.</w:t>
      </w:r>
    </w:p>
    <w:p w14:paraId="1F774377" w14:textId="6938D9A5" w:rsidR="000B2F66" w:rsidRDefault="00CA00C5" w:rsidP="000B2F66">
      <w:pPr>
        <w:spacing w:after="240"/>
      </w:pPr>
      <w:r>
        <w:t>Craig Poole has been quite kind to the aesthetics and philosophy of John Adair</w:t>
      </w:r>
      <w:sdt>
        <w:sdtPr>
          <w:id w:val="-448866574"/>
          <w:citation/>
        </w:sdtPr>
        <w:sdtContent>
          <w:r w:rsidR="00B176C9">
            <w:fldChar w:fldCharType="begin"/>
          </w:r>
          <w:r w:rsidR="00B176C9">
            <w:instrText xml:space="preserve"> CITATION Bar17 \l 1033 </w:instrText>
          </w:r>
          <w:r w:rsidR="00B176C9">
            <w:fldChar w:fldCharType="separate"/>
          </w:r>
          <w:r w:rsidR="00B176C9">
            <w:rPr>
              <w:noProof/>
            </w:rPr>
            <w:t xml:space="preserve"> (Bartosch, 2017)</w:t>
          </w:r>
          <w:r w:rsidR="00B176C9">
            <w:fldChar w:fldCharType="end"/>
          </w:r>
        </w:sdtContent>
      </w:sdt>
      <w:r>
        <w:t xml:space="preserve">. As a result, Craig Poole is able to maintain the integrity of his work and his ideas. Standardized types of training, teaching, and education have also made use of John Adair's three-circle concept. Using fair-use regulations, such as traditional counseling and the introduction of lessons on </w:t>
      </w:r>
      <w:r>
        <w:lastRenderedPageBreak/>
        <w:t>organizational culture into management programs, hotel owner Craig Poole has unmetered broadband, referencing Adair's theory and the Action-centered Foundation.</w:t>
      </w:r>
    </w:p>
    <w:p w14:paraId="472F7EE0" w14:textId="77777777" w:rsidR="000B2F66" w:rsidRDefault="000B2F66" w:rsidP="000B2F66">
      <w:pPr>
        <w:spacing w:after="240"/>
      </w:pPr>
    </w:p>
    <w:p w14:paraId="73A2A424" w14:textId="77777777" w:rsidR="00E60ECF" w:rsidRDefault="00E60ECF" w:rsidP="000B2F66">
      <w:pPr>
        <w:spacing w:after="240"/>
      </w:pPr>
    </w:p>
    <w:p w14:paraId="65461401" w14:textId="77777777" w:rsidR="00E60ECF" w:rsidRDefault="00E60ECF" w:rsidP="000B2F66">
      <w:pPr>
        <w:spacing w:after="240"/>
      </w:pPr>
    </w:p>
    <w:p w14:paraId="0DE43F09" w14:textId="77777777" w:rsidR="00E60ECF" w:rsidRDefault="00E60ECF" w:rsidP="000B2F66">
      <w:pPr>
        <w:spacing w:after="240"/>
      </w:pPr>
    </w:p>
    <w:p w14:paraId="6FE12E46" w14:textId="77777777" w:rsidR="00E60ECF" w:rsidRDefault="00E60ECF" w:rsidP="000B2F66">
      <w:pPr>
        <w:spacing w:after="240"/>
      </w:pPr>
    </w:p>
    <w:p w14:paraId="54F96276" w14:textId="77777777" w:rsidR="00E60ECF" w:rsidRDefault="00E60ECF" w:rsidP="000B2F66">
      <w:pPr>
        <w:spacing w:after="240"/>
      </w:pPr>
    </w:p>
    <w:p w14:paraId="72045B00" w14:textId="77777777" w:rsidR="00E60ECF" w:rsidRDefault="00E60ECF" w:rsidP="000B2F66">
      <w:pPr>
        <w:spacing w:after="240"/>
      </w:pPr>
    </w:p>
    <w:p w14:paraId="7AA7FAD4" w14:textId="77777777" w:rsidR="00E60ECF" w:rsidRDefault="00E60ECF" w:rsidP="000B2F66">
      <w:pPr>
        <w:spacing w:after="240"/>
      </w:pPr>
    </w:p>
    <w:p w14:paraId="7753EDC8" w14:textId="77777777" w:rsidR="00E60ECF" w:rsidRDefault="00E60ECF" w:rsidP="000B2F66">
      <w:pPr>
        <w:spacing w:after="240"/>
      </w:pPr>
    </w:p>
    <w:p w14:paraId="5075C4EA" w14:textId="77777777" w:rsidR="00E60ECF" w:rsidRDefault="00E60ECF" w:rsidP="000B2F66">
      <w:pPr>
        <w:spacing w:after="240"/>
      </w:pPr>
    </w:p>
    <w:p w14:paraId="70C4704A" w14:textId="77777777" w:rsidR="00E60ECF" w:rsidRDefault="00E60ECF" w:rsidP="000B2F66">
      <w:pPr>
        <w:spacing w:after="240"/>
      </w:pPr>
    </w:p>
    <w:p w14:paraId="23D66ED1" w14:textId="77777777" w:rsidR="00E60ECF" w:rsidRDefault="00E60ECF" w:rsidP="000B2F66">
      <w:pPr>
        <w:spacing w:after="240"/>
      </w:pPr>
    </w:p>
    <w:p w14:paraId="0B4FE338" w14:textId="77777777" w:rsidR="00E60ECF" w:rsidRDefault="00E60ECF" w:rsidP="000B2F66">
      <w:pPr>
        <w:spacing w:after="240"/>
      </w:pPr>
    </w:p>
    <w:p w14:paraId="4AEC32D8" w14:textId="77777777" w:rsidR="00E60ECF" w:rsidRDefault="00E60ECF" w:rsidP="000B2F66">
      <w:pPr>
        <w:spacing w:after="240"/>
      </w:pPr>
    </w:p>
    <w:p w14:paraId="31505819" w14:textId="77777777" w:rsidR="00E60ECF" w:rsidRDefault="00E60ECF" w:rsidP="000B2F66">
      <w:pPr>
        <w:spacing w:after="240"/>
      </w:pPr>
    </w:p>
    <w:p w14:paraId="18083D15" w14:textId="77777777" w:rsidR="00E60ECF" w:rsidRDefault="00E60ECF" w:rsidP="000B2F66">
      <w:pPr>
        <w:spacing w:after="240"/>
      </w:pPr>
    </w:p>
    <w:p w14:paraId="40DA13DC" w14:textId="77777777" w:rsidR="00E60ECF" w:rsidRDefault="00E60ECF" w:rsidP="000B2F66">
      <w:pPr>
        <w:spacing w:after="240"/>
      </w:pPr>
    </w:p>
    <w:p w14:paraId="205F0D62" w14:textId="77777777" w:rsidR="00E60ECF" w:rsidRDefault="00E60ECF" w:rsidP="000B2F66">
      <w:pPr>
        <w:spacing w:after="240"/>
      </w:pPr>
    </w:p>
    <w:p w14:paraId="0B3512E8" w14:textId="4D827212" w:rsidR="000B2F66" w:rsidRPr="000B2F66" w:rsidRDefault="000B2F66" w:rsidP="000B2F66">
      <w:pPr>
        <w:spacing w:after="240"/>
        <w:rPr>
          <w:b/>
          <w:bCs/>
          <w:sz w:val="32"/>
          <w:szCs w:val="32"/>
        </w:rPr>
      </w:pPr>
      <w:r w:rsidRPr="000B2F66">
        <w:rPr>
          <w:b/>
          <w:bCs/>
          <w:sz w:val="32"/>
          <w:szCs w:val="32"/>
        </w:rPr>
        <w:lastRenderedPageBreak/>
        <w:t>References</w:t>
      </w:r>
    </w:p>
    <w:p w14:paraId="75333F98" w14:textId="77777777" w:rsidR="00B82A32" w:rsidRPr="00F66027" w:rsidRDefault="00B82A32" w:rsidP="00B82A32">
      <w:pPr>
        <w:spacing w:before="240"/>
        <w:ind w:left="720" w:hanging="720"/>
        <w:rPr>
          <w:szCs w:val="24"/>
        </w:rPr>
      </w:pPr>
      <w:r w:rsidRPr="00F66027">
        <w:rPr>
          <w:szCs w:val="24"/>
        </w:rPr>
        <w:t>Ackah, D., 2019. Models of Leadership and Teamwork: Adairs Action-</w:t>
      </w:r>
      <w:proofErr w:type="spellStart"/>
      <w:r w:rsidRPr="00F66027">
        <w:rPr>
          <w:szCs w:val="24"/>
        </w:rPr>
        <w:t>Centred</w:t>
      </w:r>
      <w:proofErr w:type="spellEnd"/>
      <w:r w:rsidRPr="00F66027">
        <w:rPr>
          <w:szCs w:val="24"/>
        </w:rPr>
        <w:t xml:space="preserve"> Leadership Model (1973). Worldwide Journal of Multi-Disciplinary Studies, 1(5), pp.01-06.</w:t>
      </w:r>
    </w:p>
    <w:p w14:paraId="4A1B9A9C" w14:textId="77777777" w:rsidR="00B82A32" w:rsidRPr="00F66027" w:rsidRDefault="00B82A32" w:rsidP="00B82A32">
      <w:pPr>
        <w:spacing w:before="240"/>
        <w:ind w:left="720" w:hanging="720"/>
        <w:rPr>
          <w:szCs w:val="24"/>
        </w:rPr>
      </w:pPr>
      <w:r w:rsidRPr="00F66027">
        <w:rPr>
          <w:szCs w:val="24"/>
        </w:rPr>
        <w:t xml:space="preserve">All Documentary (2019) The Worst Hotel in Torquay (The </w:t>
      </w:r>
      <w:proofErr w:type="gramStart"/>
      <w:r w:rsidRPr="00F66027">
        <w:rPr>
          <w:szCs w:val="24"/>
        </w:rPr>
        <w:t>Hotel)|</w:t>
      </w:r>
      <w:proofErr w:type="gramEnd"/>
      <w:r w:rsidRPr="00F66027">
        <w:rPr>
          <w:szCs w:val="24"/>
        </w:rPr>
        <w:t xml:space="preserve"> Full Documentary| Reel Truth. 13 December. Available at: https://youtu.be/JobSkAorjOY (Accessed: 10 February 2022).</w:t>
      </w:r>
    </w:p>
    <w:p w14:paraId="20073E32" w14:textId="77777777" w:rsidR="00B82A32" w:rsidRPr="00D20BDB" w:rsidRDefault="00B82A32" w:rsidP="00B82A32">
      <w:pPr>
        <w:spacing w:before="240"/>
        <w:ind w:left="720" w:hanging="720"/>
        <w:rPr>
          <w:szCs w:val="24"/>
        </w:rPr>
      </w:pPr>
      <w:r w:rsidRPr="00D20BDB">
        <w:rPr>
          <w:szCs w:val="24"/>
        </w:rPr>
        <w:t>Armstrong, M. (2012) Armstrong’s Handbook of Management and Leadership (3rd Ed), London: Kogan Page.</w:t>
      </w:r>
    </w:p>
    <w:p w14:paraId="50E9D0BD" w14:textId="77777777" w:rsidR="00B82A32" w:rsidRPr="00F63B20" w:rsidRDefault="00B82A32" w:rsidP="00B82A32">
      <w:pPr>
        <w:spacing w:before="240"/>
        <w:ind w:left="720" w:hanging="720"/>
        <w:rPr>
          <w:szCs w:val="24"/>
        </w:rPr>
      </w:pPr>
      <w:r w:rsidRPr="00F63B20">
        <w:rPr>
          <w:szCs w:val="24"/>
        </w:rPr>
        <w:t xml:space="preserve">Bartosch, L., Baule, J., </w:t>
      </w:r>
      <w:proofErr w:type="spellStart"/>
      <w:r w:rsidRPr="00F63B20">
        <w:rPr>
          <w:szCs w:val="24"/>
        </w:rPr>
        <w:t>Castrillón</w:t>
      </w:r>
      <w:proofErr w:type="spellEnd"/>
      <w:r w:rsidRPr="00F63B20">
        <w:rPr>
          <w:szCs w:val="24"/>
        </w:rPr>
        <w:t xml:space="preserve">, F., &amp; Spitzley, D. (2017). Managerial grid </w:t>
      </w:r>
      <w:proofErr w:type="spellStart"/>
      <w:r w:rsidRPr="00F63B20">
        <w:rPr>
          <w:szCs w:val="24"/>
        </w:rPr>
        <w:t>nach</w:t>
      </w:r>
      <w:proofErr w:type="spellEnd"/>
      <w:r w:rsidRPr="00F63B20">
        <w:rPr>
          <w:szCs w:val="24"/>
        </w:rPr>
        <w:t xml:space="preserve"> Blake und Mouton. Ziel-</w:t>
      </w:r>
      <w:r w:rsidRPr="00F63B20">
        <w:rPr>
          <w:szCs w:val="24"/>
        </w:rPr>
        <w:tab/>
        <w:t>und</w:t>
      </w:r>
      <w:r w:rsidRPr="00F63B20">
        <w:rPr>
          <w:szCs w:val="24"/>
        </w:rPr>
        <w:tab/>
      </w:r>
      <w:proofErr w:type="spellStart"/>
      <w:r w:rsidRPr="00F63B20">
        <w:rPr>
          <w:szCs w:val="24"/>
        </w:rPr>
        <w:t>Leistungsorientierung</w:t>
      </w:r>
      <w:proofErr w:type="spellEnd"/>
      <w:r w:rsidRPr="00F63B20">
        <w:rPr>
          <w:szCs w:val="24"/>
        </w:rPr>
        <w:t>,</w:t>
      </w:r>
      <w:r w:rsidRPr="00F63B20">
        <w:rPr>
          <w:szCs w:val="24"/>
        </w:rPr>
        <w:tab/>
        <w:t>11-12. htt</w:t>
      </w:r>
      <w:r>
        <w:rPr>
          <w:szCs w:val="24"/>
        </w:rPr>
        <w:t>ps://doi.org/10.1007/978-3-658-16882-7_4</w:t>
      </w:r>
    </w:p>
    <w:p w14:paraId="34F9D4ED" w14:textId="77777777" w:rsidR="00B82A32" w:rsidRPr="00D20BDB" w:rsidRDefault="00B82A32" w:rsidP="00B82A32">
      <w:pPr>
        <w:spacing w:before="240"/>
        <w:ind w:left="720" w:hanging="720"/>
        <w:rPr>
          <w:szCs w:val="24"/>
        </w:rPr>
      </w:pPr>
      <w:proofErr w:type="spellStart"/>
      <w:r w:rsidRPr="00D20BDB">
        <w:rPr>
          <w:szCs w:val="24"/>
        </w:rPr>
        <w:t>Bloisi</w:t>
      </w:r>
      <w:proofErr w:type="spellEnd"/>
      <w:r w:rsidRPr="00D20BDB">
        <w:rPr>
          <w:szCs w:val="24"/>
        </w:rPr>
        <w:t>, W. et al (2007) Management and Organisational Behaviour, (2nd edition) Maidenhead: McGraw-Hill.</w:t>
      </w:r>
    </w:p>
    <w:p w14:paraId="6F6A6202" w14:textId="77777777" w:rsidR="00B82A32" w:rsidRDefault="00B82A32" w:rsidP="00B82A32">
      <w:pPr>
        <w:spacing w:before="240"/>
        <w:ind w:left="720" w:hanging="720"/>
        <w:rPr>
          <w:szCs w:val="24"/>
        </w:rPr>
      </w:pPr>
      <w:r w:rsidRPr="00D20BDB">
        <w:rPr>
          <w:szCs w:val="24"/>
        </w:rPr>
        <w:t>Boddy, D. (2014) Management: An Introdu</w:t>
      </w:r>
      <w:r>
        <w:rPr>
          <w:szCs w:val="24"/>
        </w:rPr>
        <w:t>ction (6th Ed), Harlow, Pearson</w:t>
      </w:r>
    </w:p>
    <w:p w14:paraId="5F3EE5BA" w14:textId="77777777" w:rsidR="00B82A32" w:rsidRPr="00F66027" w:rsidRDefault="00B82A32" w:rsidP="00B82A32">
      <w:pPr>
        <w:spacing w:before="240"/>
        <w:ind w:left="720" w:hanging="720"/>
        <w:rPr>
          <w:szCs w:val="24"/>
        </w:rPr>
      </w:pPr>
      <w:proofErr w:type="spellStart"/>
      <w:r w:rsidRPr="00F66027">
        <w:rPr>
          <w:szCs w:val="24"/>
        </w:rPr>
        <w:t>Chuapetcharasopon</w:t>
      </w:r>
      <w:proofErr w:type="spellEnd"/>
      <w:r w:rsidRPr="00F66027">
        <w:rPr>
          <w:szCs w:val="24"/>
        </w:rPr>
        <w:t xml:space="preserve">, P., Neville, L., Adair, W.L., Brodt, S.E., </w:t>
      </w:r>
      <w:proofErr w:type="spellStart"/>
      <w:r w:rsidRPr="00F66027">
        <w:rPr>
          <w:szCs w:val="24"/>
        </w:rPr>
        <w:t>Lituchy</w:t>
      </w:r>
      <w:proofErr w:type="spellEnd"/>
      <w:r w:rsidRPr="00F66027">
        <w:rPr>
          <w:szCs w:val="24"/>
        </w:rPr>
        <w:t xml:space="preserve">, T.R. and Racine, A.A., </w:t>
      </w:r>
      <w:proofErr w:type="gramStart"/>
      <w:r w:rsidRPr="00F66027">
        <w:rPr>
          <w:szCs w:val="24"/>
        </w:rPr>
        <w:t>2018..</w:t>
      </w:r>
      <w:proofErr w:type="gramEnd"/>
      <w:r w:rsidRPr="00F66027">
        <w:rPr>
          <w:szCs w:val="24"/>
        </w:rPr>
        <w:t xml:space="preserve"> International Journal of </w:t>
      </w:r>
      <w:proofErr w:type="gramStart"/>
      <w:r w:rsidRPr="00F66027">
        <w:rPr>
          <w:szCs w:val="24"/>
        </w:rPr>
        <w:t>Cross Cultural</w:t>
      </w:r>
      <w:proofErr w:type="gramEnd"/>
      <w:r w:rsidRPr="00F66027">
        <w:rPr>
          <w:szCs w:val="24"/>
        </w:rPr>
        <w:t xml:space="preserve"> Management, 18(1), pp.7-32.</w:t>
      </w:r>
    </w:p>
    <w:p w14:paraId="0B000C48" w14:textId="77777777" w:rsidR="00B82A32" w:rsidRPr="00D20BDB" w:rsidRDefault="00B82A32" w:rsidP="00B82A32">
      <w:pPr>
        <w:spacing w:before="240"/>
        <w:ind w:left="720" w:hanging="720"/>
        <w:rPr>
          <w:szCs w:val="24"/>
        </w:rPr>
      </w:pPr>
      <w:r w:rsidRPr="00D20BDB">
        <w:rPr>
          <w:szCs w:val="24"/>
        </w:rPr>
        <w:t>Huczynski, A. &amp; Buchanan, D. (2013) Organisational Behaviour (8th Ed), Harlow: Pearson</w:t>
      </w:r>
    </w:p>
    <w:p w14:paraId="1BE3D55D" w14:textId="77777777" w:rsidR="00B82A32" w:rsidRPr="00F66027" w:rsidRDefault="00B82A32" w:rsidP="00B82A32">
      <w:pPr>
        <w:spacing w:before="240"/>
        <w:ind w:left="720" w:hanging="720"/>
        <w:rPr>
          <w:szCs w:val="24"/>
        </w:rPr>
      </w:pPr>
      <w:r w:rsidRPr="00F66027">
        <w:rPr>
          <w:szCs w:val="24"/>
        </w:rPr>
        <w:t>Kılıç, M. and Günsel, A., 2019. The dark side of the leadership: The effects of toxic leaders on employees. European Journal of S</w:t>
      </w:r>
      <w:r>
        <w:rPr>
          <w:szCs w:val="24"/>
        </w:rPr>
        <w:t>ocial Sciences, 2(2), pp.51-56.</w:t>
      </w:r>
    </w:p>
    <w:p w14:paraId="0E7D14E6" w14:textId="77777777" w:rsidR="00B82A32" w:rsidRPr="00F66027" w:rsidRDefault="00B82A32" w:rsidP="00B82A32">
      <w:pPr>
        <w:spacing w:before="240"/>
        <w:ind w:left="720" w:hanging="720"/>
        <w:rPr>
          <w:szCs w:val="24"/>
        </w:rPr>
      </w:pPr>
      <w:r w:rsidRPr="00F66027">
        <w:rPr>
          <w:szCs w:val="24"/>
        </w:rPr>
        <w:t>Mackey, J.D., McAllister, C.P., Maher, L.P. and Wang, G., 2019. Leaders and followers behaving badly: A meta‐analytic examination of curvilinear relationships between destructive leadership and followers’ workplace behaviors. Personnel Psychology, 72(1), pp.3-47.</w:t>
      </w:r>
    </w:p>
    <w:p w14:paraId="6F97734C" w14:textId="77777777" w:rsidR="00B82A32" w:rsidRDefault="00B82A32" w:rsidP="00B82A32">
      <w:pPr>
        <w:spacing w:before="240"/>
        <w:ind w:left="720" w:hanging="720"/>
        <w:rPr>
          <w:szCs w:val="24"/>
        </w:rPr>
      </w:pPr>
      <w:r w:rsidRPr="00F63B20">
        <w:rPr>
          <w:szCs w:val="24"/>
        </w:rPr>
        <w:t xml:space="preserve">Majluf, N., &amp; Abarca, N. (2021). A model of sensible leadership. Sensible Leadership, 17-22. </w:t>
      </w:r>
      <w:hyperlink r:id="rId7" w:history="1">
        <w:r w:rsidRPr="001A26E5">
          <w:rPr>
            <w:rStyle w:val="Hyperlink"/>
            <w:szCs w:val="24"/>
          </w:rPr>
          <w:t>https://doi.org/10.4324/9781003091844-4</w:t>
        </w:r>
      </w:hyperlink>
      <w:r>
        <w:rPr>
          <w:szCs w:val="24"/>
        </w:rPr>
        <w:t xml:space="preserve"> </w:t>
      </w:r>
      <w:r w:rsidRPr="00F63B20">
        <w:rPr>
          <w:szCs w:val="24"/>
        </w:rPr>
        <w:t>https://www.businessballs.com/leadership-styles/action-centred-leadership-john-adair-4335/ Accessed May 29th, 2022.</w:t>
      </w:r>
    </w:p>
    <w:p w14:paraId="202F3035" w14:textId="77777777" w:rsidR="00B82A32" w:rsidRPr="00F66027" w:rsidRDefault="00B82A32" w:rsidP="00B82A32">
      <w:pPr>
        <w:spacing w:before="240"/>
        <w:ind w:left="720" w:hanging="720"/>
        <w:rPr>
          <w:szCs w:val="24"/>
        </w:rPr>
      </w:pPr>
      <w:r w:rsidRPr="00F66027">
        <w:rPr>
          <w:szCs w:val="24"/>
        </w:rPr>
        <w:lastRenderedPageBreak/>
        <w:t>Mroz, J.E., Yoerger, M. and Allen, J.A., 2018. Leadership in workplace meetings: The intersection of leadership styles and follower gender. Journal of Leadership &amp; Organizational Studies, 25(3), pp.309-322.</w:t>
      </w:r>
    </w:p>
    <w:p w14:paraId="4D5935FF" w14:textId="77777777" w:rsidR="00B82A32" w:rsidRPr="00D20BDB" w:rsidRDefault="00B82A32" w:rsidP="00B82A32">
      <w:pPr>
        <w:spacing w:before="240"/>
        <w:ind w:left="720" w:hanging="720"/>
        <w:rPr>
          <w:szCs w:val="24"/>
        </w:rPr>
      </w:pPr>
      <w:r w:rsidRPr="00D20BDB">
        <w:rPr>
          <w:szCs w:val="24"/>
        </w:rPr>
        <w:t xml:space="preserve">Mullins, L (2020) Organisational Behaviour in the Workplace (12th edition) </w:t>
      </w:r>
      <w:proofErr w:type="spellStart"/>
      <w:proofErr w:type="gramStart"/>
      <w:r w:rsidRPr="00D20BDB">
        <w:rPr>
          <w:szCs w:val="24"/>
        </w:rPr>
        <w:t>Harlow:Pearson</w:t>
      </w:r>
      <w:proofErr w:type="spellEnd"/>
      <w:proofErr w:type="gramEnd"/>
    </w:p>
    <w:p w14:paraId="7279622F" w14:textId="77777777" w:rsidR="00B82A32" w:rsidRPr="00F66027" w:rsidRDefault="00B82A32" w:rsidP="00B82A32">
      <w:pPr>
        <w:spacing w:before="240"/>
        <w:ind w:left="720" w:hanging="720"/>
        <w:rPr>
          <w:szCs w:val="24"/>
        </w:rPr>
      </w:pPr>
      <w:proofErr w:type="spellStart"/>
      <w:r w:rsidRPr="00F66027">
        <w:rPr>
          <w:szCs w:val="24"/>
        </w:rPr>
        <w:t>Rizun</w:t>
      </w:r>
      <w:proofErr w:type="spellEnd"/>
      <w:r w:rsidRPr="00F66027">
        <w:rPr>
          <w:szCs w:val="24"/>
        </w:rPr>
        <w:t>, N., Revina, A. and Meister, V.G., 2021. Analyzing content of tasks in Business Process Management. Blending task execution and organization perspectives. Computers in Industry, 130, p.103463.</w:t>
      </w:r>
    </w:p>
    <w:p w14:paraId="35B88A27" w14:textId="77777777" w:rsidR="00B82A32" w:rsidRPr="00D20BDB" w:rsidRDefault="00B82A32" w:rsidP="00B82A32">
      <w:pPr>
        <w:spacing w:before="240"/>
        <w:ind w:left="720" w:hanging="720"/>
        <w:rPr>
          <w:szCs w:val="24"/>
        </w:rPr>
      </w:pPr>
      <w:r w:rsidRPr="00D20BDB">
        <w:rPr>
          <w:szCs w:val="24"/>
        </w:rPr>
        <w:t>Robbins, S. Et al (2008) Organizational Behaviour (5th edition) Harlow: Pearson Education Limited.</w:t>
      </w:r>
    </w:p>
    <w:p w14:paraId="0398D55C" w14:textId="77777777" w:rsidR="00B82A32" w:rsidRPr="00D20BDB" w:rsidRDefault="00B82A32" w:rsidP="00B82A32">
      <w:pPr>
        <w:spacing w:before="240"/>
        <w:ind w:left="720" w:hanging="720"/>
        <w:rPr>
          <w:szCs w:val="24"/>
        </w:rPr>
      </w:pPr>
      <w:r w:rsidRPr="00D20BDB">
        <w:rPr>
          <w:szCs w:val="24"/>
        </w:rPr>
        <w:t>Rollinson, D. et al (</w:t>
      </w:r>
      <w:proofErr w:type="gramStart"/>
      <w:r w:rsidRPr="00D20BDB">
        <w:rPr>
          <w:szCs w:val="24"/>
        </w:rPr>
        <w:t>2008 )</w:t>
      </w:r>
      <w:proofErr w:type="gramEnd"/>
      <w:r w:rsidRPr="00D20BDB">
        <w:rPr>
          <w:szCs w:val="24"/>
        </w:rPr>
        <w:t xml:space="preserve"> Organisational Behaviour and Analysis (4th edition) Harlow: Addison-Wesley Longman.</w:t>
      </w:r>
    </w:p>
    <w:p w14:paraId="193DE013" w14:textId="77777777" w:rsidR="00B82A32" w:rsidRPr="00F66027" w:rsidRDefault="00B82A32" w:rsidP="00B82A32">
      <w:pPr>
        <w:spacing w:before="240"/>
        <w:ind w:left="720" w:hanging="720"/>
        <w:rPr>
          <w:szCs w:val="24"/>
        </w:rPr>
      </w:pPr>
      <w:proofErr w:type="spellStart"/>
      <w:r w:rsidRPr="00F66027">
        <w:rPr>
          <w:szCs w:val="24"/>
        </w:rPr>
        <w:t>Roshayani</w:t>
      </w:r>
      <w:proofErr w:type="spellEnd"/>
      <w:r w:rsidRPr="00F66027">
        <w:rPr>
          <w:szCs w:val="24"/>
        </w:rPr>
        <w:t xml:space="preserve">, A., MOHD HISHAM, M., NUR EZAN, R., </w:t>
      </w:r>
      <w:proofErr w:type="spellStart"/>
      <w:r w:rsidRPr="00F66027">
        <w:rPr>
          <w:szCs w:val="24"/>
        </w:rPr>
        <w:t>Ruhaini</w:t>
      </w:r>
      <w:proofErr w:type="spellEnd"/>
      <w:r w:rsidRPr="00F66027">
        <w:rPr>
          <w:szCs w:val="24"/>
        </w:rPr>
        <w:t xml:space="preserve">, M. and Ramesh, N., 2018. Desired board capabilities for good governance in non-profit organizations. Administration &amp; </w:t>
      </w:r>
      <w:r>
        <w:rPr>
          <w:szCs w:val="24"/>
        </w:rPr>
        <w:t>Public Management Review, (30).</w:t>
      </w:r>
    </w:p>
    <w:p w14:paraId="75C9EE79" w14:textId="77777777" w:rsidR="00B82A32" w:rsidRPr="00F66027" w:rsidRDefault="00B82A32" w:rsidP="00B82A32">
      <w:pPr>
        <w:spacing w:before="240"/>
        <w:ind w:left="720" w:hanging="720"/>
        <w:rPr>
          <w:szCs w:val="24"/>
        </w:rPr>
      </w:pPr>
      <w:r w:rsidRPr="00F66027">
        <w:rPr>
          <w:szCs w:val="24"/>
        </w:rPr>
        <w:t xml:space="preserve">Ross, A., Koneri, L. and Stansell, P., 2021. Experiencing </w:t>
      </w:r>
      <w:proofErr w:type="spellStart"/>
      <w:r w:rsidRPr="00F66027">
        <w:rPr>
          <w:szCs w:val="24"/>
        </w:rPr>
        <w:t>Teamship</w:t>
      </w:r>
      <w:proofErr w:type="spellEnd"/>
      <w:r w:rsidRPr="00F66027">
        <w:rPr>
          <w:szCs w:val="24"/>
        </w:rPr>
        <w:t xml:space="preserve"> by Escaping the Leadership Lecture. Nurse Leader, 19(4), pp.401-404.</w:t>
      </w:r>
    </w:p>
    <w:p w14:paraId="5ECE934A" w14:textId="77777777" w:rsidR="00B82A32" w:rsidRPr="00F63B20" w:rsidRDefault="00B82A32" w:rsidP="00B82A32">
      <w:pPr>
        <w:spacing w:before="240"/>
        <w:ind w:left="720" w:hanging="720"/>
        <w:rPr>
          <w:szCs w:val="24"/>
        </w:rPr>
      </w:pPr>
      <w:r w:rsidRPr="00F63B20">
        <w:rPr>
          <w:szCs w:val="24"/>
        </w:rPr>
        <w:t>Sarah Cameron Talent Management. (2020, January 1). Mark Jenkins — Sara Cameron talent management. Sara Cameron Talent Management. http</w:t>
      </w:r>
      <w:r>
        <w:rPr>
          <w:szCs w:val="24"/>
        </w:rPr>
        <w:t>s://saracamerontalent.com/mark-jenkins</w:t>
      </w:r>
    </w:p>
    <w:p w14:paraId="35F55720" w14:textId="77777777" w:rsidR="00B82A32" w:rsidRDefault="00B82A32" w:rsidP="00B82A32">
      <w:pPr>
        <w:spacing w:before="240"/>
        <w:ind w:left="720" w:hanging="720"/>
        <w:rPr>
          <w:szCs w:val="24"/>
        </w:rPr>
      </w:pPr>
      <w:r w:rsidRPr="00F66027">
        <w:rPr>
          <w:szCs w:val="24"/>
        </w:rPr>
        <w:t>Shea, C.M., Turner, K., Albritton, J. and Reiter, K.L., 2018. Contextual factors that influence quality improvement implementation in primary care: the role of organizations, teams, and individuals. Health care management review, 43(3), p.261.</w:t>
      </w:r>
    </w:p>
    <w:p w14:paraId="700C2A49" w14:textId="77777777" w:rsidR="00EC7152" w:rsidRPr="00CA00C5" w:rsidRDefault="00EC7152" w:rsidP="009D53A5">
      <w:pPr>
        <w:pStyle w:val="Heading1"/>
        <w:spacing w:after="240"/>
      </w:pPr>
    </w:p>
    <w:sectPr w:rsidR="00EC7152" w:rsidRPr="00CA00C5" w:rsidSect="001F72D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D41CE" w14:textId="77777777" w:rsidR="003E0EC2" w:rsidRDefault="003E0EC2" w:rsidP="001F72DF">
      <w:pPr>
        <w:spacing w:line="240" w:lineRule="auto"/>
      </w:pPr>
      <w:r>
        <w:separator/>
      </w:r>
    </w:p>
  </w:endnote>
  <w:endnote w:type="continuationSeparator" w:id="0">
    <w:p w14:paraId="4BD9CD0B" w14:textId="77777777" w:rsidR="003E0EC2" w:rsidRDefault="003E0EC2" w:rsidP="001F7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240452"/>
      <w:docPartObj>
        <w:docPartGallery w:val="Page Numbers (Bottom of Page)"/>
        <w:docPartUnique/>
      </w:docPartObj>
    </w:sdtPr>
    <w:sdtEndPr>
      <w:rPr>
        <w:noProof/>
      </w:rPr>
    </w:sdtEndPr>
    <w:sdtContent>
      <w:p w14:paraId="24999C66" w14:textId="77777777" w:rsidR="001F72DF" w:rsidRDefault="001F72DF">
        <w:pPr>
          <w:pStyle w:val="Footer"/>
        </w:pPr>
        <w:r>
          <w:fldChar w:fldCharType="begin"/>
        </w:r>
        <w:r>
          <w:instrText xml:space="preserve"> PAGE   \* MERGEFORMAT </w:instrText>
        </w:r>
        <w:r>
          <w:fldChar w:fldCharType="separate"/>
        </w:r>
        <w:r w:rsidR="005003BA">
          <w:rPr>
            <w:noProof/>
          </w:rPr>
          <w:t>9</w:t>
        </w:r>
        <w:r>
          <w:rPr>
            <w:noProof/>
          </w:rPr>
          <w:fldChar w:fldCharType="end"/>
        </w:r>
      </w:p>
    </w:sdtContent>
  </w:sdt>
  <w:p w14:paraId="3411B7D1" w14:textId="77777777" w:rsidR="001F72DF" w:rsidRDefault="001F7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9ED68" w14:textId="77777777" w:rsidR="003E0EC2" w:rsidRDefault="003E0EC2" w:rsidP="001F72DF">
      <w:pPr>
        <w:spacing w:line="240" w:lineRule="auto"/>
      </w:pPr>
      <w:r>
        <w:separator/>
      </w:r>
    </w:p>
  </w:footnote>
  <w:footnote w:type="continuationSeparator" w:id="0">
    <w:p w14:paraId="6171F594" w14:textId="77777777" w:rsidR="003E0EC2" w:rsidRDefault="003E0EC2" w:rsidP="001F72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E86"/>
    <w:rsid w:val="00080ECD"/>
    <w:rsid w:val="00091409"/>
    <w:rsid w:val="000B2F66"/>
    <w:rsid w:val="000C7EC7"/>
    <w:rsid w:val="0015157C"/>
    <w:rsid w:val="00182D05"/>
    <w:rsid w:val="001F46B2"/>
    <w:rsid w:val="001F72DF"/>
    <w:rsid w:val="00235F4C"/>
    <w:rsid w:val="002E57FC"/>
    <w:rsid w:val="002E71E4"/>
    <w:rsid w:val="00314AF1"/>
    <w:rsid w:val="00314B4E"/>
    <w:rsid w:val="003568D2"/>
    <w:rsid w:val="0036765D"/>
    <w:rsid w:val="003856DB"/>
    <w:rsid w:val="003E0EC2"/>
    <w:rsid w:val="004C5960"/>
    <w:rsid w:val="004D7E4C"/>
    <w:rsid w:val="005003BA"/>
    <w:rsid w:val="00521881"/>
    <w:rsid w:val="00522DA3"/>
    <w:rsid w:val="00600277"/>
    <w:rsid w:val="00623242"/>
    <w:rsid w:val="006544AF"/>
    <w:rsid w:val="00674385"/>
    <w:rsid w:val="006805A4"/>
    <w:rsid w:val="00832A76"/>
    <w:rsid w:val="00842E86"/>
    <w:rsid w:val="00893096"/>
    <w:rsid w:val="009234FD"/>
    <w:rsid w:val="00994403"/>
    <w:rsid w:val="009D53A5"/>
    <w:rsid w:val="00A26E66"/>
    <w:rsid w:val="00A342EE"/>
    <w:rsid w:val="00A6403B"/>
    <w:rsid w:val="00A92DB2"/>
    <w:rsid w:val="00AD3473"/>
    <w:rsid w:val="00AE0153"/>
    <w:rsid w:val="00AE0C2F"/>
    <w:rsid w:val="00B176C9"/>
    <w:rsid w:val="00B44C74"/>
    <w:rsid w:val="00B82A32"/>
    <w:rsid w:val="00BA1A09"/>
    <w:rsid w:val="00BE5ECA"/>
    <w:rsid w:val="00C04A87"/>
    <w:rsid w:val="00C06F95"/>
    <w:rsid w:val="00C436C8"/>
    <w:rsid w:val="00C73030"/>
    <w:rsid w:val="00CA00C5"/>
    <w:rsid w:val="00DB2765"/>
    <w:rsid w:val="00DC1ED3"/>
    <w:rsid w:val="00E07D96"/>
    <w:rsid w:val="00E60ECF"/>
    <w:rsid w:val="00EB298C"/>
    <w:rsid w:val="00EC7152"/>
    <w:rsid w:val="00ED55B3"/>
    <w:rsid w:val="00EF7DD8"/>
    <w:rsid w:val="00F0128C"/>
    <w:rsid w:val="00F7510B"/>
    <w:rsid w:val="00FB202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7A0B7"/>
  <w15:docId w15:val="{9FF715F6-A46C-48D5-A435-825FC129A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Liberation Serif"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E71E4"/>
    <w:pPr>
      <w:widowControl w:val="0"/>
      <w:autoSpaceDE w:val="0"/>
      <w:autoSpaceDN w:val="0"/>
      <w:spacing w:after="0" w:line="360" w:lineRule="auto"/>
      <w:jc w:val="both"/>
    </w:pPr>
    <w:rPr>
      <w:rFonts w:ascii="Times New Roman" w:eastAsia="Times New Roman" w:hAnsi="Times New Roman" w:cs="Times New Roman"/>
      <w:sz w:val="24"/>
    </w:rPr>
  </w:style>
  <w:style w:type="paragraph" w:styleId="Heading1">
    <w:name w:val="heading 1"/>
    <w:basedOn w:val="Normal"/>
    <w:link w:val="Heading1Char"/>
    <w:uiPriority w:val="1"/>
    <w:qFormat/>
    <w:rsid w:val="00EB298C"/>
    <w:pPr>
      <w:spacing w:before="81"/>
      <w:outlineLvl w:val="0"/>
    </w:pPr>
    <w:rPr>
      <w:bCs/>
      <w:color w:val="4F81BD" w:themeColor="accent1"/>
      <w:sz w:val="32"/>
      <w:szCs w:val="32"/>
    </w:rPr>
  </w:style>
  <w:style w:type="paragraph" w:styleId="Heading2">
    <w:name w:val="heading 2"/>
    <w:basedOn w:val="Normal"/>
    <w:next w:val="Normal"/>
    <w:link w:val="Heading2Char"/>
    <w:autoRedefine/>
    <w:uiPriority w:val="1"/>
    <w:unhideWhenUsed/>
    <w:qFormat/>
    <w:rsid w:val="004D7E4C"/>
    <w:pPr>
      <w:keepNext/>
      <w:keepLines/>
      <w:spacing w:before="200"/>
      <w:outlineLvl w:val="1"/>
    </w:pPr>
    <w:rPr>
      <w:rFonts w:eastAsiaTheme="majorEastAsia" w:cstheme="majorBidi"/>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7E4C"/>
    <w:rPr>
      <w:rFonts w:ascii="Times New Roman" w:eastAsiaTheme="majorEastAsia" w:hAnsi="Times New Roman" w:cstheme="majorBidi"/>
      <w:bCs/>
      <w:color w:val="4F81BD" w:themeColor="accent1"/>
      <w:sz w:val="28"/>
      <w:szCs w:val="26"/>
    </w:rPr>
  </w:style>
  <w:style w:type="character" w:customStyle="1" w:styleId="Heading1Char">
    <w:name w:val="Heading 1 Char"/>
    <w:basedOn w:val="DefaultParagraphFont"/>
    <w:link w:val="Heading1"/>
    <w:uiPriority w:val="1"/>
    <w:rsid w:val="00EB298C"/>
    <w:rPr>
      <w:rFonts w:ascii="Times New Roman" w:hAnsi="Times New Roman" w:cs="Liberation Serif"/>
      <w:bCs/>
      <w:color w:val="4F81BD" w:themeColor="accent1"/>
      <w:sz w:val="32"/>
      <w:szCs w:val="32"/>
    </w:rPr>
  </w:style>
  <w:style w:type="paragraph" w:styleId="Header">
    <w:name w:val="header"/>
    <w:basedOn w:val="Normal"/>
    <w:link w:val="HeaderChar"/>
    <w:uiPriority w:val="99"/>
    <w:unhideWhenUsed/>
    <w:rsid w:val="001F72DF"/>
    <w:pPr>
      <w:tabs>
        <w:tab w:val="center" w:pos="4680"/>
        <w:tab w:val="right" w:pos="9360"/>
      </w:tabs>
      <w:spacing w:line="240" w:lineRule="auto"/>
    </w:pPr>
  </w:style>
  <w:style w:type="character" w:customStyle="1" w:styleId="HeaderChar">
    <w:name w:val="Header Char"/>
    <w:basedOn w:val="DefaultParagraphFont"/>
    <w:link w:val="Header"/>
    <w:uiPriority w:val="99"/>
    <w:rsid w:val="001F72DF"/>
    <w:rPr>
      <w:rFonts w:ascii="Times New Roman" w:hAnsi="Times New Roman" w:cs="Liberation Serif"/>
      <w:sz w:val="24"/>
    </w:rPr>
  </w:style>
  <w:style w:type="paragraph" w:styleId="Footer">
    <w:name w:val="footer"/>
    <w:basedOn w:val="Normal"/>
    <w:link w:val="FooterChar"/>
    <w:uiPriority w:val="99"/>
    <w:unhideWhenUsed/>
    <w:rsid w:val="001F72DF"/>
    <w:pPr>
      <w:tabs>
        <w:tab w:val="center" w:pos="4680"/>
        <w:tab w:val="right" w:pos="9360"/>
      </w:tabs>
      <w:spacing w:line="240" w:lineRule="auto"/>
    </w:pPr>
  </w:style>
  <w:style w:type="character" w:customStyle="1" w:styleId="FooterChar">
    <w:name w:val="Footer Char"/>
    <w:basedOn w:val="DefaultParagraphFont"/>
    <w:link w:val="Footer"/>
    <w:uiPriority w:val="99"/>
    <w:rsid w:val="001F72DF"/>
    <w:rPr>
      <w:rFonts w:ascii="Times New Roman" w:hAnsi="Times New Roman" w:cs="Liberation Serif"/>
      <w:sz w:val="24"/>
    </w:rPr>
  </w:style>
  <w:style w:type="paragraph" w:styleId="BodyText">
    <w:name w:val="Body Text"/>
    <w:basedOn w:val="Normal"/>
    <w:link w:val="BodyTextChar"/>
    <w:uiPriority w:val="1"/>
    <w:qFormat/>
    <w:rsid w:val="000C7EC7"/>
    <w:rPr>
      <w:szCs w:val="24"/>
    </w:rPr>
  </w:style>
  <w:style w:type="character" w:customStyle="1" w:styleId="BodyTextChar">
    <w:name w:val="Body Text Char"/>
    <w:basedOn w:val="DefaultParagraphFont"/>
    <w:link w:val="BodyText"/>
    <w:uiPriority w:val="1"/>
    <w:rsid w:val="000C7EC7"/>
    <w:rPr>
      <w:rFonts w:ascii="Times New Roman" w:eastAsia="Times New Roman" w:hAnsi="Times New Roman" w:cs="Times New Roman"/>
      <w:sz w:val="24"/>
      <w:szCs w:val="24"/>
    </w:rPr>
  </w:style>
  <w:style w:type="paragraph" w:styleId="Title">
    <w:name w:val="Title"/>
    <w:basedOn w:val="Normal"/>
    <w:link w:val="TitleChar"/>
    <w:uiPriority w:val="1"/>
    <w:qFormat/>
    <w:rsid w:val="00EC7152"/>
    <w:pPr>
      <w:spacing w:before="83" w:line="240" w:lineRule="auto"/>
      <w:ind w:right="12"/>
      <w:jc w:val="center"/>
    </w:pPr>
    <w:rPr>
      <w:b/>
      <w:bCs/>
      <w:sz w:val="40"/>
      <w:szCs w:val="40"/>
    </w:rPr>
  </w:style>
  <w:style w:type="character" w:customStyle="1" w:styleId="TitleChar">
    <w:name w:val="Title Char"/>
    <w:basedOn w:val="DefaultParagraphFont"/>
    <w:link w:val="Title"/>
    <w:uiPriority w:val="1"/>
    <w:rsid w:val="00EC7152"/>
    <w:rPr>
      <w:rFonts w:ascii="Times New Roman" w:eastAsia="Times New Roman" w:hAnsi="Times New Roman" w:cs="Times New Roman"/>
      <w:b/>
      <w:bCs/>
      <w:sz w:val="40"/>
      <w:szCs w:val="40"/>
    </w:rPr>
  </w:style>
  <w:style w:type="paragraph" w:styleId="TOCHeading">
    <w:name w:val="TOC Heading"/>
    <w:basedOn w:val="Heading1"/>
    <w:next w:val="Normal"/>
    <w:uiPriority w:val="39"/>
    <w:semiHidden/>
    <w:unhideWhenUsed/>
    <w:qFormat/>
    <w:rsid w:val="00EC7152"/>
    <w:pPr>
      <w:keepNext/>
      <w:keepLines/>
      <w:widowControl/>
      <w:autoSpaceDE/>
      <w:autoSpaceDN/>
      <w:spacing w:before="480" w:line="276" w:lineRule="auto"/>
      <w:jc w:val="left"/>
      <w:outlineLvl w:val="9"/>
    </w:pPr>
    <w:rPr>
      <w:rFonts w:asciiTheme="majorHAnsi" w:eastAsiaTheme="majorEastAsia" w:hAnsiTheme="majorHAnsi" w:cstheme="majorBidi"/>
      <w:b/>
      <w:color w:val="365F91" w:themeColor="accent1" w:themeShade="BF"/>
      <w:sz w:val="28"/>
      <w:szCs w:val="28"/>
      <w:lang w:eastAsia="ja-JP"/>
    </w:rPr>
  </w:style>
  <w:style w:type="paragraph" w:styleId="TOC1">
    <w:name w:val="toc 1"/>
    <w:basedOn w:val="Normal"/>
    <w:next w:val="Normal"/>
    <w:autoRedefine/>
    <w:uiPriority w:val="39"/>
    <w:unhideWhenUsed/>
    <w:rsid w:val="00EC7152"/>
    <w:pPr>
      <w:spacing w:after="100"/>
    </w:pPr>
  </w:style>
  <w:style w:type="character" w:styleId="Hyperlink">
    <w:name w:val="Hyperlink"/>
    <w:basedOn w:val="DefaultParagraphFont"/>
    <w:uiPriority w:val="99"/>
    <w:unhideWhenUsed/>
    <w:rsid w:val="00EC7152"/>
    <w:rPr>
      <w:color w:val="0000FF" w:themeColor="hyperlink"/>
      <w:u w:val="single"/>
    </w:rPr>
  </w:style>
  <w:style w:type="paragraph" w:styleId="BalloonText">
    <w:name w:val="Balloon Text"/>
    <w:basedOn w:val="Normal"/>
    <w:link w:val="BalloonTextChar"/>
    <w:uiPriority w:val="99"/>
    <w:semiHidden/>
    <w:unhideWhenUsed/>
    <w:rsid w:val="00EC71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7152"/>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09425">
      <w:bodyDiv w:val="1"/>
      <w:marLeft w:val="0"/>
      <w:marRight w:val="0"/>
      <w:marTop w:val="0"/>
      <w:marBottom w:val="0"/>
      <w:divBdr>
        <w:top w:val="none" w:sz="0" w:space="0" w:color="auto"/>
        <w:left w:val="none" w:sz="0" w:space="0" w:color="auto"/>
        <w:bottom w:val="none" w:sz="0" w:space="0" w:color="auto"/>
        <w:right w:val="none" w:sz="0" w:space="0" w:color="auto"/>
      </w:divBdr>
    </w:div>
    <w:div w:id="280840672">
      <w:bodyDiv w:val="1"/>
      <w:marLeft w:val="0"/>
      <w:marRight w:val="0"/>
      <w:marTop w:val="0"/>
      <w:marBottom w:val="0"/>
      <w:divBdr>
        <w:top w:val="none" w:sz="0" w:space="0" w:color="auto"/>
        <w:left w:val="none" w:sz="0" w:space="0" w:color="auto"/>
        <w:bottom w:val="none" w:sz="0" w:space="0" w:color="auto"/>
        <w:right w:val="none" w:sz="0" w:space="0" w:color="auto"/>
      </w:divBdr>
    </w:div>
    <w:div w:id="1051030347">
      <w:bodyDiv w:val="1"/>
      <w:marLeft w:val="0"/>
      <w:marRight w:val="0"/>
      <w:marTop w:val="0"/>
      <w:marBottom w:val="0"/>
      <w:divBdr>
        <w:top w:val="none" w:sz="0" w:space="0" w:color="auto"/>
        <w:left w:val="none" w:sz="0" w:space="0" w:color="auto"/>
        <w:bottom w:val="none" w:sz="0" w:space="0" w:color="auto"/>
        <w:right w:val="none" w:sz="0" w:space="0" w:color="auto"/>
      </w:divBdr>
    </w:div>
    <w:div w:id="1063680375">
      <w:bodyDiv w:val="1"/>
      <w:marLeft w:val="0"/>
      <w:marRight w:val="0"/>
      <w:marTop w:val="0"/>
      <w:marBottom w:val="0"/>
      <w:divBdr>
        <w:top w:val="none" w:sz="0" w:space="0" w:color="auto"/>
        <w:left w:val="none" w:sz="0" w:space="0" w:color="auto"/>
        <w:bottom w:val="none" w:sz="0" w:space="0" w:color="auto"/>
        <w:right w:val="none" w:sz="0" w:space="0" w:color="auto"/>
      </w:divBdr>
    </w:div>
    <w:div w:id="1072658428">
      <w:bodyDiv w:val="1"/>
      <w:marLeft w:val="0"/>
      <w:marRight w:val="0"/>
      <w:marTop w:val="0"/>
      <w:marBottom w:val="0"/>
      <w:divBdr>
        <w:top w:val="none" w:sz="0" w:space="0" w:color="auto"/>
        <w:left w:val="none" w:sz="0" w:space="0" w:color="auto"/>
        <w:bottom w:val="none" w:sz="0" w:space="0" w:color="auto"/>
        <w:right w:val="none" w:sz="0" w:space="0" w:color="auto"/>
      </w:divBdr>
    </w:div>
    <w:div w:id="1491483697">
      <w:bodyDiv w:val="1"/>
      <w:marLeft w:val="0"/>
      <w:marRight w:val="0"/>
      <w:marTop w:val="0"/>
      <w:marBottom w:val="0"/>
      <w:divBdr>
        <w:top w:val="none" w:sz="0" w:space="0" w:color="auto"/>
        <w:left w:val="none" w:sz="0" w:space="0" w:color="auto"/>
        <w:bottom w:val="none" w:sz="0" w:space="0" w:color="auto"/>
        <w:right w:val="none" w:sz="0" w:space="0" w:color="auto"/>
      </w:divBdr>
    </w:div>
    <w:div w:id="1723559240">
      <w:bodyDiv w:val="1"/>
      <w:marLeft w:val="0"/>
      <w:marRight w:val="0"/>
      <w:marTop w:val="0"/>
      <w:marBottom w:val="0"/>
      <w:divBdr>
        <w:top w:val="none" w:sz="0" w:space="0" w:color="auto"/>
        <w:left w:val="none" w:sz="0" w:space="0" w:color="auto"/>
        <w:bottom w:val="none" w:sz="0" w:space="0" w:color="auto"/>
        <w:right w:val="none" w:sz="0" w:space="0" w:color="auto"/>
      </w:divBdr>
    </w:div>
    <w:div w:id="1774550663">
      <w:bodyDiv w:val="1"/>
      <w:marLeft w:val="0"/>
      <w:marRight w:val="0"/>
      <w:marTop w:val="0"/>
      <w:marBottom w:val="0"/>
      <w:divBdr>
        <w:top w:val="none" w:sz="0" w:space="0" w:color="auto"/>
        <w:left w:val="none" w:sz="0" w:space="0" w:color="auto"/>
        <w:bottom w:val="none" w:sz="0" w:space="0" w:color="auto"/>
        <w:right w:val="none" w:sz="0" w:space="0" w:color="auto"/>
      </w:divBdr>
    </w:div>
    <w:div w:id="196064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4324/9781003091844-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5DC501-463A-4BB2-8930-CB809D3A00D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Ack19</b:Tag>
    <b:SourceType>Book</b:SourceType>
    <b:Guid>{552AE908-E250-4363-BDE4-4331AE14C783}</b:Guid>
    <b:Author>
      <b:Author>
        <b:NameList>
          <b:Person>
            <b:Last>Ackah</b:Last>
          </b:Person>
        </b:NameList>
      </b:Author>
    </b:Author>
    <b:Year>2019</b:Year>
    <b:RefOrder>1</b:RefOrder>
  </b:Source>
  <b:Source>
    <b:Tag>Arm123</b:Tag>
    <b:SourceType>Book</b:SourceType>
    <b:Guid>{06DDC5BF-B948-4BA8-9E08-57D4A2B9636D}</b:Guid>
    <b:Author>
      <b:Author>
        <b:NameList>
          <b:Person>
            <b:Last>Armstrong</b:Last>
          </b:Person>
        </b:NameList>
      </b:Author>
    </b:Author>
    <b:Year>2012</b:Year>
    <b:RefOrder>2</b:RefOrder>
  </b:Source>
  <b:Source>
    <b:Tag>Bar17</b:Tag>
    <b:SourceType>Book</b:SourceType>
    <b:Guid>{57B660E6-CE6F-4D80-A69A-37C722397CD2}</b:Guid>
    <b:Author>
      <b:Author>
        <b:NameList>
          <b:Person>
            <b:Last>Bartosch</b:Last>
          </b:Person>
        </b:NameList>
      </b:Author>
    </b:Author>
    <b:Year>2017</b:Year>
    <b:RefOrder>3</b:RefOrder>
  </b:Source>
  <b:Source>
    <b:Tag>Blo17</b:Tag>
    <b:SourceType>Book</b:SourceType>
    <b:Guid>{A246629C-2BED-421F-BAFA-7B8F9EB86E1A}</b:Guid>
    <b:Author>
      <b:Author>
        <b:NameList>
          <b:Person>
            <b:Last>Bloisi</b:Last>
          </b:Person>
        </b:NameList>
      </b:Author>
    </b:Author>
    <b:Year>2017</b:Year>
    <b:RefOrder>4</b:RefOrder>
  </b:Source>
  <b:Source>
    <b:Tag>Huc131</b:Tag>
    <b:SourceType>Book</b:SourceType>
    <b:Guid>{F90D56D0-C6ED-4882-AADE-5ABDA3DC9297}</b:Guid>
    <b:Author>
      <b:Author>
        <b:NameList>
          <b:Person>
            <b:Last>Huczynski</b:Last>
          </b:Person>
        </b:NameList>
      </b:Author>
    </b:Author>
    <b:Year>2013</b:Year>
    <b:RefOrder>5</b:RefOrder>
  </b:Source>
  <b:Source>
    <b:Tag>Kıl19</b:Tag>
    <b:SourceType>Book</b:SourceType>
    <b:Guid>{CDDF128B-B210-41EC-9D93-8E7BDD9F1AB8}</b:Guid>
    <b:Author>
      <b:Author>
        <b:NameList>
          <b:Person>
            <b:Last>Kılıç</b:Last>
          </b:Person>
        </b:NameList>
      </b:Author>
    </b:Author>
    <b:Year>2019</b:Year>
    <b:RefOrder>6</b:RefOrder>
  </b:Source>
  <b:Source>
    <b:Tag>Mac191</b:Tag>
    <b:SourceType>Book</b:SourceType>
    <b:Guid>{B33F3394-D70A-49FC-BB2F-2928E9E2E63B}</b:Guid>
    <b:Author>
      <b:Author>
        <b:NameList>
          <b:Person>
            <b:Last>Mackey</b:Last>
          </b:Person>
        </b:NameList>
      </b:Author>
    </b:Author>
    <b:Year>2019</b:Year>
    <b:RefOrder>7</b:RefOrder>
  </b:Source>
</b:Sources>
</file>

<file path=customXml/itemProps1.xml><?xml version="1.0" encoding="utf-8"?>
<ds:datastoreItem xmlns:ds="http://schemas.openxmlformats.org/officeDocument/2006/customXml" ds:itemID="{09B1DEF6-6C50-4A2D-8BEF-0BB66C75C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8</Pages>
  <Words>2235</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dc:creator>
  <cp:keywords/>
  <dc:description/>
  <cp:lastModifiedBy>Candelaria Nicole Stevenson (2123564)</cp:lastModifiedBy>
  <cp:revision>12</cp:revision>
  <dcterms:created xsi:type="dcterms:W3CDTF">2023-10-23T18:18:00Z</dcterms:created>
  <dcterms:modified xsi:type="dcterms:W3CDTF">2023-10-24T13:52:00Z</dcterms:modified>
</cp:coreProperties>
</file>