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17095F" w14:textId="77777777" w:rsidR="009D02AC" w:rsidRPr="00E45E2C" w:rsidRDefault="009D02AC" w:rsidP="009D02AC">
      <w:pPr>
        <w:pStyle w:val="Title"/>
        <w:jc w:val="center"/>
        <w:rPr>
          <w:color w:val="000000" w:themeColor="text1"/>
          <w:sz w:val="24"/>
          <w:szCs w:val="24"/>
          <w:lang w:val="en-GB"/>
        </w:rPr>
      </w:pPr>
      <w:r w:rsidRPr="00E45E2C">
        <w:rPr>
          <w:noProof/>
          <w:color w:val="000000" w:themeColor="text1"/>
          <w:sz w:val="24"/>
          <w:szCs w:val="24"/>
          <w:lang w:val="en-GB" w:bidi="hi-IN"/>
        </w:rPr>
        <w:drawing>
          <wp:inline distT="114300" distB="114300" distL="114300" distR="114300" wp14:anchorId="39EF3B82" wp14:editId="29CAB768">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714375"/>
                    </a:xfrm>
                    <a:prstGeom prst="rect">
                      <a:avLst/>
                    </a:prstGeom>
                    <a:ln/>
                  </pic:spPr>
                </pic:pic>
              </a:graphicData>
            </a:graphic>
          </wp:inline>
        </w:drawing>
      </w:r>
    </w:p>
    <w:p w14:paraId="36263589" w14:textId="77777777" w:rsidR="00A92DB9" w:rsidRPr="00A92DB9" w:rsidRDefault="00A92DB9" w:rsidP="00A92DB9">
      <w:pPr>
        <w:spacing w:after="160" w:line="259" w:lineRule="auto"/>
        <w:rPr>
          <w:rFonts w:asciiTheme="minorHAnsi" w:eastAsiaTheme="minorHAnsi" w:hAnsiTheme="minorHAnsi" w:cstheme="minorBidi"/>
          <w:lang w:val="en-GB" w:eastAsia="en-US" w:bidi="ar-SA"/>
        </w:rPr>
      </w:pPr>
      <w:r w:rsidRPr="00A92DB9">
        <w:rPr>
          <w:rFonts w:asciiTheme="minorHAnsi" w:eastAsiaTheme="minorHAnsi" w:hAnsiTheme="minorHAnsi" w:cstheme="minorBidi"/>
          <w:b/>
          <w:bCs/>
          <w:u w:val="single"/>
          <w:lang w:val="en-GB" w:eastAsia="en-US" w:bidi="ar-SA"/>
        </w:rPr>
        <w:t>Name:</w:t>
      </w:r>
      <w:r w:rsidRPr="00A92DB9">
        <w:rPr>
          <w:rFonts w:asciiTheme="minorHAnsi" w:eastAsiaTheme="minorHAnsi" w:hAnsiTheme="minorHAnsi" w:cstheme="minorBidi"/>
          <w:lang w:val="en-GB" w:eastAsia="en-US" w:bidi="ar-SA"/>
        </w:rPr>
        <w:t xml:space="preserve">                         </w:t>
      </w:r>
      <w:proofErr w:type="spellStart"/>
      <w:r w:rsidRPr="00A92DB9">
        <w:rPr>
          <w:rFonts w:asciiTheme="minorHAnsi" w:eastAsiaTheme="minorHAnsi" w:hAnsiTheme="minorHAnsi" w:cstheme="minorBidi"/>
          <w:lang w:val="en-GB" w:eastAsia="en-US" w:bidi="ar-SA"/>
        </w:rPr>
        <w:t>Krutiben</w:t>
      </w:r>
      <w:proofErr w:type="spellEnd"/>
      <w:r w:rsidRPr="00A92DB9">
        <w:rPr>
          <w:rFonts w:asciiTheme="minorHAnsi" w:eastAsiaTheme="minorHAnsi" w:hAnsiTheme="minorHAnsi" w:cstheme="minorBidi"/>
          <w:lang w:val="en-GB" w:eastAsia="en-US" w:bidi="ar-SA"/>
        </w:rPr>
        <w:t xml:space="preserve"> </w:t>
      </w:r>
      <w:proofErr w:type="spellStart"/>
      <w:r w:rsidRPr="00A92DB9">
        <w:rPr>
          <w:rFonts w:asciiTheme="minorHAnsi" w:eastAsiaTheme="minorHAnsi" w:hAnsiTheme="minorHAnsi" w:cstheme="minorBidi"/>
          <w:lang w:val="en-GB" w:eastAsia="en-US" w:bidi="ar-SA"/>
        </w:rPr>
        <w:t>Rajeshbhai</w:t>
      </w:r>
      <w:proofErr w:type="spellEnd"/>
      <w:r w:rsidRPr="00A92DB9">
        <w:rPr>
          <w:rFonts w:asciiTheme="minorHAnsi" w:eastAsiaTheme="minorHAnsi" w:hAnsiTheme="minorHAnsi" w:cstheme="minorBidi"/>
          <w:lang w:val="en-GB" w:eastAsia="en-US" w:bidi="ar-SA"/>
        </w:rPr>
        <w:t xml:space="preserve"> Patel  </w:t>
      </w:r>
    </w:p>
    <w:p w14:paraId="72E0A262" w14:textId="77777777" w:rsidR="00A92DB9" w:rsidRPr="00A92DB9" w:rsidRDefault="00A92DB9" w:rsidP="00A92DB9">
      <w:pPr>
        <w:spacing w:after="160" w:line="259" w:lineRule="auto"/>
        <w:rPr>
          <w:rFonts w:asciiTheme="minorHAnsi" w:eastAsiaTheme="minorHAnsi" w:hAnsiTheme="minorHAnsi" w:cstheme="minorBidi"/>
          <w:lang w:val="en-GB" w:eastAsia="en-US" w:bidi="ar-SA"/>
        </w:rPr>
      </w:pPr>
      <w:r w:rsidRPr="00A92DB9">
        <w:rPr>
          <w:rFonts w:asciiTheme="minorHAnsi" w:eastAsiaTheme="minorHAnsi" w:hAnsiTheme="minorHAnsi" w:cstheme="minorBidi"/>
          <w:b/>
          <w:bCs/>
          <w:u w:val="single"/>
          <w:lang w:val="en-GB" w:eastAsia="en-US" w:bidi="ar-SA"/>
        </w:rPr>
        <w:t>Student id:</w:t>
      </w:r>
      <w:r w:rsidRPr="00A92DB9">
        <w:rPr>
          <w:rFonts w:asciiTheme="minorHAnsi" w:eastAsiaTheme="minorHAnsi" w:hAnsiTheme="minorHAnsi" w:cstheme="minorBidi"/>
          <w:lang w:val="en-GB" w:eastAsia="en-US" w:bidi="ar-SA"/>
        </w:rPr>
        <w:t xml:space="preserve">                </w:t>
      </w:r>
      <w:r w:rsidRPr="00A92DB9">
        <w:rPr>
          <w:rFonts w:asciiTheme="minorHAnsi" w:eastAsiaTheme="minorHAnsi" w:hAnsiTheme="minorHAnsi" w:cstheme="minorBidi"/>
          <w:b/>
          <w:bCs/>
          <w:u w:val="single"/>
          <w:lang w:val="en-GB" w:eastAsia="en-US" w:bidi="ar-SA"/>
        </w:rPr>
        <w:t xml:space="preserve"> </w:t>
      </w:r>
      <w:r w:rsidRPr="00A92DB9">
        <w:rPr>
          <w:rFonts w:asciiTheme="minorHAnsi" w:eastAsiaTheme="minorHAnsi" w:hAnsiTheme="minorHAnsi" w:cstheme="minorBidi"/>
          <w:lang w:val="en-GB" w:eastAsia="en-US" w:bidi="ar-SA"/>
        </w:rPr>
        <w:t>2506595</w:t>
      </w:r>
    </w:p>
    <w:p w14:paraId="2EC26CBC" w14:textId="6921406C" w:rsidR="00A92DB9" w:rsidRPr="00A92DB9" w:rsidRDefault="00A92DB9" w:rsidP="00A92DB9">
      <w:pPr>
        <w:spacing w:after="160" w:line="259" w:lineRule="auto"/>
        <w:rPr>
          <w:rFonts w:asciiTheme="minorHAnsi" w:eastAsiaTheme="minorHAnsi" w:hAnsiTheme="minorHAnsi" w:cstheme="minorBidi"/>
          <w:lang w:val="en-GB" w:eastAsia="en-US" w:bidi="ar-SA"/>
        </w:rPr>
      </w:pPr>
      <w:r w:rsidRPr="00A92DB9">
        <w:rPr>
          <w:rFonts w:asciiTheme="minorHAnsi" w:eastAsiaTheme="minorHAnsi" w:hAnsiTheme="minorHAnsi" w:cstheme="minorBidi"/>
          <w:b/>
          <w:bCs/>
          <w:u w:val="single"/>
          <w:lang w:val="en-GB" w:eastAsia="en-US" w:bidi="ar-SA"/>
        </w:rPr>
        <w:t xml:space="preserve">Module </w:t>
      </w:r>
      <w:r w:rsidRPr="00A92DB9">
        <w:rPr>
          <w:rFonts w:asciiTheme="minorHAnsi" w:eastAsiaTheme="minorHAnsi" w:hAnsiTheme="minorHAnsi" w:cstheme="minorBidi"/>
          <w:b/>
          <w:bCs/>
          <w:lang w:val="en-GB" w:eastAsia="en-US" w:bidi="ar-SA"/>
        </w:rPr>
        <w:t xml:space="preserve">:                     </w:t>
      </w:r>
      <w:r w:rsidR="008B359A">
        <w:rPr>
          <w:rFonts w:ascii="Helvetica" w:eastAsiaTheme="minorHAnsi" w:hAnsi="Helvetica" w:cstheme="minorBidi"/>
          <w:sz w:val="18"/>
          <w:szCs w:val="18"/>
          <w:lang w:val="en-AU" w:eastAsia="en-US" w:bidi="ar-SA"/>
        </w:rPr>
        <w:t>Social epidemiology and public health development (LCHS7000)</w:t>
      </w:r>
    </w:p>
    <w:p w14:paraId="71C4F803" w14:textId="4DCBDA06" w:rsidR="00FE2CDC" w:rsidRPr="00C54C42" w:rsidRDefault="00A92DB9">
      <w:pPr>
        <w:pStyle w:val="p1"/>
        <w:rPr>
          <w:rFonts w:ascii="Times New Roman" w:hAnsi="Times New Roman"/>
          <w:sz w:val="24"/>
          <w:szCs w:val="24"/>
        </w:rPr>
      </w:pPr>
      <w:r w:rsidRPr="00A92DB9">
        <w:rPr>
          <w:rFonts w:asciiTheme="minorHAnsi" w:eastAsiaTheme="minorHAnsi" w:hAnsiTheme="minorHAnsi" w:cstheme="minorBidi"/>
          <w:b/>
          <w:bCs/>
          <w:u w:val="single"/>
          <w:lang w:val="en-GB" w:eastAsia="en-US"/>
        </w:rPr>
        <w:t>Lecture’s name:</w:t>
      </w:r>
      <w:r w:rsidRPr="00A92DB9">
        <w:rPr>
          <w:rFonts w:asciiTheme="minorHAnsi" w:eastAsiaTheme="minorHAnsi" w:hAnsiTheme="minorHAnsi" w:cstheme="minorBidi"/>
          <w:lang w:val="en-GB" w:eastAsia="en-US"/>
        </w:rPr>
        <w:t xml:space="preserve">         </w:t>
      </w:r>
      <w:r w:rsidR="00FE2CDC">
        <w:rPr>
          <w:rFonts w:ascii="Times New Roman" w:hAnsi="Times New Roman"/>
          <w:sz w:val="24"/>
          <w:szCs w:val="24"/>
        </w:rPr>
        <w:t xml:space="preserve">   </w:t>
      </w:r>
      <w:proofErr w:type="spellStart"/>
      <w:r w:rsidR="00C54C42">
        <w:rPr>
          <w:rFonts w:ascii="Times New Roman" w:hAnsi="Times New Roman"/>
          <w:sz w:val="24"/>
          <w:szCs w:val="24"/>
        </w:rPr>
        <w:t>Dr.I</w:t>
      </w:r>
      <w:r w:rsidR="00A66082">
        <w:rPr>
          <w:rFonts w:ascii="Times New Roman" w:hAnsi="Times New Roman"/>
          <w:sz w:val="24"/>
          <w:szCs w:val="24"/>
        </w:rPr>
        <w:t>tse</w:t>
      </w:r>
      <w:proofErr w:type="spellEnd"/>
      <w:r w:rsidR="00A66082">
        <w:rPr>
          <w:rFonts w:ascii="Times New Roman" w:hAnsi="Times New Roman"/>
          <w:sz w:val="24"/>
          <w:szCs w:val="24"/>
        </w:rPr>
        <w:t xml:space="preserve"> </w:t>
      </w:r>
      <w:proofErr w:type="spellStart"/>
      <w:r w:rsidR="00A66082">
        <w:rPr>
          <w:rFonts w:ascii="Times New Roman" w:hAnsi="Times New Roman"/>
          <w:sz w:val="24"/>
          <w:szCs w:val="24"/>
        </w:rPr>
        <w:t>Olaoye</w:t>
      </w:r>
      <w:proofErr w:type="spellEnd"/>
    </w:p>
    <w:p w14:paraId="73D227C2" w14:textId="2C6B7E8E" w:rsidR="00A92DB9" w:rsidRPr="00A92DB9" w:rsidRDefault="00A92DB9" w:rsidP="00A92DB9">
      <w:pPr>
        <w:spacing w:after="160" w:line="259" w:lineRule="auto"/>
        <w:rPr>
          <w:rFonts w:asciiTheme="minorHAnsi" w:eastAsiaTheme="minorHAnsi" w:hAnsiTheme="minorHAnsi" w:cstheme="minorBidi"/>
          <w:lang w:val="en-GB" w:eastAsia="en-US" w:bidi="ar-SA"/>
        </w:rPr>
      </w:pPr>
    </w:p>
    <w:p w14:paraId="076E9FA5" w14:textId="5E624E7F" w:rsidR="009D02AC" w:rsidRPr="00B2036F" w:rsidRDefault="00A92DB9" w:rsidP="00B2036F">
      <w:pPr>
        <w:spacing w:line="240" w:lineRule="auto"/>
        <w:rPr>
          <w:rFonts w:ascii="Helvetica" w:eastAsiaTheme="minorEastAsia" w:hAnsi="Helvetica" w:cs="Times New Roman"/>
          <w:sz w:val="18"/>
          <w:szCs w:val="18"/>
          <w:lang w:val="en-IN" w:eastAsia="en-GB" w:bidi="ar-SA"/>
        </w:rPr>
      </w:pPr>
      <w:r w:rsidRPr="00A92DB9">
        <w:rPr>
          <w:rFonts w:ascii="Helvetica" w:eastAsiaTheme="minorEastAsia" w:hAnsi="Helvetica" w:cs="Times New Roman"/>
          <w:b/>
          <w:bCs/>
          <w:sz w:val="18"/>
          <w:szCs w:val="18"/>
          <w:u w:val="single"/>
          <w:lang w:val="en-GB" w:eastAsia="en-GB" w:bidi="ar-SA"/>
        </w:rPr>
        <w:t>Assignment title.</w:t>
      </w:r>
      <w:r w:rsidRPr="00A92DB9">
        <w:rPr>
          <w:rFonts w:ascii="Helvetica" w:eastAsiaTheme="minorEastAsia" w:hAnsi="Helvetica" w:cs="Times New Roman"/>
          <w:sz w:val="18"/>
          <w:szCs w:val="18"/>
          <w:lang w:val="en-GB" w:eastAsia="en-GB" w:bidi="ar-SA"/>
        </w:rPr>
        <w:t xml:space="preserve">         </w:t>
      </w:r>
      <w:r w:rsidR="005B13A8">
        <w:rPr>
          <w:rFonts w:ascii="Helvetica" w:eastAsiaTheme="minorEastAsia" w:hAnsi="Helvetica" w:cs="Times New Roman"/>
          <w:sz w:val="18"/>
          <w:szCs w:val="18"/>
          <w:lang w:val="en-IN" w:eastAsia="en-GB" w:bidi="ar-SA"/>
        </w:rPr>
        <w:t xml:space="preserve">Component 2 – Analytical Report </w:t>
      </w:r>
    </w:p>
    <w:p w14:paraId="0000000B" w14:textId="0A3DA607" w:rsidR="001B45F4" w:rsidRPr="00E45E2C" w:rsidRDefault="00A66082" w:rsidP="009D02AC">
      <w:pPr>
        <w:spacing w:line="360" w:lineRule="auto"/>
        <w:rPr>
          <w:rFonts w:ascii="Times New Roman" w:eastAsia="Times New Roman" w:hAnsi="Times New Roman" w:cs="Times New Roman"/>
          <w:b/>
          <w:bCs/>
          <w:sz w:val="32"/>
          <w:szCs w:val="32"/>
          <w:lang w:val="en-GB"/>
        </w:rPr>
      </w:pPr>
      <w:r w:rsidRPr="00E45E2C">
        <w:rPr>
          <w:lang w:val="en-GB"/>
        </w:rPr>
        <w:br w:type="page"/>
      </w:r>
    </w:p>
    <w:sdt>
      <w:sdtPr>
        <w:rPr>
          <w:rFonts w:ascii="Times New Roman" w:eastAsia="Arial" w:hAnsi="Times New Roman" w:cs="Times New Roman"/>
          <w:color w:val="auto"/>
          <w:sz w:val="24"/>
          <w:szCs w:val="24"/>
          <w:lang w:val="en-GB" w:eastAsia="en-IN" w:bidi="bn-IN"/>
        </w:rPr>
        <w:id w:val="-1298222244"/>
        <w:docPartObj>
          <w:docPartGallery w:val="Table of Contents"/>
          <w:docPartUnique/>
        </w:docPartObj>
      </w:sdtPr>
      <w:sdtEndPr>
        <w:rPr>
          <w:b/>
          <w:bCs/>
          <w:noProof/>
        </w:rPr>
      </w:sdtEndPr>
      <w:sdtContent>
        <w:p w14:paraId="54AAF683" w14:textId="421265D6" w:rsidR="00FC7BF0" w:rsidRPr="00300A65" w:rsidRDefault="00FC7BF0" w:rsidP="00300A65">
          <w:pPr>
            <w:pStyle w:val="TOCHeading"/>
            <w:spacing w:line="360" w:lineRule="auto"/>
            <w:rPr>
              <w:rFonts w:ascii="Arial" w:hAnsi="Arial" w:cs="Arial"/>
              <w:b/>
              <w:bCs/>
              <w:color w:val="auto"/>
              <w:sz w:val="22"/>
              <w:szCs w:val="22"/>
              <w:lang w:val="en-GB"/>
            </w:rPr>
          </w:pPr>
          <w:r w:rsidRPr="00300A65">
            <w:rPr>
              <w:rFonts w:ascii="Arial" w:hAnsi="Arial" w:cs="Arial"/>
              <w:b/>
              <w:bCs/>
              <w:color w:val="auto"/>
              <w:sz w:val="22"/>
              <w:szCs w:val="22"/>
              <w:lang w:val="en-GB"/>
            </w:rPr>
            <w:t>Table of Contents</w:t>
          </w:r>
        </w:p>
        <w:p w14:paraId="526E80C4" w14:textId="1610DB81" w:rsidR="00300A65" w:rsidRDefault="00FC7BF0">
          <w:pPr>
            <w:pStyle w:val="TOC1"/>
            <w:tabs>
              <w:tab w:val="right" w:leader="dot" w:pos="9350"/>
            </w:tabs>
            <w:rPr>
              <w:rFonts w:asciiTheme="minorHAnsi" w:eastAsiaTheme="minorEastAsia" w:hAnsiTheme="minorHAnsi" w:cstheme="minorBidi"/>
              <w:noProof/>
              <w:kern w:val="2"/>
              <w:sz w:val="24"/>
              <w:szCs w:val="30"/>
              <w:lang w:val="en-IN"/>
              <w14:ligatures w14:val="standardContextual"/>
            </w:rPr>
          </w:pPr>
          <w:r w:rsidRPr="00E45E2C">
            <w:rPr>
              <w:rFonts w:ascii="Times New Roman" w:hAnsi="Times New Roman" w:cs="Times New Roman"/>
              <w:sz w:val="24"/>
              <w:szCs w:val="24"/>
              <w:lang w:val="en-GB"/>
            </w:rPr>
            <w:fldChar w:fldCharType="begin"/>
          </w:r>
          <w:r w:rsidRPr="00E45E2C">
            <w:rPr>
              <w:rFonts w:ascii="Times New Roman" w:hAnsi="Times New Roman" w:cs="Times New Roman"/>
              <w:sz w:val="24"/>
              <w:szCs w:val="24"/>
              <w:lang w:val="en-GB"/>
            </w:rPr>
            <w:instrText xml:space="preserve"> TOC \o "1-3" \h \z \u </w:instrText>
          </w:r>
          <w:r w:rsidRPr="00E45E2C">
            <w:rPr>
              <w:rFonts w:ascii="Times New Roman" w:hAnsi="Times New Roman" w:cs="Times New Roman"/>
              <w:sz w:val="24"/>
              <w:szCs w:val="24"/>
              <w:lang w:val="en-GB"/>
            </w:rPr>
            <w:fldChar w:fldCharType="separate"/>
          </w:r>
          <w:hyperlink w:anchor="_Toc216957824" w:history="1">
            <w:r w:rsidR="00300A65" w:rsidRPr="008C1A8B">
              <w:rPr>
                <w:rStyle w:val="Hyperlink"/>
                <w:noProof/>
                <w:lang w:val="en-GB"/>
              </w:rPr>
              <w:t>Task 1: Social Epidemiological Analysis</w:t>
            </w:r>
            <w:r w:rsidR="00300A65">
              <w:rPr>
                <w:noProof/>
                <w:webHidden/>
              </w:rPr>
              <w:tab/>
            </w:r>
            <w:r w:rsidR="00300A65">
              <w:rPr>
                <w:noProof/>
                <w:webHidden/>
              </w:rPr>
              <w:fldChar w:fldCharType="begin"/>
            </w:r>
            <w:r w:rsidR="00300A65">
              <w:rPr>
                <w:noProof/>
                <w:webHidden/>
              </w:rPr>
              <w:instrText xml:space="preserve"> PAGEREF _Toc216957824 \h </w:instrText>
            </w:r>
            <w:r w:rsidR="00300A65">
              <w:rPr>
                <w:noProof/>
                <w:webHidden/>
              </w:rPr>
            </w:r>
            <w:r w:rsidR="00300A65">
              <w:rPr>
                <w:noProof/>
                <w:webHidden/>
              </w:rPr>
              <w:fldChar w:fldCharType="separate"/>
            </w:r>
            <w:r w:rsidR="00300A65">
              <w:rPr>
                <w:noProof/>
                <w:webHidden/>
              </w:rPr>
              <w:t>3</w:t>
            </w:r>
            <w:r w:rsidR="00300A65">
              <w:rPr>
                <w:noProof/>
                <w:webHidden/>
              </w:rPr>
              <w:fldChar w:fldCharType="end"/>
            </w:r>
          </w:hyperlink>
        </w:p>
        <w:p w14:paraId="744EC57A" w14:textId="64B489CA"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25" w:history="1">
            <w:r w:rsidRPr="008C1A8B">
              <w:rPr>
                <w:rStyle w:val="Hyperlink"/>
                <w:noProof/>
                <w:lang w:val="en-GB"/>
              </w:rPr>
              <w:t>1. Introduction</w:t>
            </w:r>
            <w:r>
              <w:rPr>
                <w:noProof/>
                <w:webHidden/>
              </w:rPr>
              <w:tab/>
            </w:r>
            <w:r>
              <w:rPr>
                <w:noProof/>
                <w:webHidden/>
              </w:rPr>
              <w:fldChar w:fldCharType="begin"/>
            </w:r>
            <w:r>
              <w:rPr>
                <w:noProof/>
                <w:webHidden/>
              </w:rPr>
              <w:instrText xml:space="preserve"> PAGEREF _Toc216957825 \h </w:instrText>
            </w:r>
            <w:r>
              <w:rPr>
                <w:noProof/>
                <w:webHidden/>
              </w:rPr>
            </w:r>
            <w:r>
              <w:rPr>
                <w:noProof/>
                <w:webHidden/>
              </w:rPr>
              <w:fldChar w:fldCharType="separate"/>
            </w:r>
            <w:r>
              <w:rPr>
                <w:noProof/>
                <w:webHidden/>
              </w:rPr>
              <w:t>3</w:t>
            </w:r>
            <w:r>
              <w:rPr>
                <w:noProof/>
                <w:webHidden/>
              </w:rPr>
              <w:fldChar w:fldCharType="end"/>
            </w:r>
          </w:hyperlink>
        </w:p>
        <w:p w14:paraId="0CFAD734" w14:textId="7271EE0C"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26" w:history="1">
            <w:r w:rsidRPr="008C1A8B">
              <w:rPr>
                <w:rStyle w:val="Hyperlink"/>
                <w:noProof/>
                <w:lang w:val="en-GB"/>
              </w:rPr>
              <w:t>2. Contextual Background and Underlying Factors</w:t>
            </w:r>
            <w:r>
              <w:rPr>
                <w:noProof/>
                <w:webHidden/>
              </w:rPr>
              <w:tab/>
            </w:r>
            <w:r>
              <w:rPr>
                <w:noProof/>
                <w:webHidden/>
              </w:rPr>
              <w:fldChar w:fldCharType="begin"/>
            </w:r>
            <w:r>
              <w:rPr>
                <w:noProof/>
                <w:webHidden/>
              </w:rPr>
              <w:instrText xml:space="preserve"> PAGEREF _Toc216957826 \h </w:instrText>
            </w:r>
            <w:r>
              <w:rPr>
                <w:noProof/>
                <w:webHidden/>
              </w:rPr>
            </w:r>
            <w:r>
              <w:rPr>
                <w:noProof/>
                <w:webHidden/>
              </w:rPr>
              <w:fldChar w:fldCharType="separate"/>
            </w:r>
            <w:r>
              <w:rPr>
                <w:noProof/>
                <w:webHidden/>
              </w:rPr>
              <w:t>3</w:t>
            </w:r>
            <w:r>
              <w:rPr>
                <w:noProof/>
                <w:webHidden/>
              </w:rPr>
              <w:fldChar w:fldCharType="end"/>
            </w:r>
          </w:hyperlink>
        </w:p>
        <w:p w14:paraId="0E1E9F5D" w14:textId="2C44DC71" w:rsidR="00300A65" w:rsidRDefault="00300A65">
          <w:pPr>
            <w:pStyle w:val="TOC3"/>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27" w:history="1">
            <w:r w:rsidRPr="008C1A8B">
              <w:rPr>
                <w:rStyle w:val="Hyperlink"/>
                <w:noProof/>
                <w:lang w:val="en-GB"/>
              </w:rPr>
              <w:t>2.1 Higher Rates of Mental Health Conditions (Disease 1)</w:t>
            </w:r>
            <w:r>
              <w:rPr>
                <w:noProof/>
                <w:webHidden/>
              </w:rPr>
              <w:tab/>
            </w:r>
            <w:r>
              <w:rPr>
                <w:noProof/>
                <w:webHidden/>
              </w:rPr>
              <w:fldChar w:fldCharType="begin"/>
            </w:r>
            <w:r>
              <w:rPr>
                <w:noProof/>
                <w:webHidden/>
              </w:rPr>
              <w:instrText xml:space="preserve"> PAGEREF _Toc216957827 \h </w:instrText>
            </w:r>
            <w:r>
              <w:rPr>
                <w:noProof/>
                <w:webHidden/>
              </w:rPr>
            </w:r>
            <w:r>
              <w:rPr>
                <w:noProof/>
                <w:webHidden/>
              </w:rPr>
              <w:fldChar w:fldCharType="separate"/>
            </w:r>
            <w:r>
              <w:rPr>
                <w:noProof/>
                <w:webHidden/>
              </w:rPr>
              <w:t>3</w:t>
            </w:r>
            <w:r>
              <w:rPr>
                <w:noProof/>
                <w:webHidden/>
              </w:rPr>
              <w:fldChar w:fldCharType="end"/>
            </w:r>
          </w:hyperlink>
        </w:p>
        <w:p w14:paraId="47D47279" w14:textId="185C37FC" w:rsidR="00300A65" w:rsidRDefault="00300A65">
          <w:pPr>
            <w:pStyle w:val="TOC3"/>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28" w:history="1">
            <w:r w:rsidRPr="008C1A8B">
              <w:rPr>
                <w:rStyle w:val="Hyperlink"/>
                <w:noProof/>
                <w:lang w:val="en-GB"/>
              </w:rPr>
              <w:t>2.2 Increased Prevalence of Long-Term Conditions (Disease 2)</w:t>
            </w:r>
            <w:r>
              <w:rPr>
                <w:noProof/>
                <w:webHidden/>
              </w:rPr>
              <w:tab/>
            </w:r>
            <w:r>
              <w:rPr>
                <w:noProof/>
                <w:webHidden/>
              </w:rPr>
              <w:fldChar w:fldCharType="begin"/>
            </w:r>
            <w:r>
              <w:rPr>
                <w:noProof/>
                <w:webHidden/>
              </w:rPr>
              <w:instrText xml:space="preserve"> PAGEREF _Toc216957828 \h </w:instrText>
            </w:r>
            <w:r>
              <w:rPr>
                <w:noProof/>
                <w:webHidden/>
              </w:rPr>
            </w:r>
            <w:r>
              <w:rPr>
                <w:noProof/>
                <w:webHidden/>
              </w:rPr>
              <w:fldChar w:fldCharType="separate"/>
            </w:r>
            <w:r>
              <w:rPr>
                <w:noProof/>
                <w:webHidden/>
              </w:rPr>
              <w:t>3</w:t>
            </w:r>
            <w:r>
              <w:rPr>
                <w:noProof/>
                <w:webHidden/>
              </w:rPr>
              <w:fldChar w:fldCharType="end"/>
            </w:r>
          </w:hyperlink>
        </w:p>
        <w:p w14:paraId="3C3874EF" w14:textId="38797D11" w:rsidR="00300A65" w:rsidRDefault="00300A65">
          <w:pPr>
            <w:pStyle w:val="TOC3"/>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29" w:history="1">
            <w:r w:rsidRPr="008C1A8B">
              <w:rPr>
                <w:rStyle w:val="Hyperlink"/>
                <w:noProof/>
                <w:lang w:val="en-GB"/>
              </w:rPr>
              <w:t>2.3 Higher Mortality and Reduced Life Expectancy (Disease 3)</w:t>
            </w:r>
            <w:r>
              <w:rPr>
                <w:noProof/>
                <w:webHidden/>
              </w:rPr>
              <w:tab/>
            </w:r>
            <w:r>
              <w:rPr>
                <w:noProof/>
                <w:webHidden/>
              </w:rPr>
              <w:fldChar w:fldCharType="begin"/>
            </w:r>
            <w:r>
              <w:rPr>
                <w:noProof/>
                <w:webHidden/>
              </w:rPr>
              <w:instrText xml:space="preserve"> PAGEREF _Toc216957829 \h </w:instrText>
            </w:r>
            <w:r>
              <w:rPr>
                <w:noProof/>
                <w:webHidden/>
              </w:rPr>
            </w:r>
            <w:r>
              <w:rPr>
                <w:noProof/>
                <w:webHidden/>
              </w:rPr>
              <w:fldChar w:fldCharType="separate"/>
            </w:r>
            <w:r>
              <w:rPr>
                <w:noProof/>
                <w:webHidden/>
              </w:rPr>
              <w:t>4</w:t>
            </w:r>
            <w:r>
              <w:rPr>
                <w:noProof/>
                <w:webHidden/>
              </w:rPr>
              <w:fldChar w:fldCharType="end"/>
            </w:r>
          </w:hyperlink>
        </w:p>
        <w:p w14:paraId="5CEABAA8" w14:textId="0489BD39" w:rsidR="00300A65" w:rsidRDefault="00300A65">
          <w:pPr>
            <w:pStyle w:val="TOC3"/>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0" w:history="1">
            <w:r w:rsidRPr="008C1A8B">
              <w:rPr>
                <w:rStyle w:val="Hyperlink"/>
                <w:noProof/>
                <w:lang w:val="en-GB"/>
              </w:rPr>
              <w:t>2.4 Social Isolation and Loneliness (Social Issue 1)</w:t>
            </w:r>
            <w:r>
              <w:rPr>
                <w:noProof/>
                <w:webHidden/>
              </w:rPr>
              <w:tab/>
            </w:r>
            <w:r>
              <w:rPr>
                <w:noProof/>
                <w:webHidden/>
              </w:rPr>
              <w:fldChar w:fldCharType="begin"/>
            </w:r>
            <w:r>
              <w:rPr>
                <w:noProof/>
                <w:webHidden/>
              </w:rPr>
              <w:instrText xml:space="preserve"> PAGEREF _Toc216957830 \h </w:instrText>
            </w:r>
            <w:r>
              <w:rPr>
                <w:noProof/>
                <w:webHidden/>
              </w:rPr>
            </w:r>
            <w:r>
              <w:rPr>
                <w:noProof/>
                <w:webHidden/>
              </w:rPr>
              <w:fldChar w:fldCharType="separate"/>
            </w:r>
            <w:r>
              <w:rPr>
                <w:noProof/>
                <w:webHidden/>
              </w:rPr>
              <w:t>4</w:t>
            </w:r>
            <w:r>
              <w:rPr>
                <w:noProof/>
                <w:webHidden/>
              </w:rPr>
              <w:fldChar w:fldCharType="end"/>
            </w:r>
          </w:hyperlink>
        </w:p>
        <w:p w14:paraId="3407A3F6" w14:textId="5E099819" w:rsidR="00300A65" w:rsidRDefault="00300A65">
          <w:pPr>
            <w:pStyle w:val="TOC3"/>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1" w:history="1">
            <w:r w:rsidRPr="008C1A8B">
              <w:rPr>
                <w:rStyle w:val="Hyperlink"/>
                <w:noProof/>
                <w:lang w:val="en-GB"/>
              </w:rPr>
              <w:t>2.5 Poverty and Financial Insecurity (Social Issue 2)</w:t>
            </w:r>
            <w:r>
              <w:rPr>
                <w:noProof/>
                <w:webHidden/>
              </w:rPr>
              <w:tab/>
            </w:r>
            <w:r>
              <w:rPr>
                <w:noProof/>
                <w:webHidden/>
              </w:rPr>
              <w:fldChar w:fldCharType="begin"/>
            </w:r>
            <w:r>
              <w:rPr>
                <w:noProof/>
                <w:webHidden/>
              </w:rPr>
              <w:instrText xml:space="preserve"> PAGEREF _Toc216957831 \h </w:instrText>
            </w:r>
            <w:r>
              <w:rPr>
                <w:noProof/>
                <w:webHidden/>
              </w:rPr>
            </w:r>
            <w:r>
              <w:rPr>
                <w:noProof/>
                <w:webHidden/>
              </w:rPr>
              <w:fldChar w:fldCharType="separate"/>
            </w:r>
            <w:r>
              <w:rPr>
                <w:noProof/>
                <w:webHidden/>
              </w:rPr>
              <w:t>4</w:t>
            </w:r>
            <w:r>
              <w:rPr>
                <w:noProof/>
                <w:webHidden/>
              </w:rPr>
              <w:fldChar w:fldCharType="end"/>
            </w:r>
          </w:hyperlink>
        </w:p>
        <w:p w14:paraId="2429E18C" w14:textId="3979600E" w:rsidR="00300A65" w:rsidRDefault="00300A65">
          <w:pPr>
            <w:pStyle w:val="TOC3"/>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2" w:history="1">
            <w:r w:rsidRPr="008C1A8B">
              <w:rPr>
                <w:rStyle w:val="Hyperlink"/>
                <w:noProof/>
                <w:lang w:val="en-GB"/>
              </w:rPr>
              <w:t>2.6 Housing and Living Conditions (Social Issue 3)</w:t>
            </w:r>
            <w:r>
              <w:rPr>
                <w:noProof/>
                <w:webHidden/>
              </w:rPr>
              <w:tab/>
            </w:r>
            <w:r>
              <w:rPr>
                <w:noProof/>
                <w:webHidden/>
              </w:rPr>
              <w:fldChar w:fldCharType="begin"/>
            </w:r>
            <w:r>
              <w:rPr>
                <w:noProof/>
                <w:webHidden/>
              </w:rPr>
              <w:instrText xml:space="preserve"> PAGEREF _Toc216957832 \h </w:instrText>
            </w:r>
            <w:r>
              <w:rPr>
                <w:noProof/>
                <w:webHidden/>
              </w:rPr>
            </w:r>
            <w:r>
              <w:rPr>
                <w:noProof/>
                <w:webHidden/>
              </w:rPr>
              <w:fldChar w:fldCharType="separate"/>
            </w:r>
            <w:r>
              <w:rPr>
                <w:noProof/>
                <w:webHidden/>
              </w:rPr>
              <w:t>5</w:t>
            </w:r>
            <w:r>
              <w:rPr>
                <w:noProof/>
                <w:webHidden/>
              </w:rPr>
              <w:fldChar w:fldCharType="end"/>
            </w:r>
          </w:hyperlink>
        </w:p>
        <w:p w14:paraId="75BE6EC7" w14:textId="00FC1F33"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3" w:history="1">
            <w:r w:rsidRPr="008C1A8B">
              <w:rPr>
                <w:rStyle w:val="Hyperlink"/>
                <w:noProof/>
                <w:lang w:val="en-GB"/>
              </w:rPr>
              <w:t>3. National Response to Reduce Age-Related Health Inequalities</w:t>
            </w:r>
            <w:r>
              <w:rPr>
                <w:noProof/>
                <w:webHidden/>
              </w:rPr>
              <w:tab/>
            </w:r>
            <w:r>
              <w:rPr>
                <w:noProof/>
                <w:webHidden/>
              </w:rPr>
              <w:fldChar w:fldCharType="begin"/>
            </w:r>
            <w:r>
              <w:rPr>
                <w:noProof/>
                <w:webHidden/>
              </w:rPr>
              <w:instrText xml:space="preserve"> PAGEREF _Toc216957833 \h </w:instrText>
            </w:r>
            <w:r>
              <w:rPr>
                <w:noProof/>
                <w:webHidden/>
              </w:rPr>
            </w:r>
            <w:r>
              <w:rPr>
                <w:noProof/>
                <w:webHidden/>
              </w:rPr>
              <w:fldChar w:fldCharType="separate"/>
            </w:r>
            <w:r>
              <w:rPr>
                <w:noProof/>
                <w:webHidden/>
              </w:rPr>
              <w:t>5</w:t>
            </w:r>
            <w:r>
              <w:rPr>
                <w:noProof/>
                <w:webHidden/>
              </w:rPr>
              <w:fldChar w:fldCharType="end"/>
            </w:r>
          </w:hyperlink>
        </w:p>
        <w:p w14:paraId="25ACCDF8" w14:textId="00DF6F56"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4" w:history="1">
            <w:r w:rsidRPr="008C1A8B">
              <w:rPr>
                <w:rStyle w:val="Hyperlink"/>
                <w:noProof/>
                <w:lang w:val="en-GB"/>
              </w:rPr>
              <w:t>4. Organisation Supporting Older Adults</w:t>
            </w:r>
            <w:r>
              <w:rPr>
                <w:noProof/>
                <w:webHidden/>
              </w:rPr>
              <w:tab/>
            </w:r>
            <w:r>
              <w:rPr>
                <w:noProof/>
                <w:webHidden/>
              </w:rPr>
              <w:fldChar w:fldCharType="begin"/>
            </w:r>
            <w:r>
              <w:rPr>
                <w:noProof/>
                <w:webHidden/>
              </w:rPr>
              <w:instrText xml:space="preserve"> PAGEREF _Toc216957834 \h </w:instrText>
            </w:r>
            <w:r>
              <w:rPr>
                <w:noProof/>
                <w:webHidden/>
              </w:rPr>
            </w:r>
            <w:r>
              <w:rPr>
                <w:noProof/>
                <w:webHidden/>
              </w:rPr>
              <w:fldChar w:fldCharType="separate"/>
            </w:r>
            <w:r>
              <w:rPr>
                <w:noProof/>
                <w:webHidden/>
              </w:rPr>
              <w:t>5</w:t>
            </w:r>
            <w:r>
              <w:rPr>
                <w:noProof/>
                <w:webHidden/>
              </w:rPr>
              <w:fldChar w:fldCharType="end"/>
            </w:r>
          </w:hyperlink>
        </w:p>
        <w:p w14:paraId="7166585D" w14:textId="32530976"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5" w:history="1">
            <w:r w:rsidRPr="008C1A8B">
              <w:rPr>
                <w:rStyle w:val="Hyperlink"/>
                <w:noProof/>
                <w:lang w:val="en-GB"/>
              </w:rPr>
              <w:t>5. Conclusion</w:t>
            </w:r>
            <w:r>
              <w:rPr>
                <w:noProof/>
                <w:webHidden/>
              </w:rPr>
              <w:tab/>
            </w:r>
            <w:r>
              <w:rPr>
                <w:noProof/>
                <w:webHidden/>
              </w:rPr>
              <w:fldChar w:fldCharType="begin"/>
            </w:r>
            <w:r>
              <w:rPr>
                <w:noProof/>
                <w:webHidden/>
              </w:rPr>
              <w:instrText xml:space="preserve"> PAGEREF _Toc216957835 \h </w:instrText>
            </w:r>
            <w:r>
              <w:rPr>
                <w:noProof/>
                <w:webHidden/>
              </w:rPr>
            </w:r>
            <w:r>
              <w:rPr>
                <w:noProof/>
                <w:webHidden/>
              </w:rPr>
              <w:fldChar w:fldCharType="separate"/>
            </w:r>
            <w:r>
              <w:rPr>
                <w:noProof/>
                <w:webHidden/>
              </w:rPr>
              <w:t>5</w:t>
            </w:r>
            <w:r>
              <w:rPr>
                <w:noProof/>
                <w:webHidden/>
              </w:rPr>
              <w:fldChar w:fldCharType="end"/>
            </w:r>
          </w:hyperlink>
        </w:p>
        <w:p w14:paraId="7E58ED9B" w14:textId="043F6643" w:rsidR="00300A65" w:rsidRDefault="00300A65">
          <w:pPr>
            <w:pStyle w:val="TOC1"/>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6" w:history="1">
            <w:r w:rsidRPr="008C1A8B">
              <w:rPr>
                <w:rStyle w:val="Hyperlink"/>
                <w:noProof/>
                <w:lang w:val="en-GB"/>
              </w:rPr>
              <w:t>TASK 2: Epidemiological Analysis</w:t>
            </w:r>
            <w:r>
              <w:rPr>
                <w:noProof/>
                <w:webHidden/>
              </w:rPr>
              <w:tab/>
            </w:r>
            <w:r>
              <w:rPr>
                <w:noProof/>
                <w:webHidden/>
              </w:rPr>
              <w:fldChar w:fldCharType="begin"/>
            </w:r>
            <w:r>
              <w:rPr>
                <w:noProof/>
                <w:webHidden/>
              </w:rPr>
              <w:instrText xml:space="preserve"> PAGEREF _Toc216957836 \h </w:instrText>
            </w:r>
            <w:r>
              <w:rPr>
                <w:noProof/>
                <w:webHidden/>
              </w:rPr>
            </w:r>
            <w:r>
              <w:rPr>
                <w:noProof/>
                <w:webHidden/>
              </w:rPr>
              <w:fldChar w:fldCharType="separate"/>
            </w:r>
            <w:r>
              <w:rPr>
                <w:noProof/>
                <w:webHidden/>
              </w:rPr>
              <w:t>6</w:t>
            </w:r>
            <w:r>
              <w:rPr>
                <w:noProof/>
                <w:webHidden/>
              </w:rPr>
              <w:fldChar w:fldCharType="end"/>
            </w:r>
          </w:hyperlink>
        </w:p>
        <w:p w14:paraId="34A03D09" w14:textId="3297B727" w:rsidR="00300A65" w:rsidRDefault="00300A65">
          <w:pPr>
            <w:pStyle w:val="TOC2"/>
            <w:tabs>
              <w:tab w:val="right" w:leader="dot" w:pos="9350"/>
            </w:tabs>
          </w:pPr>
          <w:hyperlink w:anchor="_Toc216957837" w:history="1">
            <w:r w:rsidRPr="008C1A8B">
              <w:rPr>
                <w:rStyle w:val="Hyperlink"/>
                <w:noProof/>
                <w:lang w:val="en-GB"/>
              </w:rPr>
              <w:t>1. Introduction</w:t>
            </w:r>
            <w:r>
              <w:rPr>
                <w:noProof/>
                <w:webHidden/>
              </w:rPr>
              <w:tab/>
            </w:r>
            <w:r>
              <w:rPr>
                <w:noProof/>
                <w:webHidden/>
              </w:rPr>
              <w:fldChar w:fldCharType="begin"/>
            </w:r>
            <w:r>
              <w:rPr>
                <w:noProof/>
                <w:webHidden/>
              </w:rPr>
              <w:instrText xml:space="preserve"> PAGEREF _Toc216957837 \h </w:instrText>
            </w:r>
            <w:r>
              <w:rPr>
                <w:noProof/>
                <w:webHidden/>
              </w:rPr>
            </w:r>
            <w:r>
              <w:rPr>
                <w:noProof/>
                <w:webHidden/>
              </w:rPr>
              <w:fldChar w:fldCharType="separate"/>
            </w:r>
            <w:r>
              <w:rPr>
                <w:noProof/>
                <w:webHidden/>
              </w:rPr>
              <w:t>6</w:t>
            </w:r>
            <w:r>
              <w:rPr>
                <w:noProof/>
                <w:webHidden/>
              </w:rPr>
              <w:fldChar w:fldCharType="end"/>
            </w:r>
          </w:hyperlink>
          <w:r w:rsidR="00944E5C">
            <w:t xml:space="preserve">  </w:t>
          </w:r>
        </w:p>
        <w:p w14:paraId="7AC29FCD" w14:textId="06C3DB3D" w:rsidR="00944E5C" w:rsidRPr="000406C6" w:rsidRDefault="00944E5C" w:rsidP="00944E5C">
          <w:pPr>
            <w:rPr>
              <w:b/>
              <w:bCs/>
              <w:color w:val="1F497D" w:themeColor="text2"/>
              <w:lang w:val="en-IN"/>
            </w:rPr>
          </w:pPr>
        </w:p>
        <w:p w14:paraId="02524123" w14:textId="0FCEFC0B" w:rsidR="00300A65" w:rsidRDefault="00552521">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r>
            <w:t xml:space="preserve"> </w:t>
          </w:r>
          <w:hyperlink w:anchor="_Toc216957838" w:history="1">
            <w:r w:rsidR="00300A65" w:rsidRPr="008C1A8B">
              <w:rPr>
                <w:rStyle w:val="Hyperlink"/>
                <w:noProof/>
                <w:lang w:val="en-GB"/>
              </w:rPr>
              <w:t>2. Public Health Measures Using the 3 P’s</w:t>
            </w:r>
            <w:r w:rsidR="00300A65">
              <w:rPr>
                <w:noProof/>
                <w:webHidden/>
              </w:rPr>
              <w:tab/>
            </w:r>
            <w:r w:rsidR="00300A65">
              <w:rPr>
                <w:noProof/>
                <w:webHidden/>
              </w:rPr>
              <w:fldChar w:fldCharType="begin"/>
            </w:r>
            <w:r w:rsidR="00300A65">
              <w:rPr>
                <w:noProof/>
                <w:webHidden/>
              </w:rPr>
              <w:instrText xml:space="preserve"> PAGEREF _Toc216957838 \h </w:instrText>
            </w:r>
            <w:r w:rsidR="00300A65">
              <w:rPr>
                <w:noProof/>
                <w:webHidden/>
              </w:rPr>
            </w:r>
            <w:r w:rsidR="00300A65">
              <w:rPr>
                <w:noProof/>
                <w:webHidden/>
              </w:rPr>
              <w:fldChar w:fldCharType="separate"/>
            </w:r>
            <w:r w:rsidR="00300A65">
              <w:rPr>
                <w:noProof/>
                <w:webHidden/>
              </w:rPr>
              <w:t>6</w:t>
            </w:r>
            <w:r w:rsidR="00300A65">
              <w:rPr>
                <w:noProof/>
                <w:webHidden/>
              </w:rPr>
              <w:fldChar w:fldCharType="end"/>
            </w:r>
          </w:hyperlink>
        </w:p>
        <w:p w14:paraId="28999E67" w14:textId="3E0D9B1D"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9" w:history="1">
            <w:r w:rsidRPr="008C1A8B">
              <w:rPr>
                <w:rStyle w:val="Hyperlink"/>
                <w:noProof/>
                <w:lang w:val="en-GB"/>
              </w:rPr>
              <w:t>3. Key Determinants and Risk Factors</w:t>
            </w:r>
            <w:r>
              <w:rPr>
                <w:noProof/>
                <w:webHidden/>
              </w:rPr>
              <w:tab/>
            </w:r>
            <w:r>
              <w:rPr>
                <w:noProof/>
                <w:webHidden/>
              </w:rPr>
              <w:fldChar w:fldCharType="begin"/>
            </w:r>
            <w:r>
              <w:rPr>
                <w:noProof/>
                <w:webHidden/>
              </w:rPr>
              <w:instrText xml:space="preserve"> PAGEREF _Toc216957839 \h </w:instrText>
            </w:r>
            <w:r>
              <w:rPr>
                <w:noProof/>
                <w:webHidden/>
              </w:rPr>
            </w:r>
            <w:r>
              <w:rPr>
                <w:noProof/>
                <w:webHidden/>
              </w:rPr>
              <w:fldChar w:fldCharType="separate"/>
            </w:r>
            <w:r>
              <w:rPr>
                <w:noProof/>
                <w:webHidden/>
              </w:rPr>
              <w:t>7</w:t>
            </w:r>
            <w:r>
              <w:rPr>
                <w:noProof/>
                <w:webHidden/>
              </w:rPr>
              <w:fldChar w:fldCharType="end"/>
            </w:r>
          </w:hyperlink>
        </w:p>
        <w:p w14:paraId="285EA239" w14:textId="6717CF38"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40" w:history="1">
            <w:r w:rsidRPr="008C1A8B">
              <w:rPr>
                <w:rStyle w:val="Hyperlink"/>
                <w:noProof/>
                <w:lang w:val="en-GB"/>
              </w:rPr>
              <w:t>4. Identifying At-Risk Populations Using Epidemiology</w:t>
            </w:r>
            <w:r>
              <w:rPr>
                <w:noProof/>
                <w:webHidden/>
              </w:rPr>
              <w:tab/>
            </w:r>
            <w:r>
              <w:rPr>
                <w:noProof/>
                <w:webHidden/>
              </w:rPr>
              <w:fldChar w:fldCharType="begin"/>
            </w:r>
            <w:r>
              <w:rPr>
                <w:noProof/>
                <w:webHidden/>
              </w:rPr>
              <w:instrText xml:space="preserve"> PAGEREF _Toc216957840 \h </w:instrText>
            </w:r>
            <w:r>
              <w:rPr>
                <w:noProof/>
                <w:webHidden/>
              </w:rPr>
            </w:r>
            <w:r>
              <w:rPr>
                <w:noProof/>
                <w:webHidden/>
              </w:rPr>
              <w:fldChar w:fldCharType="separate"/>
            </w:r>
            <w:r>
              <w:rPr>
                <w:noProof/>
                <w:webHidden/>
              </w:rPr>
              <w:t>8</w:t>
            </w:r>
            <w:r>
              <w:rPr>
                <w:noProof/>
                <w:webHidden/>
              </w:rPr>
              <w:fldChar w:fldCharType="end"/>
            </w:r>
          </w:hyperlink>
        </w:p>
        <w:p w14:paraId="51823627" w14:textId="0FD46621"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41" w:history="1">
            <w:r w:rsidRPr="008C1A8B">
              <w:rPr>
                <w:rStyle w:val="Hyperlink"/>
                <w:noProof/>
                <w:lang w:val="en-GB"/>
              </w:rPr>
              <w:t>5. Surveillance and Monitoring Systems</w:t>
            </w:r>
            <w:r>
              <w:rPr>
                <w:noProof/>
                <w:webHidden/>
              </w:rPr>
              <w:tab/>
            </w:r>
            <w:r>
              <w:rPr>
                <w:noProof/>
                <w:webHidden/>
              </w:rPr>
              <w:fldChar w:fldCharType="begin"/>
            </w:r>
            <w:r>
              <w:rPr>
                <w:noProof/>
                <w:webHidden/>
              </w:rPr>
              <w:instrText xml:space="preserve"> PAGEREF _Toc216957841 \h </w:instrText>
            </w:r>
            <w:r>
              <w:rPr>
                <w:noProof/>
                <w:webHidden/>
              </w:rPr>
            </w:r>
            <w:r>
              <w:rPr>
                <w:noProof/>
                <w:webHidden/>
              </w:rPr>
              <w:fldChar w:fldCharType="separate"/>
            </w:r>
            <w:r>
              <w:rPr>
                <w:noProof/>
                <w:webHidden/>
              </w:rPr>
              <w:t>8</w:t>
            </w:r>
            <w:r>
              <w:rPr>
                <w:noProof/>
                <w:webHidden/>
              </w:rPr>
              <w:fldChar w:fldCharType="end"/>
            </w:r>
          </w:hyperlink>
        </w:p>
        <w:p w14:paraId="0B646105" w14:textId="65FAEF32"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42" w:history="1">
            <w:r w:rsidRPr="008C1A8B">
              <w:rPr>
                <w:rStyle w:val="Hyperlink"/>
                <w:noProof/>
                <w:lang w:val="en-GB"/>
              </w:rPr>
              <w:t>6. Intervention Design and Evaluation</w:t>
            </w:r>
            <w:r>
              <w:rPr>
                <w:noProof/>
                <w:webHidden/>
              </w:rPr>
              <w:tab/>
            </w:r>
            <w:r>
              <w:rPr>
                <w:noProof/>
                <w:webHidden/>
              </w:rPr>
              <w:fldChar w:fldCharType="begin"/>
            </w:r>
            <w:r>
              <w:rPr>
                <w:noProof/>
                <w:webHidden/>
              </w:rPr>
              <w:instrText xml:space="preserve"> PAGEREF _Toc216957842 \h </w:instrText>
            </w:r>
            <w:r>
              <w:rPr>
                <w:noProof/>
                <w:webHidden/>
              </w:rPr>
            </w:r>
            <w:r>
              <w:rPr>
                <w:noProof/>
                <w:webHidden/>
              </w:rPr>
              <w:fldChar w:fldCharType="separate"/>
            </w:r>
            <w:r>
              <w:rPr>
                <w:noProof/>
                <w:webHidden/>
              </w:rPr>
              <w:t>9</w:t>
            </w:r>
            <w:r>
              <w:rPr>
                <w:noProof/>
                <w:webHidden/>
              </w:rPr>
              <w:fldChar w:fldCharType="end"/>
            </w:r>
          </w:hyperlink>
        </w:p>
        <w:p w14:paraId="24EAB10B" w14:textId="1C5592E6"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43" w:history="1">
            <w:r w:rsidRPr="008C1A8B">
              <w:rPr>
                <w:rStyle w:val="Hyperlink"/>
                <w:noProof/>
                <w:lang w:val="en-GB"/>
              </w:rPr>
              <w:t>7. Strengths and Limitations of the Epidemiological Approach</w:t>
            </w:r>
            <w:r>
              <w:rPr>
                <w:noProof/>
                <w:webHidden/>
              </w:rPr>
              <w:tab/>
            </w:r>
            <w:r>
              <w:rPr>
                <w:noProof/>
                <w:webHidden/>
              </w:rPr>
              <w:fldChar w:fldCharType="begin"/>
            </w:r>
            <w:r>
              <w:rPr>
                <w:noProof/>
                <w:webHidden/>
              </w:rPr>
              <w:instrText xml:space="preserve"> PAGEREF _Toc216957843 \h </w:instrText>
            </w:r>
            <w:r>
              <w:rPr>
                <w:noProof/>
                <w:webHidden/>
              </w:rPr>
            </w:r>
            <w:r>
              <w:rPr>
                <w:noProof/>
                <w:webHidden/>
              </w:rPr>
              <w:fldChar w:fldCharType="separate"/>
            </w:r>
            <w:r>
              <w:rPr>
                <w:noProof/>
                <w:webHidden/>
              </w:rPr>
              <w:t>9</w:t>
            </w:r>
            <w:r>
              <w:rPr>
                <w:noProof/>
                <w:webHidden/>
              </w:rPr>
              <w:fldChar w:fldCharType="end"/>
            </w:r>
          </w:hyperlink>
        </w:p>
        <w:p w14:paraId="5A96BDA0" w14:textId="58B6E11B"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44" w:history="1">
            <w:r w:rsidRPr="008C1A8B">
              <w:rPr>
                <w:rStyle w:val="Hyperlink"/>
                <w:noProof/>
                <w:lang w:val="en-GB"/>
              </w:rPr>
              <w:t>8. Conclusion</w:t>
            </w:r>
            <w:r>
              <w:rPr>
                <w:noProof/>
                <w:webHidden/>
              </w:rPr>
              <w:tab/>
            </w:r>
            <w:r>
              <w:rPr>
                <w:noProof/>
                <w:webHidden/>
              </w:rPr>
              <w:fldChar w:fldCharType="begin"/>
            </w:r>
            <w:r>
              <w:rPr>
                <w:noProof/>
                <w:webHidden/>
              </w:rPr>
              <w:instrText xml:space="preserve"> PAGEREF _Toc216957844 \h </w:instrText>
            </w:r>
            <w:r>
              <w:rPr>
                <w:noProof/>
                <w:webHidden/>
              </w:rPr>
            </w:r>
            <w:r>
              <w:rPr>
                <w:noProof/>
                <w:webHidden/>
              </w:rPr>
              <w:fldChar w:fldCharType="separate"/>
            </w:r>
            <w:r>
              <w:rPr>
                <w:noProof/>
                <w:webHidden/>
              </w:rPr>
              <w:t>10</w:t>
            </w:r>
            <w:r>
              <w:rPr>
                <w:noProof/>
                <w:webHidden/>
              </w:rPr>
              <w:fldChar w:fldCharType="end"/>
            </w:r>
          </w:hyperlink>
        </w:p>
        <w:p w14:paraId="63F579AA" w14:textId="00F9DDF1" w:rsidR="00300A65" w:rsidRDefault="00300A65">
          <w:pPr>
            <w:pStyle w:val="TOC1"/>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45" w:history="1">
            <w:r w:rsidRPr="008C1A8B">
              <w:rPr>
                <w:rStyle w:val="Hyperlink"/>
                <w:noProof/>
                <w:lang w:val="en-GB"/>
              </w:rPr>
              <w:t>References</w:t>
            </w:r>
            <w:r>
              <w:rPr>
                <w:noProof/>
                <w:webHidden/>
              </w:rPr>
              <w:tab/>
            </w:r>
            <w:r>
              <w:rPr>
                <w:noProof/>
                <w:webHidden/>
              </w:rPr>
              <w:fldChar w:fldCharType="begin"/>
            </w:r>
            <w:r>
              <w:rPr>
                <w:noProof/>
                <w:webHidden/>
              </w:rPr>
              <w:instrText xml:space="preserve"> PAGEREF _Toc216957845 \h </w:instrText>
            </w:r>
            <w:r>
              <w:rPr>
                <w:noProof/>
                <w:webHidden/>
              </w:rPr>
            </w:r>
            <w:r>
              <w:rPr>
                <w:noProof/>
                <w:webHidden/>
              </w:rPr>
              <w:fldChar w:fldCharType="separate"/>
            </w:r>
            <w:r>
              <w:rPr>
                <w:noProof/>
                <w:webHidden/>
              </w:rPr>
              <w:t>11</w:t>
            </w:r>
            <w:r>
              <w:rPr>
                <w:noProof/>
                <w:webHidden/>
              </w:rPr>
              <w:fldChar w:fldCharType="end"/>
            </w:r>
          </w:hyperlink>
        </w:p>
        <w:p w14:paraId="3DBFE3EB" w14:textId="5B496717" w:rsidR="00FC7BF0" w:rsidRPr="00E45E2C" w:rsidRDefault="00FC7BF0" w:rsidP="00FC7BF0">
          <w:pPr>
            <w:spacing w:line="360" w:lineRule="auto"/>
            <w:rPr>
              <w:rFonts w:ascii="Times New Roman" w:hAnsi="Times New Roman" w:cs="Times New Roman"/>
              <w:sz w:val="24"/>
              <w:szCs w:val="24"/>
              <w:lang w:val="en-GB"/>
            </w:rPr>
          </w:pPr>
          <w:r w:rsidRPr="00E45E2C">
            <w:rPr>
              <w:rFonts w:ascii="Times New Roman" w:hAnsi="Times New Roman" w:cs="Times New Roman"/>
              <w:b/>
              <w:bCs/>
              <w:noProof/>
              <w:sz w:val="24"/>
              <w:szCs w:val="24"/>
              <w:lang w:val="en-GB"/>
            </w:rPr>
            <w:fldChar w:fldCharType="end"/>
          </w:r>
        </w:p>
      </w:sdtContent>
    </w:sdt>
    <w:p w14:paraId="0000000C" w14:textId="77777777" w:rsidR="001B45F4" w:rsidRPr="00E45E2C" w:rsidRDefault="00A66082" w:rsidP="00FC7BF0">
      <w:pPr>
        <w:spacing w:line="360" w:lineRule="auto"/>
        <w:jc w:val="both"/>
        <w:rPr>
          <w:rFonts w:ascii="Times New Roman" w:eastAsia="Times New Roman" w:hAnsi="Times New Roman" w:cs="Times New Roman"/>
          <w:sz w:val="24"/>
          <w:szCs w:val="24"/>
          <w:lang w:val="en-GB"/>
        </w:rPr>
      </w:pPr>
      <w:r w:rsidRPr="00E45E2C">
        <w:rPr>
          <w:rFonts w:ascii="Times New Roman" w:hAnsi="Times New Roman" w:cs="Times New Roman"/>
          <w:sz w:val="24"/>
          <w:szCs w:val="24"/>
          <w:lang w:val="en-GB"/>
        </w:rPr>
        <w:br w:type="page"/>
      </w:r>
    </w:p>
    <w:p w14:paraId="0000000D" w14:textId="77777777" w:rsidR="001B45F4" w:rsidRPr="00E45E2C" w:rsidRDefault="00A66082" w:rsidP="00BE44AA">
      <w:pPr>
        <w:pStyle w:val="Heading1"/>
        <w:spacing w:before="240" w:after="240"/>
        <w:jc w:val="both"/>
        <w:rPr>
          <w:rFonts w:ascii="Arial" w:hAnsi="Arial" w:cs="Arial"/>
          <w:sz w:val="22"/>
          <w:szCs w:val="22"/>
          <w:lang w:val="en-GB"/>
        </w:rPr>
      </w:pPr>
      <w:bookmarkStart w:id="0" w:name="_ce6rolfjgj7r" w:colFirst="0" w:colLast="0"/>
      <w:bookmarkStart w:id="1" w:name="_Toc216957824"/>
      <w:bookmarkEnd w:id="0"/>
      <w:r w:rsidRPr="00E45E2C">
        <w:rPr>
          <w:rFonts w:ascii="Arial" w:hAnsi="Arial" w:cs="Arial"/>
          <w:sz w:val="22"/>
          <w:szCs w:val="22"/>
          <w:lang w:val="en-GB"/>
        </w:rPr>
        <w:t>Task 1: Social Epidemiological Analysis</w:t>
      </w:r>
      <w:bookmarkEnd w:id="1"/>
      <w:r w:rsidRPr="00E45E2C">
        <w:rPr>
          <w:rFonts w:ascii="Arial" w:hAnsi="Arial" w:cs="Arial"/>
          <w:sz w:val="22"/>
          <w:szCs w:val="22"/>
          <w:lang w:val="en-GB"/>
        </w:rPr>
        <w:t xml:space="preserve"> </w:t>
      </w:r>
    </w:p>
    <w:p w14:paraId="0000000E"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Selected topic: Age and Health Inequalities </w:t>
      </w:r>
    </w:p>
    <w:p w14:paraId="00000010" w14:textId="4FA07A5E"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Target Group: Older adults (65 years of above) in the UK </w:t>
      </w:r>
      <w:r w:rsidR="00E45E2C">
        <w:rPr>
          <w:rFonts w:eastAsia="Times New Roman"/>
          <w:lang w:val="en-GB"/>
        </w:rPr>
        <w:t xml:space="preserve"> </w:t>
      </w:r>
    </w:p>
    <w:p w14:paraId="00000011" w14:textId="77777777" w:rsidR="001B45F4" w:rsidRPr="00E45E2C" w:rsidRDefault="00A66082" w:rsidP="00BE44AA">
      <w:pPr>
        <w:pStyle w:val="Heading2"/>
        <w:spacing w:before="240" w:after="240"/>
        <w:rPr>
          <w:rFonts w:ascii="Arial" w:hAnsi="Arial" w:cs="Arial"/>
          <w:sz w:val="22"/>
          <w:szCs w:val="22"/>
          <w:lang w:val="en-GB"/>
        </w:rPr>
      </w:pPr>
      <w:bookmarkStart w:id="2" w:name="_3j85q7fm5q3h" w:colFirst="0" w:colLast="0"/>
      <w:bookmarkStart w:id="3" w:name="_Toc216957825"/>
      <w:bookmarkEnd w:id="2"/>
      <w:r w:rsidRPr="00E45E2C">
        <w:rPr>
          <w:rFonts w:ascii="Arial" w:hAnsi="Arial" w:cs="Arial"/>
          <w:sz w:val="22"/>
          <w:szCs w:val="22"/>
          <w:lang w:val="en-GB"/>
        </w:rPr>
        <w:t>1. Introduction</w:t>
      </w:r>
      <w:bookmarkEnd w:id="3"/>
      <w:r w:rsidRPr="00E45E2C">
        <w:rPr>
          <w:rFonts w:ascii="Arial" w:hAnsi="Arial" w:cs="Arial"/>
          <w:sz w:val="22"/>
          <w:szCs w:val="22"/>
          <w:lang w:val="en-GB"/>
        </w:rPr>
        <w:t xml:space="preserve"> </w:t>
      </w:r>
    </w:p>
    <w:p w14:paraId="00000012" w14:textId="285384A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older adults, who refer to persons aged 65 years and above, constitute an increasing population in the UK, as well as one of the target populations facing the impact of health disparities. The concept of health inequalities can be defined as the systematic, preventable and unfair disparities in health and access to health care between populations (</w:t>
      </w:r>
      <w:proofErr w:type="spellStart"/>
      <w:r w:rsidRPr="00E45E2C">
        <w:rPr>
          <w:rFonts w:eastAsia="Times New Roman"/>
          <w:lang w:val="en-GB"/>
        </w:rPr>
        <w:t>Bonati</w:t>
      </w:r>
      <w:proofErr w:type="spellEnd"/>
      <w:r w:rsidRPr="00E45E2C">
        <w:rPr>
          <w:rFonts w:eastAsia="Times New Roman"/>
          <w:lang w:val="en-GB"/>
        </w:rPr>
        <w:t xml:space="preserve"> et al. 2021). Biological ageing processes, lifetime social and economic disadvantage, and increased reliance on health and social care services are more likely to create such inequalities in ageing populations, which would not be equally accessible. This study seeks to critically assess age-related health inequalities in the UK through the patterns of important diseases in older adults and social factors.</w:t>
      </w:r>
      <w:r w:rsidR="008911C0">
        <w:rPr>
          <w:rFonts w:eastAsia="Times New Roman"/>
          <w:lang w:val="en-GB"/>
        </w:rPr>
        <w:t xml:space="preserve"> </w:t>
      </w:r>
    </w:p>
    <w:p w14:paraId="00000013" w14:textId="77777777" w:rsidR="001B45F4" w:rsidRPr="00E45E2C" w:rsidRDefault="00A66082" w:rsidP="00BE44AA">
      <w:pPr>
        <w:pStyle w:val="Heading2"/>
        <w:spacing w:before="240" w:after="240"/>
        <w:rPr>
          <w:rFonts w:ascii="Arial" w:hAnsi="Arial" w:cs="Arial"/>
          <w:sz w:val="22"/>
          <w:szCs w:val="22"/>
          <w:lang w:val="en-GB"/>
        </w:rPr>
      </w:pPr>
      <w:bookmarkStart w:id="4" w:name="_hve8dybfa6av" w:colFirst="0" w:colLast="0"/>
      <w:bookmarkStart w:id="5" w:name="_Toc216957826"/>
      <w:bookmarkEnd w:id="4"/>
      <w:r w:rsidRPr="00E45E2C">
        <w:rPr>
          <w:rFonts w:ascii="Arial" w:hAnsi="Arial" w:cs="Arial"/>
          <w:sz w:val="22"/>
          <w:szCs w:val="22"/>
          <w:lang w:val="en-GB"/>
        </w:rPr>
        <w:t>2. Contextual Background and Underlying Factors</w:t>
      </w:r>
      <w:bookmarkEnd w:id="5"/>
      <w:r w:rsidRPr="00E45E2C">
        <w:rPr>
          <w:rFonts w:ascii="Arial" w:hAnsi="Arial" w:cs="Arial"/>
          <w:sz w:val="22"/>
          <w:szCs w:val="22"/>
          <w:lang w:val="en-GB"/>
        </w:rPr>
        <w:t xml:space="preserve"> </w:t>
      </w:r>
    </w:p>
    <w:p w14:paraId="00000014" w14:textId="77777777" w:rsidR="001B45F4" w:rsidRPr="00E45E2C" w:rsidRDefault="00A66082" w:rsidP="00BE44AA">
      <w:pPr>
        <w:pStyle w:val="Heading3"/>
        <w:spacing w:before="240" w:after="240"/>
        <w:rPr>
          <w:rFonts w:ascii="Arial" w:hAnsi="Arial" w:cs="Arial"/>
          <w:sz w:val="22"/>
          <w:szCs w:val="22"/>
          <w:lang w:val="en-GB"/>
        </w:rPr>
      </w:pPr>
      <w:bookmarkStart w:id="6" w:name="_gvb5l1dc9ce1" w:colFirst="0" w:colLast="0"/>
      <w:bookmarkStart w:id="7" w:name="_Toc216957827"/>
      <w:bookmarkEnd w:id="6"/>
      <w:r w:rsidRPr="00E45E2C">
        <w:rPr>
          <w:rFonts w:ascii="Arial" w:hAnsi="Arial" w:cs="Arial"/>
          <w:sz w:val="22"/>
          <w:szCs w:val="22"/>
          <w:lang w:val="en-GB"/>
        </w:rPr>
        <w:t>2.1 Higher Rates of Mental Health Conditions (Disease 1)</w:t>
      </w:r>
      <w:bookmarkEnd w:id="7"/>
    </w:p>
    <w:p w14:paraId="00000015" w14:textId="4F6AD268"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In the UK, older adults experience a disproportionately large </w:t>
      </w:r>
      <w:r w:rsidR="00E4719F" w:rsidRPr="00E45E2C">
        <w:rPr>
          <w:rFonts w:eastAsia="Times New Roman"/>
          <w:lang w:val="en-GB"/>
        </w:rPr>
        <w:t>number</w:t>
      </w:r>
      <w:r w:rsidRPr="00E45E2C">
        <w:rPr>
          <w:rFonts w:eastAsia="Times New Roman"/>
          <w:lang w:val="en-GB"/>
        </w:rPr>
        <w:t xml:space="preserve"> of mental diseases such as depression, anxiety, and dementia. Almost half of adults aged 55 or older report anxiety or depression, in which case approximately 7.7 million individuals aged over 55 years are impacted by the condition, which is more likely to be caused by suffering, ill health and financial concerns (NHS England, 2017). Loneliness is also cited as one of the factors that affects the mental health of many older adults, and talking therapies would help in addressing the problem. Community mental health services that are age-specific are essential to counteract these problems, such as proactive screening for depression and dementia during primary care and the increase of social prescribing link workers that can help older people access community activities and peer support groups, inhibiting isolation and enhancing wellbeing.</w:t>
      </w:r>
    </w:p>
    <w:p w14:paraId="00000016" w14:textId="77777777" w:rsidR="001B45F4" w:rsidRPr="00E45E2C" w:rsidRDefault="00A66082" w:rsidP="00BE44AA">
      <w:pPr>
        <w:pStyle w:val="Heading3"/>
        <w:spacing w:before="240" w:after="240"/>
        <w:rPr>
          <w:rFonts w:ascii="Arial" w:hAnsi="Arial" w:cs="Arial"/>
          <w:sz w:val="22"/>
          <w:szCs w:val="22"/>
          <w:lang w:val="en-GB"/>
        </w:rPr>
      </w:pPr>
      <w:bookmarkStart w:id="8" w:name="_tgs70yz6yxcf" w:colFirst="0" w:colLast="0"/>
      <w:bookmarkStart w:id="9" w:name="_Toc216957828"/>
      <w:bookmarkEnd w:id="8"/>
      <w:r w:rsidRPr="00E45E2C">
        <w:rPr>
          <w:rFonts w:ascii="Arial" w:hAnsi="Arial" w:cs="Arial"/>
          <w:sz w:val="22"/>
          <w:szCs w:val="22"/>
          <w:lang w:val="en-GB"/>
        </w:rPr>
        <w:t>2.2 Increased Prevalence of Long-Term Conditions (Disease 2)</w:t>
      </w:r>
      <w:bookmarkEnd w:id="9"/>
    </w:p>
    <w:p w14:paraId="00000017"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There are many long-term conditions (LTCs) prevalent in older adults, including cardiovascular disease, arthritis and diabetes. In spite of the fact that there are no age-stratified UK data, on the basis of national health surveys, it is indicated that approximately 40% of adults experience at least one long-lasting condition, and a large proportion of these are elderly (NHS England, 2023). </w:t>
      </w:r>
      <w:proofErr w:type="spellStart"/>
      <w:r w:rsidRPr="00E45E2C">
        <w:rPr>
          <w:rFonts w:eastAsia="Times New Roman"/>
          <w:lang w:val="en-GB"/>
        </w:rPr>
        <w:t>Multimorbidity</w:t>
      </w:r>
      <w:proofErr w:type="spellEnd"/>
      <w:r w:rsidRPr="00E45E2C">
        <w:rPr>
          <w:rFonts w:eastAsia="Times New Roman"/>
          <w:lang w:val="en-GB"/>
        </w:rPr>
        <w:t xml:space="preserve"> occurs in cases of two or more chronic conditions, and it rises with age and leads to increased healthcare demands and worse outcomes. Co-ordination of older patients with multiple LTCs can be enhanced through integrated care systems, which involve GPs, specialists and community care. Furthermore, preventive screening programmes and self-management education (such as exercise to manage arthritis and lifestyle changes to prevent complications of diabetes) are essential interventions as well.</w:t>
      </w:r>
    </w:p>
    <w:p w14:paraId="00000018" w14:textId="77777777" w:rsidR="001B45F4" w:rsidRPr="00E45E2C" w:rsidRDefault="00A66082" w:rsidP="00BE44AA">
      <w:pPr>
        <w:pStyle w:val="Heading3"/>
        <w:spacing w:before="240" w:after="240"/>
        <w:rPr>
          <w:rFonts w:ascii="Arial" w:hAnsi="Arial" w:cs="Arial"/>
          <w:sz w:val="22"/>
          <w:szCs w:val="22"/>
          <w:lang w:val="en-GB"/>
        </w:rPr>
      </w:pPr>
      <w:bookmarkStart w:id="10" w:name="_b8bk77v36mu7" w:colFirst="0" w:colLast="0"/>
      <w:bookmarkStart w:id="11" w:name="_Toc216957829"/>
      <w:bookmarkEnd w:id="10"/>
      <w:r w:rsidRPr="00E45E2C">
        <w:rPr>
          <w:rFonts w:ascii="Arial" w:hAnsi="Arial" w:cs="Arial"/>
          <w:sz w:val="22"/>
          <w:szCs w:val="22"/>
          <w:lang w:val="en-GB"/>
        </w:rPr>
        <w:t>2.3 Higher Mortality and Reduced Life Expectancy (Disease 3)</w:t>
      </w:r>
      <w:bookmarkEnd w:id="11"/>
    </w:p>
    <w:p w14:paraId="00000019"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UK has a life expectancy of approximately 18.3 years and 20.8 years at 65 years old. Although these are averages and do not reflect the vast differences at a regional and socioeconomic level (Buxton, 2024). The life and healthy life expectancy in areas with high deprivation are lower than in more affluent regions, which explains how the structural inequalities contribute to poorer outcomes in older adults with increased risk exposures and lower care utilisation. There is a way to mitigate these disparities by means of providing early interventions such as primary care, regular medical checkups to identify diseases at their initial stage, age-friendly healthcare services that adjust appointments, transport assistance and communication channels.</w:t>
      </w:r>
    </w:p>
    <w:p w14:paraId="0000001A" w14:textId="77777777" w:rsidR="001B45F4" w:rsidRPr="00E45E2C" w:rsidRDefault="00A66082" w:rsidP="00BE44AA">
      <w:pPr>
        <w:pStyle w:val="Heading3"/>
        <w:spacing w:before="240" w:after="240"/>
        <w:rPr>
          <w:rFonts w:ascii="Arial" w:hAnsi="Arial" w:cs="Arial"/>
          <w:sz w:val="22"/>
          <w:szCs w:val="22"/>
          <w:lang w:val="en-GB"/>
        </w:rPr>
      </w:pPr>
      <w:bookmarkStart w:id="12" w:name="_esaacrwvw2fd" w:colFirst="0" w:colLast="0"/>
      <w:bookmarkStart w:id="13" w:name="_Toc216957830"/>
      <w:bookmarkEnd w:id="12"/>
      <w:r w:rsidRPr="00E45E2C">
        <w:rPr>
          <w:rFonts w:ascii="Arial" w:hAnsi="Arial" w:cs="Arial"/>
          <w:sz w:val="22"/>
          <w:szCs w:val="22"/>
          <w:lang w:val="en-GB"/>
        </w:rPr>
        <w:t>2.4 Social Isolation and Loneliness (Social Issue 1)</w:t>
      </w:r>
      <w:bookmarkEnd w:id="13"/>
    </w:p>
    <w:p w14:paraId="0000001B" w14:textId="7963E2F2"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A significant social problem among older adults is loneliness, where about 7% (940,000) state that they are frequently lonely and about 270,000 do not speak to family or friends in a week. Loneliness is associated with an increased risk of coronary heart disease, stroke, dementia, depression and anxiety, which have a substantial influence on physical and mental health (</w:t>
      </w:r>
      <w:proofErr w:type="spellStart"/>
      <w:r w:rsidR="00373AC8" w:rsidRPr="00373AC8">
        <w:rPr>
          <w:lang w:val="en-GB"/>
        </w:rPr>
        <w:t>Theageactionalliance</w:t>
      </w:r>
      <w:proofErr w:type="spellEnd"/>
      <w:r w:rsidR="00373AC8">
        <w:rPr>
          <w:lang w:val="en-GB"/>
        </w:rPr>
        <w:t xml:space="preserve">, </w:t>
      </w:r>
      <w:r w:rsidRPr="00E45E2C">
        <w:rPr>
          <w:rFonts w:eastAsia="Times New Roman"/>
          <w:lang w:val="en-GB"/>
        </w:rPr>
        <w:t>2024). Solutions involve community groups, befriending services, and a digital inclusion programme that facilitates older adults' online connection with loved ones and engagement in online activities, providing social interactions and helping to curb loneliness.</w:t>
      </w:r>
    </w:p>
    <w:p w14:paraId="0000001C" w14:textId="77777777" w:rsidR="001B45F4" w:rsidRPr="00E45E2C" w:rsidRDefault="00A66082" w:rsidP="00BE44AA">
      <w:pPr>
        <w:pStyle w:val="Heading3"/>
        <w:spacing w:before="240" w:after="240"/>
        <w:rPr>
          <w:rFonts w:ascii="Arial" w:hAnsi="Arial" w:cs="Arial"/>
          <w:sz w:val="22"/>
          <w:szCs w:val="22"/>
          <w:lang w:val="en-GB"/>
        </w:rPr>
      </w:pPr>
      <w:bookmarkStart w:id="14" w:name="_42tue5e1aabm" w:colFirst="0" w:colLast="0"/>
      <w:bookmarkStart w:id="15" w:name="_Toc216957831"/>
      <w:bookmarkEnd w:id="14"/>
      <w:r w:rsidRPr="00E45E2C">
        <w:rPr>
          <w:rFonts w:ascii="Arial" w:hAnsi="Arial" w:cs="Arial"/>
          <w:sz w:val="22"/>
          <w:szCs w:val="22"/>
          <w:lang w:val="en-GB"/>
        </w:rPr>
        <w:t>2.5 Poverty and Financial Insecurity (Social Issue 2)</w:t>
      </w:r>
      <w:bookmarkEnd w:id="15"/>
    </w:p>
    <w:p w14:paraId="0000001D" w14:textId="34C9445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The issue of older people residing in poverty in the </w:t>
      </w:r>
      <w:r w:rsidR="00FC7BF0" w:rsidRPr="00E45E2C">
        <w:rPr>
          <w:rFonts w:eastAsia="Times New Roman"/>
          <w:lang w:val="en-GB"/>
        </w:rPr>
        <w:t>UK is</w:t>
      </w:r>
      <w:r w:rsidRPr="00E45E2C">
        <w:rPr>
          <w:rFonts w:eastAsia="Times New Roman"/>
          <w:lang w:val="en-GB"/>
        </w:rPr>
        <w:t xml:space="preserve"> 2.1 million, which has led to poor nutrition, heating of houses and obtaining medical care, which have been associated with worse health and higher rates of mental illness (</w:t>
      </w:r>
      <w:proofErr w:type="spellStart"/>
      <w:r w:rsidR="002C18A8" w:rsidRPr="002C18A8">
        <w:rPr>
          <w:lang w:val="en-GB"/>
        </w:rPr>
        <w:t>ageuk</w:t>
      </w:r>
      <w:proofErr w:type="spellEnd"/>
      <w:r w:rsidR="002C18A8">
        <w:rPr>
          <w:lang w:val="en-GB"/>
        </w:rPr>
        <w:t xml:space="preserve">, </w:t>
      </w:r>
      <w:r w:rsidRPr="00E45E2C">
        <w:rPr>
          <w:rFonts w:eastAsia="Times New Roman"/>
          <w:lang w:val="en-GB"/>
        </w:rPr>
        <w:t>2025). The elderly are also in poverty, and they might not heat their houses, which can result in the development of respiratory diseases and hypothermia during winter. In response, UK benefits like pension credits and winter fuel payments assist low-income older adults while outreach is required to make that take place.</w:t>
      </w:r>
    </w:p>
    <w:p w14:paraId="0000001E" w14:textId="77777777" w:rsidR="001B45F4" w:rsidRPr="00E45E2C" w:rsidRDefault="00A66082" w:rsidP="00BE44AA">
      <w:pPr>
        <w:pStyle w:val="Heading3"/>
        <w:spacing w:before="240" w:after="240"/>
        <w:rPr>
          <w:rFonts w:ascii="Arial" w:hAnsi="Arial" w:cs="Arial"/>
          <w:sz w:val="22"/>
          <w:szCs w:val="22"/>
          <w:lang w:val="en-GB"/>
        </w:rPr>
      </w:pPr>
      <w:bookmarkStart w:id="16" w:name="_kgvza6elp8lh" w:colFirst="0" w:colLast="0"/>
      <w:bookmarkStart w:id="17" w:name="_Toc216957832"/>
      <w:bookmarkEnd w:id="16"/>
      <w:r w:rsidRPr="00E45E2C">
        <w:rPr>
          <w:rFonts w:ascii="Arial" w:hAnsi="Arial" w:cs="Arial"/>
          <w:sz w:val="22"/>
          <w:szCs w:val="22"/>
          <w:lang w:val="en-GB"/>
        </w:rPr>
        <w:t>2.6 Housing and Living Conditions (Social Issue 3)</w:t>
      </w:r>
      <w:bookmarkEnd w:id="17"/>
    </w:p>
    <w:p w14:paraId="0000001F"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A great number of elderly residents occupy housing that is not equipped with accessibility, which endangers them to falls, injuries, and a lack of independence. Housing is another cause of chronic diseases such as arthritis and cardiovascular disease. The solutions are housing adaptations financed by local authorities and age-friendly housing policies that may enhance safety and well-being and lower the costs of social care.</w:t>
      </w:r>
    </w:p>
    <w:p w14:paraId="00000020" w14:textId="77777777" w:rsidR="001B45F4" w:rsidRPr="00E45E2C" w:rsidRDefault="00A66082" w:rsidP="00BE44AA">
      <w:pPr>
        <w:pStyle w:val="Heading2"/>
        <w:spacing w:before="240" w:after="240"/>
        <w:rPr>
          <w:rFonts w:ascii="Arial" w:hAnsi="Arial" w:cs="Arial"/>
          <w:sz w:val="22"/>
          <w:szCs w:val="22"/>
          <w:lang w:val="en-GB"/>
        </w:rPr>
      </w:pPr>
      <w:bookmarkStart w:id="18" w:name="_ot1ooh3hdrpe" w:colFirst="0" w:colLast="0"/>
      <w:bookmarkStart w:id="19" w:name="_Toc216957833"/>
      <w:bookmarkEnd w:id="18"/>
      <w:r w:rsidRPr="00E45E2C">
        <w:rPr>
          <w:rFonts w:ascii="Arial" w:hAnsi="Arial" w:cs="Arial"/>
          <w:sz w:val="22"/>
          <w:szCs w:val="22"/>
          <w:lang w:val="en-GB"/>
        </w:rPr>
        <w:t>3. National Response to Reduce Age-Related Health Inequalities</w:t>
      </w:r>
      <w:bookmarkEnd w:id="19"/>
      <w:r w:rsidRPr="00E45E2C">
        <w:rPr>
          <w:rFonts w:ascii="Arial" w:hAnsi="Arial" w:cs="Arial"/>
          <w:sz w:val="22"/>
          <w:szCs w:val="22"/>
          <w:lang w:val="en-GB"/>
        </w:rPr>
        <w:t xml:space="preserve"> </w:t>
      </w:r>
    </w:p>
    <w:p w14:paraId="00000021" w14:textId="4657DDA1"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NHS Long-term Plan also focuses on individualised care, prevention and integrated services to older adults in order to diminish unnecessary hospitalisation. Besides, the UK Healthy Ageing Programme and social prescribing programs promote physical, mental and social wellbeing (</w:t>
      </w:r>
      <w:r w:rsidR="006A3FED" w:rsidRPr="006A3FED">
        <w:rPr>
          <w:lang w:val="en-GB"/>
        </w:rPr>
        <w:t>GOV</w:t>
      </w:r>
      <w:r w:rsidR="006A3FED">
        <w:rPr>
          <w:lang w:val="en-GB"/>
        </w:rPr>
        <w:t xml:space="preserve">, </w:t>
      </w:r>
      <w:r w:rsidRPr="00E45E2C">
        <w:rPr>
          <w:rFonts w:eastAsia="Times New Roman"/>
          <w:lang w:val="en-GB"/>
        </w:rPr>
        <w:t>2022). Nevertheless, they have shortcomings in the effectiveness of their application to the region as a whole.</w:t>
      </w:r>
    </w:p>
    <w:p w14:paraId="00000022" w14:textId="77777777" w:rsidR="001B45F4" w:rsidRPr="00E45E2C" w:rsidRDefault="00A66082" w:rsidP="00BE44AA">
      <w:pPr>
        <w:pStyle w:val="Heading2"/>
        <w:spacing w:before="240" w:after="240"/>
        <w:rPr>
          <w:rFonts w:ascii="Arial" w:hAnsi="Arial" w:cs="Arial"/>
          <w:sz w:val="22"/>
          <w:szCs w:val="22"/>
          <w:lang w:val="en-GB"/>
        </w:rPr>
      </w:pPr>
      <w:bookmarkStart w:id="20" w:name="_mtmvk2mmoak9" w:colFirst="0" w:colLast="0"/>
      <w:bookmarkStart w:id="21" w:name="_Toc216957834"/>
      <w:bookmarkEnd w:id="20"/>
      <w:r w:rsidRPr="00E45E2C">
        <w:rPr>
          <w:rFonts w:ascii="Arial" w:hAnsi="Arial" w:cs="Arial"/>
          <w:sz w:val="22"/>
          <w:szCs w:val="22"/>
          <w:lang w:val="en-GB"/>
        </w:rPr>
        <w:t>4. Organisation Supporting Older Adults</w:t>
      </w:r>
      <w:bookmarkEnd w:id="21"/>
      <w:r w:rsidRPr="00E45E2C">
        <w:rPr>
          <w:rFonts w:ascii="Arial" w:hAnsi="Arial" w:cs="Arial"/>
          <w:sz w:val="22"/>
          <w:szCs w:val="22"/>
          <w:lang w:val="en-GB"/>
        </w:rPr>
        <w:t xml:space="preserve"> </w:t>
      </w:r>
    </w:p>
    <w:p w14:paraId="00000023"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Age UK is at the forefront in the reduction of health disparity related to age by offering advice services, research, advocacy and community-based services. The charity strives to address the later-life wellbeing through addressing loneliness, poverty and poor health, as well as shaping policy to safeguard the rights and requirements of older people.</w:t>
      </w:r>
    </w:p>
    <w:p w14:paraId="00000024" w14:textId="77777777" w:rsidR="001B45F4" w:rsidRPr="00E45E2C" w:rsidRDefault="00A66082" w:rsidP="00BE44AA">
      <w:pPr>
        <w:pStyle w:val="Heading2"/>
        <w:spacing w:before="240" w:after="240"/>
        <w:rPr>
          <w:rFonts w:ascii="Arial" w:hAnsi="Arial" w:cs="Arial"/>
          <w:sz w:val="22"/>
          <w:szCs w:val="22"/>
          <w:lang w:val="en-GB"/>
        </w:rPr>
      </w:pPr>
      <w:bookmarkStart w:id="22" w:name="_jo4ffpesjep" w:colFirst="0" w:colLast="0"/>
      <w:bookmarkStart w:id="23" w:name="_Toc216957835"/>
      <w:bookmarkEnd w:id="22"/>
      <w:r w:rsidRPr="00E45E2C">
        <w:rPr>
          <w:rFonts w:ascii="Arial" w:hAnsi="Arial" w:cs="Arial"/>
          <w:sz w:val="22"/>
          <w:szCs w:val="22"/>
          <w:lang w:val="en-GB"/>
        </w:rPr>
        <w:t>5. Conclusion</w:t>
      </w:r>
      <w:bookmarkEnd w:id="23"/>
      <w:r w:rsidRPr="00E45E2C">
        <w:rPr>
          <w:rFonts w:ascii="Arial" w:hAnsi="Arial" w:cs="Arial"/>
          <w:sz w:val="22"/>
          <w:szCs w:val="22"/>
          <w:lang w:val="en-GB"/>
        </w:rPr>
        <w:t xml:space="preserve"> </w:t>
      </w:r>
    </w:p>
    <w:p w14:paraId="00000025"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ageing individuals are characterised by a high rate of health disparity, which is a result of chronic diseases, mental disorders, poverty, isolation and inadequate housing. To develop such inequalities, national policies, equal access to healthcare and effective systems of support within the community are necessary to enhance healthy ageing and quality of life.</w:t>
      </w:r>
    </w:p>
    <w:p w14:paraId="00000026" w14:textId="77777777" w:rsidR="001B45F4" w:rsidRPr="00E45E2C" w:rsidRDefault="001B45F4" w:rsidP="00BE44AA">
      <w:pPr>
        <w:spacing w:before="240" w:after="240" w:line="360" w:lineRule="auto"/>
        <w:jc w:val="both"/>
        <w:rPr>
          <w:rFonts w:eastAsia="Times New Roman"/>
          <w:lang w:val="en-GB"/>
        </w:rPr>
      </w:pPr>
    </w:p>
    <w:p w14:paraId="00000027" w14:textId="77777777" w:rsidR="001B45F4" w:rsidRPr="00E45E2C" w:rsidRDefault="001B45F4" w:rsidP="00BE44AA">
      <w:pPr>
        <w:spacing w:before="240" w:after="240" w:line="360" w:lineRule="auto"/>
        <w:jc w:val="both"/>
        <w:rPr>
          <w:rFonts w:eastAsia="Times New Roman"/>
          <w:lang w:val="en-GB"/>
        </w:rPr>
      </w:pPr>
    </w:p>
    <w:p w14:paraId="0000002B" w14:textId="77777777" w:rsidR="001B45F4" w:rsidRPr="00E45E2C" w:rsidRDefault="00A66082" w:rsidP="00BE44AA">
      <w:pPr>
        <w:pStyle w:val="Heading1"/>
        <w:spacing w:before="240" w:after="240"/>
        <w:jc w:val="both"/>
        <w:rPr>
          <w:rFonts w:ascii="Arial" w:hAnsi="Arial" w:cs="Arial"/>
          <w:sz w:val="22"/>
          <w:szCs w:val="22"/>
          <w:lang w:val="en-GB"/>
        </w:rPr>
      </w:pPr>
      <w:bookmarkStart w:id="24" w:name="_2bmgyf4bdt65" w:colFirst="0" w:colLast="0"/>
      <w:bookmarkStart w:id="25" w:name="_Toc216957836"/>
      <w:bookmarkEnd w:id="24"/>
      <w:r w:rsidRPr="00E45E2C">
        <w:rPr>
          <w:rFonts w:ascii="Arial" w:hAnsi="Arial" w:cs="Arial"/>
          <w:sz w:val="22"/>
          <w:szCs w:val="22"/>
          <w:lang w:val="en-GB"/>
        </w:rPr>
        <w:t>TASK 2: Epidemiological Analysis</w:t>
      </w:r>
      <w:bookmarkEnd w:id="25"/>
      <w:r w:rsidRPr="00E45E2C">
        <w:rPr>
          <w:rFonts w:ascii="Arial" w:hAnsi="Arial" w:cs="Arial"/>
          <w:sz w:val="22"/>
          <w:szCs w:val="22"/>
          <w:lang w:val="en-GB"/>
        </w:rPr>
        <w:t xml:space="preserve"> </w:t>
      </w:r>
    </w:p>
    <w:p w14:paraId="0000002C"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Selected Disease: Type 2 Diabetes</w:t>
      </w:r>
    </w:p>
    <w:p w14:paraId="0000002E" w14:textId="60B7C55A"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Target Population: Adults aged 40–65 in the London Borough of </w:t>
      </w:r>
      <w:proofErr w:type="spellStart"/>
      <w:r w:rsidRPr="00E45E2C">
        <w:rPr>
          <w:rFonts w:eastAsia="Times New Roman"/>
          <w:lang w:val="en-GB"/>
        </w:rPr>
        <w:t>Newham</w:t>
      </w:r>
      <w:proofErr w:type="spellEnd"/>
    </w:p>
    <w:p w14:paraId="0000002F" w14:textId="77777777" w:rsidR="001B45F4" w:rsidRPr="00E45E2C" w:rsidRDefault="00A66082" w:rsidP="00BE44AA">
      <w:pPr>
        <w:pStyle w:val="Heading2"/>
        <w:spacing w:before="240" w:after="240"/>
        <w:rPr>
          <w:rFonts w:ascii="Arial" w:hAnsi="Arial" w:cs="Arial"/>
          <w:sz w:val="22"/>
          <w:szCs w:val="22"/>
          <w:lang w:val="en-GB"/>
        </w:rPr>
      </w:pPr>
      <w:bookmarkStart w:id="26" w:name="_52fkg4axr7n2" w:colFirst="0" w:colLast="0"/>
      <w:bookmarkStart w:id="27" w:name="_Toc216957837"/>
      <w:bookmarkEnd w:id="26"/>
      <w:r w:rsidRPr="00E45E2C">
        <w:rPr>
          <w:rFonts w:ascii="Arial" w:hAnsi="Arial" w:cs="Arial"/>
          <w:sz w:val="22"/>
          <w:szCs w:val="22"/>
          <w:lang w:val="en-GB"/>
        </w:rPr>
        <w:t>1. Introduction</w:t>
      </w:r>
      <w:bookmarkEnd w:id="27"/>
      <w:r w:rsidRPr="00E45E2C">
        <w:rPr>
          <w:rFonts w:ascii="Arial" w:hAnsi="Arial" w:cs="Arial"/>
          <w:sz w:val="22"/>
          <w:szCs w:val="22"/>
          <w:lang w:val="en-GB"/>
        </w:rPr>
        <w:t xml:space="preserve"> </w:t>
      </w:r>
    </w:p>
    <w:p w14:paraId="00000030"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Type 2 diabetes is a long-term metabolic illness where the body fails to produce sufficient insulin or fails to utilise it to maintain normal blood glucose levels. The effects on the community, including higher susceptibility to cardiovascular disease, kidney failure, loss of sight, and worse quality of life, are social, cultural, and health-related and are more prevalent in disadvantaged communities. In 2019, there were approximately 463 million adults with diabetes in the world, and the figures are increasing every year. More than 5.8 million individuals live with diabetes in the UK, approximately 90% are type 2 diabetes patients, and an estimated 6.3 million people are at high risk (diabetes or pre-diabetes) (Diabetes UK, 2017). </w:t>
      </w:r>
      <w:proofErr w:type="spellStart"/>
      <w:r w:rsidRPr="00E45E2C">
        <w:rPr>
          <w:rFonts w:eastAsia="Times New Roman"/>
          <w:lang w:val="en-GB"/>
        </w:rPr>
        <w:t>Newham</w:t>
      </w:r>
      <w:proofErr w:type="spellEnd"/>
      <w:r w:rsidRPr="00E45E2C">
        <w:rPr>
          <w:rFonts w:eastAsia="Times New Roman"/>
          <w:lang w:val="en-GB"/>
        </w:rPr>
        <w:t xml:space="preserve"> in East London is among the most deprived areas of England and has a high level of ethnic diversity and obesity, which means that it is a priority area and should be subjected to targeted interventions to reduce the prevalence of diabetes.</w:t>
      </w:r>
    </w:p>
    <w:p w14:paraId="00000031" w14:textId="77777777" w:rsidR="001B45F4" w:rsidRPr="00E45E2C" w:rsidRDefault="00A66082" w:rsidP="00BE44AA">
      <w:pPr>
        <w:pStyle w:val="Heading2"/>
        <w:spacing w:before="240" w:after="240"/>
        <w:rPr>
          <w:rFonts w:ascii="Arial" w:hAnsi="Arial" w:cs="Arial"/>
          <w:sz w:val="22"/>
          <w:szCs w:val="22"/>
          <w:lang w:val="en-GB"/>
        </w:rPr>
      </w:pPr>
      <w:bookmarkStart w:id="28" w:name="_2qzoxjqc0e96" w:colFirst="0" w:colLast="0"/>
      <w:bookmarkStart w:id="29" w:name="_Toc216957838"/>
      <w:bookmarkEnd w:id="28"/>
      <w:r w:rsidRPr="00E45E2C">
        <w:rPr>
          <w:rFonts w:ascii="Arial" w:hAnsi="Arial" w:cs="Arial"/>
          <w:sz w:val="22"/>
          <w:szCs w:val="22"/>
          <w:lang w:val="en-GB"/>
        </w:rPr>
        <w:t>2. Public Health Measures Using the 3 P’s</w:t>
      </w:r>
      <w:bookmarkEnd w:id="29"/>
    </w:p>
    <w:p w14:paraId="00000032"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b/>
          <w:bCs/>
          <w:lang w:val="en-GB"/>
        </w:rPr>
        <w:t>Prevention</w:t>
      </w:r>
      <w:r w:rsidRPr="00E45E2C">
        <w:rPr>
          <w:rFonts w:eastAsia="Times New Roman"/>
          <w:lang w:val="en-GB"/>
        </w:rPr>
        <w:t>:</w:t>
      </w:r>
    </w:p>
    <w:p w14:paraId="00000033"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most important preventive measure in England is the ‘Healthier You: NHS Diabetes Prevention Programme (NHS DPP)’, which provides individuals at high risk of type 2 diabetes with a nine-month structured programme consisting of information on the benefits of healthier eating, weight reduction and exercise to slow down the onset of the disease (NHS England, 2023a). Already, 900,000 adults at high risk have joined the programme since it was launched in 2016, and more than 166,000 individuals have begun receiving support last year, a year later, which is an indication of active participation in primary prevention.</w:t>
      </w:r>
    </w:p>
    <w:p w14:paraId="00000034"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b/>
          <w:bCs/>
          <w:lang w:val="en-GB"/>
        </w:rPr>
        <w:t>Protection</w:t>
      </w:r>
      <w:r w:rsidRPr="00E45E2C">
        <w:rPr>
          <w:rFonts w:eastAsia="Times New Roman"/>
          <w:lang w:val="en-GB"/>
        </w:rPr>
        <w:t>:</w:t>
      </w:r>
    </w:p>
    <w:p w14:paraId="00000035"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Protection aims at screening and risk assessment of early diabetes or pre-diabetes to detect individuals with pre-diabetes or early diabetes by using GP health checks and community outreach. According to the NHS data, more and more individuals at risk of type 2 diabetes are identified and programmed education referrals are conducted to assist in the reduction of complications (Office, 2025). </w:t>
      </w:r>
    </w:p>
    <w:p w14:paraId="00000036"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b/>
          <w:bCs/>
          <w:lang w:val="en-GB"/>
        </w:rPr>
        <w:t>Promotion</w:t>
      </w:r>
      <w:r w:rsidRPr="00E45E2C">
        <w:rPr>
          <w:rFonts w:eastAsia="Times New Roman"/>
          <w:lang w:val="en-GB"/>
        </w:rPr>
        <w:t>:</w:t>
      </w:r>
    </w:p>
    <w:p w14:paraId="00000037"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Public health promotion involves educational programs to promote healthy living, lessen sedentary behaviour and improve the quality of food. The national campaigns are focused on the minimisation of high sugar and processed foods, as well as on the availability of online resources and local support for behaviour change by the NHS. All these blended strategies are meant to lower incidences, enhance self-management and reduce the load on the health services. </w:t>
      </w:r>
    </w:p>
    <w:p w14:paraId="00000038" w14:textId="77777777" w:rsidR="001B45F4" w:rsidRPr="00E45E2C" w:rsidRDefault="00A66082" w:rsidP="00BE44AA">
      <w:pPr>
        <w:pStyle w:val="Heading2"/>
        <w:spacing w:before="240" w:after="240"/>
        <w:rPr>
          <w:rFonts w:ascii="Arial" w:hAnsi="Arial" w:cs="Arial"/>
          <w:sz w:val="22"/>
          <w:szCs w:val="22"/>
          <w:lang w:val="en-GB"/>
        </w:rPr>
      </w:pPr>
      <w:bookmarkStart w:id="30" w:name="_wudvxbb9szyi" w:colFirst="0" w:colLast="0"/>
      <w:bookmarkStart w:id="31" w:name="_Toc216957839"/>
      <w:bookmarkEnd w:id="30"/>
      <w:r w:rsidRPr="00E45E2C">
        <w:rPr>
          <w:rFonts w:ascii="Arial" w:hAnsi="Arial" w:cs="Arial"/>
          <w:sz w:val="22"/>
          <w:szCs w:val="22"/>
          <w:lang w:val="en-GB"/>
        </w:rPr>
        <w:t>3. Key Determinants and Risk Factors</w:t>
      </w:r>
      <w:bookmarkEnd w:id="31"/>
      <w:r w:rsidRPr="00E45E2C">
        <w:rPr>
          <w:rFonts w:ascii="Arial" w:hAnsi="Arial" w:cs="Arial"/>
          <w:sz w:val="22"/>
          <w:szCs w:val="22"/>
          <w:lang w:val="en-GB"/>
        </w:rPr>
        <w:t xml:space="preserve"> </w:t>
      </w:r>
    </w:p>
    <w:p w14:paraId="00000039"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b/>
          <w:bCs/>
          <w:lang w:val="en-GB"/>
        </w:rPr>
        <w:t>Obesity: Overweight and Physical Inactivity</w:t>
      </w:r>
      <w:r w:rsidRPr="00E45E2C">
        <w:rPr>
          <w:rFonts w:eastAsia="Times New Roman"/>
          <w:lang w:val="en-GB"/>
        </w:rPr>
        <w:t>:</w:t>
      </w:r>
    </w:p>
    <w:p w14:paraId="0000003A"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best modifiable risk factors of type 2 diabetes are overweight and obesity. Adiposity causes insulin resistance, and individuals who are obese have more than seven times higher risk of developing diabetes than people at a normal weight (</w:t>
      </w:r>
      <w:proofErr w:type="spellStart"/>
      <w:r w:rsidRPr="00E45E2C">
        <w:rPr>
          <w:rFonts w:eastAsia="Times New Roman"/>
          <w:lang w:val="en-GB"/>
        </w:rPr>
        <w:t>Gołacki</w:t>
      </w:r>
      <w:proofErr w:type="spellEnd"/>
      <w:r w:rsidRPr="00E45E2C">
        <w:rPr>
          <w:rFonts w:eastAsia="Times New Roman"/>
          <w:lang w:val="en-GB"/>
        </w:rPr>
        <w:t xml:space="preserve"> </w:t>
      </w:r>
      <w:r w:rsidRPr="00E45E2C">
        <w:rPr>
          <w:rFonts w:eastAsia="Times New Roman"/>
          <w:i/>
          <w:iCs/>
          <w:lang w:val="en-GB"/>
        </w:rPr>
        <w:t>et al.</w:t>
      </w:r>
      <w:r w:rsidRPr="00E45E2C">
        <w:rPr>
          <w:rFonts w:eastAsia="Times New Roman"/>
          <w:lang w:val="en-GB"/>
        </w:rPr>
        <w:t xml:space="preserve"> 2022). The lifestyles associated with sedentary lifestyles, high-energy diets, as well as decreased physical activities are also contributing to increasing obesity levels. </w:t>
      </w:r>
    </w:p>
    <w:p w14:paraId="0000003B" w14:textId="77777777" w:rsidR="001B45F4" w:rsidRPr="00E45E2C" w:rsidRDefault="00A66082" w:rsidP="00BE44AA">
      <w:pPr>
        <w:spacing w:before="240" w:after="240" w:line="360" w:lineRule="auto"/>
        <w:jc w:val="both"/>
        <w:rPr>
          <w:rFonts w:eastAsia="Times New Roman"/>
          <w:b/>
          <w:bCs/>
          <w:lang w:val="en-GB"/>
        </w:rPr>
      </w:pPr>
      <w:r w:rsidRPr="00E45E2C">
        <w:rPr>
          <w:rFonts w:eastAsia="Times New Roman"/>
          <w:b/>
          <w:bCs/>
          <w:lang w:val="en-GB"/>
        </w:rPr>
        <w:t>Socioeconomic Deprivation:</w:t>
      </w:r>
    </w:p>
    <w:p w14:paraId="0000003C"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The risk of diabetes is strongly determined by socioeconomic disadvantage. The London Borough of </w:t>
      </w:r>
      <w:proofErr w:type="spellStart"/>
      <w:r w:rsidRPr="00E45E2C">
        <w:rPr>
          <w:rFonts w:eastAsia="Times New Roman"/>
          <w:lang w:val="en-GB"/>
        </w:rPr>
        <w:t>Newham</w:t>
      </w:r>
      <w:proofErr w:type="spellEnd"/>
      <w:r w:rsidRPr="00E45E2C">
        <w:rPr>
          <w:rFonts w:eastAsia="Times New Roman"/>
          <w:lang w:val="en-GB"/>
        </w:rPr>
        <w:t xml:space="preserve"> belongs to the 20% most deprived regions in England with high poverty, unemployment and poor housing (Trust for London, 2021). Deprivation is associated with poor access to healthy food, decreasing chances of physical activity and barriers to healthcare that heighten risks and poor prognosis of diabetes. </w:t>
      </w:r>
    </w:p>
    <w:p w14:paraId="0000003D" w14:textId="77777777" w:rsidR="001B45F4" w:rsidRPr="00E45E2C" w:rsidRDefault="00A66082" w:rsidP="00BE44AA">
      <w:pPr>
        <w:spacing w:before="240" w:after="240" w:line="360" w:lineRule="auto"/>
        <w:jc w:val="both"/>
        <w:rPr>
          <w:rFonts w:eastAsia="Times New Roman"/>
          <w:b/>
          <w:bCs/>
          <w:lang w:val="en-GB"/>
        </w:rPr>
      </w:pPr>
      <w:r w:rsidRPr="00E45E2C">
        <w:rPr>
          <w:rFonts w:eastAsia="Times New Roman"/>
          <w:b/>
          <w:bCs/>
          <w:lang w:val="en-GB"/>
        </w:rPr>
        <w:t>Ethnicity and Cultural Factors:</w:t>
      </w:r>
    </w:p>
    <w:p w14:paraId="0000003E"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Ethnicity is a significant factor, and in this regard, South Asian and Black people in England have significantly greater diabetes rates than White people. Even after controlling for age and deprivation, the South Asians are more than twice and the Black groups approximately 1.6 times as likely to have type 2 diabetes (Pham </w:t>
      </w:r>
      <w:r w:rsidRPr="00E45E2C">
        <w:rPr>
          <w:rFonts w:eastAsia="Times New Roman"/>
          <w:i/>
          <w:iCs/>
          <w:lang w:val="en-GB"/>
        </w:rPr>
        <w:t>et al</w:t>
      </w:r>
      <w:r w:rsidRPr="00E45E2C">
        <w:rPr>
          <w:rFonts w:eastAsia="Times New Roman"/>
          <w:lang w:val="en-GB"/>
        </w:rPr>
        <w:t xml:space="preserve">. 2019). This disparity is caused by cultural eating habits and genetic orientation. </w:t>
      </w:r>
    </w:p>
    <w:p w14:paraId="0000003F" w14:textId="77777777" w:rsidR="001B45F4" w:rsidRPr="00E45E2C" w:rsidRDefault="00A66082" w:rsidP="00BE44AA">
      <w:pPr>
        <w:pStyle w:val="Heading2"/>
        <w:spacing w:before="240" w:after="240"/>
        <w:rPr>
          <w:rFonts w:ascii="Arial" w:hAnsi="Arial" w:cs="Arial"/>
          <w:sz w:val="22"/>
          <w:szCs w:val="22"/>
          <w:lang w:val="en-GB"/>
        </w:rPr>
      </w:pPr>
      <w:bookmarkStart w:id="32" w:name="_1e7oh7bt2npr" w:colFirst="0" w:colLast="0"/>
      <w:bookmarkStart w:id="33" w:name="_Toc216957840"/>
      <w:bookmarkEnd w:id="32"/>
      <w:r w:rsidRPr="00E45E2C">
        <w:rPr>
          <w:rFonts w:ascii="Arial" w:hAnsi="Arial" w:cs="Arial"/>
          <w:sz w:val="22"/>
          <w:szCs w:val="22"/>
          <w:lang w:val="en-GB"/>
        </w:rPr>
        <w:t>4. Identifying At-Risk Populations Using Epidemiology</w:t>
      </w:r>
      <w:bookmarkEnd w:id="33"/>
      <w:r w:rsidRPr="00E45E2C">
        <w:rPr>
          <w:rFonts w:ascii="Arial" w:hAnsi="Arial" w:cs="Arial"/>
          <w:sz w:val="22"/>
          <w:szCs w:val="22"/>
          <w:lang w:val="en-GB"/>
        </w:rPr>
        <w:t xml:space="preserve"> </w:t>
      </w:r>
    </w:p>
    <w:p w14:paraId="00000040"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Defining the Burden of Diabetes and Priority Populations with the help of Epidemiology, Epidemiological Surveillance and Health Needs Assessments assists the identification of the At-Risk Populations (</w:t>
      </w:r>
      <w:proofErr w:type="spellStart"/>
      <w:r w:rsidRPr="00E45E2C">
        <w:rPr>
          <w:rFonts w:eastAsia="Times New Roman"/>
          <w:lang w:val="en-GB"/>
        </w:rPr>
        <w:t>Schuster</w:t>
      </w:r>
      <w:proofErr w:type="spellEnd"/>
      <w:r w:rsidRPr="00E45E2C">
        <w:rPr>
          <w:rFonts w:eastAsia="Times New Roman"/>
          <w:lang w:val="en-GB"/>
        </w:rPr>
        <w:t xml:space="preserve"> </w:t>
      </w:r>
      <w:r w:rsidRPr="00E45E2C">
        <w:rPr>
          <w:rFonts w:eastAsia="Times New Roman"/>
          <w:i/>
          <w:iCs/>
          <w:lang w:val="en-GB"/>
        </w:rPr>
        <w:t>et al.</w:t>
      </w:r>
      <w:r w:rsidRPr="00E45E2C">
        <w:rPr>
          <w:rFonts w:eastAsia="Times New Roman"/>
          <w:lang w:val="en-GB"/>
        </w:rPr>
        <w:t xml:space="preserve"> 2024). In </w:t>
      </w:r>
      <w:proofErr w:type="spellStart"/>
      <w:r w:rsidRPr="00E45E2C">
        <w:rPr>
          <w:rFonts w:eastAsia="Times New Roman"/>
          <w:lang w:val="en-GB"/>
        </w:rPr>
        <w:t>Newham</w:t>
      </w:r>
      <w:proofErr w:type="spellEnd"/>
      <w:r w:rsidRPr="00E45E2C">
        <w:rPr>
          <w:rFonts w:eastAsia="Times New Roman"/>
          <w:lang w:val="en-GB"/>
        </w:rPr>
        <w:t xml:space="preserve">, ethnic risk disparities and socioeconomic inequalities have been seen, whereby the public health assessment has established that the highest levels of diabetes are among the people of Bangladeshi, Pakistani, Asian and Indian descent. According to local demographic data, the population of </w:t>
      </w:r>
      <w:proofErr w:type="spellStart"/>
      <w:r w:rsidRPr="00E45E2C">
        <w:rPr>
          <w:rFonts w:eastAsia="Times New Roman"/>
          <w:lang w:val="en-GB"/>
        </w:rPr>
        <w:t>Newham</w:t>
      </w:r>
      <w:proofErr w:type="spellEnd"/>
      <w:r w:rsidRPr="00E45E2C">
        <w:rPr>
          <w:rFonts w:eastAsia="Times New Roman"/>
          <w:lang w:val="en-GB"/>
        </w:rPr>
        <w:t xml:space="preserve"> is considerably ethnically diverse (more than 70% of residents belong to the minority ethnic group, and over 70% of them are socially disadvantaged), which increases the impact of health outcomes with poverty and language barriers (</w:t>
      </w:r>
      <w:proofErr w:type="spellStart"/>
      <w:r w:rsidRPr="00E45E2C">
        <w:rPr>
          <w:rFonts w:eastAsia="Times New Roman"/>
          <w:lang w:val="en-GB"/>
        </w:rPr>
        <w:t>Renzella</w:t>
      </w:r>
      <w:proofErr w:type="spellEnd"/>
      <w:r w:rsidRPr="00E45E2C">
        <w:rPr>
          <w:rFonts w:eastAsia="Times New Roman"/>
          <w:lang w:val="en-GB"/>
        </w:rPr>
        <w:t xml:space="preserve"> </w:t>
      </w:r>
      <w:r w:rsidRPr="00E45E2C">
        <w:rPr>
          <w:rFonts w:eastAsia="Times New Roman"/>
          <w:i/>
          <w:iCs/>
          <w:lang w:val="en-GB"/>
        </w:rPr>
        <w:t>et al.</w:t>
      </w:r>
      <w:r w:rsidRPr="00E45E2C">
        <w:rPr>
          <w:rFonts w:eastAsia="Times New Roman"/>
          <w:lang w:val="en-GB"/>
        </w:rPr>
        <w:t xml:space="preserve"> 2025).</w:t>
      </w:r>
    </w:p>
    <w:p w14:paraId="00000041"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Health Needs Assessments are a combination of GP registers, local hospital records, community surveys and deprivation indices to map the distribution of disease. This data shows that type 2 diabetes is much more likely to be prevalent in adults (more than 40 years of age) with particular reference to such backgrounds as South Asian and Black (Diabetes UK, 2020). Less health-literate people with lower incomes also show lower chances of using preventive services, which results in subsequent diagnoses and increased complications. This population has common </w:t>
      </w:r>
      <w:proofErr w:type="spellStart"/>
      <w:r w:rsidRPr="00E45E2C">
        <w:rPr>
          <w:rFonts w:eastAsia="Times New Roman"/>
          <w:lang w:val="en-GB"/>
        </w:rPr>
        <w:t>comorbidities</w:t>
      </w:r>
      <w:proofErr w:type="spellEnd"/>
      <w:r w:rsidRPr="00E45E2C">
        <w:rPr>
          <w:rFonts w:eastAsia="Times New Roman"/>
          <w:lang w:val="en-GB"/>
        </w:rPr>
        <w:t xml:space="preserve"> that include hypertension and obesity, which exacerbate health risks. This heterogeneity is revealed by using the methods of public health, such as stratified analysis by age, ethnicity, and deprivation, to enable the strain of interventions on the most vulnerable subgroups in </w:t>
      </w:r>
      <w:proofErr w:type="spellStart"/>
      <w:r w:rsidRPr="00E45E2C">
        <w:rPr>
          <w:rFonts w:eastAsia="Times New Roman"/>
          <w:lang w:val="en-GB"/>
        </w:rPr>
        <w:t>Newham</w:t>
      </w:r>
      <w:proofErr w:type="spellEnd"/>
      <w:r w:rsidRPr="00E45E2C">
        <w:rPr>
          <w:rFonts w:eastAsia="Times New Roman"/>
          <w:lang w:val="en-GB"/>
        </w:rPr>
        <w:t>.</w:t>
      </w:r>
    </w:p>
    <w:p w14:paraId="00000042" w14:textId="77777777" w:rsidR="001B45F4" w:rsidRPr="00E45E2C" w:rsidRDefault="00A66082" w:rsidP="00BE44AA">
      <w:pPr>
        <w:pStyle w:val="Heading2"/>
        <w:spacing w:before="240" w:after="240"/>
        <w:rPr>
          <w:rFonts w:ascii="Arial" w:hAnsi="Arial" w:cs="Arial"/>
          <w:sz w:val="22"/>
          <w:szCs w:val="22"/>
          <w:lang w:val="en-GB"/>
        </w:rPr>
      </w:pPr>
      <w:bookmarkStart w:id="34" w:name="_ny6bpp3avcdr" w:colFirst="0" w:colLast="0"/>
      <w:bookmarkStart w:id="35" w:name="_Toc216957841"/>
      <w:bookmarkEnd w:id="34"/>
      <w:r w:rsidRPr="00E45E2C">
        <w:rPr>
          <w:rFonts w:ascii="Arial" w:hAnsi="Arial" w:cs="Arial"/>
          <w:sz w:val="22"/>
          <w:szCs w:val="22"/>
          <w:lang w:val="en-GB"/>
        </w:rPr>
        <w:t>5. Surveillance and Monitoring Systems</w:t>
      </w:r>
      <w:bookmarkEnd w:id="35"/>
      <w:r w:rsidRPr="00E45E2C">
        <w:rPr>
          <w:rFonts w:ascii="Arial" w:hAnsi="Arial" w:cs="Arial"/>
          <w:sz w:val="22"/>
          <w:szCs w:val="22"/>
          <w:lang w:val="en-GB"/>
        </w:rPr>
        <w:t xml:space="preserve"> </w:t>
      </w:r>
    </w:p>
    <w:p w14:paraId="00000043"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UK has several systems and surveillance for diabetes. The Quality and Outcomes Framework (QOF), GP registers record prevalence and treatment indicators of diabetes diagnosed in primary care providers are used to support local disease surveillance and trend analysis. At the national level, the National Diabetes Audit (NDA) gathers and examines statistics on the diabetes care procedure and outcomes, such as screening uptake, complication rates and blood glucose control (HbA1c) (NHS England, 2024). The NDA also determines the variation in performance by regions and demographic groups, allowing for focusing on the resources where they are required. Bigger prevalence estimates are provided by the UK Health Security Agency (UKHSA) and the Office for National Statistics (ONS), by the inclusion of undiagnosed cases and pre-diabetes estimates cover the hidden burden of disease and risk factors on a population level (Diabetes UK, 2024).</w:t>
      </w:r>
    </w:p>
    <w:p w14:paraId="00000044"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b/>
          <w:bCs/>
          <w:lang w:val="en-GB"/>
        </w:rPr>
        <w:t>Strengths</w:t>
      </w:r>
      <w:r w:rsidRPr="00E45E2C">
        <w:rPr>
          <w:rFonts w:eastAsia="Times New Roman"/>
          <w:lang w:val="en-GB"/>
        </w:rPr>
        <w:t>:</w:t>
      </w:r>
    </w:p>
    <w:p w14:paraId="00000045"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These surveillance systems also draw on healthcare data collected regularly. Thus, the surveillance can be used to monitor near real-time and large samples. They assist in determining inequalities relating to age, ethnicity and deprivation, which are used in planning public health.</w:t>
      </w:r>
    </w:p>
    <w:p w14:paraId="00000046"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b/>
          <w:bCs/>
          <w:lang w:val="en-GB"/>
        </w:rPr>
        <w:t>Limitations</w:t>
      </w:r>
      <w:r w:rsidRPr="00E45E2C">
        <w:rPr>
          <w:rFonts w:eastAsia="Times New Roman"/>
          <w:lang w:val="en-GB"/>
        </w:rPr>
        <w:t>:</w:t>
      </w:r>
    </w:p>
    <w:p w14:paraId="00000047" w14:textId="77777777" w:rsidR="001B45F4" w:rsidRPr="00E45E2C" w:rsidRDefault="00A66082" w:rsidP="00BE44AA">
      <w:pPr>
        <w:spacing w:before="240" w:after="240" w:line="360" w:lineRule="auto"/>
        <w:jc w:val="both"/>
        <w:rPr>
          <w:rFonts w:eastAsia="Times New Roman"/>
          <w:b/>
          <w:bCs/>
          <w:lang w:val="en-GB"/>
        </w:rPr>
      </w:pPr>
      <w:r w:rsidRPr="00E45E2C">
        <w:rPr>
          <w:rFonts w:eastAsia="Times New Roman"/>
          <w:lang w:val="en-GB"/>
        </w:rPr>
        <w:t xml:space="preserve">The problem of under-reporting and undiagnosed cases is still present, and the real prevalence may be underestimated. Socio-economic variables may have data gaps, and the aspect of ethnicity may not be accurately documented, to restricts detailed subgroup analysis. </w:t>
      </w:r>
    </w:p>
    <w:p w14:paraId="00000048" w14:textId="77777777" w:rsidR="001B45F4" w:rsidRPr="00E45E2C" w:rsidRDefault="00A66082" w:rsidP="00BE44AA">
      <w:pPr>
        <w:pStyle w:val="Heading2"/>
        <w:spacing w:before="240" w:after="240"/>
        <w:rPr>
          <w:rFonts w:ascii="Arial" w:hAnsi="Arial" w:cs="Arial"/>
          <w:sz w:val="22"/>
          <w:szCs w:val="22"/>
          <w:lang w:val="en-GB"/>
        </w:rPr>
      </w:pPr>
      <w:bookmarkStart w:id="36" w:name="_4ty9w3rv519p" w:colFirst="0" w:colLast="0"/>
      <w:bookmarkStart w:id="37" w:name="_Toc216957842"/>
      <w:bookmarkEnd w:id="36"/>
      <w:r w:rsidRPr="00E45E2C">
        <w:rPr>
          <w:rFonts w:ascii="Arial" w:hAnsi="Arial" w:cs="Arial"/>
          <w:sz w:val="22"/>
          <w:szCs w:val="22"/>
          <w:lang w:val="en-GB"/>
        </w:rPr>
        <w:t>6. Intervention Design and Evaluation</w:t>
      </w:r>
      <w:bookmarkEnd w:id="37"/>
      <w:r w:rsidRPr="00E45E2C">
        <w:rPr>
          <w:rFonts w:ascii="Arial" w:hAnsi="Arial" w:cs="Arial"/>
          <w:sz w:val="22"/>
          <w:szCs w:val="22"/>
          <w:lang w:val="en-GB"/>
        </w:rPr>
        <w:t xml:space="preserve"> </w:t>
      </w:r>
    </w:p>
    <w:p w14:paraId="00000049"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The use of group exercise programmes, culturally oriented education, dietary counselling, and peer support based on culturally oriented lifestyle intervention should be provided to high-risk adults (aged 40+) and ethnic minorities in </w:t>
      </w:r>
      <w:proofErr w:type="spellStart"/>
      <w:r w:rsidRPr="00E45E2C">
        <w:rPr>
          <w:rFonts w:eastAsia="Times New Roman"/>
          <w:lang w:val="en-GB"/>
        </w:rPr>
        <w:t>Newham</w:t>
      </w:r>
      <w:proofErr w:type="spellEnd"/>
      <w:r w:rsidRPr="00E45E2C">
        <w:rPr>
          <w:rFonts w:eastAsia="Times New Roman"/>
          <w:lang w:val="en-GB"/>
        </w:rPr>
        <w:t xml:space="preserve">. The results to be measured would be a decrease in HbA1c, weight (BMI), physical activity levels and participation rates. Assessment tools need to integrate quantitative (modified biometric data) and qualitative (satisfaction among the participants, obstacles to engagement) feedback. </w:t>
      </w:r>
    </w:p>
    <w:p w14:paraId="0000004A" w14:textId="77777777" w:rsidR="001B45F4" w:rsidRPr="00E45E2C" w:rsidRDefault="00A66082" w:rsidP="00BE44AA">
      <w:pPr>
        <w:pStyle w:val="Heading2"/>
        <w:spacing w:before="240" w:after="240"/>
        <w:rPr>
          <w:rFonts w:ascii="Arial" w:hAnsi="Arial" w:cs="Arial"/>
          <w:sz w:val="22"/>
          <w:szCs w:val="22"/>
          <w:lang w:val="en-GB"/>
        </w:rPr>
      </w:pPr>
      <w:bookmarkStart w:id="38" w:name="_27oneeiqjt21" w:colFirst="0" w:colLast="0"/>
      <w:bookmarkStart w:id="39" w:name="_Toc216957843"/>
      <w:bookmarkEnd w:id="38"/>
      <w:r w:rsidRPr="00E45E2C">
        <w:rPr>
          <w:rFonts w:ascii="Arial" w:hAnsi="Arial" w:cs="Arial"/>
          <w:sz w:val="22"/>
          <w:szCs w:val="22"/>
          <w:lang w:val="en-GB"/>
        </w:rPr>
        <w:t>7. Strengths and Limitations of the Epidemiological Approach</w:t>
      </w:r>
      <w:bookmarkEnd w:id="39"/>
      <w:r w:rsidRPr="00E45E2C">
        <w:rPr>
          <w:rFonts w:ascii="Arial" w:hAnsi="Arial" w:cs="Arial"/>
          <w:sz w:val="22"/>
          <w:szCs w:val="22"/>
          <w:lang w:val="en-GB"/>
        </w:rPr>
        <w:t xml:space="preserve"> </w:t>
      </w:r>
    </w:p>
    <w:p w14:paraId="0000004B"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Epidemiological approaches give a population-wide understanding of the trends of disease and the risk factors to allow evidence-based planning and designing of interventions (Wang </w:t>
      </w:r>
      <w:r w:rsidRPr="00E45E2C">
        <w:rPr>
          <w:rFonts w:eastAsia="Times New Roman"/>
          <w:i/>
          <w:iCs/>
          <w:lang w:val="en-GB"/>
        </w:rPr>
        <w:t>et al</w:t>
      </w:r>
      <w:r w:rsidRPr="00E45E2C">
        <w:rPr>
          <w:rFonts w:eastAsia="Times New Roman"/>
          <w:lang w:val="en-GB"/>
        </w:rPr>
        <w:t xml:space="preserve">. 2025). The GP registers, audits, and national surveys are large datasets that facilitate strong estimates of prevalence and trends, which are used in policy and resource allocation. Limitations are </w:t>
      </w:r>
      <w:proofErr w:type="spellStart"/>
      <w:r w:rsidRPr="00E45E2C">
        <w:rPr>
          <w:rFonts w:eastAsia="Times New Roman"/>
          <w:lang w:val="en-GB"/>
        </w:rPr>
        <w:t>underdiagnosis</w:t>
      </w:r>
      <w:proofErr w:type="spellEnd"/>
      <w:r w:rsidRPr="00E45E2C">
        <w:rPr>
          <w:rFonts w:eastAsia="Times New Roman"/>
          <w:lang w:val="en-GB"/>
        </w:rPr>
        <w:t>, data quality and lack of full information on socio-economic and ethnic status, which could cover actual disparities. Cross-sectional data can be a problem with regard to causal inference, and complex social determinants may be missed. Irrespective of these difficulties, epidemiology needs to be vital in terms of monitoring the burden of type 2 diabetes and influencing the response of the population to health.</w:t>
      </w:r>
    </w:p>
    <w:p w14:paraId="0000004C" w14:textId="77777777" w:rsidR="001B45F4" w:rsidRPr="00E45E2C" w:rsidRDefault="00A66082" w:rsidP="00BE44AA">
      <w:pPr>
        <w:pStyle w:val="Heading2"/>
        <w:spacing w:before="240" w:after="240"/>
        <w:rPr>
          <w:rFonts w:ascii="Arial" w:hAnsi="Arial" w:cs="Arial"/>
          <w:sz w:val="22"/>
          <w:szCs w:val="22"/>
          <w:lang w:val="en-GB"/>
        </w:rPr>
      </w:pPr>
      <w:bookmarkStart w:id="40" w:name="_4qlhbaw29t1q" w:colFirst="0" w:colLast="0"/>
      <w:bookmarkStart w:id="41" w:name="_Toc216957844"/>
      <w:bookmarkEnd w:id="40"/>
      <w:r w:rsidRPr="00E45E2C">
        <w:rPr>
          <w:rFonts w:ascii="Arial" w:hAnsi="Arial" w:cs="Arial"/>
          <w:sz w:val="22"/>
          <w:szCs w:val="22"/>
          <w:lang w:val="en-GB"/>
        </w:rPr>
        <w:t>8. Conclusion</w:t>
      </w:r>
      <w:bookmarkEnd w:id="41"/>
      <w:r w:rsidRPr="00E45E2C">
        <w:rPr>
          <w:rFonts w:ascii="Arial" w:hAnsi="Arial" w:cs="Arial"/>
          <w:sz w:val="22"/>
          <w:szCs w:val="22"/>
          <w:lang w:val="en-GB"/>
        </w:rPr>
        <w:t xml:space="preserve"> </w:t>
      </w:r>
    </w:p>
    <w:p w14:paraId="0000004D"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The prevalence of Type 2 diabetes has been high in the </w:t>
      </w:r>
      <w:proofErr w:type="spellStart"/>
      <w:r w:rsidRPr="00E45E2C">
        <w:rPr>
          <w:rFonts w:eastAsia="Times New Roman"/>
          <w:lang w:val="en-GB"/>
        </w:rPr>
        <w:t>Newham</w:t>
      </w:r>
      <w:proofErr w:type="spellEnd"/>
      <w:r w:rsidRPr="00E45E2C">
        <w:rPr>
          <w:rFonts w:eastAsia="Times New Roman"/>
          <w:lang w:val="en-GB"/>
        </w:rPr>
        <w:t xml:space="preserve"> area, which poses a significant challenge to the local population's health due to obesity, deprivation and ethnic disparity. Enhancement of surveillance, enhancing access to lifestyle programmes and exposing underlying social determinants are important in minimising the disease burden and consequent inequalities.</w:t>
      </w:r>
    </w:p>
    <w:p w14:paraId="0000004E" w14:textId="77777777" w:rsidR="001B45F4" w:rsidRPr="00E45E2C" w:rsidRDefault="001B45F4" w:rsidP="00BE44AA">
      <w:pPr>
        <w:spacing w:before="240" w:after="240" w:line="360" w:lineRule="auto"/>
        <w:jc w:val="both"/>
        <w:rPr>
          <w:rFonts w:eastAsia="Times New Roman"/>
          <w:lang w:val="en-GB"/>
        </w:rPr>
      </w:pPr>
    </w:p>
    <w:p w14:paraId="0000004F" w14:textId="77777777" w:rsidR="001B45F4" w:rsidRPr="00E45E2C" w:rsidRDefault="00A66082" w:rsidP="00BE44AA">
      <w:pPr>
        <w:spacing w:before="240" w:after="240" w:line="360" w:lineRule="auto"/>
        <w:jc w:val="both"/>
        <w:rPr>
          <w:rFonts w:eastAsia="Times New Roman"/>
          <w:lang w:val="en-GB"/>
        </w:rPr>
      </w:pPr>
      <w:r w:rsidRPr="00E45E2C">
        <w:rPr>
          <w:lang w:val="en-GB"/>
        </w:rPr>
        <w:br w:type="page"/>
      </w:r>
    </w:p>
    <w:p w14:paraId="00000050" w14:textId="77777777" w:rsidR="001B45F4" w:rsidRPr="00E45E2C" w:rsidRDefault="00A66082" w:rsidP="00BE44AA">
      <w:pPr>
        <w:pStyle w:val="Heading1"/>
        <w:spacing w:before="240" w:after="240"/>
        <w:jc w:val="both"/>
        <w:rPr>
          <w:rFonts w:ascii="Arial" w:hAnsi="Arial" w:cs="Arial"/>
          <w:sz w:val="22"/>
          <w:szCs w:val="22"/>
          <w:lang w:val="en-GB"/>
        </w:rPr>
      </w:pPr>
      <w:bookmarkStart w:id="42" w:name="_65f5a9o8rcgy" w:colFirst="0" w:colLast="0"/>
      <w:bookmarkStart w:id="43" w:name="_Toc216957845"/>
      <w:bookmarkEnd w:id="42"/>
      <w:r w:rsidRPr="00E45E2C">
        <w:rPr>
          <w:rFonts w:ascii="Arial" w:hAnsi="Arial" w:cs="Arial"/>
          <w:sz w:val="22"/>
          <w:szCs w:val="22"/>
          <w:lang w:val="en-GB"/>
        </w:rPr>
        <w:t>References</w:t>
      </w:r>
      <w:bookmarkEnd w:id="43"/>
    </w:p>
    <w:p w14:paraId="50C4597E" w14:textId="584B57D7" w:rsidR="00FC7BF0" w:rsidRPr="00E45E2C" w:rsidRDefault="00B86611" w:rsidP="00BE44AA">
      <w:pPr>
        <w:spacing w:before="240" w:after="240" w:line="360" w:lineRule="auto"/>
        <w:jc w:val="both"/>
        <w:rPr>
          <w:rFonts w:eastAsia="Times New Roman"/>
          <w:lang w:val="en-GB"/>
        </w:rPr>
      </w:pPr>
      <w:proofErr w:type="spellStart"/>
      <w:r w:rsidRPr="00B86611">
        <w:rPr>
          <w:lang w:val="en-GB"/>
        </w:rPr>
        <w:t>Ageuk</w:t>
      </w:r>
      <w:proofErr w:type="spellEnd"/>
      <w:r>
        <w:rPr>
          <w:lang w:val="en-GB"/>
        </w:rPr>
        <w:t xml:space="preserve">., </w:t>
      </w:r>
      <w:r w:rsidR="00FC7BF0" w:rsidRPr="00E45E2C">
        <w:rPr>
          <w:rFonts w:eastAsia="Times New Roman"/>
          <w:lang w:val="en-GB"/>
        </w:rPr>
        <w:t>2025. MENTAL HEALTH IN LATER LIFE UNDERSTANDING NEEDS, POLICIES AND SERVICES IN ENGLAND. (n.d.). Available at: https://www.ageuk.org.uk/globalassets/age-uk/documents/professionals/mental-health-hub/centreformh-mentalhealthinlaterlife.pdf?utm [Accessed 16 Dec. 2025].</w:t>
      </w:r>
    </w:p>
    <w:p w14:paraId="17AA0800" w14:textId="77777777" w:rsidR="00FC7BF0" w:rsidRPr="00E45E2C" w:rsidRDefault="00FC7BF0" w:rsidP="00BE44AA">
      <w:pPr>
        <w:spacing w:before="240" w:after="240" w:line="360" w:lineRule="auto"/>
        <w:jc w:val="both"/>
        <w:rPr>
          <w:rFonts w:eastAsia="Times New Roman"/>
          <w:lang w:val="en-GB"/>
        </w:rPr>
      </w:pPr>
      <w:proofErr w:type="spellStart"/>
      <w:r w:rsidRPr="00E45E2C">
        <w:rPr>
          <w:rFonts w:eastAsia="Times New Roman"/>
          <w:lang w:val="en-GB"/>
        </w:rPr>
        <w:t>Bonati</w:t>
      </w:r>
      <w:proofErr w:type="spellEnd"/>
      <w:r w:rsidRPr="00E45E2C">
        <w:rPr>
          <w:rFonts w:eastAsia="Times New Roman"/>
          <w:lang w:val="en-GB"/>
        </w:rPr>
        <w:t xml:space="preserve">, M., </w:t>
      </w:r>
      <w:proofErr w:type="spellStart"/>
      <w:r w:rsidRPr="00E45E2C">
        <w:rPr>
          <w:rFonts w:eastAsia="Times New Roman"/>
          <w:lang w:val="en-GB"/>
        </w:rPr>
        <w:t>Tognoni</w:t>
      </w:r>
      <w:proofErr w:type="spellEnd"/>
      <w:r w:rsidRPr="00E45E2C">
        <w:rPr>
          <w:rFonts w:eastAsia="Times New Roman"/>
          <w:lang w:val="en-GB"/>
        </w:rPr>
        <w:t xml:space="preserve">, G. and </w:t>
      </w:r>
      <w:proofErr w:type="spellStart"/>
      <w:r w:rsidRPr="00E45E2C">
        <w:rPr>
          <w:rFonts w:eastAsia="Times New Roman"/>
          <w:lang w:val="en-GB"/>
        </w:rPr>
        <w:t>Sereni</w:t>
      </w:r>
      <w:proofErr w:type="spellEnd"/>
      <w:r w:rsidRPr="00E45E2C">
        <w:rPr>
          <w:rFonts w:eastAsia="Times New Roman"/>
          <w:lang w:val="en-GB"/>
        </w:rPr>
        <w:t>, F., 2021. Inequalities in the universal right to health. International journal of environmental research and public health, 18(6), p.2844.</w:t>
      </w:r>
      <w:hyperlink r:id="rId8">
        <w:r w:rsidRPr="00E45E2C">
          <w:rPr>
            <w:rFonts w:eastAsia="Times New Roman"/>
            <w:color w:val="1155CC"/>
            <w:u w:val="single"/>
            <w:lang w:val="en-GB"/>
          </w:rPr>
          <w:t>https://doi.org/10.3390/ijerph18062844</w:t>
        </w:r>
      </w:hyperlink>
    </w:p>
    <w:p w14:paraId="71019794" w14:textId="4DB55066"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Buxton, J.</w:t>
      </w:r>
      <w:r w:rsidR="00246BA1">
        <w:rPr>
          <w:rFonts w:eastAsia="Times New Roman"/>
          <w:lang w:val="en-GB"/>
        </w:rPr>
        <w:t xml:space="preserve">, </w:t>
      </w:r>
      <w:r w:rsidRPr="00E45E2C">
        <w:rPr>
          <w:rFonts w:eastAsia="Times New Roman"/>
          <w:lang w:val="en-GB"/>
        </w:rPr>
        <w:t>2024. National life tables – life expectancy in the UK. [online] Ons.gov.uk. Available at: https://www.ons.gov.uk/peoplepopulationandcommunity/birthsdeathsandmarriages/lifeexpectancies/bulletins/nationallifetablesunitedkingdom/2020to2022?utm [Accessed 16 Dec. 2025].</w:t>
      </w:r>
    </w:p>
    <w:p w14:paraId="6520EFB7" w14:textId="16706AE7"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Diabetes UK</w:t>
      </w:r>
      <w:r w:rsidR="00246BA1">
        <w:rPr>
          <w:rFonts w:eastAsia="Times New Roman"/>
          <w:lang w:val="en-GB"/>
        </w:rPr>
        <w:t xml:space="preserve">., </w:t>
      </w:r>
      <w:r w:rsidRPr="00E45E2C">
        <w:rPr>
          <w:rFonts w:eastAsia="Times New Roman"/>
          <w:lang w:val="en-GB"/>
        </w:rPr>
        <w:t>2020. Ethnicity and type 2 diabetes. [online] Diabetes UK. Available at: https://www.diabetes.org.uk/about-diabetes/type-2-diabetes/diabetes-ethnicity.</w:t>
      </w:r>
    </w:p>
    <w:p w14:paraId="3B992F80" w14:textId="26FB488A"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Diabetes UK.</w:t>
      </w:r>
      <w:r w:rsidR="00246BA1">
        <w:rPr>
          <w:rFonts w:eastAsia="Times New Roman"/>
          <w:lang w:val="en-GB"/>
        </w:rPr>
        <w:t xml:space="preserve">, </w:t>
      </w:r>
      <w:r w:rsidRPr="00E45E2C">
        <w:rPr>
          <w:rFonts w:eastAsia="Times New Roman"/>
          <w:lang w:val="en-GB"/>
        </w:rPr>
        <w:t>2017. How many people in the UK have diabetes? [online] Available at: https://www.diabetes.org.uk/about-us/about-the-charity/our-strategy/statistics?utm.</w:t>
      </w:r>
    </w:p>
    <w:p w14:paraId="7EC00A2D" w14:textId="483E916D"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Diabetes UK.</w:t>
      </w:r>
      <w:r w:rsidR="00246BA1">
        <w:rPr>
          <w:rFonts w:eastAsia="Times New Roman"/>
          <w:lang w:val="en-GB"/>
        </w:rPr>
        <w:t xml:space="preserve">, </w:t>
      </w:r>
      <w:r w:rsidRPr="00E45E2C">
        <w:rPr>
          <w:rFonts w:eastAsia="Times New Roman"/>
          <w:lang w:val="en-GB"/>
        </w:rPr>
        <w:t>2024. 30% of people living with type 2 diabetes in England are undiagnosed, ONS analysis shows. [online] Available at: https://www.diabetes.org.uk/about-us/news-and-views/30-people-living-type-2-diabetes-england-are-undiagnosed-ons-analysis-shows?utm [Accessed 16 Dec. 2025].</w:t>
      </w:r>
    </w:p>
    <w:p w14:paraId="285367E5" w14:textId="77777777" w:rsidR="00FC7BF0" w:rsidRPr="00E45E2C" w:rsidRDefault="00FC7BF0" w:rsidP="00BE44AA">
      <w:pPr>
        <w:spacing w:before="240" w:after="240" w:line="360" w:lineRule="auto"/>
        <w:jc w:val="both"/>
        <w:rPr>
          <w:rFonts w:eastAsia="Times New Roman"/>
          <w:lang w:val="en-GB"/>
        </w:rPr>
      </w:pPr>
      <w:proofErr w:type="spellStart"/>
      <w:r w:rsidRPr="00E45E2C">
        <w:rPr>
          <w:rFonts w:eastAsia="Times New Roman"/>
          <w:lang w:val="en-GB"/>
        </w:rPr>
        <w:t>Gołacki</w:t>
      </w:r>
      <w:proofErr w:type="spellEnd"/>
      <w:r w:rsidRPr="00E45E2C">
        <w:rPr>
          <w:rFonts w:eastAsia="Times New Roman"/>
          <w:lang w:val="en-GB"/>
        </w:rPr>
        <w:t xml:space="preserve">, J., </w:t>
      </w:r>
      <w:proofErr w:type="spellStart"/>
      <w:r w:rsidRPr="00E45E2C">
        <w:rPr>
          <w:rFonts w:eastAsia="Times New Roman"/>
          <w:lang w:val="en-GB"/>
        </w:rPr>
        <w:t>Matuszek</w:t>
      </w:r>
      <w:proofErr w:type="spellEnd"/>
      <w:r w:rsidRPr="00E45E2C">
        <w:rPr>
          <w:rFonts w:eastAsia="Times New Roman"/>
          <w:lang w:val="en-GB"/>
        </w:rPr>
        <w:t xml:space="preserve">, M. and </w:t>
      </w:r>
      <w:proofErr w:type="spellStart"/>
      <w:r w:rsidRPr="00E45E2C">
        <w:rPr>
          <w:rFonts w:eastAsia="Times New Roman"/>
          <w:lang w:val="en-GB"/>
        </w:rPr>
        <w:t>Matyjaszek-Matuszek</w:t>
      </w:r>
      <w:proofErr w:type="spellEnd"/>
      <w:r w:rsidRPr="00E45E2C">
        <w:rPr>
          <w:rFonts w:eastAsia="Times New Roman"/>
          <w:lang w:val="en-GB"/>
        </w:rPr>
        <w:t>, B., 2022. Link between insulin resistance and obesity—from diagnosis to treatment. Diagnostics, 12(7), p.1681.</w:t>
      </w:r>
      <w:hyperlink r:id="rId9">
        <w:r w:rsidRPr="00E45E2C">
          <w:rPr>
            <w:rFonts w:eastAsia="Times New Roman"/>
            <w:color w:val="1155CC"/>
            <w:u w:val="single"/>
            <w:lang w:val="en-GB"/>
          </w:rPr>
          <w:t>https://doi.org/10.3390/diagnostics12071681</w:t>
        </w:r>
      </w:hyperlink>
    </w:p>
    <w:p w14:paraId="22C5864C" w14:textId="7BA0FD62"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GOV.</w:t>
      </w:r>
      <w:r w:rsidR="00C75C8C">
        <w:rPr>
          <w:rFonts w:eastAsia="Times New Roman"/>
          <w:lang w:val="en-GB"/>
        </w:rPr>
        <w:t xml:space="preserve">, </w:t>
      </w:r>
      <w:r w:rsidRPr="00E45E2C">
        <w:rPr>
          <w:rFonts w:eastAsia="Times New Roman"/>
          <w:lang w:val="en-GB"/>
        </w:rPr>
        <w:t>2022. Healthy ageing: applying all our health. [online] GOV.UK. Available at: https://www.gov.uk/government/publications/healthy-ageing/healthy-ageing-applying-all-our-health.</w:t>
      </w:r>
    </w:p>
    <w:p w14:paraId="0EBDDDBD" w14:textId="12D565B8"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NHS England</w:t>
      </w:r>
      <w:r w:rsidR="00246BA1">
        <w:rPr>
          <w:rFonts w:eastAsia="Times New Roman"/>
          <w:lang w:val="en-GB"/>
        </w:rPr>
        <w:t xml:space="preserve">., </w:t>
      </w:r>
      <w:r w:rsidRPr="00E45E2C">
        <w:rPr>
          <w:rFonts w:eastAsia="Times New Roman"/>
          <w:lang w:val="en-GB"/>
        </w:rPr>
        <w:t>2017. NHS England» Half of adults aged 55 and over have experienced common mental health problems, say Age UK. [online] England.nhs.uk. Available at: https://www.england.nhs.uk/2017/10/half-of-adults-aged-55-and-over-have-experienced-common-mental-health-problems-say-age-uk/?utm [Accessed 16 Dec. 2025].</w:t>
      </w:r>
    </w:p>
    <w:p w14:paraId="24F0641E" w14:textId="75B8A9BB"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NHS England</w:t>
      </w:r>
      <w:r w:rsidR="00246BA1">
        <w:rPr>
          <w:rFonts w:eastAsia="Times New Roman"/>
          <w:lang w:val="en-GB"/>
        </w:rPr>
        <w:t xml:space="preserve">., </w:t>
      </w:r>
      <w:r w:rsidRPr="00E45E2C">
        <w:rPr>
          <w:rFonts w:eastAsia="Times New Roman"/>
          <w:lang w:val="en-GB"/>
        </w:rPr>
        <w:t>2023. Health Survey for England, 2021 part 2. [online] NHS England. Available at: https://digital.nhs.uk/data-and-information/publications/statistical/health-survey-for-england/2021-part-2/adult-health-general-health?utm.</w:t>
      </w:r>
    </w:p>
    <w:p w14:paraId="353D9F2D" w14:textId="7EAC9783"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NHS England</w:t>
      </w:r>
      <w:r w:rsidR="00D02D0D">
        <w:rPr>
          <w:rFonts w:eastAsia="Times New Roman"/>
          <w:lang w:val="en-GB"/>
        </w:rPr>
        <w:t xml:space="preserve">., </w:t>
      </w:r>
      <w:r w:rsidRPr="00E45E2C">
        <w:rPr>
          <w:rFonts w:eastAsia="Times New Roman"/>
          <w:lang w:val="en-GB"/>
        </w:rPr>
        <w:t xml:space="preserve">2023a. NHS Diabetes Prevention Programme (NHS DPP). [online] NHS England. Available at: </w:t>
      </w:r>
      <w:hyperlink r:id="rId10">
        <w:r w:rsidRPr="00E45E2C">
          <w:rPr>
            <w:rFonts w:eastAsia="Times New Roman"/>
            <w:color w:val="1155CC"/>
            <w:u w:val="single"/>
            <w:lang w:val="en-GB"/>
          </w:rPr>
          <w:t>https://www.england.nhs.uk/diabetes/diabetes-prevention/</w:t>
        </w:r>
      </w:hyperlink>
      <w:r w:rsidRPr="00E45E2C">
        <w:rPr>
          <w:rFonts w:eastAsia="Times New Roman"/>
          <w:lang w:val="en-GB"/>
        </w:rPr>
        <w:t>.</w:t>
      </w:r>
    </w:p>
    <w:p w14:paraId="181057BE" w14:textId="785CDAAD"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NHS England</w:t>
      </w:r>
      <w:r w:rsidR="00733002">
        <w:rPr>
          <w:rFonts w:eastAsia="Times New Roman"/>
          <w:lang w:val="en-GB"/>
        </w:rPr>
        <w:t xml:space="preserve">., </w:t>
      </w:r>
      <w:r w:rsidRPr="00E45E2C">
        <w:rPr>
          <w:rFonts w:eastAsia="Times New Roman"/>
          <w:lang w:val="en-GB"/>
        </w:rPr>
        <w:t xml:space="preserve">2024. NHS England» NHS identifies over half a million more people at risk of type 2 diabetes in a Year. [online] England.nhs.uk. Available at: </w:t>
      </w:r>
      <w:hyperlink r:id="rId11" w:history="1">
        <w:r w:rsidR="00733002" w:rsidRPr="00C118DF">
          <w:rPr>
            <w:rStyle w:val="Hyperlink"/>
            <w:rFonts w:eastAsia="Times New Roman"/>
            <w:lang w:val="en-GB"/>
          </w:rPr>
          <w:t>https://www.england.nhs.uk/2024/06/nhs-identifies-over-half-a-million-more-people-at-risk-of-type-2-diabetes-in-a-year/?utm</w:t>
        </w:r>
      </w:hyperlink>
      <w:r w:rsidR="00733002">
        <w:rPr>
          <w:rFonts w:eastAsia="Times New Roman"/>
          <w:lang w:val="en-GB"/>
        </w:rPr>
        <w:t xml:space="preserve"> </w:t>
      </w:r>
      <w:r w:rsidRPr="00E45E2C">
        <w:rPr>
          <w:rFonts w:eastAsia="Times New Roman"/>
          <w:lang w:val="en-GB"/>
        </w:rPr>
        <w:t>[Accessed 16 Dec. 2025].</w:t>
      </w:r>
    </w:p>
    <w:p w14:paraId="4602D80F" w14:textId="4934F624"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Office</w:t>
      </w:r>
      <w:r w:rsidR="0027413E">
        <w:rPr>
          <w:rFonts w:eastAsia="Times New Roman"/>
          <w:lang w:val="en-GB"/>
        </w:rPr>
        <w:t xml:space="preserve">., </w:t>
      </w:r>
      <w:r w:rsidRPr="00E45E2C">
        <w:rPr>
          <w:rFonts w:eastAsia="Times New Roman"/>
          <w:lang w:val="en-GB"/>
        </w:rPr>
        <w:t>2025. Diabetes profile: statistical commentary, March 2025. [online] GOV.UK. Available at: https://www.gov.uk/government/statistics/diabetes-profile-update-march-2025/diabetes-profile-statistical-commentary-march-2025?utm.</w:t>
      </w:r>
    </w:p>
    <w:p w14:paraId="76278E96" w14:textId="008E2456"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Pham, T.M., Carpenter, J.R., Morris, T.P., Sharma, M. and Petersen, I.</w:t>
      </w:r>
      <w:r w:rsidR="004D7F76">
        <w:rPr>
          <w:rFonts w:eastAsia="Times New Roman"/>
          <w:lang w:val="en-GB"/>
        </w:rPr>
        <w:t xml:space="preserve">, </w:t>
      </w:r>
      <w:r w:rsidRPr="00E45E2C">
        <w:rPr>
          <w:rFonts w:eastAsia="Times New Roman"/>
          <w:lang w:val="en-GB"/>
        </w:rPr>
        <w:t xml:space="preserve">2019. Ethnic Differences in the Prevalence of Type 2 Diabetes Diagnoses in the UK: Cross-Sectional Analysis of the Health Improvement Network Primary Care Database. Clinical Epidemiology, [online] Volume 11(11), pp.1081–1088. </w:t>
      </w:r>
      <w:proofErr w:type="spellStart"/>
      <w:r w:rsidRPr="00E45E2C">
        <w:rPr>
          <w:rFonts w:eastAsia="Times New Roman"/>
          <w:lang w:val="en-GB"/>
        </w:rPr>
        <w:t>doi:https</w:t>
      </w:r>
      <w:proofErr w:type="spellEnd"/>
      <w:r w:rsidRPr="00E45E2C">
        <w:rPr>
          <w:rFonts w:eastAsia="Times New Roman"/>
          <w:lang w:val="en-GB"/>
        </w:rPr>
        <w:t>://doi.org/10.2147/CLEP.S227621.</w:t>
      </w:r>
    </w:p>
    <w:p w14:paraId="66961A35" w14:textId="77777777" w:rsidR="00FC7BF0" w:rsidRPr="00E45E2C" w:rsidRDefault="00FC7BF0" w:rsidP="00BE44AA">
      <w:pPr>
        <w:spacing w:before="240" w:after="240" w:line="360" w:lineRule="auto"/>
        <w:jc w:val="both"/>
        <w:rPr>
          <w:rFonts w:eastAsia="Times New Roman"/>
          <w:lang w:val="en-GB"/>
        </w:rPr>
      </w:pPr>
      <w:proofErr w:type="spellStart"/>
      <w:r w:rsidRPr="00E45E2C">
        <w:rPr>
          <w:rFonts w:eastAsia="Times New Roman"/>
          <w:lang w:val="en-GB"/>
        </w:rPr>
        <w:t>Renzella</w:t>
      </w:r>
      <w:proofErr w:type="spellEnd"/>
      <w:r w:rsidRPr="00E45E2C">
        <w:rPr>
          <w:rFonts w:eastAsia="Times New Roman"/>
          <w:lang w:val="en-GB"/>
        </w:rPr>
        <w:t xml:space="preserve">, J., </w:t>
      </w:r>
      <w:proofErr w:type="spellStart"/>
      <w:r w:rsidRPr="00E45E2C">
        <w:rPr>
          <w:rFonts w:eastAsia="Times New Roman"/>
          <w:lang w:val="en-GB"/>
        </w:rPr>
        <w:t>Agbebiyi</w:t>
      </w:r>
      <w:proofErr w:type="spellEnd"/>
      <w:r w:rsidRPr="00E45E2C">
        <w:rPr>
          <w:rFonts w:eastAsia="Times New Roman"/>
          <w:lang w:val="en-GB"/>
        </w:rPr>
        <w:t xml:space="preserve">, A., Nayyar, R., Malik, S., Ahmed, E., Harding, S., Scarborough, P. and </w:t>
      </w:r>
      <w:proofErr w:type="spellStart"/>
      <w:r w:rsidRPr="00E45E2C">
        <w:rPr>
          <w:rFonts w:eastAsia="Times New Roman"/>
          <w:lang w:val="en-GB"/>
        </w:rPr>
        <w:t>Bhatnagar</w:t>
      </w:r>
      <w:proofErr w:type="spellEnd"/>
      <w:r w:rsidRPr="00E45E2C">
        <w:rPr>
          <w:rFonts w:eastAsia="Times New Roman"/>
          <w:lang w:val="en-GB"/>
        </w:rPr>
        <w:t xml:space="preserve">, P., 2025. Identifying areas for action to create healthier diets in the London Borough of </w:t>
      </w:r>
      <w:proofErr w:type="spellStart"/>
      <w:r w:rsidRPr="00E45E2C">
        <w:rPr>
          <w:rFonts w:eastAsia="Times New Roman"/>
          <w:lang w:val="en-GB"/>
        </w:rPr>
        <w:t>Newham</w:t>
      </w:r>
      <w:proofErr w:type="spellEnd"/>
      <w:r w:rsidRPr="00E45E2C">
        <w:rPr>
          <w:rFonts w:eastAsia="Times New Roman"/>
          <w:lang w:val="en-GB"/>
        </w:rPr>
        <w:t>: systems mapping with residents. BMC Public Health, 25(1), p.2645.</w:t>
      </w:r>
      <w:hyperlink r:id="rId12">
        <w:r w:rsidRPr="00E45E2C">
          <w:rPr>
            <w:rFonts w:eastAsia="Times New Roman"/>
            <w:color w:val="1155CC"/>
            <w:u w:val="single"/>
            <w:lang w:val="en-GB"/>
          </w:rPr>
          <w:t>https://doi.org/10.1186/s12889-025-23909-4</w:t>
        </w:r>
      </w:hyperlink>
    </w:p>
    <w:p w14:paraId="27785E10" w14:textId="77777777" w:rsidR="00FC7BF0" w:rsidRPr="00E45E2C" w:rsidRDefault="00FC7BF0" w:rsidP="00BE44AA">
      <w:pPr>
        <w:spacing w:before="240" w:after="240" w:line="360" w:lineRule="auto"/>
        <w:jc w:val="both"/>
        <w:rPr>
          <w:rFonts w:eastAsia="Times New Roman"/>
          <w:lang w:val="en-GB"/>
        </w:rPr>
      </w:pPr>
      <w:proofErr w:type="spellStart"/>
      <w:r w:rsidRPr="00E45E2C">
        <w:rPr>
          <w:rFonts w:eastAsia="Times New Roman"/>
          <w:lang w:val="en-GB"/>
        </w:rPr>
        <w:t>Schuster</w:t>
      </w:r>
      <w:proofErr w:type="spellEnd"/>
      <w:r w:rsidRPr="00E45E2C">
        <w:rPr>
          <w:rFonts w:eastAsia="Times New Roman"/>
          <w:lang w:val="en-GB"/>
        </w:rPr>
        <w:t xml:space="preserve">, A.L., </w:t>
      </w:r>
      <w:proofErr w:type="spellStart"/>
      <w:r w:rsidRPr="00E45E2C">
        <w:rPr>
          <w:rFonts w:eastAsia="Times New Roman"/>
          <w:lang w:val="en-GB"/>
        </w:rPr>
        <w:t>Folta</w:t>
      </w:r>
      <w:proofErr w:type="spellEnd"/>
      <w:r w:rsidRPr="00E45E2C">
        <w:rPr>
          <w:rFonts w:eastAsia="Times New Roman"/>
          <w:lang w:val="en-GB"/>
        </w:rPr>
        <w:t xml:space="preserve">, A., Bollinger, J., </w:t>
      </w:r>
      <w:proofErr w:type="spellStart"/>
      <w:r w:rsidRPr="00E45E2C">
        <w:rPr>
          <w:rFonts w:eastAsia="Times New Roman"/>
          <w:lang w:val="en-GB"/>
        </w:rPr>
        <w:t>Geller</w:t>
      </w:r>
      <w:proofErr w:type="spellEnd"/>
      <w:r w:rsidRPr="00E45E2C">
        <w:rPr>
          <w:rFonts w:eastAsia="Times New Roman"/>
          <w:lang w:val="en-GB"/>
        </w:rPr>
        <w:t xml:space="preserve">, G., Mehta, S.R., Little, S.J., Sanchez, T., </w:t>
      </w:r>
      <w:proofErr w:type="spellStart"/>
      <w:r w:rsidRPr="00E45E2C">
        <w:rPr>
          <w:rFonts w:eastAsia="Times New Roman"/>
          <w:lang w:val="en-GB"/>
        </w:rPr>
        <w:t>Sugarman</w:t>
      </w:r>
      <w:proofErr w:type="spellEnd"/>
      <w:r w:rsidRPr="00E45E2C">
        <w:rPr>
          <w:rFonts w:eastAsia="Times New Roman"/>
          <w:lang w:val="en-GB"/>
        </w:rPr>
        <w:t>, J. and Bridges, J.F., 2024. User experience with HIV molecular epidemiology in research, surveillance, and cluster detection and response: a needs assessment. Current Medical Research and Opinion, 40(11), pp.1873-1883.</w:t>
      </w:r>
      <w:hyperlink r:id="rId13">
        <w:r w:rsidRPr="00E45E2C">
          <w:rPr>
            <w:rFonts w:eastAsia="Times New Roman"/>
            <w:color w:val="1155CC"/>
            <w:u w:val="single"/>
            <w:lang w:val="en-GB"/>
          </w:rPr>
          <w:t>https://doi.org/10.1080/03007995.2024.2388840</w:t>
        </w:r>
      </w:hyperlink>
    </w:p>
    <w:p w14:paraId="4FBD5A7D" w14:textId="3C376F53" w:rsidR="00FC7BF0" w:rsidRPr="00E45E2C" w:rsidRDefault="00FC7BF0" w:rsidP="00BE44AA">
      <w:pPr>
        <w:spacing w:before="240" w:after="240" w:line="360" w:lineRule="auto"/>
        <w:jc w:val="both"/>
        <w:rPr>
          <w:rFonts w:eastAsia="Times New Roman"/>
          <w:lang w:val="en-GB"/>
        </w:rPr>
      </w:pPr>
      <w:proofErr w:type="spellStart"/>
      <w:r w:rsidRPr="00E45E2C">
        <w:rPr>
          <w:rFonts w:eastAsia="Times New Roman"/>
          <w:lang w:val="en-GB"/>
        </w:rPr>
        <w:t>Theageactionalliance</w:t>
      </w:r>
      <w:proofErr w:type="spellEnd"/>
      <w:r w:rsidRPr="00E45E2C">
        <w:rPr>
          <w:rFonts w:eastAsia="Times New Roman"/>
          <w:lang w:val="en-GB"/>
        </w:rPr>
        <w:t>.</w:t>
      </w:r>
      <w:r w:rsidR="00373AC8">
        <w:rPr>
          <w:rFonts w:eastAsia="Times New Roman"/>
          <w:lang w:val="en-GB"/>
        </w:rPr>
        <w:t xml:space="preserve">, </w:t>
      </w:r>
      <w:r w:rsidRPr="00E45E2C">
        <w:rPr>
          <w:rFonts w:eastAsia="Times New Roman"/>
          <w:lang w:val="en-GB"/>
        </w:rPr>
        <w:t>2024. New evidence reveals the scale and health impacts of loneliness amongst older people. [online] Available at: https://theageactionalliance.org/2024/12/03/new-evidence-reveals-the-scale-and-health-impacts-of-loneliness-amongst-older-people/?utm [Accessed 16 Dec. 2025].</w:t>
      </w:r>
    </w:p>
    <w:p w14:paraId="2E453C9C" w14:textId="20CCF4ED"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Trust for London</w:t>
      </w:r>
      <w:r w:rsidR="009760BF">
        <w:rPr>
          <w:rFonts w:eastAsia="Times New Roman"/>
          <w:lang w:val="en-GB"/>
        </w:rPr>
        <w:t xml:space="preserve">., </w:t>
      </w:r>
      <w:r w:rsidRPr="00E45E2C">
        <w:rPr>
          <w:rFonts w:eastAsia="Times New Roman"/>
          <w:lang w:val="en-GB"/>
        </w:rPr>
        <w:t xml:space="preserve">2021. Poverty and Inequality Data For </w:t>
      </w:r>
      <w:proofErr w:type="spellStart"/>
      <w:r w:rsidRPr="00E45E2C">
        <w:rPr>
          <w:rFonts w:eastAsia="Times New Roman"/>
          <w:lang w:val="en-GB"/>
        </w:rPr>
        <w:t>Newham</w:t>
      </w:r>
      <w:proofErr w:type="spellEnd"/>
      <w:r w:rsidRPr="00E45E2C">
        <w:rPr>
          <w:rFonts w:eastAsia="Times New Roman"/>
          <w:lang w:val="en-GB"/>
        </w:rPr>
        <w:t>. [online] Trust for London. Available at: https://trustforlondon.org.uk/data/boroughs/newham-poverty-and-inequality-indicators/.</w:t>
      </w:r>
    </w:p>
    <w:p w14:paraId="3133064A" w14:textId="77777777"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 xml:space="preserve">Wang, X., Ding, F., Qi, X., Wang, Z., Pei, Y., Zhang, L., </w:t>
      </w:r>
      <w:proofErr w:type="spellStart"/>
      <w:r w:rsidRPr="00E45E2C">
        <w:rPr>
          <w:rFonts w:eastAsia="Times New Roman"/>
          <w:lang w:val="en-GB"/>
        </w:rPr>
        <w:t>Ren</w:t>
      </w:r>
      <w:proofErr w:type="spellEnd"/>
      <w:r w:rsidRPr="00E45E2C">
        <w:rPr>
          <w:rFonts w:eastAsia="Times New Roman"/>
          <w:lang w:val="en-GB"/>
        </w:rPr>
        <w:t xml:space="preserve">, J., Wang, Y., </w:t>
      </w:r>
      <w:proofErr w:type="spellStart"/>
      <w:r w:rsidRPr="00E45E2C">
        <w:rPr>
          <w:rFonts w:eastAsia="Times New Roman"/>
          <w:lang w:val="en-GB"/>
        </w:rPr>
        <w:t>Guo</w:t>
      </w:r>
      <w:proofErr w:type="spellEnd"/>
      <w:r w:rsidRPr="00E45E2C">
        <w:rPr>
          <w:rFonts w:eastAsia="Times New Roman"/>
          <w:lang w:val="en-GB"/>
        </w:rPr>
        <w:t xml:space="preserve">, Q., </w:t>
      </w:r>
      <w:proofErr w:type="spellStart"/>
      <w:r w:rsidRPr="00E45E2C">
        <w:rPr>
          <w:rFonts w:eastAsia="Times New Roman"/>
          <w:lang w:val="en-GB"/>
        </w:rPr>
        <w:t>Zeng</w:t>
      </w:r>
      <w:proofErr w:type="spellEnd"/>
      <w:r w:rsidRPr="00E45E2C">
        <w:rPr>
          <w:rFonts w:eastAsia="Times New Roman"/>
          <w:lang w:val="en-GB"/>
        </w:rPr>
        <w:t>, B. and Xu, S., 2025. Epidemiological characteristics of heatstroke in China, 2010–2023: a longitudinal study based on a national heatstroke surveillance system. The Lancet Regional Health–Western Pacific, 64.</w:t>
      </w:r>
      <w:hyperlink r:id="rId14">
        <w:r w:rsidRPr="00E45E2C">
          <w:rPr>
            <w:rFonts w:eastAsia="Times New Roman"/>
            <w:color w:val="1155CC"/>
            <w:u w:val="single"/>
            <w:lang w:val="en-GB"/>
          </w:rPr>
          <w:t>https://doi.org/10.1016/j.lanwpc.2025.101722</w:t>
        </w:r>
      </w:hyperlink>
    </w:p>
    <w:sectPr w:rsidR="00FC7BF0" w:rsidRPr="00E45E2C" w:rsidSect="00D73BB2">
      <w:footerReference w:type="default" r:id="rId15"/>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D895D" w14:textId="77777777" w:rsidR="007A26EE" w:rsidRDefault="007A26EE" w:rsidP="00FC7BF0">
      <w:pPr>
        <w:spacing w:line="240" w:lineRule="auto"/>
      </w:pPr>
      <w:r>
        <w:separator/>
      </w:r>
    </w:p>
  </w:endnote>
  <w:endnote w:type="continuationSeparator" w:id="0">
    <w:p w14:paraId="7ACA5CCF" w14:textId="77777777" w:rsidR="007A26EE" w:rsidRDefault="007A26EE" w:rsidP="00FC7B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64327960-90EB-4E59-B943-3785C6ABE1C7}"/>
  </w:font>
  <w:font w:name="Vrinda">
    <w:panose1 w:val="020B0502040204020203"/>
    <w:charset w:val="00"/>
    <w:family w:val="swiss"/>
    <w:pitch w:val="variable"/>
    <w:sig w:usb0="0001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embedRegular r:id="rId2" w:fontKey="{875C58B1-B423-804E-A0B8-EF380CE696C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5049975"/>
      <w:docPartObj>
        <w:docPartGallery w:val="Page Numbers (Bottom of Page)"/>
        <w:docPartUnique/>
      </w:docPartObj>
    </w:sdtPr>
    <w:sdtEndPr>
      <w:rPr>
        <w:noProof/>
      </w:rPr>
    </w:sdtEndPr>
    <w:sdtContent>
      <w:p w14:paraId="13F15742" w14:textId="0D3E6941" w:rsidR="00FC7BF0" w:rsidRDefault="00FC7B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F5ADDD" w14:textId="77777777" w:rsidR="00FC7BF0" w:rsidRDefault="00FC7B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E2D0E" w14:textId="77777777" w:rsidR="007A26EE" w:rsidRDefault="007A26EE" w:rsidP="00FC7BF0">
      <w:pPr>
        <w:spacing w:line="240" w:lineRule="auto"/>
      </w:pPr>
      <w:r>
        <w:separator/>
      </w:r>
    </w:p>
  </w:footnote>
  <w:footnote w:type="continuationSeparator" w:id="0">
    <w:p w14:paraId="67A44E4D" w14:textId="77777777" w:rsidR="007A26EE" w:rsidRDefault="007A26EE" w:rsidP="00FC7BF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embedTrueTypeFont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45F4"/>
    <w:rsid w:val="000406C6"/>
    <w:rsid w:val="001A3C35"/>
    <w:rsid w:val="001B45F4"/>
    <w:rsid w:val="00246BA1"/>
    <w:rsid w:val="00265CF6"/>
    <w:rsid w:val="0027413E"/>
    <w:rsid w:val="002B3BB7"/>
    <w:rsid w:val="002C18A8"/>
    <w:rsid w:val="00300A65"/>
    <w:rsid w:val="00350562"/>
    <w:rsid w:val="00373AC8"/>
    <w:rsid w:val="003C5260"/>
    <w:rsid w:val="0044358F"/>
    <w:rsid w:val="004D7F76"/>
    <w:rsid w:val="00552521"/>
    <w:rsid w:val="005B13A8"/>
    <w:rsid w:val="005D5DAE"/>
    <w:rsid w:val="006439DA"/>
    <w:rsid w:val="006A3FED"/>
    <w:rsid w:val="00733002"/>
    <w:rsid w:val="00742724"/>
    <w:rsid w:val="007A26EE"/>
    <w:rsid w:val="00831D03"/>
    <w:rsid w:val="008911C0"/>
    <w:rsid w:val="008B359A"/>
    <w:rsid w:val="008F60DB"/>
    <w:rsid w:val="00905464"/>
    <w:rsid w:val="00944E5C"/>
    <w:rsid w:val="009760BF"/>
    <w:rsid w:val="009D02AC"/>
    <w:rsid w:val="00A260F6"/>
    <w:rsid w:val="00A66082"/>
    <w:rsid w:val="00A92DB9"/>
    <w:rsid w:val="00B2036F"/>
    <w:rsid w:val="00B86611"/>
    <w:rsid w:val="00B95E41"/>
    <w:rsid w:val="00BE44AA"/>
    <w:rsid w:val="00C54C42"/>
    <w:rsid w:val="00C75C8C"/>
    <w:rsid w:val="00D02D0D"/>
    <w:rsid w:val="00D33266"/>
    <w:rsid w:val="00D73BB2"/>
    <w:rsid w:val="00D77950"/>
    <w:rsid w:val="00D908FA"/>
    <w:rsid w:val="00E45E2C"/>
    <w:rsid w:val="00E4719F"/>
    <w:rsid w:val="00F51E01"/>
    <w:rsid w:val="00FC7BF0"/>
    <w:rsid w:val="00FE2CD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24E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center"/>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FC7BF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FC7BF0"/>
    <w:pPr>
      <w:spacing w:after="100"/>
    </w:pPr>
    <w:rPr>
      <w:szCs w:val="28"/>
    </w:rPr>
  </w:style>
  <w:style w:type="paragraph" w:styleId="TOC2">
    <w:name w:val="toc 2"/>
    <w:basedOn w:val="Normal"/>
    <w:next w:val="Normal"/>
    <w:autoRedefine/>
    <w:uiPriority w:val="39"/>
    <w:unhideWhenUsed/>
    <w:rsid w:val="00FC7BF0"/>
    <w:pPr>
      <w:spacing w:after="100"/>
      <w:ind w:left="220"/>
    </w:pPr>
    <w:rPr>
      <w:szCs w:val="28"/>
    </w:rPr>
  </w:style>
  <w:style w:type="paragraph" w:styleId="TOC3">
    <w:name w:val="toc 3"/>
    <w:basedOn w:val="Normal"/>
    <w:next w:val="Normal"/>
    <w:autoRedefine/>
    <w:uiPriority w:val="39"/>
    <w:unhideWhenUsed/>
    <w:rsid w:val="00FC7BF0"/>
    <w:pPr>
      <w:spacing w:after="100"/>
      <w:ind w:left="440"/>
    </w:pPr>
    <w:rPr>
      <w:szCs w:val="28"/>
    </w:rPr>
  </w:style>
  <w:style w:type="character" w:styleId="Hyperlink">
    <w:name w:val="Hyperlink"/>
    <w:basedOn w:val="DefaultParagraphFont"/>
    <w:uiPriority w:val="99"/>
    <w:unhideWhenUsed/>
    <w:rsid w:val="00FC7BF0"/>
    <w:rPr>
      <w:color w:val="0000FF" w:themeColor="hyperlink"/>
      <w:u w:val="single"/>
    </w:rPr>
  </w:style>
  <w:style w:type="paragraph" w:styleId="Header">
    <w:name w:val="header"/>
    <w:basedOn w:val="Normal"/>
    <w:link w:val="HeaderChar"/>
    <w:uiPriority w:val="99"/>
    <w:unhideWhenUsed/>
    <w:rsid w:val="00FC7BF0"/>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FC7BF0"/>
    <w:rPr>
      <w:szCs w:val="28"/>
    </w:rPr>
  </w:style>
  <w:style w:type="paragraph" w:styleId="Footer">
    <w:name w:val="footer"/>
    <w:basedOn w:val="Normal"/>
    <w:link w:val="FooterChar"/>
    <w:uiPriority w:val="99"/>
    <w:unhideWhenUsed/>
    <w:rsid w:val="00FC7BF0"/>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FC7BF0"/>
    <w:rPr>
      <w:szCs w:val="28"/>
    </w:rPr>
  </w:style>
  <w:style w:type="character" w:customStyle="1" w:styleId="TitleChar">
    <w:name w:val="Title Char"/>
    <w:basedOn w:val="DefaultParagraphFont"/>
    <w:link w:val="Title"/>
    <w:uiPriority w:val="10"/>
    <w:rsid w:val="009D02AC"/>
    <w:rPr>
      <w:sz w:val="52"/>
      <w:szCs w:val="52"/>
    </w:rPr>
  </w:style>
  <w:style w:type="character" w:styleId="UnresolvedMention">
    <w:name w:val="Unresolved Mention"/>
    <w:basedOn w:val="DefaultParagraphFont"/>
    <w:uiPriority w:val="99"/>
    <w:semiHidden/>
    <w:unhideWhenUsed/>
    <w:rsid w:val="00733002"/>
    <w:rPr>
      <w:color w:val="605E5C"/>
      <w:shd w:val="clear" w:color="auto" w:fill="E1DFDD"/>
    </w:rPr>
  </w:style>
  <w:style w:type="paragraph" w:customStyle="1" w:styleId="p1">
    <w:name w:val="p1"/>
    <w:basedOn w:val="Normal"/>
    <w:rsid w:val="00A92DB9"/>
    <w:pPr>
      <w:spacing w:line="240" w:lineRule="auto"/>
    </w:pPr>
    <w:rPr>
      <w:rFonts w:ascii="Helvetica" w:eastAsiaTheme="minorEastAsia" w:hAnsi="Helvetica" w:cs="Times New Roman"/>
      <w:sz w:val="18"/>
      <w:szCs w:val="18"/>
      <w:lang w:val="en-IN" w:eastAsia="en-GB" w:bidi="ar-SA"/>
    </w:rPr>
  </w:style>
  <w:style w:type="character" w:customStyle="1" w:styleId="s1">
    <w:name w:val="s1"/>
    <w:basedOn w:val="DefaultParagraphFont"/>
    <w:rsid w:val="00A92DB9"/>
    <w:rPr>
      <w:rFonts w:ascii="Helvetica" w:hAnsi="Helvetica" w:hint="default"/>
      <w:b w:val="0"/>
      <w:bCs w:val="0"/>
      <w:i w:val="0"/>
      <w:iCs w:val="0"/>
      <w:sz w:val="18"/>
      <w:szCs w:val="18"/>
    </w:rPr>
  </w:style>
  <w:style w:type="character" w:styleId="FollowedHyperlink">
    <w:name w:val="FollowedHyperlink"/>
    <w:basedOn w:val="DefaultParagraphFont"/>
    <w:uiPriority w:val="99"/>
    <w:semiHidden/>
    <w:unhideWhenUsed/>
    <w:rsid w:val="0055252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3390/ijerph18062844" TargetMode="External"/><Relationship Id="rId13" Type="http://schemas.openxmlformats.org/officeDocument/2006/relationships/hyperlink" Target="https://doi.org/10.1080/03007995.2024.238884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86/s12889-025-23909-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2024/06/nhs-identifies-over-half-a-million-more-people-at-risk-of-type-2-diabetes-in-a-year/?ut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ngland.nhs.uk/diabetes/diabetes-prevention/" TargetMode="External"/><Relationship Id="rId4" Type="http://schemas.openxmlformats.org/officeDocument/2006/relationships/webSettings" Target="webSettings.xml"/><Relationship Id="rId9" Type="http://schemas.openxmlformats.org/officeDocument/2006/relationships/hyperlink" Target="https://doi.org/10.3390/diagnostics12071681" TargetMode="External"/><Relationship Id="rId14" Type="http://schemas.openxmlformats.org/officeDocument/2006/relationships/hyperlink" Target="https://doi.org/10.1016/j.lanwpc.2025.101722"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D8F425-C4BA-4225-B808-730059A3F8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3590</Words>
  <Characters>20468</Characters>
  <Application>Microsoft Office Word</Application>
  <DocSecurity>0</DocSecurity>
  <Lines>170</Lines>
  <Paragraphs>48</Paragraphs>
  <ScaleCrop>false</ScaleCrop>
  <Company/>
  <LinksUpToDate>false</LinksUpToDate>
  <CharactersWithSpaces>24010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2025-12-18T14:22:00Z</dcterms:created>
  <dcterms:modified xsi:type="dcterms:W3CDTF">2025-12-18T16:06:00Z</dcterms:modified>
</cp:coreProperties>
</file>