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09A77" w14:textId="28345648" w:rsidR="00F06D23" w:rsidRPr="00F06D23" w:rsidRDefault="00F06D23" w:rsidP="00F06D23">
      <w:pPr>
        <w:pStyle w:val="paragraph"/>
        <w:spacing w:before="0" w:beforeAutospacing="0" w:after="0" w:afterAutospacing="0"/>
        <w:ind w:left="-30" w:right="-30"/>
        <w:jc w:val="both"/>
        <w:textAlignment w:val="baseline"/>
        <w:rPr>
          <w:rFonts w:asciiTheme="minorHAnsi" w:hAnsiTheme="minorHAnsi" w:cstheme="minorHAnsi"/>
          <w:sz w:val="22"/>
          <w:szCs w:val="22"/>
          <w:lang w:val="en-US"/>
        </w:rPr>
      </w:pPr>
      <w:r w:rsidRPr="00F06D23">
        <w:rPr>
          <w:rFonts w:asciiTheme="minorHAnsi" w:hAnsiTheme="minorHAnsi" w:cstheme="minorHAnsi"/>
          <w:noProof/>
          <w:sz w:val="22"/>
          <w:szCs w:val="22"/>
          <w:lang w:val="en-US"/>
        </w:rPr>
        <mc:AlternateContent>
          <mc:Choice Requires="wps">
            <w:drawing>
              <wp:anchor distT="45720" distB="45720" distL="114300" distR="114300" simplePos="0" relativeHeight="251659264" behindDoc="0" locked="0" layoutInCell="1" allowOverlap="1" wp14:anchorId="1748D151" wp14:editId="0BF9B559">
                <wp:simplePos x="0" y="0"/>
                <wp:positionH relativeFrom="column">
                  <wp:posOffset>-120650</wp:posOffset>
                </wp:positionH>
                <wp:positionV relativeFrom="paragraph">
                  <wp:posOffset>247650</wp:posOffset>
                </wp:positionV>
                <wp:extent cx="5949950" cy="1404620"/>
                <wp:effectExtent l="0" t="0" r="1270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0" cy="1404620"/>
                        </a:xfrm>
                        <a:prstGeom prst="rect">
                          <a:avLst/>
                        </a:prstGeom>
                        <a:solidFill>
                          <a:srgbClr val="FFFFFF"/>
                        </a:solidFill>
                        <a:ln w="9525">
                          <a:solidFill>
                            <a:srgbClr val="000000"/>
                          </a:solidFill>
                          <a:miter lim="800000"/>
                          <a:headEnd/>
                          <a:tailEnd/>
                        </a:ln>
                      </wps:spPr>
                      <wps:txbx>
                        <w:txbxContent>
                          <w:p w14:paraId="0BCECFFA" w14:textId="77777777" w:rsidR="00F06D23" w:rsidRPr="00F06D23" w:rsidRDefault="00F06D23" w:rsidP="00F06D23">
                            <w:r w:rsidRPr="00F06D23">
                              <w:t>The aim of this research is to determine whether adverse childhood experiences can predetermine criminality in looked after and care experienced children and young people.</w:t>
                            </w:r>
                          </w:p>
                          <w:p w14:paraId="5FE5539A" w14:textId="77777777" w:rsidR="00F06D23" w:rsidRPr="00F06D23" w:rsidRDefault="00F06D23" w:rsidP="00F06D23">
                            <w:pPr>
                              <w:pStyle w:val="ListParagraph"/>
                              <w:numPr>
                                <w:ilvl w:val="0"/>
                                <w:numId w:val="2"/>
                              </w:numPr>
                              <w:suppressAutoHyphens/>
                              <w:autoSpaceDN w:val="0"/>
                              <w:spacing w:after="0" w:line="240" w:lineRule="auto"/>
                              <w:ind w:left="360"/>
                              <w:rPr>
                                <w:rFonts w:cstheme="minorHAnsi"/>
                              </w:rPr>
                            </w:pPr>
                            <w:r w:rsidRPr="00F06D23">
                              <w:rPr>
                                <w:rFonts w:cstheme="minorHAnsi"/>
                              </w:rPr>
                              <w:t>To identify the prevalence of criminality in care experienced and looked after children and young people.</w:t>
                            </w:r>
                          </w:p>
                          <w:p w14:paraId="7BC51E39" w14:textId="77777777" w:rsidR="00F06D23" w:rsidRPr="00F06D23" w:rsidRDefault="00F06D23" w:rsidP="00F06D23">
                            <w:pPr>
                              <w:pStyle w:val="ListParagraph"/>
                              <w:numPr>
                                <w:ilvl w:val="0"/>
                                <w:numId w:val="2"/>
                              </w:numPr>
                              <w:suppressAutoHyphens/>
                              <w:autoSpaceDN w:val="0"/>
                              <w:spacing w:after="0" w:line="240" w:lineRule="auto"/>
                              <w:ind w:left="360"/>
                              <w:rPr>
                                <w:rFonts w:cstheme="minorHAnsi"/>
                              </w:rPr>
                            </w:pPr>
                            <w:r w:rsidRPr="00F06D23">
                              <w:rPr>
                                <w:rFonts w:cstheme="minorHAnsi"/>
                              </w:rPr>
                              <w:t>Evaluate the long-term effects adverse childhood experiences have on children and young people who are in care or are care experienced.</w:t>
                            </w:r>
                          </w:p>
                          <w:p w14:paraId="7C5CE697" w14:textId="5172F465" w:rsidR="00F06D23" w:rsidRPr="00F06D23" w:rsidRDefault="00F06D23" w:rsidP="00F06D23">
                            <w:pPr>
                              <w:pStyle w:val="ListParagraph"/>
                              <w:numPr>
                                <w:ilvl w:val="0"/>
                                <w:numId w:val="2"/>
                              </w:numPr>
                              <w:suppressAutoHyphens/>
                              <w:autoSpaceDN w:val="0"/>
                              <w:spacing w:after="0" w:line="240" w:lineRule="auto"/>
                              <w:ind w:left="360"/>
                              <w:rPr>
                                <w:rFonts w:cstheme="minorHAnsi"/>
                              </w:rPr>
                            </w:pPr>
                            <w:r w:rsidRPr="00F06D23">
                              <w:rPr>
                                <w:rFonts w:cstheme="minorHAnsi"/>
                              </w:rPr>
                              <w:t>Evaluate public perception on the link between adverse childhood experiences and crime as well as what can be done to reduce criminality.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748D151" id="_x0000_t202" coordsize="21600,21600" o:spt="202" path="m,l,21600r21600,l21600,xe">
                <v:stroke joinstyle="miter"/>
                <v:path gradientshapeok="t" o:connecttype="rect"/>
              </v:shapetype>
              <v:shape id="Text Box 2" o:spid="_x0000_s1026" type="#_x0000_t202" style="position:absolute;left:0;text-align:left;margin-left:-9.5pt;margin-top:19.5pt;width:468.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">
                <v:textbox style="mso-fit-shape-to-text:t">
                  <w:txbxContent>
                    <w:p w14:paraId="0BCECFFA" w14:textId="77777777" w:rsidR="00F06D23" w:rsidRPr="00F06D23" w:rsidRDefault="00F06D23" w:rsidP="00F06D23">
                      <w:r w:rsidRPr="00F06D23">
                        <w:t>The aim of this research is to determine whether adverse childhood experiences can predetermine criminality in looked after and care experienced children and young people.</w:t>
                      </w:r>
                    </w:p>
                    <w:p w14:paraId="5FE5539A" w14:textId="77777777" w:rsidR="00F06D23" w:rsidRPr="00F06D23" w:rsidRDefault="00F06D23" w:rsidP="00F06D23">
                      <w:pPr>
                        <w:pStyle w:val="ListParagraph"/>
                        <w:numPr>
                          <w:ilvl w:val="0"/>
                          <w:numId w:val="2"/>
                        </w:numPr>
                        <w:suppressAutoHyphens/>
                        <w:autoSpaceDN w:val="0"/>
                        <w:spacing w:after="0" w:line="240" w:lineRule="auto"/>
                        <w:ind w:left="360"/>
                        <w:rPr>
                          <w:rFonts w:cstheme="minorHAnsi"/>
                        </w:rPr>
                      </w:pPr>
                      <w:r w:rsidRPr="00F06D23">
                        <w:rPr>
                          <w:rFonts w:cstheme="minorHAnsi"/>
                        </w:rPr>
                        <w:t>To identify the prevalence of criminality in care experienced and looked after children and young people.</w:t>
                      </w:r>
                    </w:p>
                    <w:p w14:paraId="7BC51E39" w14:textId="77777777" w:rsidR="00F06D23" w:rsidRPr="00F06D23" w:rsidRDefault="00F06D23" w:rsidP="00F06D23">
                      <w:pPr>
                        <w:pStyle w:val="ListParagraph"/>
                        <w:numPr>
                          <w:ilvl w:val="0"/>
                          <w:numId w:val="2"/>
                        </w:numPr>
                        <w:suppressAutoHyphens/>
                        <w:autoSpaceDN w:val="0"/>
                        <w:spacing w:after="0" w:line="240" w:lineRule="auto"/>
                        <w:ind w:left="360"/>
                        <w:rPr>
                          <w:rFonts w:cstheme="minorHAnsi"/>
                        </w:rPr>
                      </w:pPr>
                      <w:r w:rsidRPr="00F06D23">
                        <w:rPr>
                          <w:rFonts w:cstheme="minorHAnsi"/>
                        </w:rPr>
                        <w:t>Evaluate the long-term effects adverse childhood experiences have on children and young people who are in care or are care experienced.</w:t>
                      </w:r>
                    </w:p>
                    <w:p w14:paraId="7C5CE697" w14:textId="5172F465" w:rsidR="00F06D23" w:rsidRPr="00F06D23" w:rsidRDefault="00F06D23" w:rsidP="00F06D23">
                      <w:pPr>
                        <w:pStyle w:val="ListParagraph"/>
                        <w:numPr>
                          <w:ilvl w:val="0"/>
                          <w:numId w:val="2"/>
                        </w:numPr>
                        <w:suppressAutoHyphens/>
                        <w:autoSpaceDN w:val="0"/>
                        <w:spacing w:after="0" w:line="240" w:lineRule="auto"/>
                        <w:ind w:left="360"/>
                        <w:rPr>
                          <w:rFonts w:cstheme="minorHAnsi"/>
                        </w:rPr>
                      </w:pPr>
                      <w:r w:rsidRPr="00F06D23">
                        <w:rPr>
                          <w:rFonts w:cstheme="minorHAnsi"/>
                        </w:rPr>
                        <w:t>Evaluate public perception on the link between adverse childhood experiences and crime as well as what can be done to reduce criminality.</w:t>
                      </w:r>
                    </w:p>
                  </w:txbxContent>
                </v:textbox>
                <w10:wrap type="square"/>
              </v:shape>
            </w:pict>
          </mc:Fallback>
        </mc:AlternateContent>
      </w:r>
      <w:r w:rsidR="00612431" w:rsidRPr="00F06D23">
        <w:rPr>
          <w:rStyle w:val="normaltextrun"/>
          <w:rFonts w:asciiTheme="minorHAnsi" w:hAnsiTheme="minorHAnsi" w:cstheme="minorHAnsi"/>
          <w:b/>
          <w:bCs/>
          <w:sz w:val="22"/>
          <w:szCs w:val="22"/>
          <w:u w:val="single"/>
        </w:rPr>
        <w:t>Literature review:</w:t>
      </w:r>
      <w:r w:rsidR="00612431" w:rsidRPr="00F06D23">
        <w:rPr>
          <w:rStyle w:val="eop"/>
          <w:rFonts w:asciiTheme="minorHAnsi" w:hAnsiTheme="minorHAnsi" w:cstheme="minorHAnsi"/>
          <w:sz w:val="22"/>
          <w:szCs w:val="22"/>
          <w:lang w:val="en-US"/>
        </w:rPr>
        <w:t> </w:t>
      </w:r>
    </w:p>
    <w:p w14:paraId="70DD50AE" w14:textId="7B29BF20" w:rsidR="00BA6490" w:rsidRPr="00BA6490" w:rsidRDefault="00612431" w:rsidP="00BA6490">
      <w:pPr>
        <w:pStyle w:val="paragraph"/>
        <w:spacing w:before="0" w:beforeAutospacing="0" w:after="0" w:afterAutospacing="0" w:line="360" w:lineRule="auto"/>
        <w:ind w:left="-30" w:right="-30"/>
        <w:jc w:val="both"/>
        <w:textAlignment w:val="baseline"/>
        <w:rPr>
          <w:rStyle w:val="eop"/>
          <w:rFonts w:asciiTheme="minorHAnsi" w:hAnsiTheme="minorHAnsi" w:cstheme="minorHAnsi"/>
          <w:sz w:val="22"/>
          <w:szCs w:val="22"/>
          <w:lang w:val="en-US"/>
        </w:rPr>
      </w:pPr>
      <w:r w:rsidRPr="00BA6490">
        <w:rPr>
          <w:rStyle w:val="normaltextrun"/>
          <w:rFonts w:asciiTheme="minorHAnsi" w:hAnsiTheme="minorHAnsi" w:cstheme="minorHAnsi"/>
          <w:sz w:val="22"/>
          <w:szCs w:val="22"/>
        </w:rPr>
        <w:t>Throughout this research the idea is to find out whether adverse childhood experience can determine if a care experience child or young person is likely to turn to crime.</w:t>
      </w:r>
      <w:r w:rsidR="00BA6490" w:rsidRPr="00BA6490">
        <w:rPr>
          <w:rStyle w:val="normaltextrun"/>
          <w:rFonts w:asciiTheme="minorHAnsi" w:hAnsiTheme="minorHAnsi" w:cstheme="minorHAnsi"/>
          <w:sz w:val="22"/>
          <w:szCs w:val="22"/>
        </w:rPr>
        <w:t xml:space="preserve"> Due to the topic or research,</w:t>
      </w:r>
      <w:r w:rsidRPr="00BA6490">
        <w:rPr>
          <w:rStyle w:val="normaltextrun"/>
          <w:rFonts w:asciiTheme="minorHAnsi" w:hAnsiTheme="minorHAnsi" w:cstheme="minorHAnsi"/>
          <w:sz w:val="22"/>
          <w:szCs w:val="22"/>
        </w:rPr>
        <w:t xml:space="preserve"> it is important to understand the population of t</w:t>
      </w:r>
      <w:r w:rsidR="00BA6490" w:rsidRPr="00BA6490">
        <w:rPr>
          <w:rStyle w:val="normaltextrun"/>
          <w:rFonts w:asciiTheme="minorHAnsi" w:hAnsiTheme="minorHAnsi" w:cstheme="minorHAnsi"/>
          <w:sz w:val="22"/>
          <w:szCs w:val="22"/>
        </w:rPr>
        <w:t>hose in care</w:t>
      </w:r>
      <w:r w:rsidRPr="00BA6490">
        <w:rPr>
          <w:rStyle w:val="normaltextrun"/>
          <w:rFonts w:asciiTheme="minorHAnsi" w:hAnsiTheme="minorHAnsi" w:cstheme="minorHAnsi"/>
          <w:sz w:val="22"/>
          <w:szCs w:val="22"/>
        </w:rPr>
        <w:t xml:space="preserve"> as well as how adverse childhood experiences can affect children and young people; the office for national statistics (2022(2)) stated that there were 82,170 children within the care system in March 2022. Everyone in the care system has their own reason for being there, some of which have suffered from adverse childhood experiences. While looking into the population of those in care, it is also important to look at the crime statistics in this specific group. The office for national statistics (2022(1)) when talking about children in care and the criminal justice system they state that out of the children in care, “52% had been convicted of a criminal offence by the academic year they turn age 24 years.”. The idea that over half the number of children in care end up incarcerated by the age of 24 years-old shows that there is a need to try gain understanding as to why those with adverse childhood experiences are likely to turn to crime.</w:t>
      </w:r>
      <w:r w:rsidRPr="00BA6490">
        <w:rPr>
          <w:rStyle w:val="eop"/>
          <w:rFonts w:asciiTheme="minorHAnsi" w:hAnsiTheme="minorHAnsi" w:cstheme="minorHAnsi"/>
          <w:sz w:val="22"/>
          <w:szCs w:val="22"/>
          <w:lang w:val="en-US"/>
        </w:rPr>
        <w:t> </w:t>
      </w:r>
    </w:p>
    <w:p w14:paraId="434A0E78" w14:textId="77777777" w:rsidR="00BA6490" w:rsidRPr="00BA6490" w:rsidRDefault="00BA6490" w:rsidP="00BA6490">
      <w:pPr>
        <w:pStyle w:val="paragraph"/>
        <w:spacing w:before="0" w:beforeAutospacing="0" w:after="0" w:afterAutospacing="0" w:line="360" w:lineRule="auto"/>
        <w:ind w:left="-30" w:right="-30"/>
        <w:jc w:val="both"/>
        <w:textAlignment w:val="baseline"/>
        <w:rPr>
          <w:rFonts w:asciiTheme="minorHAnsi" w:hAnsiTheme="minorHAnsi" w:cstheme="minorHAnsi"/>
          <w:sz w:val="22"/>
          <w:szCs w:val="22"/>
          <w:lang w:val="en-US"/>
        </w:rPr>
      </w:pPr>
    </w:p>
    <w:p w14:paraId="751FE042" w14:textId="30586180" w:rsidR="00BA6490" w:rsidRPr="00BA6490" w:rsidRDefault="00612431" w:rsidP="00BA6490">
      <w:pPr>
        <w:pStyle w:val="paragraph"/>
        <w:spacing w:before="0" w:beforeAutospacing="0" w:after="0" w:afterAutospacing="0" w:line="360" w:lineRule="auto"/>
        <w:ind w:left="-30" w:right="-30"/>
        <w:jc w:val="both"/>
        <w:textAlignment w:val="baseline"/>
        <w:rPr>
          <w:rStyle w:val="eop"/>
          <w:rFonts w:asciiTheme="minorHAnsi" w:hAnsiTheme="minorHAnsi" w:cstheme="minorHAnsi"/>
          <w:sz w:val="22"/>
          <w:szCs w:val="22"/>
          <w:lang w:val="en-US"/>
        </w:rPr>
      </w:pPr>
      <w:r w:rsidRPr="00BA6490">
        <w:rPr>
          <w:rStyle w:val="normaltextrun"/>
          <w:rFonts w:asciiTheme="minorHAnsi" w:hAnsiTheme="minorHAnsi" w:cstheme="minorHAnsi"/>
          <w:sz w:val="22"/>
          <w:szCs w:val="22"/>
        </w:rPr>
        <w:t>When trying to understand the prevalence of adverse childhood experiences it is important to look at the amount of people who are affected by them, the ACE hub Wales (2022) says that in Wales out of 100 people, “50 have experienced one ACE” and only</w:t>
      </w:r>
      <w:r w:rsidR="00C8418E">
        <w:rPr>
          <w:rStyle w:val="normaltextrun"/>
          <w:rFonts w:asciiTheme="minorHAnsi" w:hAnsiTheme="minorHAnsi" w:cstheme="minorHAnsi"/>
          <w:sz w:val="22"/>
          <w:szCs w:val="22"/>
        </w:rPr>
        <w:t xml:space="preserve"> a</w:t>
      </w:r>
      <w:r w:rsidRPr="00BA6490">
        <w:rPr>
          <w:rStyle w:val="normaltextrun"/>
          <w:rFonts w:asciiTheme="minorHAnsi" w:hAnsiTheme="minorHAnsi" w:cstheme="minorHAnsi"/>
          <w:sz w:val="22"/>
          <w:szCs w:val="22"/>
        </w:rPr>
        <w:t xml:space="preserve"> “14 have experienced 4 or more”. The idea that out of 100 people over half have experienced adverse childhood experiences which allows us to see how society is affected by them and how predominate adverse childhood experiences are within society. It also shows that only 36 people out of 100 </w:t>
      </w:r>
      <w:r w:rsidR="00C8418E">
        <w:rPr>
          <w:rStyle w:val="normaltextrun"/>
          <w:rFonts w:asciiTheme="minorHAnsi" w:hAnsiTheme="minorHAnsi" w:cstheme="minorHAnsi"/>
          <w:sz w:val="22"/>
          <w:szCs w:val="22"/>
        </w:rPr>
        <w:t xml:space="preserve">reported that they </w:t>
      </w:r>
      <w:r w:rsidRPr="00BA6490">
        <w:rPr>
          <w:rStyle w:val="normaltextrun"/>
          <w:rFonts w:asciiTheme="minorHAnsi" w:hAnsiTheme="minorHAnsi" w:cstheme="minorHAnsi"/>
          <w:sz w:val="22"/>
          <w:szCs w:val="22"/>
        </w:rPr>
        <w:t xml:space="preserve">do not have any adverse childhood experiences. Adverse childhood experiences are not as </w:t>
      </w:r>
      <w:r w:rsidR="000A45B8">
        <w:rPr>
          <w:rStyle w:val="normaltextrun"/>
          <w:rFonts w:asciiTheme="minorHAnsi" w:hAnsiTheme="minorHAnsi" w:cstheme="minorHAnsi"/>
          <w:sz w:val="22"/>
          <w:szCs w:val="22"/>
        </w:rPr>
        <w:t xml:space="preserve">unusual within society </w:t>
      </w:r>
      <w:r w:rsidRPr="00BA6490">
        <w:rPr>
          <w:rStyle w:val="normaltextrun"/>
          <w:rFonts w:asciiTheme="minorHAnsi" w:hAnsiTheme="minorHAnsi" w:cstheme="minorHAnsi"/>
          <w:sz w:val="22"/>
          <w:szCs w:val="22"/>
        </w:rPr>
        <w:t>as</w:t>
      </w:r>
      <w:r w:rsidR="000A45B8">
        <w:rPr>
          <w:rStyle w:val="normaltextrun"/>
          <w:rFonts w:asciiTheme="minorHAnsi" w:hAnsiTheme="minorHAnsi" w:cstheme="minorHAnsi"/>
          <w:sz w:val="22"/>
          <w:szCs w:val="22"/>
        </w:rPr>
        <w:t xml:space="preserve"> </w:t>
      </w:r>
      <w:r w:rsidRPr="00BA6490">
        <w:rPr>
          <w:rStyle w:val="normaltextrun"/>
          <w:rFonts w:asciiTheme="minorHAnsi" w:hAnsiTheme="minorHAnsi" w:cstheme="minorHAnsi"/>
          <w:sz w:val="22"/>
          <w:szCs w:val="22"/>
        </w:rPr>
        <w:t>many people think</w:t>
      </w:r>
      <w:r w:rsidR="000A45B8">
        <w:rPr>
          <w:rStyle w:val="normaltextrun"/>
          <w:rFonts w:asciiTheme="minorHAnsi" w:hAnsiTheme="minorHAnsi" w:cstheme="minorHAnsi"/>
          <w:sz w:val="22"/>
          <w:szCs w:val="22"/>
        </w:rPr>
        <w:t>,</w:t>
      </w:r>
      <w:r w:rsidRPr="00BA6490">
        <w:rPr>
          <w:rStyle w:val="normaltextrun"/>
          <w:rFonts w:asciiTheme="minorHAnsi" w:hAnsiTheme="minorHAnsi" w:cstheme="minorHAnsi"/>
          <w:sz w:val="22"/>
          <w:szCs w:val="22"/>
        </w:rPr>
        <w:t xml:space="preserve"> they are often negative or traumatic experiences for children and young people such as “neglect, experiencing or witnessing violence and having a family member attempt or die by suicide” (Centre for Disease Control and Prevention 2023). These are more severe ways that a child can have adverse childhood experiences, there are many other factors that state if a child or young person has in fact gone through adverse childhood experiences. </w:t>
      </w:r>
      <w:r w:rsidRPr="00BA6490">
        <w:rPr>
          <w:rStyle w:val="eop"/>
          <w:rFonts w:asciiTheme="minorHAnsi" w:hAnsiTheme="minorHAnsi" w:cstheme="minorHAnsi"/>
          <w:sz w:val="22"/>
          <w:szCs w:val="22"/>
          <w:lang w:val="en-US"/>
        </w:rPr>
        <w:t> </w:t>
      </w:r>
    </w:p>
    <w:p w14:paraId="7D7AE6B5" w14:textId="77777777" w:rsidR="00BA6490" w:rsidRPr="00BA6490" w:rsidRDefault="00BA6490" w:rsidP="00BA6490">
      <w:pPr>
        <w:pStyle w:val="paragraph"/>
        <w:spacing w:before="0" w:beforeAutospacing="0" w:after="0" w:afterAutospacing="0" w:line="360" w:lineRule="auto"/>
        <w:ind w:left="-30" w:right="-30"/>
        <w:jc w:val="both"/>
        <w:textAlignment w:val="baseline"/>
        <w:rPr>
          <w:rFonts w:asciiTheme="minorHAnsi" w:hAnsiTheme="minorHAnsi" w:cstheme="minorHAnsi"/>
          <w:sz w:val="22"/>
          <w:szCs w:val="22"/>
          <w:lang w:val="en-US"/>
        </w:rPr>
      </w:pPr>
    </w:p>
    <w:p w14:paraId="36E077C1" w14:textId="77777777" w:rsidR="00612431" w:rsidRPr="00BA6490" w:rsidRDefault="00612431" w:rsidP="00BA6490">
      <w:pPr>
        <w:pStyle w:val="paragraph"/>
        <w:spacing w:before="0" w:beforeAutospacing="0" w:after="0" w:afterAutospacing="0" w:line="360" w:lineRule="auto"/>
        <w:ind w:left="-30" w:right="-30"/>
        <w:jc w:val="both"/>
        <w:textAlignment w:val="baseline"/>
        <w:rPr>
          <w:rStyle w:val="eop"/>
          <w:rFonts w:asciiTheme="minorHAnsi" w:hAnsiTheme="minorHAnsi" w:cstheme="minorHAnsi"/>
          <w:sz w:val="22"/>
          <w:szCs w:val="22"/>
          <w:lang w:val="en-US"/>
        </w:rPr>
      </w:pPr>
      <w:r w:rsidRPr="00BA6490">
        <w:rPr>
          <w:rStyle w:val="normaltextrun"/>
          <w:rFonts w:asciiTheme="minorHAnsi" w:hAnsiTheme="minorHAnsi" w:cstheme="minorHAnsi"/>
          <w:sz w:val="22"/>
          <w:szCs w:val="22"/>
        </w:rPr>
        <w:lastRenderedPageBreak/>
        <w:t xml:space="preserve">Therefore when looking at adverse childhood experiences it is important to see how children and young people could be affected, Crandall et al (2019) stated that the “children are vulnerable to the long-term consequences of early adverse childhood experiences” and that it can lead to a range of different situations for the child or young person throughout adulthood such as “addictions, poorer quality of life and life expectancy in adulthood resulting from abuse”. The idea that children and young people in care can be affected by these long-term effects, some of these may lead to them down the path of turning to crime, means that there needs to be some sort of intervention. There are many ways that organisations have tried to provide support for those who have been through adverse childhood experiences such as making professionals trauma-informed, the term trauma-informed refers to understanding “how trauma affects student learning and behaviour in the school environment” (Compton et al 2023). Having a basic understanding will help those in authoritative positions to better understand those around them and why they might behave a certain way. </w:t>
      </w:r>
      <w:r w:rsidRPr="00BA6490">
        <w:rPr>
          <w:rStyle w:val="eop"/>
          <w:rFonts w:asciiTheme="minorHAnsi" w:hAnsiTheme="minorHAnsi" w:cstheme="minorHAnsi"/>
          <w:sz w:val="22"/>
          <w:szCs w:val="22"/>
          <w:lang w:val="en-US"/>
        </w:rPr>
        <w:t> </w:t>
      </w:r>
    </w:p>
    <w:p w14:paraId="476C5008" w14:textId="77777777" w:rsidR="00BA6490" w:rsidRPr="00BA6490" w:rsidRDefault="00BA6490" w:rsidP="00BA6490">
      <w:pPr>
        <w:pStyle w:val="paragraph"/>
        <w:spacing w:before="0" w:beforeAutospacing="0" w:after="0" w:afterAutospacing="0" w:line="360" w:lineRule="auto"/>
        <w:ind w:left="-30" w:right="-30"/>
        <w:jc w:val="both"/>
        <w:textAlignment w:val="baseline"/>
        <w:rPr>
          <w:rFonts w:asciiTheme="minorHAnsi" w:hAnsiTheme="minorHAnsi" w:cstheme="minorHAnsi"/>
          <w:sz w:val="22"/>
          <w:szCs w:val="22"/>
          <w:lang w:val="en-US"/>
        </w:rPr>
      </w:pPr>
    </w:p>
    <w:p w14:paraId="5C5F02D3" w14:textId="77777777" w:rsidR="00612431" w:rsidRPr="00BA6490" w:rsidRDefault="00612431" w:rsidP="00BA6490">
      <w:pPr>
        <w:pStyle w:val="paragraph"/>
        <w:spacing w:before="0" w:beforeAutospacing="0" w:after="0" w:afterAutospacing="0" w:line="360" w:lineRule="auto"/>
        <w:ind w:left="-30" w:right="-30"/>
        <w:jc w:val="both"/>
        <w:textAlignment w:val="baseline"/>
        <w:rPr>
          <w:rStyle w:val="eop"/>
          <w:rFonts w:asciiTheme="minorHAnsi" w:hAnsiTheme="minorHAnsi" w:cstheme="minorHAnsi"/>
          <w:sz w:val="22"/>
          <w:szCs w:val="22"/>
          <w:lang w:val="en-US"/>
        </w:rPr>
      </w:pPr>
      <w:r w:rsidRPr="00BA6490">
        <w:rPr>
          <w:rStyle w:val="normaltextrun"/>
          <w:rFonts w:asciiTheme="minorHAnsi" w:hAnsiTheme="minorHAnsi" w:cstheme="minorHAnsi"/>
          <w:sz w:val="22"/>
          <w:szCs w:val="22"/>
        </w:rPr>
        <w:t xml:space="preserve">In order to identify the prevalence of criminality it is important to show how many people in the criminal justice system are affected by adverse childhood experiences, the National Child Traumatic Stress Network (2023) states that "more than 80% of juvenile justice-involved youth report experiencing trauma". The idea that the majority of those in the prison are reporting that they have experienced trauma shows how predominate adverse experiences can be, however this trauma could have been experienced at any ages and does not solely suggest it happened during childhood. Although it is unclear when trying to identify those who have had adverse childhood experiences, those who are care experienced make up, almost 25% of adults within the prison system consists of those who have been in care and “50% of under 21 years olds” who are care experienced have had some form of “contact with the criminal justice system” (Home for good 2023). Care experienced people often experience adverse childhood experiences and are often given support when leaving care, this does not suggest that care leavers do not partake in crime or are completely protected against criminality. Care leavers have a “greater risk of victimisation and exploitation” however they also have a potential to harm themselves and others, by inflicting “quite serious harm” (Gooch et al 2022, page 5). The idea that those leaving care can still be vulnerable to be victimised calls for more support after leaving care. However, the idea that they are seen to be capable of inflicting pain upon not only themselves, but others suggests that this might be due to a predisposition to violence, whether they experienced it or witnessed it. When it comes to the concept of imitating the violence and aggression we see, can be seen in the 1961 Bobo doll experiment by Bandura, the experiment showed that if violence or aggression was observed by children, then they have a higher chance of imitating this behaviour (McLeod 2023). This experiment shows that seeing violence can lead to the imitation of the same </w:t>
      </w:r>
      <w:r w:rsidRPr="00BA6490">
        <w:rPr>
          <w:rStyle w:val="normaltextrun"/>
          <w:rFonts w:asciiTheme="minorHAnsi" w:hAnsiTheme="minorHAnsi" w:cstheme="minorHAnsi"/>
          <w:sz w:val="22"/>
          <w:szCs w:val="22"/>
        </w:rPr>
        <w:lastRenderedPageBreak/>
        <w:t>behaviour, the thought that those who have suffered domestic abuse or other violent adverse experiences throughout childhood shows that future aggression may be due to psychological issues and past experiences. The concept of violence being witnessed and then being imitated, may suggest that young ages may have “tendency to respond to situations though anger and/or aggression” due to the violence they may have witnessed from domestic abuse or even experienced themselves (Gray et al 2021, page 10). Having the tendency to resort to violence may mean that the child or young person gets themselves into situations that they may struggle to get out of or get into trouble for, for example they end up committing a crime and being convicted.</w:t>
      </w:r>
      <w:r w:rsidRPr="00BA6490">
        <w:rPr>
          <w:rStyle w:val="eop"/>
          <w:rFonts w:asciiTheme="minorHAnsi" w:hAnsiTheme="minorHAnsi" w:cstheme="minorHAnsi"/>
          <w:sz w:val="22"/>
          <w:szCs w:val="22"/>
          <w:lang w:val="en-US"/>
        </w:rPr>
        <w:t> </w:t>
      </w:r>
    </w:p>
    <w:p w14:paraId="3FA822C0" w14:textId="77777777" w:rsidR="00BA6490" w:rsidRPr="00BA6490" w:rsidRDefault="00BA6490" w:rsidP="00BA6490">
      <w:pPr>
        <w:pStyle w:val="paragraph"/>
        <w:spacing w:before="0" w:beforeAutospacing="0" w:after="0" w:afterAutospacing="0" w:line="360" w:lineRule="auto"/>
        <w:ind w:left="-30" w:right="-30"/>
        <w:jc w:val="both"/>
        <w:textAlignment w:val="baseline"/>
        <w:rPr>
          <w:rFonts w:asciiTheme="minorHAnsi" w:hAnsiTheme="minorHAnsi" w:cstheme="minorHAnsi"/>
          <w:sz w:val="22"/>
          <w:szCs w:val="22"/>
          <w:lang w:val="en-US"/>
        </w:rPr>
      </w:pPr>
    </w:p>
    <w:p w14:paraId="43FC3F14" w14:textId="77777777" w:rsidR="00612431" w:rsidRPr="00BA6490" w:rsidRDefault="00612431" w:rsidP="00BA6490">
      <w:pPr>
        <w:pStyle w:val="paragraph"/>
        <w:spacing w:before="0" w:beforeAutospacing="0" w:after="0" w:afterAutospacing="0" w:line="360" w:lineRule="auto"/>
        <w:ind w:left="-30" w:right="-30"/>
        <w:jc w:val="both"/>
        <w:textAlignment w:val="baseline"/>
        <w:rPr>
          <w:rFonts w:asciiTheme="minorHAnsi" w:hAnsiTheme="minorHAnsi" w:cstheme="minorHAnsi"/>
          <w:sz w:val="22"/>
          <w:szCs w:val="22"/>
          <w:lang w:val="en-US"/>
        </w:rPr>
      </w:pPr>
      <w:r w:rsidRPr="00BA6490">
        <w:rPr>
          <w:rStyle w:val="normaltextrun"/>
          <w:rFonts w:asciiTheme="minorHAnsi" w:hAnsiTheme="minorHAnsi" w:cstheme="minorHAnsi"/>
          <w:sz w:val="22"/>
          <w:szCs w:val="22"/>
        </w:rPr>
        <w:t xml:space="preserve">Criminal activity can be committed at any age, however Zwokdiak-Myers (2007, page 40) states that “the peak ages for involvement in criminal activity predominantly lie in teenage years”. Knowing that the likelihood of children and young people being involved in criminal activity lies within the teenage years of life shows that there can be a focus upon this age group in order to figure out why they are more likely to turn to crime. This further allows for interventions to be planned and brought about to target this specific group of people. There may be many reasons as to why this specific age group is seen to be more likely to turn to crime, Brezina et al (2009, page 1092) states that those with the belief that they do not have a future are said to have "little to lose" when it comes to the idea of criminality or violence. This can coincide with the age group especially as teenagers have a lot going on, especially with exams and having to keep up with schoolwork; it could be even worse if they have or are experiencing adverse childhood experiences. </w:t>
      </w:r>
      <w:r w:rsidRPr="00BA6490">
        <w:rPr>
          <w:rStyle w:val="eop"/>
          <w:rFonts w:asciiTheme="minorHAnsi" w:hAnsiTheme="minorHAnsi" w:cstheme="minorHAnsi"/>
          <w:sz w:val="22"/>
          <w:szCs w:val="22"/>
          <w:lang w:val="en-US"/>
        </w:rPr>
        <w:t> </w:t>
      </w:r>
    </w:p>
    <w:p w14:paraId="3F0CC7B8" w14:textId="77777777" w:rsidR="00612431" w:rsidRPr="00BA6490" w:rsidRDefault="00612431" w:rsidP="00BA6490">
      <w:pPr>
        <w:pStyle w:val="paragraph"/>
        <w:spacing w:before="0" w:beforeAutospacing="0" w:after="0" w:afterAutospacing="0" w:line="360" w:lineRule="auto"/>
        <w:ind w:left="-30" w:right="-30"/>
        <w:jc w:val="both"/>
        <w:textAlignment w:val="baseline"/>
        <w:rPr>
          <w:rFonts w:asciiTheme="minorHAnsi" w:hAnsiTheme="minorHAnsi" w:cstheme="minorHAnsi"/>
          <w:sz w:val="22"/>
          <w:szCs w:val="22"/>
          <w:lang w:val="en-US"/>
        </w:rPr>
      </w:pPr>
      <w:r w:rsidRPr="00BA6490">
        <w:rPr>
          <w:rStyle w:val="normaltextrun"/>
          <w:rFonts w:asciiTheme="minorHAnsi" w:hAnsiTheme="minorHAnsi" w:cstheme="minorHAnsi"/>
          <w:sz w:val="22"/>
          <w:szCs w:val="22"/>
        </w:rPr>
        <w:t> </w:t>
      </w:r>
      <w:r w:rsidRPr="00BA6490">
        <w:rPr>
          <w:rStyle w:val="eop"/>
          <w:rFonts w:asciiTheme="minorHAnsi" w:hAnsiTheme="minorHAnsi" w:cstheme="minorHAnsi"/>
          <w:sz w:val="22"/>
          <w:szCs w:val="22"/>
          <w:lang w:val="en-US"/>
        </w:rPr>
        <w:t> </w:t>
      </w:r>
    </w:p>
    <w:p w14:paraId="6856B56F" w14:textId="2CF030B1" w:rsidR="00612431" w:rsidRPr="00BA6490" w:rsidRDefault="00612431" w:rsidP="00BA6490">
      <w:pPr>
        <w:pStyle w:val="paragraph"/>
        <w:spacing w:before="0" w:beforeAutospacing="0" w:after="0" w:afterAutospacing="0" w:line="360" w:lineRule="auto"/>
        <w:ind w:left="-30" w:right="-30"/>
        <w:jc w:val="both"/>
        <w:textAlignment w:val="baseline"/>
        <w:rPr>
          <w:rStyle w:val="eop"/>
          <w:rFonts w:asciiTheme="minorHAnsi" w:hAnsiTheme="minorHAnsi" w:cstheme="minorHAnsi"/>
          <w:sz w:val="22"/>
          <w:szCs w:val="22"/>
        </w:rPr>
      </w:pPr>
      <w:r w:rsidRPr="00BA6490">
        <w:rPr>
          <w:rStyle w:val="normaltextrun"/>
          <w:rFonts w:asciiTheme="minorHAnsi" w:hAnsiTheme="minorHAnsi" w:cstheme="minorHAnsi"/>
          <w:sz w:val="22"/>
          <w:szCs w:val="22"/>
        </w:rPr>
        <w:t>Offending within children and young people can solely be based upon influences or wanting to get attention if they are experiencing neglect or abuse within the family, Vaswani (2018) states that young people who offend often have a high exposure rate to adverse childhood experiences then most people. There are many reasons someone might offend, for example they have witnessed it before or peer pressure.</w:t>
      </w:r>
      <w:r w:rsidR="00BA6490" w:rsidRPr="00BA6490">
        <w:rPr>
          <w:rStyle w:val="normaltextrun"/>
          <w:rFonts w:asciiTheme="minorHAnsi" w:hAnsiTheme="minorHAnsi" w:cstheme="minorHAnsi"/>
          <w:sz w:val="22"/>
          <w:szCs w:val="22"/>
        </w:rPr>
        <w:t xml:space="preserve"> High levels of adverse childhood experiences may be due to parents having experienced them of due to other issues such as cultural or religious. </w:t>
      </w:r>
      <w:r w:rsidRPr="00BA6490">
        <w:rPr>
          <w:rStyle w:val="normaltextrun"/>
          <w:rFonts w:asciiTheme="minorHAnsi" w:hAnsiTheme="minorHAnsi" w:cstheme="minorHAnsi"/>
          <w:sz w:val="22"/>
          <w:szCs w:val="22"/>
        </w:rPr>
        <w:t>The idea of neglect shows that there is maltreatment within the household, Tung et al (2018, page 6) says that maltreatment has a significant correlation with "violence, non-violent delinquency and substance use". The concept of maltreatment leading to those who experience it using sunstones such as drugs and alcohol may also suggest that children and young people are finding not only these methods to cope but other methods that may be dangerous for them and others, unhealthy coping methods may lead to other issues in adulthood or death at a young age.</w:t>
      </w:r>
      <w:r w:rsidRPr="00BA6490">
        <w:rPr>
          <w:rStyle w:val="eop"/>
          <w:rFonts w:asciiTheme="minorHAnsi" w:hAnsiTheme="minorHAnsi" w:cstheme="minorHAnsi"/>
          <w:sz w:val="22"/>
          <w:szCs w:val="22"/>
          <w:lang w:val="en-US"/>
        </w:rPr>
        <w:t> </w:t>
      </w:r>
    </w:p>
    <w:p w14:paraId="1F553A69" w14:textId="77777777" w:rsidR="00BA6490" w:rsidRPr="00BA6490" w:rsidRDefault="00BA6490" w:rsidP="00BA6490">
      <w:pPr>
        <w:pStyle w:val="paragraph"/>
        <w:spacing w:before="0" w:beforeAutospacing="0" w:after="0" w:afterAutospacing="0" w:line="360" w:lineRule="auto"/>
        <w:ind w:left="-30" w:right="-30"/>
        <w:jc w:val="both"/>
        <w:textAlignment w:val="baseline"/>
        <w:rPr>
          <w:rFonts w:asciiTheme="minorHAnsi" w:hAnsiTheme="minorHAnsi" w:cstheme="minorHAnsi"/>
          <w:sz w:val="22"/>
          <w:szCs w:val="22"/>
          <w:lang w:val="en-US"/>
        </w:rPr>
      </w:pPr>
    </w:p>
    <w:p w14:paraId="617B4A20" w14:textId="77777777" w:rsidR="00612431" w:rsidRPr="00BA6490" w:rsidRDefault="00612431" w:rsidP="00BA6490">
      <w:pPr>
        <w:pStyle w:val="paragraph"/>
        <w:spacing w:before="0" w:beforeAutospacing="0" w:after="0" w:afterAutospacing="0" w:line="360" w:lineRule="auto"/>
        <w:jc w:val="both"/>
        <w:textAlignment w:val="baseline"/>
        <w:rPr>
          <w:rFonts w:asciiTheme="minorHAnsi" w:hAnsiTheme="minorHAnsi" w:cstheme="minorHAnsi"/>
          <w:sz w:val="22"/>
          <w:szCs w:val="22"/>
          <w:lang w:val="en-US"/>
        </w:rPr>
      </w:pPr>
      <w:r w:rsidRPr="00BA6490">
        <w:rPr>
          <w:rStyle w:val="normaltextrun"/>
          <w:rFonts w:asciiTheme="minorHAnsi" w:hAnsiTheme="minorHAnsi" w:cstheme="minorHAnsi"/>
          <w:sz w:val="22"/>
          <w:szCs w:val="22"/>
        </w:rPr>
        <w:lastRenderedPageBreak/>
        <w:t>When it comes to offending, Ford et al (2019, page 18) found that 84.1% of those in prison have suffered "at least one ACE" and "nearly half" reported having been exposed to "four or more types of ACE". The high level of those in prison who experience adverse childhood experiences calls to question what the government is doing to help prevent them from offending or reoffending in some cases. Those in prison who have experienced adverse childhood experiences need to show support and it needs to be assessed as to why so many people with ACEs are offending. The Prison reform trust (2016) states that in England, children in care are “six times more likely to be cautioned or convicted of an offence” than those without this experience. The idea that there is such a high level of children in care offending shows that adverse childhood experiences do have an impact on criminality especially when they are more likely to be cautioned and convicted of criminal activity.</w:t>
      </w:r>
      <w:r w:rsidRPr="00BA6490">
        <w:rPr>
          <w:rStyle w:val="eop"/>
          <w:rFonts w:asciiTheme="minorHAnsi" w:hAnsiTheme="minorHAnsi" w:cstheme="minorHAnsi"/>
          <w:sz w:val="22"/>
          <w:szCs w:val="22"/>
          <w:lang w:val="en-US"/>
        </w:rPr>
        <w:t> </w:t>
      </w:r>
    </w:p>
    <w:p w14:paraId="51D78F8E" w14:textId="77777777" w:rsidR="00612431" w:rsidRPr="00BA6490" w:rsidRDefault="00612431" w:rsidP="00BA6490">
      <w:pPr>
        <w:pStyle w:val="paragraph"/>
        <w:spacing w:before="0" w:beforeAutospacing="0" w:after="0" w:afterAutospacing="0" w:line="360" w:lineRule="auto"/>
        <w:jc w:val="both"/>
        <w:textAlignment w:val="baseline"/>
        <w:rPr>
          <w:rFonts w:asciiTheme="minorHAnsi" w:hAnsiTheme="minorHAnsi" w:cstheme="minorHAnsi"/>
          <w:sz w:val="22"/>
          <w:szCs w:val="22"/>
          <w:lang w:val="en-US"/>
        </w:rPr>
      </w:pPr>
      <w:r w:rsidRPr="00BA6490">
        <w:rPr>
          <w:rStyle w:val="normaltextrun"/>
          <w:rFonts w:asciiTheme="minorHAnsi" w:hAnsiTheme="minorHAnsi" w:cstheme="minorHAnsi"/>
          <w:sz w:val="22"/>
          <w:szCs w:val="22"/>
        </w:rPr>
        <w:t> </w:t>
      </w:r>
      <w:r w:rsidRPr="00BA6490">
        <w:rPr>
          <w:rStyle w:val="eop"/>
          <w:rFonts w:asciiTheme="minorHAnsi" w:hAnsiTheme="minorHAnsi" w:cstheme="minorHAnsi"/>
          <w:sz w:val="22"/>
          <w:szCs w:val="22"/>
          <w:lang w:val="en-US"/>
        </w:rPr>
        <w:t> </w:t>
      </w:r>
    </w:p>
    <w:p w14:paraId="55AB23EF" w14:textId="77777777" w:rsidR="00612431" w:rsidRPr="00BA6490" w:rsidRDefault="00612431" w:rsidP="00BA6490">
      <w:pPr>
        <w:pStyle w:val="paragraph"/>
        <w:spacing w:before="0" w:beforeAutospacing="0" w:after="0" w:afterAutospacing="0" w:line="360" w:lineRule="auto"/>
        <w:ind w:left="-30" w:right="-30"/>
        <w:jc w:val="both"/>
        <w:textAlignment w:val="baseline"/>
        <w:rPr>
          <w:rStyle w:val="eop"/>
          <w:rFonts w:asciiTheme="minorHAnsi" w:hAnsiTheme="minorHAnsi" w:cstheme="minorHAnsi"/>
          <w:sz w:val="22"/>
          <w:szCs w:val="22"/>
          <w:lang w:val="en-US"/>
        </w:rPr>
      </w:pPr>
      <w:r w:rsidRPr="00BA6490">
        <w:rPr>
          <w:rStyle w:val="normaltextrun"/>
          <w:rFonts w:asciiTheme="minorHAnsi" w:hAnsiTheme="minorHAnsi" w:cstheme="minorHAnsi"/>
          <w:sz w:val="22"/>
          <w:szCs w:val="22"/>
        </w:rPr>
        <w:t xml:space="preserve">When it comes to evaluating the long-term effects of adverse childhood experiences it is important to show what effects they have. Corsaro (2015, page 289) said that “child neglect is the most common form of child abuse” this refers to parents not meeting the “their children’s needs in regard to health, development and physical safety”. The idea that neglect can impact a child and young person's health and development shows that they may end up with cognitive issues when it comes to handle certain situations similar to what they have experienced. There are many implications that come from experiencing child abuse or neglect or any adverse childhood experience. Those who have been emotionally abused as well as physically abused and neglected have a greater chance of "developing a depressive disorder than non-abused individuals"(Norman et al 2012, page 31). The idea that those who have suffered from emotional and physical abuse as well as neglect then they must deal with mental health issues shows that while to child or young person may not be experiencing the abuse, they are still leaving with what it has done to them mentally. </w:t>
      </w:r>
      <w:r w:rsidRPr="00BA6490">
        <w:rPr>
          <w:rStyle w:val="eop"/>
          <w:rFonts w:asciiTheme="minorHAnsi" w:hAnsiTheme="minorHAnsi" w:cstheme="minorHAnsi"/>
          <w:sz w:val="22"/>
          <w:szCs w:val="22"/>
          <w:lang w:val="en-US"/>
        </w:rPr>
        <w:t> </w:t>
      </w:r>
    </w:p>
    <w:p w14:paraId="27B79857" w14:textId="77777777" w:rsidR="00BA6490" w:rsidRPr="00BA6490" w:rsidRDefault="00BA6490" w:rsidP="00BA6490">
      <w:pPr>
        <w:pStyle w:val="paragraph"/>
        <w:spacing w:before="0" w:beforeAutospacing="0" w:after="0" w:afterAutospacing="0" w:line="360" w:lineRule="auto"/>
        <w:ind w:left="-30" w:right="-30"/>
        <w:jc w:val="both"/>
        <w:textAlignment w:val="baseline"/>
        <w:rPr>
          <w:rFonts w:asciiTheme="minorHAnsi" w:hAnsiTheme="minorHAnsi" w:cstheme="minorHAnsi"/>
          <w:sz w:val="22"/>
          <w:szCs w:val="22"/>
          <w:lang w:val="en-US"/>
        </w:rPr>
      </w:pPr>
    </w:p>
    <w:p w14:paraId="218E7080" w14:textId="1EA5894F" w:rsidR="00612431" w:rsidRPr="00BA6490" w:rsidRDefault="00612431" w:rsidP="00BA6490">
      <w:pPr>
        <w:pStyle w:val="paragraph"/>
        <w:spacing w:before="0" w:beforeAutospacing="0" w:after="0" w:afterAutospacing="0" w:line="360" w:lineRule="auto"/>
        <w:ind w:left="-30" w:right="-30"/>
        <w:jc w:val="both"/>
        <w:textAlignment w:val="baseline"/>
        <w:rPr>
          <w:rStyle w:val="eop"/>
          <w:rFonts w:asciiTheme="minorHAnsi" w:hAnsiTheme="minorHAnsi" w:cstheme="minorHAnsi"/>
          <w:sz w:val="22"/>
          <w:szCs w:val="22"/>
          <w:lang w:val="en-US"/>
        </w:rPr>
      </w:pPr>
      <w:r w:rsidRPr="00BA6490">
        <w:rPr>
          <w:rStyle w:val="normaltextrun"/>
          <w:rFonts w:asciiTheme="minorHAnsi" w:hAnsiTheme="minorHAnsi" w:cstheme="minorHAnsi"/>
          <w:sz w:val="22"/>
          <w:szCs w:val="22"/>
        </w:rPr>
        <w:t xml:space="preserve">Looked after children and young people can go through a lot of adverse childhood experiences such as abuse, the National Institute for Health, and Care Excellence (2021) stated that around 48% suffer from physical abuse, 37% from emotional abuse and 23% form sexual abuse. The prominence of physical abuse shows that there will be effects of bruising or breaking or bones, in the long term being hit or abused physically may lead to issues with your brain and other parts of the body. Emotional and sexual abuse may lead to a lack of trust is new relationships or in those around you as you want to protect yourself from being hurt again. Abuse is a massive part of adverse childhood experiences, the Office for National Statistics (2020) stated that in the year 2019, there were around “227,500 child abuse offences” were recorded. The fact that in one year alone there were so many cases of child abuse shows that adverse childhood experiences are a nig part within society, children who suffer, may suffer </w:t>
      </w:r>
      <w:r w:rsidRPr="00BA6490">
        <w:rPr>
          <w:rStyle w:val="normaltextrun"/>
          <w:rFonts w:asciiTheme="minorHAnsi" w:hAnsiTheme="minorHAnsi" w:cstheme="minorHAnsi"/>
          <w:sz w:val="22"/>
          <w:szCs w:val="22"/>
        </w:rPr>
        <w:lastRenderedPageBreak/>
        <w:t>at the hands of family cause them to lose all faith and think that this is the right way to think and act around those you are meant to care about.</w:t>
      </w:r>
      <w:r w:rsidRPr="00BA6490">
        <w:rPr>
          <w:rStyle w:val="eop"/>
          <w:rFonts w:asciiTheme="minorHAnsi" w:hAnsiTheme="minorHAnsi" w:cstheme="minorHAnsi"/>
          <w:sz w:val="22"/>
          <w:szCs w:val="22"/>
          <w:lang w:val="en-US"/>
        </w:rPr>
        <w:t> </w:t>
      </w:r>
      <w:r w:rsidR="003D5DA2">
        <w:rPr>
          <w:rStyle w:val="eop"/>
          <w:rFonts w:asciiTheme="minorHAnsi" w:hAnsiTheme="minorHAnsi" w:cstheme="minorHAnsi"/>
          <w:sz w:val="22"/>
          <w:szCs w:val="22"/>
          <w:lang w:val="en-US"/>
        </w:rPr>
        <w:t xml:space="preserve">The </w:t>
      </w:r>
      <w:r w:rsidR="000A45B8">
        <w:rPr>
          <w:rStyle w:val="eop"/>
          <w:rFonts w:asciiTheme="minorHAnsi" w:hAnsiTheme="minorHAnsi" w:cstheme="minorHAnsi"/>
          <w:sz w:val="22"/>
          <w:szCs w:val="22"/>
          <w:lang w:val="en-US"/>
        </w:rPr>
        <w:t>number</w:t>
      </w:r>
      <w:r w:rsidR="003D5DA2">
        <w:rPr>
          <w:rStyle w:val="eop"/>
          <w:rFonts w:asciiTheme="minorHAnsi" w:hAnsiTheme="minorHAnsi" w:cstheme="minorHAnsi"/>
          <w:sz w:val="22"/>
          <w:szCs w:val="22"/>
          <w:lang w:val="en-US"/>
        </w:rPr>
        <w:t xml:space="preserve"> of children and young people who suffer child abuse is </w:t>
      </w:r>
      <w:proofErr w:type="gramStart"/>
      <w:r w:rsidR="003D5DA2">
        <w:rPr>
          <w:rStyle w:val="eop"/>
          <w:rFonts w:asciiTheme="minorHAnsi" w:hAnsiTheme="minorHAnsi" w:cstheme="minorHAnsi"/>
          <w:sz w:val="22"/>
          <w:szCs w:val="22"/>
          <w:lang w:val="en-US"/>
        </w:rPr>
        <w:t>high</w:t>
      </w:r>
      <w:proofErr w:type="gramEnd"/>
      <w:r w:rsidR="003D5DA2">
        <w:rPr>
          <w:rStyle w:val="eop"/>
          <w:rFonts w:asciiTheme="minorHAnsi" w:hAnsiTheme="minorHAnsi" w:cstheme="minorHAnsi"/>
          <w:sz w:val="22"/>
          <w:szCs w:val="22"/>
          <w:lang w:val="en-US"/>
        </w:rPr>
        <w:t xml:space="preserve"> but it also shows the severity of this specific type of abuse; it shows that something needs to be done in order to protect against child abuse and the potential future issues related to trauma.</w:t>
      </w:r>
    </w:p>
    <w:p w14:paraId="6C56A470" w14:textId="77777777" w:rsidR="00BA6490" w:rsidRPr="00BA6490" w:rsidRDefault="00BA6490" w:rsidP="00BA6490">
      <w:pPr>
        <w:pStyle w:val="paragraph"/>
        <w:spacing w:before="0" w:beforeAutospacing="0" w:after="0" w:afterAutospacing="0" w:line="360" w:lineRule="auto"/>
        <w:ind w:left="-30" w:right="-30"/>
        <w:jc w:val="both"/>
        <w:textAlignment w:val="baseline"/>
        <w:rPr>
          <w:rFonts w:asciiTheme="minorHAnsi" w:hAnsiTheme="minorHAnsi" w:cstheme="minorHAnsi"/>
          <w:sz w:val="22"/>
          <w:szCs w:val="22"/>
          <w:lang w:val="en-US"/>
        </w:rPr>
      </w:pPr>
    </w:p>
    <w:p w14:paraId="707EAED2" w14:textId="77777777" w:rsidR="00612431" w:rsidRPr="00BA6490" w:rsidRDefault="00612431" w:rsidP="00BA6490">
      <w:pPr>
        <w:pStyle w:val="paragraph"/>
        <w:spacing w:before="0" w:beforeAutospacing="0" w:after="0" w:afterAutospacing="0" w:line="360" w:lineRule="auto"/>
        <w:ind w:left="-30" w:right="-30"/>
        <w:jc w:val="both"/>
        <w:textAlignment w:val="baseline"/>
        <w:rPr>
          <w:rFonts w:asciiTheme="minorHAnsi" w:hAnsiTheme="minorHAnsi" w:cstheme="minorHAnsi"/>
          <w:sz w:val="22"/>
          <w:szCs w:val="22"/>
          <w:lang w:val="en-US"/>
        </w:rPr>
      </w:pPr>
      <w:r w:rsidRPr="00BA6490">
        <w:rPr>
          <w:rStyle w:val="normaltextrun"/>
          <w:rFonts w:asciiTheme="minorHAnsi" w:hAnsiTheme="minorHAnsi" w:cstheme="minorHAnsi"/>
          <w:sz w:val="22"/>
          <w:szCs w:val="22"/>
        </w:rPr>
        <w:t>The Scottish Government (2023) states that those who experience more than one adverse childhood experience have a greater potential “to engage in risk taking behaviour", this could lead to health issues as well as increased risk of criminality. the issue with taking risk could mean that you are turning to drug or alcohol to cope with adverse childhood experiences, although it could also lead to many other issues. Mind (2023) states that trauma can be affect us in many different ways both emotionally and physically, they could take the form of “flashbacks”, “panic attacks”, “dissociation”, any thoughts of self-inflicted pain or death, as well as issues with drugs and alcohol. The idea that flashbacks and panic attacks can be brought about randomly or triggered means that the child or young person in care or whose left care will be constantly reliving what has happened unless they look to get support and help.</w:t>
      </w:r>
      <w:r w:rsidRPr="00BA6490">
        <w:rPr>
          <w:rStyle w:val="eop"/>
          <w:rFonts w:asciiTheme="minorHAnsi" w:hAnsiTheme="minorHAnsi" w:cstheme="minorHAnsi"/>
          <w:sz w:val="22"/>
          <w:szCs w:val="22"/>
          <w:lang w:val="en-US"/>
        </w:rPr>
        <w:t> </w:t>
      </w:r>
    </w:p>
    <w:p w14:paraId="4705A3B4" w14:textId="77777777" w:rsidR="00612431" w:rsidRPr="00BA6490" w:rsidRDefault="00612431" w:rsidP="00BA6490">
      <w:pPr>
        <w:pStyle w:val="paragraph"/>
        <w:spacing w:before="0" w:beforeAutospacing="0" w:after="0" w:afterAutospacing="0" w:line="360" w:lineRule="auto"/>
        <w:ind w:left="-30" w:right="-30"/>
        <w:jc w:val="both"/>
        <w:textAlignment w:val="baseline"/>
        <w:rPr>
          <w:rStyle w:val="eop"/>
          <w:rFonts w:asciiTheme="minorHAnsi" w:hAnsiTheme="minorHAnsi" w:cstheme="minorHAnsi"/>
          <w:sz w:val="22"/>
          <w:szCs w:val="22"/>
          <w:lang w:val="en-US"/>
        </w:rPr>
      </w:pPr>
      <w:r w:rsidRPr="00BA6490">
        <w:rPr>
          <w:rStyle w:val="normaltextrun"/>
          <w:rFonts w:asciiTheme="minorHAnsi" w:hAnsiTheme="minorHAnsi" w:cstheme="minorHAnsi"/>
          <w:sz w:val="22"/>
          <w:szCs w:val="22"/>
        </w:rPr>
        <w:t xml:space="preserve">Other issues that may come from these traumatic experiences could affect the people around us, NSPCC (2023) states that looked after children and young people who have experienced neglect or abuse can often display “challenging behaviours” and that they may also have difficulties “forming secure relationships”. Forming relationships is a massive part of life as a child or young person especially when you are in care as you are often around new people and living with people who you may not trust, making their jobs slightly more difficult. Challenging behaviours need to be looked at in a way where the child or young person is being given pity or potentially be caused to have a flashback or panic attack as that would significantly affect the way they trust that certain person. Traumatic experiences such as adverse childhood experiences can often lead to nightmares, the NHS (2023) states that nightmares or night terrors can be a product of “something that’s frightened you”. The idea that your nightmares can reflect the thing that frightens you show that those who go through adverse childhood experiences do not only suffer when they go through the trauma but afterwards as well. Having yet another idea of an effect of trauma that will make you relive it may cause more stress to the child or young person in turn causing them to have unhealthy coping mechanisms. </w:t>
      </w:r>
      <w:r w:rsidRPr="00BA6490">
        <w:rPr>
          <w:rStyle w:val="eop"/>
          <w:rFonts w:asciiTheme="minorHAnsi" w:hAnsiTheme="minorHAnsi" w:cstheme="minorHAnsi"/>
          <w:sz w:val="22"/>
          <w:szCs w:val="22"/>
          <w:lang w:val="en-US"/>
        </w:rPr>
        <w:t> </w:t>
      </w:r>
    </w:p>
    <w:p w14:paraId="7C8C55F1" w14:textId="77777777" w:rsidR="00BA6490" w:rsidRPr="00BA6490" w:rsidRDefault="00BA6490" w:rsidP="00BA6490">
      <w:pPr>
        <w:pStyle w:val="paragraph"/>
        <w:spacing w:before="0" w:beforeAutospacing="0" w:after="0" w:afterAutospacing="0" w:line="360" w:lineRule="auto"/>
        <w:ind w:left="-30" w:right="-30"/>
        <w:jc w:val="both"/>
        <w:textAlignment w:val="baseline"/>
        <w:rPr>
          <w:rFonts w:asciiTheme="minorHAnsi" w:hAnsiTheme="minorHAnsi" w:cstheme="minorHAnsi"/>
          <w:sz w:val="22"/>
          <w:szCs w:val="22"/>
          <w:lang w:val="en-US"/>
        </w:rPr>
      </w:pPr>
    </w:p>
    <w:p w14:paraId="3E65FC25" w14:textId="0AB59356" w:rsidR="00612431" w:rsidRPr="00F06D23" w:rsidRDefault="00612431" w:rsidP="00BA6490">
      <w:pPr>
        <w:pStyle w:val="paragraph"/>
        <w:spacing w:before="0" w:beforeAutospacing="0" w:after="0" w:afterAutospacing="0" w:line="360" w:lineRule="auto"/>
        <w:ind w:left="-30" w:right="-30"/>
        <w:jc w:val="both"/>
        <w:textAlignment w:val="baseline"/>
        <w:rPr>
          <w:rFonts w:asciiTheme="minorHAnsi" w:hAnsiTheme="minorHAnsi" w:cstheme="minorHAnsi"/>
          <w:sz w:val="22"/>
          <w:szCs w:val="22"/>
          <w:lang w:val="en-US"/>
        </w:rPr>
      </w:pPr>
      <w:r w:rsidRPr="00BA6490">
        <w:rPr>
          <w:rStyle w:val="normaltextrun"/>
          <w:rFonts w:asciiTheme="minorHAnsi" w:hAnsiTheme="minorHAnsi" w:cstheme="minorHAnsi"/>
          <w:sz w:val="22"/>
          <w:szCs w:val="22"/>
        </w:rPr>
        <w:t xml:space="preserve">There are ways to </w:t>
      </w:r>
      <w:r w:rsidR="000A45B8">
        <w:rPr>
          <w:rStyle w:val="normaltextrun"/>
          <w:rFonts w:asciiTheme="minorHAnsi" w:hAnsiTheme="minorHAnsi" w:cstheme="minorHAnsi"/>
          <w:sz w:val="22"/>
          <w:szCs w:val="22"/>
        </w:rPr>
        <w:t>prevent a child or young person from falling</w:t>
      </w:r>
      <w:r w:rsidRPr="00BA6490">
        <w:rPr>
          <w:rStyle w:val="normaltextrun"/>
          <w:rFonts w:asciiTheme="minorHAnsi" w:hAnsiTheme="minorHAnsi" w:cstheme="minorHAnsi"/>
          <w:sz w:val="22"/>
          <w:szCs w:val="22"/>
        </w:rPr>
        <w:t xml:space="preserve"> into the category of adverse childhood experiences defining you as a criminal, the factors that can help include having a “trusted adult relationship, supportive friends” and engaging within your community through sports (Violence prevention unit 2023). In some cases, it is extremely difficult for children and young people in care or those with care experience to trust those around them, it takes time and patience to build a </w:t>
      </w:r>
      <w:r w:rsidRPr="00BA6490">
        <w:rPr>
          <w:rStyle w:val="normaltextrun"/>
          <w:rFonts w:asciiTheme="minorHAnsi" w:hAnsiTheme="minorHAnsi" w:cstheme="minorHAnsi"/>
          <w:sz w:val="22"/>
          <w:szCs w:val="22"/>
        </w:rPr>
        <w:lastRenderedPageBreak/>
        <w:t>relationship with them but also an understanding of what they went through and the way they may act.</w:t>
      </w:r>
      <w:r w:rsidRPr="00BA6490">
        <w:rPr>
          <w:rStyle w:val="eop"/>
          <w:rFonts w:asciiTheme="minorHAnsi" w:hAnsiTheme="minorHAnsi" w:cstheme="minorHAnsi"/>
          <w:sz w:val="22"/>
          <w:szCs w:val="22"/>
          <w:lang w:val="en-US"/>
        </w:rPr>
        <w:t> </w:t>
      </w:r>
    </w:p>
    <w:p w14:paraId="6986E36B" w14:textId="77777777" w:rsidR="00612431" w:rsidRPr="00F06D23" w:rsidRDefault="00612431" w:rsidP="00BA6490">
      <w:pPr>
        <w:pStyle w:val="paragraph"/>
        <w:spacing w:before="0" w:beforeAutospacing="0" w:after="0" w:afterAutospacing="0"/>
        <w:ind w:left="-30" w:right="-30"/>
        <w:jc w:val="both"/>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rPr>
        <w:t> </w:t>
      </w:r>
      <w:r w:rsidRPr="00F06D23">
        <w:rPr>
          <w:rStyle w:val="eop"/>
          <w:rFonts w:asciiTheme="minorHAnsi" w:hAnsiTheme="minorHAnsi" w:cstheme="minorHAnsi"/>
          <w:sz w:val="22"/>
          <w:szCs w:val="22"/>
          <w:lang w:val="en-US"/>
        </w:rPr>
        <w:t> </w:t>
      </w:r>
    </w:p>
    <w:p w14:paraId="76CF60C0" w14:textId="77777777" w:rsidR="00612431" w:rsidRPr="00F06D23" w:rsidRDefault="00612431" w:rsidP="00612431">
      <w:pPr>
        <w:pStyle w:val="paragraph"/>
        <w:spacing w:before="0" w:beforeAutospacing="0" w:after="0" w:afterAutospacing="0"/>
        <w:ind w:left="-30" w:right="-30"/>
        <w:jc w:val="both"/>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rPr>
        <w:t> </w:t>
      </w:r>
      <w:r w:rsidRPr="00F06D23">
        <w:rPr>
          <w:rStyle w:val="eop"/>
          <w:rFonts w:asciiTheme="minorHAnsi" w:hAnsiTheme="minorHAnsi" w:cstheme="minorHAnsi"/>
          <w:sz w:val="22"/>
          <w:szCs w:val="22"/>
          <w:lang w:val="en-US"/>
        </w:rPr>
        <w:t> </w:t>
      </w:r>
    </w:p>
    <w:p w14:paraId="0CBFA0A3" w14:textId="77777777" w:rsidR="00612431" w:rsidRPr="00F06D23" w:rsidRDefault="00612431" w:rsidP="00612431">
      <w:pPr>
        <w:pStyle w:val="paragraph"/>
        <w:spacing w:before="0" w:beforeAutospacing="0" w:after="0" w:afterAutospacing="0"/>
        <w:jc w:val="both"/>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u w:val="single"/>
        </w:rPr>
        <w:t>Reference list:</w:t>
      </w:r>
      <w:r w:rsidRPr="00F06D23">
        <w:rPr>
          <w:rStyle w:val="eop"/>
          <w:rFonts w:asciiTheme="minorHAnsi" w:hAnsiTheme="minorHAnsi" w:cstheme="minorHAnsi"/>
          <w:sz w:val="22"/>
          <w:szCs w:val="22"/>
          <w:lang w:val="en-US"/>
        </w:rPr>
        <w:t> </w:t>
      </w:r>
    </w:p>
    <w:p w14:paraId="2B649D8A" w14:textId="77777777" w:rsidR="00612431" w:rsidRPr="00F06D23" w:rsidRDefault="00612431" w:rsidP="00612431">
      <w:pPr>
        <w:pStyle w:val="paragraph"/>
        <w:spacing w:before="0" w:beforeAutospacing="0" w:after="0" w:afterAutospacing="0"/>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rPr>
        <w:t xml:space="preserve">ACE Hub Wales (2022) </w:t>
      </w:r>
      <w:r w:rsidRPr="00F06D23">
        <w:rPr>
          <w:rStyle w:val="normaltextrun"/>
          <w:rFonts w:asciiTheme="minorHAnsi" w:hAnsiTheme="minorHAnsi" w:cstheme="minorHAnsi"/>
          <w:i/>
          <w:iCs/>
          <w:sz w:val="22"/>
          <w:szCs w:val="22"/>
        </w:rPr>
        <w:t>About ACEs and a trauma-informed approach.</w:t>
      </w:r>
      <w:r w:rsidRPr="00F06D23">
        <w:rPr>
          <w:rStyle w:val="normaltextrun"/>
          <w:rFonts w:asciiTheme="minorHAnsi" w:hAnsiTheme="minorHAnsi" w:cstheme="minorHAnsi"/>
          <w:sz w:val="22"/>
          <w:szCs w:val="22"/>
        </w:rPr>
        <w:t xml:space="preserve"> Available at: </w:t>
      </w:r>
      <w:hyperlink r:id="rId5" w:tgtFrame="_blank" w:history="1">
        <w:r w:rsidRPr="00F06D23">
          <w:rPr>
            <w:rStyle w:val="normaltextrun"/>
            <w:rFonts w:asciiTheme="minorHAnsi" w:hAnsiTheme="minorHAnsi" w:cstheme="minorHAnsi"/>
            <w:color w:val="0563C1"/>
            <w:sz w:val="22"/>
            <w:szCs w:val="22"/>
            <w:u w:val="single"/>
          </w:rPr>
          <w:t>About ACEs and a trauma-informed approach - ACE Hub Wales</w:t>
        </w:r>
      </w:hyperlink>
      <w:r w:rsidRPr="00F06D23">
        <w:rPr>
          <w:rStyle w:val="normaltextrun"/>
          <w:rFonts w:asciiTheme="minorHAnsi" w:hAnsiTheme="minorHAnsi" w:cstheme="minorHAnsi"/>
          <w:sz w:val="22"/>
          <w:szCs w:val="22"/>
        </w:rPr>
        <w:t xml:space="preserve"> (Accessed 08/12/2023)</w:t>
      </w:r>
      <w:r w:rsidRPr="00F06D23">
        <w:rPr>
          <w:rStyle w:val="eop"/>
          <w:rFonts w:asciiTheme="minorHAnsi" w:hAnsiTheme="minorHAnsi" w:cstheme="minorHAnsi"/>
          <w:sz w:val="22"/>
          <w:szCs w:val="22"/>
          <w:lang w:val="en-US"/>
        </w:rPr>
        <w:t> </w:t>
      </w:r>
    </w:p>
    <w:p w14:paraId="4DFC8296" w14:textId="77777777" w:rsidR="00612431" w:rsidRPr="00F06D23" w:rsidRDefault="00612431" w:rsidP="00612431">
      <w:pPr>
        <w:pStyle w:val="paragraph"/>
        <w:spacing w:before="0" w:beforeAutospacing="0" w:after="0" w:afterAutospacing="0"/>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rPr>
        <w:t xml:space="preserve">Brenzina, T., Tekin, E. and Topalli, V. (2009). ‘“MIGHT NOT BE A TOMORROW”: A MULTIMETHODS APPROACH TO ANTICIPATED EARLY DEATH AND YOUTH CRIME*’. </w:t>
      </w:r>
      <w:r w:rsidRPr="00F06D23">
        <w:rPr>
          <w:rStyle w:val="normaltextrun"/>
          <w:rFonts w:asciiTheme="minorHAnsi" w:hAnsiTheme="minorHAnsi" w:cstheme="minorHAnsi"/>
          <w:i/>
          <w:iCs/>
          <w:sz w:val="22"/>
          <w:szCs w:val="22"/>
        </w:rPr>
        <w:t>Criminology</w:t>
      </w:r>
      <w:r w:rsidRPr="00F06D23">
        <w:rPr>
          <w:rStyle w:val="normaltextrun"/>
          <w:rFonts w:asciiTheme="minorHAnsi" w:hAnsiTheme="minorHAnsi" w:cstheme="minorHAnsi"/>
          <w:sz w:val="22"/>
          <w:szCs w:val="22"/>
        </w:rPr>
        <w:t xml:space="preserve">, vol 47, issue 4, pp.1091–1129. Available at: </w:t>
      </w:r>
      <w:hyperlink r:id="rId6" w:tgtFrame="_blank" w:history="1">
        <w:r w:rsidRPr="00F06D23">
          <w:rPr>
            <w:rStyle w:val="normaltextrun"/>
            <w:rFonts w:asciiTheme="minorHAnsi" w:hAnsiTheme="minorHAnsi" w:cstheme="minorHAnsi"/>
            <w:color w:val="0563C1"/>
            <w:sz w:val="22"/>
            <w:szCs w:val="22"/>
            <w:u w:val="single"/>
          </w:rPr>
          <w:t>https://doi.org/10.1111/j.1745-9125.2009.00170.x</w:t>
        </w:r>
      </w:hyperlink>
      <w:r w:rsidRPr="00F06D23">
        <w:rPr>
          <w:rStyle w:val="normaltextrun"/>
          <w:rFonts w:asciiTheme="minorHAnsi" w:hAnsiTheme="minorHAnsi" w:cstheme="minorHAnsi"/>
          <w:sz w:val="22"/>
          <w:szCs w:val="22"/>
        </w:rPr>
        <w:t>. (accessed 07/12/2023)</w:t>
      </w:r>
      <w:r w:rsidRPr="00F06D23">
        <w:rPr>
          <w:rStyle w:val="eop"/>
          <w:rFonts w:asciiTheme="minorHAnsi" w:hAnsiTheme="minorHAnsi" w:cstheme="minorHAnsi"/>
          <w:sz w:val="22"/>
          <w:szCs w:val="22"/>
          <w:lang w:val="en-US"/>
        </w:rPr>
        <w:t> </w:t>
      </w:r>
    </w:p>
    <w:p w14:paraId="6B2A8AF5" w14:textId="77777777" w:rsidR="00612431" w:rsidRPr="00F06D23" w:rsidRDefault="00612431" w:rsidP="00612431">
      <w:pPr>
        <w:pStyle w:val="paragraph"/>
        <w:spacing w:before="0" w:beforeAutospacing="0" w:after="0" w:afterAutospacing="0"/>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rPr>
        <w:t xml:space="preserve">Centres for Disease Control and Prevention (2021). Risk and protective factors. Available at: </w:t>
      </w:r>
      <w:hyperlink r:id="rId7" w:tgtFrame="_blank" w:history="1">
        <w:r w:rsidRPr="00F06D23">
          <w:rPr>
            <w:rStyle w:val="normaltextrun"/>
            <w:rFonts w:asciiTheme="minorHAnsi" w:hAnsiTheme="minorHAnsi" w:cstheme="minorHAnsi"/>
            <w:color w:val="0563C1"/>
            <w:sz w:val="22"/>
            <w:szCs w:val="22"/>
            <w:u w:val="single"/>
          </w:rPr>
          <w:t>https://www.cdc.gov/violenceprevention/aces/riskprotectivefactors.html</w:t>
        </w:r>
      </w:hyperlink>
      <w:r w:rsidRPr="00F06D23">
        <w:rPr>
          <w:rStyle w:val="normaltextrun"/>
          <w:rFonts w:asciiTheme="minorHAnsi" w:hAnsiTheme="minorHAnsi" w:cstheme="minorHAnsi"/>
          <w:sz w:val="22"/>
          <w:szCs w:val="22"/>
        </w:rPr>
        <w:t xml:space="preserve"> (Accessed 8/12/2023].</w:t>
      </w:r>
      <w:r w:rsidRPr="00F06D23">
        <w:rPr>
          <w:rStyle w:val="eop"/>
          <w:rFonts w:asciiTheme="minorHAnsi" w:hAnsiTheme="minorHAnsi" w:cstheme="minorHAnsi"/>
          <w:sz w:val="22"/>
          <w:szCs w:val="22"/>
          <w:lang w:val="en-US"/>
        </w:rPr>
        <w:t> </w:t>
      </w:r>
    </w:p>
    <w:p w14:paraId="5A21CA5F" w14:textId="77777777" w:rsidR="00612431" w:rsidRPr="00F06D23" w:rsidRDefault="00612431" w:rsidP="00612431">
      <w:pPr>
        <w:pStyle w:val="paragraph"/>
        <w:spacing w:before="0" w:beforeAutospacing="0" w:after="0" w:afterAutospacing="0"/>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rPr>
        <w:t xml:space="preserve">Compton, A. Panlilio, C. Humphreys, K. (2023) ‘What’s the matter with ACEs? Recommendations for considering early adversity in educational context’ </w:t>
      </w:r>
      <w:r w:rsidRPr="00F06D23">
        <w:rPr>
          <w:rStyle w:val="normaltextrun"/>
          <w:rFonts w:asciiTheme="minorHAnsi" w:hAnsiTheme="minorHAnsi" w:cstheme="minorHAnsi"/>
          <w:i/>
          <w:iCs/>
          <w:sz w:val="22"/>
          <w:szCs w:val="22"/>
        </w:rPr>
        <w:t xml:space="preserve">Child abuse &amp; neglect: the international journal. </w:t>
      </w:r>
      <w:r w:rsidRPr="00F06D23">
        <w:rPr>
          <w:rStyle w:val="normaltextrun"/>
          <w:rFonts w:asciiTheme="minorHAnsi" w:hAnsiTheme="minorHAnsi" w:cstheme="minorHAnsi"/>
          <w:sz w:val="22"/>
          <w:szCs w:val="22"/>
        </w:rPr>
        <w:t xml:space="preserve">Vol 142 part 1. Available at: </w:t>
      </w:r>
      <w:hyperlink r:id="rId8" w:tgtFrame="_blank" w:history="1">
        <w:r w:rsidRPr="00F06D23">
          <w:rPr>
            <w:rStyle w:val="normaltextrun"/>
            <w:rFonts w:asciiTheme="minorHAnsi" w:hAnsiTheme="minorHAnsi" w:cstheme="minorHAnsi"/>
            <w:color w:val="0563C1"/>
            <w:sz w:val="22"/>
            <w:szCs w:val="22"/>
            <w:u w:val="single"/>
          </w:rPr>
          <w:t>https://doi-org.ezproxy.uwtsd.ac.uk/10.1016/j.chiabu.2023.106073</w:t>
        </w:r>
      </w:hyperlink>
      <w:r w:rsidRPr="00F06D23">
        <w:rPr>
          <w:rStyle w:val="normaltextrun"/>
          <w:rFonts w:asciiTheme="minorHAnsi" w:hAnsiTheme="minorHAnsi" w:cstheme="minorHAnsi"/>
          <w:sz w:val="22"/>
          <w:szCs w:val="22"/>
        </w:rPr>
        <w:t xml:space="preserve"> </w:t>
      </w:r>
      <w:r w:rsidRPr="00F06D23">
        <w:rPr>
          <w:rStyle w:val="eop"/>
          <w:rFonts w:asciiTheme="minorHAnsi" w:hAnsiTheme="minorHAnsi" w:cstheme="minorHAnsi"/>
          <w:sz w:val="22"/>
          <w:szCs w:val="22"/>
          <w:lang w:val="en-US"/>
        </w:rPr>
        <w:t> </w:t>
      </w:r>
    </w:p>
    <w:p w14:paraId="5D5D719B" w14:textId="77777777" w:rsidR="00612431" w:rsidRPr="00F06D23" w:rsidRDefault="00612431" w:rsidP="00612431">
      <w:pPr>
        <w:pStyle w:val="paragraph"/>
        <w:spacing w:before="0" w:beforeAutospacing="0" w:after="0" w:afterAutospacing="0"/>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rPr>
        <w:t xml:space="preserve">Corsaro, W (2015). </w:t>
      </w:r>
      <w:r w:rsidRPr="00F06D23">
        <w:rPr>
          <w:rStyle w:val="normaltextrun"/>
          <w:rFonts w:asciiTheme="minorHAnsi" w:hAnsiTheme="minorHAnsi" w:cstheme="minorHAnsi"/>
          <w:i/>
          <w:iCs/>
          <w:sz w:val="22"/>
          <w:szCs w:val="22"/>
        </w:rPr>
        <w:t xml:space="preserve">The sociology of childhood. </w:t>
      </w:r>
      <w:r w:rsidRPr="00F06D23">
        <w:rPr>
          <w:rStyle w:val="normaltextrun"/>
          <w:rFonts w:asciiTheme="minorHAnsi" w:hAnsiTheme="minorHAnsi" w:cstheme="minorHAnsi"/>
          <w:sz w:val="22"/>
          <w:szCs w:val="22"/>
        </w:rPr>
        <w:t>4</w:t>
      </w:r>
      <w:r w:rsidRPr="00F06D23">
        <w:rPr>
          <w:rStyle w:val="normaltextrun"/>
          <w:rFonts w:asciiTheme="minorHAnsi" w:hAnsiTheme="minorHAnsi" w:cstheme="minorHAnsi"/>
          <w:sz w:val="22"/>
          <w:szCs w:val="22"/>
          <w:vertAlign w:val="superscript"/>
        </w:rPr>
        <w:t>th</w:t>
      </w:r>
      <w:r w:rsidRPr="00F06D23">
        <w:rPr>
          <w:rStyle w:val="normaltextrun"/>
          <w:rFonts w:asciiTheme="minorHAnsi" w:hAnsiTheme="minorHAnsi" w:cstheme="minorHAnsi"/>
          <w:sz w:val="22"/>
          <w:szCs w:val="22"/>
        </w:rPr>
        <w:t xml:space="preserve"> edition. California: Sage publications, Inc.</w:t>
      </w:r>
      <w:r w:rsidRPr="00F06D23">
        <w:rPr>
          <w:rStyle w:val="eop"/>
          <w:rFonts w:asciiTheme="minorHAnsi" w:hAnsiTheme="minorHAnsi" w:cstheme="minorHAnsi"/>
          <w:sz w:val="22"/>
          <w:szCs w:val="22"/>
          <w:lang w:val="en-US"/>
        </w:rPr>
        <w:t> </w:t>
      </w:r>
    </w:p>
    <w:p w14:paraId="64DC3201" w14:textId="77777777" w:rsidR="00612431" w:rsidRPr="00F06D23" w:rsidRDefault="00612431" w:rsidP="00612431">
      <w:pPr>
        <w:pStyle w:val="paragraph"/>
        <w:spacing w:before="0" w:beforeAutospacing="0" w:after="0" w:afterAutospacing="0"/>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rPr>
        <w:t xml:space="preserve">Crandall, A. Miller, J. Cheung, A. Novilla, L. Glade, R. Novilla, N. Lelinneth, B. Magnusson, B. Leavitt, B. Barnes, M. Hanson, C. (2019) ‘ACEs and counter-ACEs: How positive and negative childhood experiences influence adult health.’ </w:t>
      </w:r>
      <w:r w:rsidRPr="00F06D23">
        <w:rPr>
          <w:rStyle w:val="normaltextrun"/>
          <w:rFonts w:asciiTheme="minorHAnsi" w:hAnsiTheme="minorHAnsi" w:cstheme="minorHAnsi"/>
          <w:i/>
          <w:iCs/>
          <w:sz w:val="22"/>
          <w:szCs w:val="22"/>
        </w:rPr>
        <w:t>Child abuse &amp; neglect: the international journal</w:t>
      </w:r>
      <w:r w:rsidRPr="00F06D23">
        <w:rPr>
          <w:rStyle w:val="normaltextrun"/>
          <w:rFonts w:asciiTheme="minorHAnsi" w:hAnsiTheme="minorHAnsi" w:cstheme="minorHAnsi"/>
          <w:sz w:val="22"/>
          <w:szCs w:val="22"/>
        </w:rPr>
        <w:t xml:space="preserve">. Vol 96. Available at: </w:t>
      </w:r>
      <w:hyperlink r:id="rId9" w:tgtFrame="_blank" w:history="1">
        <w:r w:rsidRPr="00F06D23">
          <w:rPr>
            <w:rStyle w:val="normaltextrun"/>
            <w:rFonts w:asciiTheme="minorHAnsi" w:hAnsiTheme="minorHAnsi" w:cstheme="minorHAnsi"/>
            <w:color w:val="0563C1"/>
            <w:sz w:val="22"/>
            <w:szCs w:val="22"/>
            <w:u w:val="single"/>
          </w:rPr>
          <w:t>https://doi-org.ezproxy.uwtsd.ac.uk/10.1016/j.chiabu.2019.104089</w:t>
        </w:r>
      </w:hyperlink>
      <w:r w:rsidRPr="00F06D23">
        <w:rPr>
          <w:rStyle w:val="normaltextrun"/>
          <w:rFonts w:asciiTheme="minorHAnsi" w:hAnsiTheme="minorHAnsi" w:cstheme="minorHAnsi"/>
          <w:sz w:val="22"/>
          <w:szCs w:val="22"/>
        </w:rPr>
        <w:t xml:space="preserve"> </w:t>
      </w:r>
      <w:r w:rsidRPr="00F06D23">
        <w:rPr>
          <w:rStyle w:val="normaltextrun"/>
          <w:rFonts w:asciiTheme="minorHAnsi" w:hAnsiTheme="minorHAnsi" w:cstheme="minorHAnsi"/>
          <w:color w:val="0563C1"/>
          <w:sz w:val="22"/>
          <w:szCs w:val="22"/>
          <w:u w:val="single"/>
        </w:rPr>
        <w:t>(</w:t>
      </w:r>
      <w:r w:rsidRPr="00F06D23">
        <w:rPr>
          <w:rStyle w:val="normaltextrun"/>
          <w:rFonts w:asciiTheme="minorHAnsi" w:hAnsiTheme="minorHAnsi" w:cstheme="minorHAnsi"/>
          <w:sz w:val="22"/>
          <w:szCs w:val="22"/>
        </w:rPr>
        <w:t>Accessed 15/10/2023).</w:t>
      </w:r>
      <w:r w:rsidRPr="00F06D23">
        <w:rPr>
          <w:rStyle w:val="eop"/>
          <w:rFonts w:asciiTheme="minorHAnsi" w:hAnsiTheme="minorHAnsi" w:cstheme="minorHAnsi"/>
          <w:sz w:val="22"/>
          <w:szCs w:val="22"/>
          <w:lang w:val="en-US"/>
        </w:rPr>
        <w:t> </w:t>
      </w:r>
    </w:p>
    <w:p w14:paraId="6E774360" w14:textId="77777777" w:rsidR="00612431" w:rsidRPr="00F06D23" w:rsidRDefault="00612431" w:rsidP="00612431">
      <w:pPr>
        <w:pStyle w:val="paragraph"/>
        <w:spacing w:before="0" w:beforeAutospacing="0" w:after="0" w:afterAutospacing="0"/>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rPr>
        <w:t xml:space="preserve">Ford, K., Barton, E., Newbury, A., Hughes, K., Bezeczky, Z., Roderick, J. and Bellis, M. (2019). </w:t>
      </w:r>
      <w:r w:rsidRPr="00F06D23">
        <w:rPr>
          <w:rStyle w:val="normaltextrun"/>
          <w:rFonts w:asciiTheme="minorHAnsi" w:hAnsiTheme="minorHAnsi" w:cstheme="minorHAnsi"/>
          <w:i/>
          <w:iCs/>
          <w:sz w:val="22"/>
          <w:szCs w:val="22"/>
        </w:rPr>
        <w:t>Understanding the prevalence of adverse childhood experiences (ACEs) in a male offender population in Wales: The Prisoner ACE Survey</w:t>
      </w:r>
      <w:r w:rsidRPr="00F06D23">
        <w:rPr>
          <w:rStyle w:val="normaltextrun"/>
          <w:rFonts w:asciiTheme="minorHAnsi" w:hAnsiTheme="minorHAnsi" w:cstheme="minorHAnsi"/>
          <w:sz w:val="22"/>
          <w:szCs w:val="22"/>
        </w:rPr>
        <w:t xml:space="preserve">. Available at: </w:t>
      </w:r>
      <w:hyperlink r:id="rId10" w:tgtFrame="_blank" w:history="1">
        <w:r w:rsidRPr="00F06D23">
          <w:rPr>
            <w:rStyle w:val="normaltextrun"/>
            <w:rFonts w:asciiTheme="minorHAnsi" w:hAnsiTheme="minorHAnsi" w:cstheme="minorHAnsi"/>
            <w:color w:val="0563C1"/>
            <w:sz w:val="22"/>
            <w:szCs w:val="22"/>
            <w:u w:val="single"/>
          </w:rPr>
          <w:t>https://phw.nhs.wales/files/aces/the-prisoner-ace-survey</w:t>
        </w:r>
      </w:hyperlink>
      <w:r w:rsidRPr="00F06D23">
        <w:rPr>
          <w:rStyle w:val="normaltextrun"/>
          <w:rFonts w:asciiTheme="minorHAnsi" w:hAnsiTheme="minorHAnsi" w:cstheme="minorHAnsi"/>
          <w:sz w:val="22"/>
          <w:szCs w:val="22"/>
        </w:rPr>
        <w:t xml:space="preserve"> / (Accessed 6/12/2023).</w:t>
      </w:r>
      <w:r w:rsidRPr="00F06D23">
        <w:rPr>
          <w:rStyle w:val="eop"/>
          <w:rFonts w:asciiTheme="minorHAnsi" w:hAnsiTheme="minorHAnsi" w:cstheme="minorHAnsi"/>
          <w:sz w:val="22"/>
          <w:szCs w:val="22"/>
          <w:lang w:val="en-US"/>
        </w:rPr>
        <w:t> </w:t>
      </w:r>
    </w:p>
    <w:p w14:paraId="7060B31B" w14:textId="77777777" w:rsidR="00612431" w:rsidRPr="00F06D23" w:rsidRDefault="00612431" w:rsidP="00612431">
      <w:pPr>
        <w:pStyle w:val="paragraph"/>
        <w:spacing w:before="0" w:beforeAutospacing="0" w:after="0" w:afterAutospacing="0"/>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rPr>
        <w:t xml:space="preserve">Gooch, K. Masson, I. Waddington, E. Owens, A. (2022) ‘After Care, After </w:t>
      </w:r>
      <w:proofErr w:type="gramStart"/>
      <w:r w:rsidRPr="00F06D23">
        <w:rPr>
          <w:rStyle w:val="normaltextrun"/>
          <w:rFonts w:asciiTheme="minorHAnsi" w:hAnsiTheme="minorHAnsi" w:cstheme="minorHAnsi"/>
          <w:sz w:val="22"/>
          <w:szCs w:val="22"/>
        </w:rPr>
        <w:t>Thought?:</w:t>
      </w:r>
      <w:proofErr w:type="gramEnd"/>
      <w:r w:rsidRPr="00F06D23">
        <w:rPr>
          <w:rStyle w:val="normaltextrun"/>
          <w:rFonts w:asciiTheme="minorHAnsi" w:hAnsiTheme="minorHAnsi" w:cstheme="minorHAnsi"/>
          <w:sz w:val="22"/>
          <w:szCs w:val="22"/>
        </w:rPr>
        <w:t xml:space="preserve"> The Invisibility of Care Experienced Men and Women in Prison’. </w:t>
      </w:r>
      <w:r w:rsidRPr="00F06D23">
        <w:rPr>
          <w:rStyle w:val="normaltextrun"/>
          <w:rFonts w:asciiTheme="minorHAnsi" w:hAnsiTheme="minorHAnsi" w:cstheme="minorHAnsi"/>
          <w:i/>
          <w:iCs/>
          <w:sz w:val="22"/>
          <w:szCs w:val="22"/>
        </w:rPr>
        <w:t>Prison Service Journal</w:t>
      </w:r>
      <w:r w:rsidRPr="00F06D23">
        <w:rPr>
          <w:rStyle w:val="normaltextrun"/>
          <w:rFonts w:asciiTheme="minorHAnsi" w:hAnsiTheme="minorHAnsi" w:cstheme="minorHAnsi"/>
          <w:sz w:val="22"/>
          <w:szCs w:val="22"/>
        </w:rPr>
        <w:t xml:space="preserve">. Issue 258, pages 4-12. Available at: </w:t>
      </w:r>
      <w:hyperlink r:id="rId11" w:tgtFrame="_blank" w:history="1">
        <w:r w:rsidRPr="00F06D23">
          <w:rPr>
            <w:rStyle w:val="normaltextrun"/>
            <w:rFonts w:asciiTheme="minorHAnsi" w:hAnsiTheme="minorHAnsi" w:cstheme="minorHAnsi"/>
            <w:color w:val="0563C1"/>
            <w:sz w:val="22"/>
            <w:szCs w:val="22"/>
            <w:u w:val="single"/>
          </w:rPr>
          <w:t>PSJ 258, After care, after thought.pdf (crimeandjustice.org.uk)</w:t>
        </w:r>
      </w:hyperlink>
      <w:r w:rsidRPr="00F06D23">
        <w:rPr>
          <w:rStyle w:val="normaltextrun"/>
          <w:rFonts w:asciiTheme="minorHAnsi" w:hAnsiTheme="minorHAnsi" w:cstheme="minorHAnsi"/>
          <w:sz w:val="22"/>
          <w:szCs w:val="22"/>
        </w:rPr>
        <w:t xml:space="preserve"> ( accessed 07/12/2023)</w:t>
      </w:r>
      <w:r w:rsidRPr="00F06D23">
        <w:rPr>
          <w:rStyle w:val="eop"/>
          <w:rFonts w:asciiTheme="minorHAnsi" w:hAnsiTheme="minorHAnsi" w:cstheme="minorHAnsi"/>
          <w:sz w:val="22"/>
          <w:szCs w:val="22"/>
          <w:lang w:val="en-US"/>
        </w:rPr>
        <w:t> </w:t>
      </w:r>
    </w:p>
    <w:p w14:paraId="48C40F1D" w14:textId="77777777" w:rsidR="00612431" w:rsidRPr="00F06D23" w:rsidRDefault="00612431" w:rsidP="00612431">
      <w:pPr>
        <w:pStyle w:val="paragraph"/>
        <w:spacing w:before="0" w:beforeAutospacing="0" w:after="0" w:afterAutospacing="0"/>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rPr>
        <w:t xml:space="preserve">Gray, P., Smithson, H. and Jump, D. (2021). </w:t>
      </w:r>
      <w:r w:rsidRPr="00F06D23">
        <w:rPr>
          <w:rStyle w:val="normaltextrun"/>
          <w:rFonts w:asciiTheme="minorHAnsi" w:hAnsiTheme="minorHAnsi" w:cstheme="minorHAnsi"/>
          <w:i/>
          <w:iCs/>
          <w:sz w:val="22"/>
          <w:szCs w:val="22"/>
        </w:rPr>
        <w:t>Serious youth violence and its relationship with adverse childhood experiences</w:t>
      </w:r>
      <w:r w:rsidRPr="00F06D23">
        <w:rPr>
          <w:rStyle w:val="normaltextrun"/>
          <w:rFonts w:asciiTheme="minorHAnsi" w:hAnsiTheme="minorHAnsi" w:cstheme="minorHAnsi"/>
          <w:sz w:val="22"/>
          <w:szCs w:val="22"/>
        </w:rPr>
        <w:t xml:space="preserve">. Available at: </w:t>
      </w:r>
      <w:hyperlink r:id="rId12" w:tgtFrame="_blank" w:history="1">
        <w:r w:rsidRPr="00F06D23">
          <w:rPr>
            <w:rStyle w:val="normaltextrun"/>
            <w:rFonts w:asciiTheme="minorHAnsi" w:hAnsiTheme="minorHAnsi" w:cstheme="minorHAnsi"/>
            <w:color w:val="0563C1"/>
            <w:sz w:val="22"/>
            <w:szCs w:val="22"/>
            <w:u w:val="single"/>
          </w:rPr>
          <w:t>https://www.justiceinspectorates.gov.uk/hmiprobation/wp-content/uploads/sites/5/2021/11/Academic-Insights-Gray-et-al.pdf</w:t>
        </w:r>
      </w:hyperlink>
      <w:r w:rsidRPr="00F06D23">
        <w:rPr>
          <w:rStyle w:val="normaltextrun"/>
          <w:rFonts w:asciiTheme="minorHAnsi" w:hAnsiTheme="minorHAnsi" w:cstheme="minorHAnsi"/>
          <w:sz w:val="22"/>
          <w:szCs w:val="22"/>
        </w:rPr>
        <w:t xml:space="preserve"> (Accessed 5/12/2023).</w:t>
      </w:r>
      <w:r w:rsidRPr="00F06D23">
        <w:rPr>
          <w:rStyle w:val="eop"/>
          <w:rFonts w:asciiTheme="minorHAnsi" w:hAnsiTheme="minorHAnsi" w:cstheme="minorHAnsi"/>
          <w:sz w:val="22"/>
          <w:szCs w:val="22"/>
          <w:lang w:val="en-US"/>
        </w:rPr>
        <w:t> </w:t>
      </w:r>
    </w:p>
    <w:p w14:paraId="2484B290" w14:textId="77777777" w:rsidR="00612431" w:rsidRPr="00F06D23" w:rsidRDefault="00612431" w:rsidP="00612431">
      <w:pPr>
        <w:pStyle w:val="paragraph"/>
        <w:spacing w:before="0" w:beforeAutospacing="0" w:after="0" w:afterAutospacing="0"/>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rPr>
        <w:t xml:space="preserve">Home for good (2023) </w:t>
      </w:r>
      <w:r w:rsidRPr="00F06D23">
        <w:rPr>
          <w:rStyle w:val="normaltextrun"/>
          <w:rFonts w:asciiTheme="minorHAnsi" w:hAnsiTheme="minorHAnsi" w:cstheme="minorHAnsi"/>
          <w:i/>
          <w:iCs/>
          <w:sz w:val="22"/>
          <w:szCs w:val="22"/>
        </w:rPr>
        <w:t>Statistics: National statistics for fostering and adoption</w:t>
      </w:r>
      <w:r w:rsidRPr="00F06D23">
        <w:rPr>
          <w:rStyle w:val="normaltextrun"/>
          <w:rFonts w:asciiTheme="minorHAnsi" w:hAnsiTheme="minorHAnsi" w:cstheme="minorHAnsi"/>
          <w:sz w:val="22"/>
          <w:szCs w:val="22"/>
        </w:rPr>
        <w:t xml:space="preserve">. Available at: </w:t>
      </w:r>
      <w:hyperlink r:id="rId13" w:anchor=":~:text=Almost%2025%25%20of%20the%20adult,have%20spent%20time%20in%20care." w:tgtFrame="_blank" w:history="1">
        <w:r w:rsidRPr="00F06D23">
          <w:rPr>
            <w:rStyle w:val="normaltextrun"/>
            <w:rFonts w:asciiTheme="minorHAnsi" w:hAnsiTheme="minorHAnsi" w:cstheme="minorHAnsi"/>
            <w:color w:val="0563C1"/>
            <w:sz w:val="22"/>
            <w:szCs w:val="22"/>
            <w:u w:val="single"/>
          </w:rPr>
          <w:t>Home For Good | Care Leavers and care-experienced young people</w:t>
        </w:r>
      </w:hyperlink>
      <w:r w:rsidRPr="00F06D23">
        <w:rPr>
          <w:rStyle w:val="normaltextrun"/>
          <w:rFonts w:asciiTheme="minorHAnsi" w:hAnsiTheme="minorHAnsi" w:cstheme="minorHAnsi"/>
          <w:sz w:val="22"/>
          <w:szCs w:val="22"/>
        </w:rPr>
        <w:t xml:space="preserve"> (accessed 08/12/2023)</w:t>
      </w:r>
      <w:r w:rsidRPr="00F06D23">
        <w:rPr>
          <w:rStyle w:val="eop"/>
          <w:rFonts w:asciiTheme="minorHAnsi" w:hAnsiTheme="minorHAnsi" w:cstheme="minorHAnsi"/>
          <w:sz w:val="22"/>
          <w:szCs w:val="22"/>
          <w:lang w:val="en-US"/>
        </w:rPr>
        <w:t> </w:t>
      </w:r>
    </w:p>
    <w:p w14:paraId="11C30ECA" w14:textId="77777777" w:rsidR="00612431" w:rsidRPr="00F06D23" w:rsidRDefault="00612431" w:rsidP="00612431">
      <w:pPr>
        <w:pStyle w:val="paragraph"/>
        <w:spacing w:before="0" w:beforeAutospacing="0" w:after="0" w:afterAutospacing="0"/>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rPr>
        <w:t xml:space="preserve">McLeod, S. (2023). </w:t>
      </w:r>
      <w:r w:rsidRPr="00F06D23">
        <w:rPr>
          <w:rStyle w:val="normaltextrun"/>
          <w:rFonts w:asciiTheme="minorHAnsi" w:hAnsiTheme="minorHAnsi" w:cstheme="minorHAnsi"/>
          <w:i/>
          <w:iCs/>
          <w:sz w:val="22"/>
          <w:szCs w:val="22"/>
        </w:rPr>
        <w:t>Bandura’s bobo doll experiment on social learning.</w:t>
      </w:r>
      <w:r w:rsidRPr="00F06D23">
        <w:rPr>
          <w:rStyle w:val="normaltextrun"/>
          <w:rFonts w:asciiTheme="minorHAnsi" w:hAnsiTheme="minorHAnsi" w:cstheme="minorHAnsi"/>
          <w:sz w:val="22"/>
          <w:szCs w:val="22"/>
        </w:rPr>
        <w:t xml:space="preserve"> Simply Psychology. Available at: </w:t>
      </w:r>
      <w:hyperlink r:id="rId14" w:tgtFrame="_blank" w:history="1">
        <w:r w:rsidRPr="00F06D23">
          <w:rPr>
            <w:rStyle w:val="normaltextrun"/>
            <w:rFonts w:asciiTheme="minorHAnsi" w:hAnsiTheme="minorHAnsi" w:cstheme="minorHAnsi"/>
            <w:color w:val="0563C1"/>
            <w:sz w:val="22"/>
            <w:szCs w:val="22"/>
            <w:u w:val="single"/>
          </w:rPr>
          <w:t>https://www.simplypsychology.org/bobo-doll.html</w:t>
        </w:r>
      </w:hyperlink>
      <w:r w:rsidRPr="00F06D23">
        <w:rPr>
          <w:rStyle w:val="normaltextrun"/>
          <w:rFonts w:asciiTheme="minorHAnsi" w:hAnsiTheme="minorHAnsi" w:cstheme="minorHAnsi"/>
          <w:sz w:val="22"/>
          <w:szCs w:val="22"/>
        </w:rPr>
        <w:t xml:space="preserve"> (Accessed 30/12/2023).</w:t>
      </w:r>
      <w:r w:rsidRPr="00F06D23">
        <w:rPr>
          <w:rStyle w:val="eop"/>
          <w:rFonts w:asciiTheme="minorHAnsi" w:hAnsiTheme="minorHAnsi" w:cstheme="minorHAnsi"/>
          <w:sz w:val="22"/>
          <w:szCs w:val="22"/>
          <w:lang w:val="en-US"/>
        </w:rPr>
        <w:t> </w:t>
      </w:r>
    </w:p>
    <w:p w14:paraId="031B1202" w14:textId="77777777" w:rsidR="00612431" w:rsidRPr="00F06D23" w:rsidRDefault="00612431" w:rsidP="00612431">
      <w:pPr>
        <w:pStyle w:val="paragraph"/>
        <w:spacing w:before="0" w:beforeAutospacing="0" w:after="0" w:afterAutospacing="0"/>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rPr>
        <w:t xml:space="preserve">Mind (2023) </w:t>
      </w:r>
      <w:r w:rsidRPr="00F06D23">
        <w:rPr>
          <w:rStyle w:val="normaltextrun"/>
          <w:rFonts w:asciiTheme="minorHAnsi" w:hAnsiTheme="minorHAnsi" w:cstheme="minorHAnsi"/>
          <w:i/>
          <w:iCs/>
          <w:sz w:val="22"/>
          <w:szCs w:val="22"/>
        </w:rPr>
        <w:t xml:space="preserve">Trauma. </w:t>
      </w:r>
      <w:r w:rsidRPr="00F06D23">
        <w:rPr>
          <w:rStyle w:val="normaltextrun"/>
          <w:rFonts w:asciiTheme="minorHAnsi" w:hAnsiTheme="minorHAnsi" w:cstheme="minorHAnsi"/>
          <w:sz w:val="22"/>
          <w:szCs w:val="22"/>
        </w:rPr>
        <w:t xml:space="preserve">Available at: </w:t>
      </w:r>
      <w:hyperlink r:id="rId15" w:tgtFrame="_blank" w:history="1">
        <w:r w:rsidRPr="00F06D23">
          <w:rPr>
            <w:rStyle w:val="normaltextrun"/>
            <w:rFonts w:asciiTheme="minorHAnsi" w:hAnsiTheme="minorHAnsi" w:cstheme="minorHAnsi"/>
            <w:color w:val="0563C1"/>
            <w:sz w:val="22"/>
            <w:szCs w:val="22"/>
            <w:u w:val="single"/>
          </w:rPr>
          <w:t>Effects of trauma - Mind</w:t>
        </w:r>
      </w:hyperlink>
      <w:r w:rsidRPr="00F06D23">
        <w:rPr>
          <w:rStyle w:val="normaltextrun"/>
          <w:rFonts w:asciiTheme="minorHAnsi" w:hAnsiTheme="minorHAnsi" w:cstheme="minorHAnsi"/>
          <w:sz w:val="22"/>
          <w:szCs w:val="22"/>
        </w:rPr>
        <w:t>(Accessed 8/12/2023).</w:t>
      </w:r>
      <w:r w:rsidRPr="00F06D23">
        <w:rPr>
          <w:rStyle w:val="eop"/>
          <w:rFonts w:asciiTheme="minorHAnsi" w:hAnsiTheme="minorHAnsi" w:cstheme="minorHAnsi"/>
          <w:sz w:val="22"/>
          <w:szCs w:val="22"/>
          <w:lang w:val="en-US"/>
        </w:rPr>
        <w:t> </w:t>
      </w:r>
    </w:p>
    <w:p w14:paraId="408E9A2A" w14:textId="77777777" w:rsidR="00612431" w:rsidRPr="00F06D23" w:rsidRDefault="00612431" w:rsidP="00612431">
      <w:pPr>
        <w:pStyle w:val="paragraph"/>
        <w:spacing w:before="0" w:beforeAutospacing="0" w:after="0" w:afterAutospacing="0"/>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rPr>
        <w:t xml:space="preserve">National Child Traumatic Stress Network (2023) </w:t>
      </w:r>
      <w:r w:rsidRPr="00F06D23">
        <w:rPr>
          <w:rStyle w:val="normaltextrun"/>
          <w:rFonts w:asciiTheme="minorHAnsi" w:hAnsiTheme="minorHAnsi" w:cstheme="minorHAnsi"/>
          <w:i/>
          <w:iCs/>
          <w:sz w:val="22"/>
          <w:szCs w:val="22"/>
        </w:rPr>
        <w:t>Essential elements</w:t>
      </w:r>
      <w:r w:rsidRPr="00F06D23">
        <w:rPr>
          <w:rStyle w:val="normaltextrun"/>
          <w:rFonts w:asciiTheme="minorHAnsi" w:hAnsiTheme="minorHAnsi" w:cstheme="minorHAnsi"/>
          <w:sz w:val="22"/>
          <w:szCs w:val="22"/>
        </w:rPr>
        <w:t xml:space="preserve">. Available at: </w:t>
      </w:r>
      <w:hyperlink r:id="rId16" w:tgtFrame="_blank" w:history="1">
        <w:r w:rsidRPr="00F06D23">
          <w:rPr>
            <w:rStyle w:val="normaltextrun"/>
            <w:rFonts w:asciiTheme="minorHAnsi" w:hAnsiTheme="minorHAnsi" w:cstheme="minorHAnsi"/>
            <w:color w:val="0563C1"/>
            <w:sz w:val="22"/>
            <w:szCs w:val="22"/>
            <w:u w:val="single"/>
          </w:rPr>
          <w:t>Essential Elements | The National Child Traumatic Stress Network (nctsn.org)</w:t>
        </w:r>
      </w:hyperlink>
      <w:r w:rsidRPr="00F06D23">
        <w:rPr>
          <w:rStyle w:val="normaltextrun"/>
          <w:rFonts w:asciiTheme="minorHAnsi" w:hAnsiTheme="minorHAnsi" w:cstheme="minorHAnsi"/>
          <w:sz w:val="22"/>
          <w:szCs w:val="22"/>
        </w:rPr>
        <w:t xml:space="preserve"> (accessed 06/12/2023)</w:t>
      </w:r>
      <w:r w:rsidRPr="00F06D23">
        <w:rPr>
          <w:rStyle w:val="eop"/>
          <w:rFonts w:asciiTheme="minorHAnsi" w:hAnsiTheme="minorHAnsi" w:cstheme="minorHAnsi"/>
          <w:sz w:val="22"/>
          <w:szCs w:val="22"/>
          <w:lang w:val="en-US"/>
        </w:rPr>
        <w:t> </w:t>
      </w:r>
    </w:p>
    <w:p w14:paraId="39BD0305" w14:textId="77777777" w:rsidR="00612431" w:rsidRPr="00F06D23" w:rsidRDefault="00612431" w:rsidP="00612431">
      <w:pPr>
        <w:pStyle w:val="paragraph"/>
        <w:spacing w:before="0" w:beforeAutospacing="0" w:after="0" w:afterAutospacing="0"/>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rPr>
        <w:t xml:space="preserve">National Institute for Health and Care Excellence (2021). </w:t>
      </w:r>
      <w:r w:rsidRPr="00F06D23">
        <w:rPr>
          <w:rStyle w:val="normaltextrun"/>
          <w:rFonts w:asciiTheme="minorHAnsi" w:hAnsiTheme="minorHAnsi" w:cstheme="minorHAnsi"/>
          <w:i/>
          <w:iCs/>
          <w:sz w:val="22"/>
          <w:szCs w:val="22"/>
        </w:rPr>
        <w:t>Looked-after children and young people</w:t>
      </w:r>
      <w:r w:rsidRPr="00F06D23">
        <w:rPr>
          <w:rStyle w:val="normaltextrun"/>
          <w:rFonts w:asciiTheme="minorHAnsi" w:hAnsiTheme="minorHAnsi" w:cstheme="minorHAnsi"/>
          <w:sz w:val="22"/>
          <w:szCs w:val="22"/>
        </w:rPr>
        <w:t xml:space="preserve">. Available at: </w:t>
      </w:r>
      <w:hyperlink r:id="rId17" w:tgtFrame="_blank" w:history="1">
        <w:r w:rsidRPr="00F06D23">
          <w:rPr>
            <w:rStyle w:val="normaltextrun"/>
            <w:rFonts w:asciiTheme="minorHAnsi" w:hAnsiTheme="minorHAnsi" w:cstheme="minorHAnsi"/>
            <w:color w:val="0563C1"/>
            <w:sz w:val="22"/>
            <w:szCs w:val="22"/>
            <w:u w:val="single"/>
          </w:rPr>
          <w:t>https://www.nice.org.uk/guidance/ng205/resources/lookedafter-children-and-young-people-pdf-66143716414405</w:t>
        </w:r>
      </w:hyperlink>
      <w:r w:rsidRPr="00F06D23">
        <w:rPr>
          <w:rStyle w:val="normaltextrun"/>
          <w:rFonts w:asciiTheme="minorHAnsi" w:hAnsiTheme="minorHAnsi" w:cstheme="minorHAnsi"/>
          <w:sz w:val="22"/>
          <w:szCs w:val="22"/>
        </w:rPr>
        <w:t xml:space="preserve"> (Accessed 8/12/2023).</w:t>
      </w:r>
      <w:r w:rsidRPr="00F06D23">
        <w:rPr>
          <w:rStyle w:val="eop"/>
          <w:rFonts w:asciiTheme="minorHAnsi" w:hAnsiTheme="minorHAnsi" w:cstheme="minorHAnsi"/>
          <w:sz w:val="22"/>
          <w:szCs w:val="22"/>
          <w:lang w:val="en-US"/>
        </w:rPr>
        <w:t> </w:t>
      </w:r>
    </w:p>
    <w:p w14:paraId="2329A56B" w14:textId="77777777" w:rsidR="00612431" w:rsidRPr="00F06D23" w:rsidRDefault="00612431" w:rsidP="00612431">
      <w:pPr>
        <w:pStyle w:val="paragraph"/>
        <w:spacing w:before="0" w:beforeAutospacing="0" w:after="0" w:afterAutospacing="0"/>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rPr>
        <w:t xml:space="preserve">NHS (2020). Night terrors and nightmares. Available at: </w:t>
      </w:r>
      <w:hyperlink r:id="rId18" w:tgtFrame="_blank" w:history="1">
        <w:r w:rsidRPr="00F06D23">
          <w:rPr>
            <w:rStyle w:val="normaltextrun"/>
            <w:rFonts w:asciiTheme="minorHAnsi" w:hAnsiTheme="minorHAnsi" w:cstheme="minorHAnsi"/>
            <w:color w:val="0563C1"/>
            <w:sz w:val="22"/>
            <w:szCs w:val="22"/>
            <w:u w:val="single"/>
          </w:rPr>
          <w:t>https://www.nhs.uk/conditions/night-terrors/</w:t>
        </w:r>
      </w:hyperlink>
      <w:r w:rsidRPr="00F06D23">
        <w:rPr>
          <w:rStyle w:val="normaltextrun"/>
          <w:rFonts w:asciiTheme="minorHAnsi" w:hAnsiTheme="minorHAnsi" w:cstheme="minorHAnsi"/>
          <w:sz w:val="22"/>
          <w:szCs w:val="22"/>
        </w:rPr>
        <w:t xml:space="preserve"> (Accessed 8/12/2023).</w:t>
      </w:r>
      <w:r w:rsidRPr="00F06D23">
        <w:rPr>
          <w:rStyle w:val="eop"/>
          <w:rFonts w:asciiTheme="minorHAnsi" w:hAnsiTheme="minorHAnsi" w:cstheme="minorHAnsi"/>
          <w:sz w:val="22"/>
          <w:szCs w:val="22"/>
          <w:lang w:val="en-US"/>
        </w:rPr>
        <w:t> </w:t>
      </w:r>
    </w:p>
    <w:p w14:paraId="0FBBC21B" w14:textId="77777777" w:rsidR="00612431" w:rsidRPr="00F06D23" w:rsidRDefault="00612431" w:rsidP="00612431">
      <w:pPr>
        <w:pStyle w:val="paragraph"/>
        <w:spacing w:before="0" w:beforeAutospacing="0" w:after="0" w:afterAutospacing="0"/>
        <w:textAlignment w:val="baseline"/>
        <w:rPr>
          <w:rFonts w:asciiTheme="minorHAnsi" w:hAnsiTheme="minorHAnsi" w:cstheme="minorHAnsi"/>
          <w:sz w:val="22"/>
          <w:szCs w:val="22"/>
          <w:lang w:val="en-US"/>
        </w:rPr>
      </w:pPr>
      <w:r w:rsidRPr="00F06D23">
        <w:rPr>
          <w:rStyle w:val="normaltextrun"/>
          <w:rFonts w:asciiTheme="minorHAnsi" w:hAnsiTheme="minorHAnsi" w:cstheme="minorHAnsi"/>
          <w:color w:val="212121"/>
          <w:sz w:val="22"/>
          <w:szCs w:val="22"/>
        </w:rPr>
        <w:t>Norman, R. E., Byambaa, M., De, R., Butchart, A., Scott, J., &amp; Vos, T. (2012) “The long-term health consequences of child physical abuse, emotional abuse, and neglect: a systematic review and meta-analysis.” </w:t>
      </w:r>
      <w:r w:rsidRPr="00F06D23">
        <w:rPr>
          <w:rStyle w:val="normaltextrun"/>
          <w:rFonts w:asciiTheme="minorHAnsi" w:hAnsiTheme="minorHAnsi" w:cstheme="minorHAnsi"/>
          <w:i/>
          <w:iCs/>
          <w:color w:val="212121"/>
          <w:sz w:val="22"/>
          <w:szCs w:val="22"/>
        </w:rPr>
        <w:t>PLoS medicine.</w:t>
      </w:r>
      <w:r w:rsidRPr="00F06D23">
        <w:rPr>
          <w:rStyle w:val="normaltextrun"/>
          <w:rFonts w:asciiTheme="minorHAnsi" w:hAnsiTheme="minorHAnsi" w:cstheme="minorHAnsi"/>
          <w:color w:val="212121"/>
          <w:sz w:val="22"/>
          <w:szCs w:val="22"/>
        </w:rPr>
        <w:t xml:space="preserve"> Vol. 9, issue 11. Available at: </w:t>
      </w:r>
      <w:hyperlink r:id="rId19" w:tgtFrame="_blank" w:history="1">
        <w:r w:rsidRPr="00F06D23">
          <w:rPr>
            <w:rStyle w:val="normaltextrun"/>
            <w:rFonts w:asciiTheme="minorHAnsi" w:hAnsiTheme="minorHAnsi" w:cstheme="minorHAnsi"/>
            <w:color w:val="0071BC"/>
            <w:sz w:val="22"/>
            <w:szCs w:val="22"/>
            <w:u w:val="single"/>
          </w:rPr>
          <w:t>10.1371/journal.pmed.1001349</w:t>
        </w:r>
      </w:hyperlink>
      <w:r w:rsidRPr="00F06D23">
        <w:rPr>
          <w:rStyle w:val="normaltextrun"/>
          <w:rFonts w:asciiTheme="minorHAnsi" w:hAnsiTheme="minorHAnsi" w:cstheme="minorHAnsi"/>
          <w:color w:val="212121"/>
          <w:sz w:val="22"/>
          <w:szCs w:val="22"/>
        </w:rPr>
        <w:t xml:space="preserve"> (accessed 23/11/2023)</w:t>
      </w:r>
      <w:r w:rsidRPr="00F06D23">
        <w:rPr>
          <w:rStyle w:val="eop"/>
          <w:rFonts w:asciiTheme="minorHAnsi" w:hAnsiTheme="minorHAnsi" w:cstheme="minorHAnsi"/>
          <w:color w:val="212121"/>
          <w:sz w:val="22"/>
          <w:szCs w:val="22"/>
          <w:lang w:val="en-US"/>
        </w:rPr>
        <w:t> </w:t>
      </w:r>
    </w:p>
    <w:p w14:paraId="31123D2F" w14:textId="77777777" w:rsidR="00612431" w:rsidRPr="00F06D23" w:rsidRDefault="00612431" w:rsidP="00612431">
      <w:pPr>
        <w:pStyle w:val="paragraph"/>
        <w:spacing w:before="0" w:beforeAutospacing="0" w:after="0" w:afterAutospacing="0"/>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rPr>
        <w:t xml:space="preserve">NSPCC (2019). </w:t>
      </w:r>
      <w:r w:rsidRPr="00F06D23">
        <w:rPr>
          <w:rStyle w:val="normaltextrun"/>
          <w:rFonts w:asciiTheme="minorHAnsi" w:hAnsiTheme="minorHAnsi" w:cstheme="minorHAnsi"/>
          <w:i/>
          <w:iCs/>
          <w:sz w:val="22"/>
          <w:szCs w:val="22"/>
        </w:rPr>
        <w:t xml:space="preserve">Looked after children. </w:t>
      </w:r>
      <w:r w:rsidRPr="00F06D23">
        <w:rPr>
          <w:rStyle w:val="normaltextrun"/>
          <w:rFonts w:asciiTheme="minorHAnsi" w:hAnsiTheme="minorHAnsi" w:cstheme="minorHAnsi"/>
          <w:sz w:val="22"/>
          <w:szCs w:val="22"/>
        </w:rPr>
        <w:t xml:space="preserve">Available at: </w:t>
      </w:r>
      <w:hyperlink r:id="rId20" w:anchor="article-top" w:tgtFrame="_blank" w:history="1">
        <w:r w:rsidRPr="00F06D23">
          <w:rPr>
            <w:rStyle w:val="normaltextrun"/>
            <w:rFonts w:asciiTheme="minorHAnsi" w:hAnsiTheme="minorHAnsi" w:cstheme="minorHAnsi"/>
            <w:color w:val="0563C1"/>
            <w:sz w:val="22"/>
            <w:szCs w:val="22"/>
            <w:u w:val="single"/>
          </w:rPr>
          <w:t>https://learning.nspcc.org.uk/children-and-families-at-risk/looked-after-children#article-top</w:t>
        </w:r>
      </w:hyperlink>
      <w:r w:rsidRPr="00F06D23">
        <w:rPr>
          <w:rStyle w:val="normaltextrun"/>
          <w:rFonts w:asciiTheme="minorHAnsi" w:hAnsiTheme="minorHAnsi" w:cstheme="minorHAnsi"/>
          <w:sz w:val="22"/>
          <w:szCs w:val="22"/>
        </w:rPr>
        <w:t>. (Accessed 8/12/2023).</w:t>
      </w:r>
      <w:r w:rsidRPr="00F06D23">
        <w:rPr>
          <w:rStyle w:val="eop"/>
          <w:rFonts w:asciiTheme="minorHAnsi" w:hAnsiTheme="minorHAnsi" w:cstheme="minorHAnsi"/>
          <w:sz w:val="22"/>
          <w:szCs w:val="22"/>
          <w:lang w:val="en-US"/>
        </w:rPr>
        <w:t> </w:t>
      </w:r>
    </w:p>
    <w:p w14:paraId="23C1F078" w14:textId="77777777" w:rsidR="00612431" w:rsidRPr="00F06D23" w:rsidRDefault="00612431" w:rsidP="00612431">
      <w:pPr>
        <w:pStyle w:val="paragraph"/>
        <w:spacing w:before="0" w:beforeAutospacing="0" w:after="0" w:afterAutospacing="0"/>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rPr>
        <w:lastRenderedPageBreak/>
        <w:t xml:space="preserve">Office for National Statistics (2020). </w:t>
      </w:r>
      <w:r w:rsidRPr="00F06D23">
        <w:rPr>
          <w:rStyle w:val="normaltextrun"/>
          <w:rFonts w:asciiTheme="minorHAnsi" w:hAnsiTheme="minorHAnsi" w:cstheme="minorHAnsi"/>
          <w:i/>
          <w:iCs/>
          <w:sz w:val="22"/>
          <w:szCs w:val="22"/>
        </w:rPr>
        <w:t>Child abuse in England and Wales March 2020. Available</w:t>
      </w:r>
      <w:r w:rsidRPr="00F06D23">
        <w:rPr>
          <w:rStyle w:val="normaltextrun"/>
          <w:rFonts w:asciiTheme="minorHAnsi" w:hAnsiTheme="minorHAnsi" w:cstheme="minorHAnsi"/>
          <w:sz w:val="22"/>
          <w:szCs w:val="22"/>
        </w:rPr>
        <w:t xml:space="preserve"> at: </w:t>
      </w:r>
      <w:hyperlink r:id="rId21" w:tgtFrame="_blank" w:history="1">
        <w:r w:rsidRPr="00F06D23">
          <w:rPr>
            <w:rStyle w:val="normaltextrun"/>
            <w:rFonts w:asciiTheme="minorHAnsi" w:hAnsiTheme="minorHAnsi" w:cstheme="minorHAnsi"/>
            <w:color w:val="0563C1"/>
            <w:sz w:val="22"/>
            <w:szCs w:val="22"/>
            <w:u w:val="single"/>
          </w:rPr>
          <w:t>https://www.ons.gov.uk/peoplepopulationandcommunity/crimeandjustice/bulletins/childabuseinenglandandwales/march2020</w:t>
        </w:r>
      </w:hyperlink>
      <w:r w:rsidRPr="00F06D23">
        <w:rPr>
          <w:rStyle w:val="normaltextrun"/>
          <w:rFonts w:asciiTheme="minorHAnsi" w:hAnsiTheme="minorHAnsi" w:cstheme="minorHAnsi"/>
          <w:sz w:val="22"/>
          <w:szCs w:val="22"/>
        </w:rPr>
        <w:t xml:space="preserve"> (Accessed 8/12/2023).</w:t>
      </w:r>
      <w:r w:rsidRPr="00F06D23">
        <w:rPr>
          <w:rStyle w:val="eop"/>
          <w:rFonts w:asciiTheme="minorHAnsi" w:hAnsiTheme="minorHAnsi" w:cstheme="minorHAnsi"/>
          <w:sz w:val="22"/>
          <w:szCs w:val="22"/>
          <w:lang w:val="en-US"/>
        </w:rPr>
        <w:t> </w:t>
      </w:r>
    </w:p>
    <w:p w14:paraId="6232EE81" w14:textId="77777777" w:rsidR="00612431" w:rsidRPr="00F06D23" w:rsidRDefault="00612431" w:rsidP="00612431">
      <w:pPr>
        <w:pStyle w:val="paragraph"/>
        <w:spacing w:before="0" w:beforeAutospacing="0" w:after="0" w:afterAutospacing="0"/>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rPr>
        <w:t xml:space="preserve">Office for national statistics (2022(1)) </w:t>
      </w:r>
      <w:r w:rsidRPr="00F06D23">
        <w:rPr>
          <w:rStyle w:val="normaltextrun"/>
          <w:rFonts w:asciiTheme="minorHAnsi" w:hAnsiTheme="minorHAnsi" w:cstheme="minorHAnsi"/>
          <w:i/>
          <w:iCs/>
          <w:sz w:val="22"/>
          <w:szCs w:val="22"/>
        </w:rPr>
        <w:t xml:space="preserve">The education background of looked-after children who interact with the criminal justice system: December 2022. Available at: </w:t>
      </w:r>
      <w:hyperlink r:id="rId22" w:tgtFrame="_blank" w:history="1">
        <w:r w:rsidRPr="00F06D23">
          <w:rPr>
            <w:rStyle w:val="normaltextrun"/>
            <w:rFonts w:asciiTheme="minorHAnsi" w:hAnsiTheme="minorHAnsi" w:cstheme="minorHAnsi"/>
            <w:color w:val="0563C1"/>
            <w:sz w:val="22"/>
            <w:szCs w:val="22"/>
            <w:u w:val="single"/>
          </w:rPr>
          <w:t>The education background of looked-after children who interact with the criminal justice system - Office for National Statistics (ons.gov.uk)</w:t>
        </w:r>
      </w:hyperlink>
      <w:r w:rsidRPr="00F06D23">
        <w:rPr>
          <w:rStyle w:val="normaltextrun"/>
          <w:rFonts w:asciiTheme="minorHAnsi" w:hAnsiTheme="minorHAnsi" w:cstheme="minorHAnsi"/>
          <w:sz w:val="22"/>
          <w:szCs w:val="22"/>
        </w:rPr>
        <w:t xml:space="preserve"> (Accessed 15/10/2023).</w:t>
      </w:r>
      <w:r w:rsidRPr="00F06D23">
        <w:rPr>
          <w:rStyle w:val="eop"/>
          <w:rFonts w:asciiTheme="minorHAnsi" w:hAnsiTheme="minorHAnsi" w:cstheme="minorHAnsi"/>
          <w:sz w:val="22"/>
          <w:szCs w:val="22"/>
          <w:lang w:val="en-US"/>
        </w:rPr>
        <w:t> </w:t>
      </w:r>
    </w:p>
    <w:p w14:paraId="56F4AC92" w14:textId="77777777" w:rsidR="00612431" w:rsidRPr="00F06D23" w:rsidRDefault="00612431" w:rsidP="00612431">
      <w:pPr>
        <w:pStyle w:val="paragraph"/>
        <w:spacing w:before="0" w:beforeAutospacing="0" w:after="0" w:afterAutospacing="0"/>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rPr>
        <w:t xml:space="preserve">Office for national statistics (2022(2)) </w:t>
      </w:r>
      <w:r w:rsidRPr="00F06D23">
        <w:rPr>
          <w:rStyle w:val="normaltextrun"/>
          <w:rFonts w:asciiTheme="minorHAnsi" w:hAnsiTheme="minorHAnsi" w:cstheme="minorHAnsi"/>
          <w:i/>
          <w:iCs/>
          <w:sz w:val="22"/>
          <w:szCs w:val="22"/>
        </w:rPr>
        <w:t xml:space="preserve">Children looked after in England including adoptions. </w:t>
      </w:r>
      <w:r w:rsidRPr="00F06D23">
        <w:rPr>
          <w:rStyle w:val="normaltextrun"/>
          <w:rFonts w:asciiTheme="minorHAnsi" w:hAnsiTheme="minorHAnsi" w:cstheme="minorHAnsi"/>
          <w:sz w:val="22"/>
          <w:szCs w:val="22"/>
        </w:rPr>
        <w:t xml:space="preserve">Available at: </w:t>
      </w:r>
      <w:hyperlink r:id="rId23" w:tgtFrame="_blank" w:history="1">
        <w:r w:rsidRPr="00F06D23">
          <w:rPr>
            <w:rStyle w:val="normaltextrun"/>
            <w:rFonts w:asciiTheme="minorHAnsi" w:hAnsiTheme="minorHAnsi" w:cstheme="minorHAnsi"/>
            <w:color w:val="0563C1"/>
            <w:sz w:val="22"/>
            <w:szCs w:val="22"/>
            <w:u w:val="single"/>
          </w:rPr>
          <w:t>Children looked after in England including adoptions, Reporting year 2022 – Explore education statistics – GOV.UK (explore-education-statistics.service.gov.uk)</w:t>
        </w:r>
      </w:hyperlink>
      <w:r w:rsidRPr="00F06D23">
        <w:rPr>
          <w:rStyle w:val="normaltextrun"/>
          <w:rFonts w:asciiTheme="minorHAnsi" w:hAnsiTheme="minorHAnsi" w:cstheme="minorHAnsi"/>
          <w:color w:val="0563C1"/>
          <w:sz w:val="22"/>
          <w:szCs w:val="22"/>
          <w:u w:val="single"/>
        </w:rPr>
        <w:t xml:space="preserve"> (</w:t>
      </w:r>
      <w:r w:rsidRPr="00F06D23">
        <w:rPr>
          <w:rStyle w:val="normaltextrun"/>
          <w:rFonts w:asciiTheme="minorHAnsi" w:hAnsiTheme="minorHAnsi" w:cstheme="minorHAnsi"/>
          <w:sz w:val="22"/>
          <w:szCs w:val="22"/>
        </w:rPr>
        <w:t>Accessed 15/10/2023).</w:t>
      </w:r>
      <w:r w:rsidRPr="00F06D23">
        <w:rPr>
          <w:rStyle w:val="eop"/>
          <w:rFonts w:asciiTheme="minorHAnsi" w:hAnsiTheme="minorHAnsi" w:cstheme="minorHAnsi"/>
          <w:sz w:val="22"/>
          <w:szCs w:val="22"/>
          <w:lang w:val="en-US"/>
        </w:rPr>
        <w:t> </w:t>
      </w:r>
    </w:p>
    <w:p w14:paraId="038D317D" w14:textId="77777777" w:rsidR="00612431" w:rsidRPr="00F06D23" w:rsidRDefault="00612431" w:rsidP="00612431">
      <w:pPr>
        <w:pStyle w:val="paragraph"/>
        <w:spacing w:before="0" w:beforeAutospacing="0" w:after="0" w:afterAutospacing="0"/>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rPr>
        <w:t xml:space="preserve">Prison Reform Trust (2016) </w:t>
      </w:r>
      <w:r w:rsidRPr="00F06D23">
        <w:rPr>
          <w:rStyle w:val="normaltextrun"/>
          <w:rFonts w:asciiTheme="minorHAnsi" w:hAnsiTheme="minorHAnsi" w:cstheme="minorHAnsi"/>
          <w:i/>
          <w:iCs/>
          <w:sz w:val="22"/>
          <w:szCs w:val="22"/>
        </w:rPr>
        <w:t>Too many children in care ending up behind bars.</w:t>
      </w:r>
      <w:r w:rsidRPr="00F06D23">
        <w:rPr>
          <w:rStyle w:val="normaltextrun"/>
          <w:rFonts w:asciiTheme="minorHAnsi" w:hAnsiTheme="minorHAnsi" w:cstheme="minorHAnsi"/>
          <w:sz w:val="22"/>
          <w:szCs w:val="22"/>
        </w:rPr>
        <w:t xml:space="preserve"> Available at: </w:t>
      </w:r>
      <w:hyperlink r:id="rId24" w:tgtFrame="_blank" w:history="1">
        <w:r w:rsidRPr="00F06D23">
          <w:rPr>
            <w:rStyle w:val="normaltextrun"/>
            <w:rFonts w:asciiTheme="minorHAnsi" w:hAnsiTheme="minorHAnsi" w:cstheme="minorHAnsi"/>
            <w:color w:val="0563C1"/>
            <w:sz w:val="22"/>
            <w:szCs w:val="22"/>
            <w:u w:val="single"/>
          </w:rPr>
          <w:t>Too many children in care ending up behind bars | Prison Reform Trust</w:t>
        </w:r>
      </w:hyperlink>
      <w:r w:rsidRPr="00F06D23">
        <w:rPr>
          <w:rStyle w:val="normaltextrun"/>
          <w:rFonts w:asciiTheme="minorHAnsi" w:hAnsiTheme="minorHAnsi" w:cstheme="minorHAnsi"/>
          <w:sz w:val="22"/>
          <w:szCs w:val="22"/>
        </w:rPr>
        <w:t xml:space="preserve"> (accessed 08/12/2023)</w:t>
      </w:r>
      <w:r w:rsidRPr="00F06D23">
        <w:rPr>
          <w:rStyle w:val="eop"/>
          <w:rFonts w:asciiTheme="minorHAnsi" w:hAnsiTheme="minorHAnsi" w:cstheme="minorHAnsi"/>
          <w:sz w:val="22"/>
          <w:szCs w:val="22"/>
          <w:lang w:val="en-US"/>
        </w:rPr>
        <w:t> </w:t>
      </w:r>
    </w:p>
    <w:p w14:paraId="5AB030B8" w14:textId="77777777" w:rsidR="00612431" w:rsidRPr="00F06D23" w:rsidRDefault="00612431" w:rsidP="00612431">
      <w:pPr>
        <w:pStyle w:val="paragraph"/>
        <w:spacing w:before="0" w:beforeAutospacing="0" w:after="0" w:afterAutospacing="0"/>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rPr>
        <w:t xml:space="preserve">Scottish Government (2023). </w:t>
      </w:r>
      <w:r w:rsidRPr="00F06D23">
        <w:rPr>
          <w:rStyle w:val="normaltextrun"/>
          <w:rFonts w:asciiTheme="minorHAnsi" w:hAnsiTheme="minorHAnsi" w:cstheme="minorHAnsi"/>
          <w:i/>
          <w:iCs/>
          <w:sz w:val="22"/>
          <w:szCs w:val="22"/>
        </w:rPr>
        <w:t>UNDERSTANDING CHILDHOOD ADVERSITY, RESILIENCE AND CRIME.</w:t>
      </w:r>
      <w:r w:rsidRPr="00F06D23">
        <w:rPr>
          <w:rStyle w:val="normaltextrun"/>
          <w:rFonts w:asciiTheme="minorHAnsi" w:hAnsiTheme="minorHAnsi" w:cstheme="minorHAnsi"/>
          <w:sz w:val="22"/>
          <w:szCs w:val="22"/>
        </w:rPr>
        <w:t xml:space="preserve"> Available at: </w:t>
      </w:r>
      <w:hyperlink r:id="rId25" w:tgtFrame="_blank" w:history="1">
        <w:r w:rsidRPr="00F06D23">
          <w:rPr>
            <w:rStyle w:val="normaltextrun"/>
            <w:rFonts w:asciiTheme="minorHAnsi" w:hAnsiTheme="minorHAnsi" w:cstheme="minorHAnsi"/>
            <w:color w:val="0563C1"/>
            <w:sz w:val="22"/>
            <w:szCs w:val="22"/>
            <w:u w:val="single"/>
          </w:rPr>
          <w:t>https://www.gov.scot/binaries/content/documents/govscot/publications/research-and-analysis/2018/05/understanding-childhood-adversity-resilience-crime/documents/00535550-pdf/00535550-pdf/govscot%3Adocument/00535550.pdf</w:t>
        </w:r>
      </w:hyperlink>
      <w:r w:rsidRPr="00F06D23">
        <w:rPr>
          <w:rStyle w:val="normaltextrun"/>
          <w:rFonts w:asciiTheme="minorHAnsi" w:hAnsiTheme="minorHAnsi" w:cstheme="minorHAnsi"/>
          <w:sz w:val="22"/>
          <w:szCs w:val="22"/>
        </w:rPr>
        <w:t>. (Accessed 6/12/2023).</w:t>
      </w:r>
      <w:r w:rsidRPr="00F06D23">
        <w:rPr>
          <w:rStyle w:val="eop"/>
          <w:rFonts w:asciiTheme="minorHAnsi" w:hAnsiTheme="minorHAnsi" w:cstheme="minorHAnsi"/>
          <w:sz w:val="22"/>
          <w:szCs w:val="22"/>
          <w:lang w:val="en-US"/>
        </w:rPr>
        <w:t> </w:t>
      </w:r>
    </w:p>
    <w:p w14:paraId="3449F868" w14:textId="77777777" w:rsidR="00612431" w:rsidRPr="00F06D23" w:rsidRDefault="00612431" w:rsidP="00612431">
      <w:pPr>
        <w:pStyle w:val="paragraph"/>
        <w:spacing w:before="0" w:beforeAutospacing="0" w:after="0" w:afterAutospacing="0"/>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rPr>
        <w:t xml:space="preserve">Tung, I. Noroña-Zhou, A. Lee, S. (2018). ‘Childhood maltreatment affects adolescent sensitivity to parenting and close friendships in predicting growth in externalizing behaviour’. </w:t>
      </w:r>
      <w:r w:rsidRPr="00F06D23">
        <w:rPr>
          <w:rStyle w:val="normaltextrun"/>
          <w:rFonts w:asciiTheme="minorHAnsi" w:hAnsiTheme="minorHAnsi" w:cstheme="minorHAnsi"/>
          <w:i/>
          <w:iCs/>
          <w:sz w:val="22"/>
          <w:szCs w:val="22"/>
        </w:rPr>
        <w:t>Development and Psychopathology</w:t>
      </w:r>
      <w:r w:rsidRPr="00F06D23">
        <w:rPr>
          <w:rStyle w:val="normaltextrun"/>
          <w:rFonts w:asciiTheme="minorHAnsi" w:hAnsiTheme="minorHAnsi" w:cstheme="minorHAnsi"/>
          <w:sz w:val="22"/>
          <w:szCs w:val="22"/>
        </w:rPr>
        <w:t xml:space="preserve">. </w:t>
      </w:r>
      <w:r w:rsidRPr="00F06D23">
        <w:rPr>
          <w:rStyle w:val="normaltextrun"/>
          <w:rFonts w:asciiTheme="minorHAnsi" w:hAnsiTheme="minorHAnsi" w:cstheme="minorHAnsi"/>
          <w:color w:val="555555"/>
          <w:sz w:val="22"/>
          <w:szCs w:val="22"/>
        </w:rPr>
        <w:t xml:space="preserve">31(4):1-17. Available at: </w:t>
      </w:r>
      <w:hyperlink r:id="rId26" w:tgtFrame="_blank" w:history="1">
        <w:r w:rsidRPr="00F06D23">
          <w:rPr>
            <w:rStyle w:val="normaltextrun"/>
            <w:rFonts w:asciiTheme="minorHAnsi" w:hAnsiTheme="minorHAnsi" w:cstheme="minorHAnsi"/>
            <w:color w:val="0563C1"/>
            <w:sz w:val="22"/>
            <w:szCs w:val="22"/>
            <w:u w:val="single"/>
          </w:rPr>
          <w:t>(PDF) Childhood maltreatment affects adolescent sensitivity to parenting and close friendships in predicting growth in externalizing behavior (researchgate.net)</w:t>
        </w:r>
      </w:hyperlink>
      <w:r w:rsidRPr="00F06D23">
        <w:rPr>
          <w:rStyle w:val="normaltextrun"/>
          <w:rFonts w:asciiTheme="minorHAnsi" w:hAnsiTheme="minorHAnsi" w:cstheme="minorHAnsi"/>
          <w:sz w:val="22"/>
          <w:szCs w:val="22"/>
        </w:rPr>
        <w:t xml:space="preserve"> (accessed 08/12/2023)</w:t>
      </w:r>
      <w:r w:rsidRPr="00F06D23">
        <w:rPr>
          <w:rStyle w:val="eop"/>
          <w:rFonts w:asciiTheme="minorHAnsi" w:hAnsiTheme="minorHAnsi" w:cstheme="minorHAnsi"/>
          <w:sz w:val="22"/>
          <w:szCs w:val="22"/>
          <w:lang w:val="en-US"/>
        </w:rPr>
        <w:t> </w:t>
      </w:r>
    </w:p>
    <w:p w14:paraId="14CB8766" w14:textId="77777777" w:rsidR="00612431" w:rsidRPr="00F06D23" w:rsidRDefault="00612431" w:rsidP="00612431">
      <w:pPr>
        <w:pStyle w:val="paragraph"/>
        <w:spacing w:before="0" w:beforeAutospacing="0" w:after="0" w:afterAutospacing="0"/>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rPr>
        <w:t xml:space="preserve">Vaswani, N (2018) </w:t>
      </w:r>
      <w:r w:rsidRPr="00F06D23">
        <w:rPr>
          <w:rStyle w:val="normaltextrun"/>
          <w:rFonts w:asciiTheme="minorHAnsi" w:hAnsiTheme="minorHAnsi" w:cstheme="minorHAnsi"/>
          <w:i/>
          <w:iCs/>
          <w:sz w:val="22"/>
          <w:szCs w:val="22"/>
        </w:rPr>
        <w:t xml:space="preserve">Adverse Childhood Experiences in children at high risk of harm to others. A gendered perspective. </w:t>
      </w:r>
      <w:r w:rsidRPr="00F06D23">
        <w:rPr>
          <w:rStyle w:val="normaltextrun"/>
          <w:rFonts w:asciiTheme="minorHAnsi" w:hAnsiTheme="minorHAnsi" w:cstheme="minorHAnsi"/>
          <w:sz w:val="22"/>
          <w:szCs w:val="22"/>
        </w:rPr>
        <w:t xml:space="preserve">Available at: </w:t>
      </w:r>
      <w:hyperlink r:id="rId27" w:tgtFrame="_blank" w:history="1">
        <w:r w:rsidRPr="00F06D23">
          <w:rPr>
            <w:rStyle w:val="normaltextrun"/>
            <w:rFonts w:asciiTheme="minorHAnsi" w:hAnsiTheme="minorHAnsi" w:cstheme="minorHAnsi"/>
            <w:color w:val="0563C1"/>
            <w:sz w:val="22"/>
            <w:szCs w:val="22"/>
            <w:u w:val="single"/>
          </w:rPr>
          <w:t>https://cycj.org.uk/wp-content/uploads/2018/08/Adverse-Childhood-Experiences-in-high-risk_CYCJ-_Final-Version-proofed.pdf</w:t>
        </w:r>
      </w:hyperlink>
      <w:r w:rsidRPr="00F06D23">
        <w:rPr>
          <w:rStyle w:val="normaltextrun"/>
          <w:rFonts w:asciiTheme="minorHAnsi" w:hAnsiTheme="minorHAnsi" w:cstheme="minorHAnsi"/>
          <w:sz w:val="22"/>
          <w:szCs w:val="22"/>
        </w:rPr>
        <w:t xml:space="preserve"> (accessed 07/12/2023)</w:t>
      </w:r>
      <w:r w:rsidRPr="00F06D23">
        <w:rPr>
          <w:rStyle w:val="eop"/>
          <w:rFonts w:asciiTheme="minorHAnsi" w:hAnsiTheme="minorHAnsi" w:cstheme="minorHAnsi"/>
          <w:sz w:val="22"/>
          <w:szCs w:val="22"/>
          <w:lang w:val="en-US"/>
        </w:rPr>
        <w:t> </w:t>
      </w:r>
    </w:p>
    <w:p w14:paraId="5F1610D2" w14:textId="77777777" w:rsidR="00612431" w:rsidRPr="00F06D23" w:rsidRDefault="00612431" w:rsidP="00612431">
      <w:pPr>
        <w:pStyle w:val="paragraph"/>
        <w:spacing w:before="0" w:beforeAutospacing="0" w:after="0" w:afterAutospacing="0"/>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rPr>
        <w:t xml:space="preserve">Violence Protection Unit (2023). </w:t>
      </w:r>
      <w:r w:rsidRPr="00F06D23">
        <w:rPr>
          <w:rStyle w:val="normaltextrun"/>
          <w:rFonts w:asciiTheme="minorHAnsi" w:hAnsiTheme="minorHAnsi" w:cstheme="minorHAnsi"/>
          <w:i/>
          <w:iCs/>
          <w:sz w:val="22"/>
          <w:szCs w:val="22"/>
        </w:rPr>
        <w:t>Adverse Childhood Experiences (ACEs).</w:t>
      </w:r>
      <w:r w:rsidRPr="00F06D23">
        <w:rPr>
          <w:rStyle w:val="normaltextrun"/>
          <w:rFonts w:asciiTheme="minorHAnsi" w:hAnsiTheme="minorHAnsi" w:cstheme="minorHAnsi"/>
          <w:sz w:val="22"/>
          <w:szCs w:val="22"/>
        </w:rPr>
        <w:t xml:space="preserve"> Available at: </w:t>
      </w:r>
      <w:hyperlink r:id="rId28" w:tgtFrame="_blank" w:history="1">
        <w:r w:rsidRPr="00F06D23">
          <w:rPr>
            <w:rStyle w:val="normaltextrun"/>
            <w:rFonts w:asciiTheme="minorHAnsi" w:hAnsiTheme="minorHAnsi" w:cstheme="minorHAnsi"/>
            <w:color w:val="0563C1"/>
            <w:sz w:val="22"/>
            <w:szCs w:val="22"/>
            <w:u w:val="single"/>
          </w:rPr>
          <w:t>https://www.violencepreventionwales.co.uk/research-evidence/adverse-childhood-experiences-aces</w:t>
        </w:r>
      </w:hyperlink>
      <w:r w:rsidRPr="00F06D23">
        <w:rPr>
          <w:rStyle w:val="normaltextrun"/>
          <w:rFonts w:asciiTheme="minorHAnsi" w:hAnsiTheme="minorHAnsi" w:cstheme="minorHAnsi"/>
          <w:sz w:val="22"/>
          <w:szCs w:val="22"/>
        </w:rPr>
        <w:t xml:space="preserve"> (Accessed 3/12/2023).</w:t>
      </w:r>
      <w:r w:rsidRPr="00F06D23">
        <w:rPr>
          <w:rStyle w:val="eop"/>
          <w:rFonts w:asciiTheme="minorHAnsi" w:hAnsiTheme="minorHAnsi" w:cstheme="minorHAnsi"/>
          <w:sz w:val="22"/>
          <w:szCs w:val="22"/>
          <w:lang w:val="en-US"/>
        </w:rPr>
        <w:t> </w:t>
      </w:r>
    </w:p>
    <w:p w14:paraId="2BDD7456" w14:textId="60ADBAC9" w:rsidR="00A43774" w:rsidRPr="002F2FC4" w:rsidRDefault="00612431" w:rsidP="002F2FC4">
      <w:pPr>
        <w:pStyle w:val="paragraph"/>
        <w:spacing w:before="0" w:beforeAutospacing="0" w:after="0" w:afterAutospacing="0"/>
        <w:textAlignment w:val="baseline"/>
        <w:rPr>
          <w:rFonts w:asciiTheme="minorHAnsi" w:hAnsiTheme="minorHAnsi" w:cstheme="minorHAnsi"/>
          <w:sz w:val="22"/>
          <w:szCs w:val="22"/>
          <w:lang w:val="en-US"/>
        </w:rPr>
      </w:pPr>
      <w:r w:rsidRPr="00F06D23">
        <w:rPr>
          <w:rStyle w:val="normaltextrun"/>
          <w:rFonts w:asciiTheme="minorHAnsi" w:hAnsiTheme="minorHAnsi" w:cstheme="minorHAnsi"/>
          <w:sz w:val="22"/>
          <w:szCs w:val="22"/>
        </w:rPr>
        <w:t xml:space="preserve">Zwozdiak-Myers, P (2007). </w:t>
      </w:r>
      <w:r w:rsidRPr="00F06D23">
        <w:rPr>
          <w:rStyle w:val="normaltextrun"/>
          <w:rFonts w:asciiTheme="minorHAnsi" w:hAnsiTheme="minorHAnsi" w:cstheme="minorHAnsi"/>
          <w:i/>
          <w:iCs/>
          <w:sz w:val="22"/>
          <w:szCs w:val="22"/>
        </w:rPr>
        <w:t xml:space="preserve">Childhood and Youth Studies. </w:t>
      </w:r>
      <w:r w:rsidRPr="00F06D23">
        <w:rPr>
          <w:rStyle w:val="normaltextrun"/>
          <w:rFonts w:asciiTheme="minorHAnsi" w:hAnsiTheme="minorHAnsi" w:cstheme="minorHAnsi"/>
          <w:sz w:val="22"/>
          <w:szCs w:val="22"/>
        </w:rPr>
        <w:t>Exeter: Learning Matters Ltd.</w:t>
      </w:r>
      <w:r w:rsidRPr="00F06D23">
        <w:rPr>
          <w:rStyle w:val="eop"/>
          <w:rFonts w:asciiTheme="minorHAnsi" w:hAnsiTheme="minorHAnsi" w:cstheme="minorHAnsi"/>
          <w:sz w:val="22"/>
          <w:szCs w:val="22"/>
          <w:lang w:val="en-US"/>
        </w:rPr>
        <w:t> </w:t>
      </w:r>
    </w:p>
    <w:sectPr w:rsidR="00A43774" w:rsidRPr="002F2F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93E81"/>
    <w:multiLevelType w:val="multilevel"/>
    <w:tmpl w:val="4CF48A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CE7178"/>
    <w:multiLevelType w:val="hybridMultilevel"/>
    <w:tmpl w:val="C81C507C"/>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 w15:restartNumberingAfterBreak="0">
    <w:nsid w:val="13A30C90"/>
    <w:multiLevelType w:val="multilevel"/>
    <w:tmpl w:val="4F9A5C7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59497F"/>
    <w:multiLevelType w:val="multilevel"/>
    <w:tmpl w:val="BBC069F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8A1466"/>
    <w:multiLevelType w:val="multilevel"/>
    <w:tmpl w:val="88767FB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9354BC"/>
    <w:multiLevelType w:val="multilevel"/>
    <w:tmpl w:val="0AD6F9E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BC698F"/>
    <w:multiLevelType w:val="multilevel"/>
    <w:tmpl w:val="DC14ADD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017A6B"/>
    <w:multiLevelType w:val="hybridMultilevel"/>
    <w:tmpl w:val="4EEAC0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272D6F"/>
    <w:multiLevelType w:val="multilevel"/>
    <w:tmpl w:val="898A1580"/>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E0486A"/>
    <w:multiLevelType w:val="multilevel"/>
    <w:tmpl w:val="B330E0F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E74D79"/>
    <w:multiLevelType w:val="multilevel"/>
    <w:tmpl w:val="A9965538"/>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8750D4"/>
    <w:multiLevelType w:val="multilevel"/>
    <w:tmpl w:val="1792BC68"/>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065C6B"/>
    <w:multiLevelType w:val="multilevel"/>
    <w:tmpl w:val="98CC370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704D0F"/>
    <w:multiLevelType w:val="multilevel"/>
    <w:tmpl w:val="EDB2628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E206BC0"/>
    <w:multiLevelType w:val="multilevel"/>
    <w:tmpl w:val="EC30A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7147262"/>
    <w:multiLevelType w:val="multilevel"/>
    <w:tmpl w:val="EA18426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844873"/>
    <w:multiLevelType w:val="hybridMultilevel"/>
    <w:tmpl w:val="6DF4B718"/>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7" w15:restartNumberingAfterBreak="0">
    <w:nsid w:val="60124EC5"/>
    <w:multiLevelType w:val="multilevel"/>
    <w:tmpl w:val="4BB6FEFA"/>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0864A34"/>
    <w:multiLevelType w:val="multilevel"/>
    <w:tmpl w:val="DEA272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2691509"/>
    <w:multiLevelType w:val="hybridMultilevel"/>
    <w:tmpl w:val="564287FE"/>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9A69D3"/>
    <w:multiLevelType w:val="multilevel"/>
    <w:tmpl w:val="35DCBC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DB1A9C"/>
    <w:multiLevelType w:val="hybridMultilevel"/>
    <w:tmpl w:val="212AA6DC"/>
    <w:lvl w:ilvl="0" w:tplc="0809000F">
      <w:start w:val="1"/>
      <w:numFmt w:val="decimal"/>
      <w:lvlText w:val="%1."/>
      <w:lvlJc w:val="left"/>
      <w:pPr>
        <w:ind w:left="720" w:hanging="360"/>
      </w:pPr>
    </w:lvl>
    <w:lvl w:ilvl="1" w:tplc="08090019">
      <w:start w:val="1"/>
      <w:numFmt w:val="lowerLetter"/>
      <w:lvlText w:val="%2."/>
      <w:lvlJc w:val="left"/>
      <w:pPr>
        <w:ind w:left="36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DE0C2D"/>
    <w:multiLevelType w:val="multilevel"/>
    <w:tmpl w:val="7B9EFCE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AF5749A"/>
    <w:multiLevelType w:val="multilevel"/>
    <w:tmpl w:val="2C3A07A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E6C02CB"/>
    <w:multiLevelType w:val="multilevel"/>
    <w:tmpl w:val="9DF41700"/>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EB6050A"/>
    <w:multiLevelType w:val="multilevel"/>
    <w:tmpl w:val="26D6262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383601"/>
    <w:multiLevelType w:val="multilevel"/>
    <w:tmpl w:val="133C442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2E452E9"/>
    <w:multiLevelType w:val="multilevel"/>
    <w:tmpl w:val="1C786CF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6557E62"/>
    <w:multiLevelType w:val="multilevel"/>
    <w:tmpl w:val="A2A8A2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90E59DD"/>
    <w:multiLevelType w:val="multilevel"/>
    <w:tmpl w:val="7C32053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A6556C3"/>
    <w:multiLevelType w:val="multilevel"/>
    <w:tmpl w:val="A08473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AB302A8"/>
    <w:multiLevelType w:val="multilevel"/>
    <w:tmpl w:val="3946C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DD3224"/>
    <w:multiLevelType w:val="hybridMultilevel"/>
    <w:tmpl w:val="97BA3E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1436439">
    <w:abstractNumId w:val="7"/>
  </w:num>
  <w:num w:numId="2" w16cid:durableId="122625656">
    <w:abstractNumId w:val="1"/>
  </w:num>
  <w:num w:numId="3" w16cid:durableId="62146374">
    <w:abstractNumId w:val="32"/>
  </w:num>
  <w:num w:numId="4" w16cid:durableId="1886983363">
    <w:abstractNumId w:val="31"/>
  </w:num>
  <w:num w:numId="5" w16cid:durableId="1233465388">
    <w:abstractNumId w:val="14"/>
  </w:num>
  <w:num w:numId="6" w16cid:durableId="461581341">
    <w:abstractNumId w:val="0"/>
  </w:num>
  <w:num w:numId="7" w16cid:durableId="150946211">
    <w:abstractNumId w:val="20"/>
  </w:num>
  <w:num w:numId="8" w16cid:durableId="323630842">
    <w:abstractNumId w:val="18"/>
  </w:num>
  <w:num w:numId="9" w16cid:durableId="1851724973">
    <w:abstractNumId w:val="30"/>
  </w:num>
  <w:num w:numId="10" w16cid:durableId="467747352">
    <w:abstractNumId w:val="28"/>
  </w:num>
  <w:num w:numId="11" w16cid:durableId="1784184126">
    <w:abstractNumId w:val="9"/>
  </w:num>
  <w:num w:numId="12" w16cid:durableId="1609388802">
    <w:abstractNumId w:val="6"/>
  </w:num>
  <w:num w:numId="13" w16cid:durableId="851260761">
    <w:abstractNumId w:val="3"/>
  </w:num>
  <w:num w:numId="14" w16cid:durableId="684595960">
    <w:abstractNumId w:val="26"/>
  </w:num>
  <w:num w:numId="15" w16cid:durableId="1681547878">
    <w:abstractNumId w:val="2"/>
  </w:num>
  <w:num w:numId="16" w16cid:durableId="2047752576">
    <w:abstractNumId w:val="23"/>
  </w:num>
  <w:num w:numId="17" w16cid:durableId="1581402475">
    <w:abstractNumId w:val="27"/>
  </w:num>
  <w:num w:numId="18" w16cid:durableId="771438337">
    <w:abstractNumId w:val="12"/>
  </w:num>
  <w:num w:numId="19" w16cid:durableId="725186193">
    <w:abstractNumId w:val="13"/>
  </w:num>
  <w:num w:numId="20" w16cid:durableId="647129969">
    <w:abstractNumId w:val="4"/>
  </w:num>
  <w:num w:numId="21" w16cid:durableId="630016093">
    <w:abstractNumId w:val="8"/>
  </w:num>
  <w:num w:numId="22" w16cid:durableId="1314675987">
    <w:abstractNumId w:val="25"/>
  </w:num>
  <w:num w:numId="23" w16cid:durableId="2128117358">
    <w:abstractNumId w:val="5"/>
  </w:num>
  <w:num w:numId="24" w16cid:durableId="1378552564">
    <w:abstractNumId w:val="15"/>
  </w:num>
  <w:num w:numId="25" w16cid:durableId="902838488">
    <w:abstractNumId w:val="22"/>
  </w:num>
  <w:num w:numId="26" w16cid:durableId="1268806918">
    <w:abstractNumId w:val="10"/>
  </w:num>
  <w:num w:numId="27" w16cid:durableId="461774009">
    <w:abstractNumId w:val="29"/>
  </w:num>
  <w:num w:numId="28" w16cid:durableId="696154763">
    <w:abstractNumId w:val="17"/>
  </w:num>
  <w:num w:numId="29" w16cid:durableId="1264994151">
    <w:abstractNumId w:val="11"/>
  </w:num>
  <w:num w:numId="30" w16cid:durableId="1794324066">
    <w:abstractNumId w:val="24"/>
  </w:num>
  <w:num w:numId="31" w16cid:durableId="206451196">
    <w:abstractNumId w:val="16"/>
  </w:num>
  <w:num w:numId="32" w16cid:durableId="58677613">
    <w:abstractNumId w:val="21"/>
  </w:num>
  <w:num w:numId="33" w16cid:durableId="1916986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6A3"/>
    <w:rsid w:val="0000614E"/>
    <w:rsid w:val="000170C6"/>
    <w:rsid w:val="00073F66"/>
    <w:rsid w:val="00082E4C"/>
    <w:rsid w:val="000879E4"/>
    <w:rsid w:val="00096E6F"/>
    <w:rsid w:val="000A397E"/>
    <w:rsid w:val="000A45B8"/>
    <w:rsid w:val="000D2F44"/>
    <w:rsid w:val="000F0BCF"/>
    <w:rsid w:val="00111A5A"/>
    <w:rsid w:val="0014134A"/>
    <w:rsid w:val="00153BCA"/>
    <w:rsid w:val="001766A5"/>
    <w:rsid w:val="0018265E"/>
    <w:rsid w:val="001E64E3"/>
    <w:rsid w:val="00203B3B"/>
    <w:rsid w:val="00216D29"/>
    <w:rsid w:val="00256244"/>
    <w:rsid w:val="002562C3"/>
    <w:rsid w:val="002601BF"/>
    <w:rsid w:val="00260283"/>
    <w:rsid w:val="002A7A26"/>
    <w:rsid w:val="002B1F02"/>
    <w:rsid w:val="002C02EE"/>
    <w:rsid w:val="002C2580"/>
    <w:rsid w:val="002D4D9F"/>
    <w:rsid w:val="002E0B8A"/>
    <w:rsid w:val="002F2FC4"/>
    <w:rsid w:val="002F37CA"/>
    <w:rsid w:val="00320B1C"/>
    <w:rsid w:val="00365860"/>
    <w:rsid w:val="00382323"/>
    <w:rsid w:val="003B715C"/>
    <w:rsid w:val="003D5DA2"/>
    <w:rsid w:val="004269E9"/>
    <w:rsid w:val="00434777"/>
    <w:rsid w:val="00496277"/>
    <w:rsid w:val="004B6C75"/>
    <w:rsid w:val="004D158C"/>
    <w:rsid w:val="005333B4"/>
    <w:rsid w:val="005B3D12"/>
    <w:rsid w:val="005C0304"/>
    <w:rsid w:val="005C5EC2"/>
    <w:rsid w:val="005D30CF"/>
    <w:rsid w:val="00612431"/>
    <w:rsid w:val="00647B8C"/>
    <w:rsid w:val="006571BD"/>
    <w:rsid w:val="006636CB"/>
    <w:rsid w:val="006E7E51"/>
    <w:rsid w:val="007435A7"/>
    <w:rsid w:val="007458E2"/>
    <w:rsid w:val="007B330A"/>
    <w:rsid w:val="00826715"/>
    <w:rsid w:val="00832568"/>
    <w:rsid w:val="00861D46"/>
    <w:rsid w:val="00865263"/>
    <w:rsid w:val="008D137D"/>
    <w:rsid w:val="008D61F8"/>
    <w:rsid w:val="008E288D"/>
    <w:rsid w:val="009100E3"/>
    <w:rsid w:val="00990B14"/>
    <w:rsid w:val="00997116"/>
    <w:rsid w:val="00997A36"/>
    <w:rsid w:val="009A21F4"/>
    <w:rsid w:val="009D5646"/>
    <w:rsid w:val="009D69B6"/>
    <w:rsid w:val="009E4942"/>
    <w:rsid w:val="009F00A4"/>
    <w:rsid w:val="00A43774"/>
    <w:rsid w:val="00A91E9E"/>
    <w:rsid w:val="00A96FE3"/>
    <w:rsid w:val="00AB1A35"/>
    <w:rsid w:val="00AD07D2"/>
    <w:rsid w:val="00B535FB"/>
    <w:rsid w:val="00B716A3"/>
    <w:rsid w:val="00BA6490"/>
    <w:rsid w:val="00BE1369"/>
    <w:rsid w:val="00C01AA6"/>
    <w:rsid w:val="00C8418E"/>
    <w:rsid w:val="00CF3EE2"/>
    <w:rsid w:val="00D040A0"/>
    <w:rsid w:val="00D122FB"/>
    <w:rsid w:val="00D41744"/>
    <w:rsid w:val="00D91E65"/>
    <w:rsid w:val="00DB5A20"/>
    <w:rsid w:val="00DD273F"/>
    <w:rsid w:val="00DD3988"/>
    <w:rsid w:val="00DF5066"/>
    <w:rsid w:val="00E45676"/>
    <w:rsid w:val="00E848FE"/>
    <w:rsid w:val="00EC093C"/>
    <w:rsid w:val="00EE41A9"/>
    <w:rsid w:val="00F001E8"/>
    <w:rsid w:val="00F06D23"/>
    <w:rsid w:val="00F2724E"/>
    <w:rsid w:val="00F37AF1"/>
    <w:rsid w:val="00F4005C"/>
    <w:rsid w:val="00F45AC7"/>
    <w:rsid w:val="00F517D5"/>
    <w:rsid w:val="00F94338"/>
    <w:rsid w:val="00FC4AA8"/>
    <w:rsid w:val="00FC6812"/>
    <w:rsid w:val="00FF6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474CB"/>
  <w15:chartTrackingRefBased/>
  <w15:docId w15:val="{AFD66566-0543-477A-953E-F3D8F8443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D23"/>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7B330A"/>
    <w:rPr>
      <w:color w:val="0563C1"/>
      <w:u w:val="single" w:color="000000"/>
    </w:rPr>
  </w:style>
  <w:style w:type="paragraph" w:styleId="ListParagraph">
    <w:name w:val="List Paragraph"/>
    <w:basedOn w:val="Normal"/>
    <w:uiPriority w:val="34"/>
    <w:qFormat/>
    <w:rsid w:val="00EC093C"/>
    <w:pPr>
      <w:ind w:left="720"/>
      <w:contextualSpacing/>
    </w:pPr>
    <w:rPr>
      <w:kern w:val="2"/>
      <w14:ligatures w14:val="standardContextual"/>
    </w:rPr>
  </w:style>
  <w:style w:type="paragraph" w:customStyle="1" w:styleId="p1">
    <w:name w:val="p1"/>
    <w:basedOn w:val="Normal"/>
    <w:rsid w:val="00FF6286"/>
    <w:pPr>
      <w:spacing w:before="100" w:beforeAutospacing="1" w:after="100" w:afterAutospacing="1" w:line="240" w:lineRule="auto"/>
    </w:pPr>
    <w:rPr>
      <w:rFonts w:ascii="Calibri" w:hAnsi="Calibri" w:cs="Calibri"/>
      <w:lang w:eastAsia="en-GB"/>
    </w:rPr>
  </w:style>
  <w:style w:type="paragraph" w:customStyle="1" w:styleId="p2">
    <w:name w:val="p2"/>
    <w:basedOn w:val="Normal"/>
    <w:rsid w:val="00FF6286"/>
    <w:pPr>
      <w:spacing w:before="100" w:beforeAutospacing="1" w:after="100" w:afterAutospacing="1" w:line="240" w:lineRule="auto"/>
    </w:pPr>
    <w:rPr>
      <w:rFonts w:ascii="Calibri" w:hAnsi="Calibri" w:cs="Calibri"/>
      <w:lang w:eastAsia="en-GB"/>
    </w:rPr>
  </w:style>
  <w:style w:type="character" w:customStyle="1" w:styleId="s1">
    <w:name w:val="s1"/>
    <w:basedOn w:val="DefaultParagraphFont"/>
    <w:rsid w:val="00FF6286"/>
  </w:style>
  <w:style w:type="character" w:styleId="FollowedHyperlink">
    <w:name w:val="FollowedHyperlink"/>
    <w:basedOn w:val="DefaultParagraphFont"/>
    <w:uiPriority w:val="99"/>
    <w:semiHidden/>
    <w:unhideWhenUsed/>
    <w:rsid w:val="00111A5A"/>
    <w:rPr>
      <w:color w:val="954F72" w:themeColor="followedHyperlink"/>
      <w:u w:val="single"/>
    </w:rPr>
  </w:style>
  <w:style w:type="paragraph" w:styleId="NormalWeb">
    <w:name w:val="Normal (Web)"/>
    <w:basedOn w:val="Normal"/>
    <w:uiPriority w:val="99"/>
    <w:unhideWhenUsed/>
    <w:rsid w:val="0082671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ova-legacy-e-listitem">
    <w:name w:val="nova-legacy-e-list__item"/>
    <w:basedOn w:val="Normal"/>
    <w:rsid w:val="00153B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34777"/>
    <w:rPr>
      <w:color w:val="605E5C"/>
      <w:shd w:val="clear" w:color="auto" w:fill="E1DFDD"/>
    </w:rPr>
  </w:style>
  <w:style w:type="paragraph" w:customStyle="1" w:styleId="paragraph">
    <w:name w:val="paragraph"/>
    <w:basedOn w:val="Normal"/>
    <w:rsid w:val="006124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12431"/>
  </w:style>
  <w:style w:type="character" w:customStyle="1" w:styleId="eop">
    <w:name w:val="eop"/>
    <w:basedOn w:val="DefaultParagraphFont"/>
    <w:rsid w:val="006124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737401">
      <w:bodyDiv w:val="1"/>
      <w:marLeft w:val="0"/>
      <w:marRight w:val="0"/>
      <w:marTop w:val="0"/>
      <w:marBottom w:val="0"/>
      <w:divBdr>
        <w:top w:val="none" w:sz="0" w:space="0" w:color="auto"/>
        <w:left w:val="none" w:sz="0" w:space="0" w:color="auto"/>
        <w:bottom w:val="none" w:sz="0" w:space="0" w:color="auto"/>
        <w:right w:val="none" w:sz="0" w:space="0" w:color="auto"/>
      </w:divBdr>
    </w:div>
    <w:div w:id="350104616">
      <w:bodyDiv w:val="1"/>
      <w:marLeft w:val="0"/>
      <w:marRight w:val="0"/>
      <w:marTop w:val="0"/>
      <w:marBottom w:val="0"/>
      <w:divBdr>
        <w:top w:val="none" w:sz="0" w:space="0" w:color="auto"/>
        <w:left w:val="none" w:sz="0" w:space="0" w:color="auto"/>
        <w:bottom w:val="none" w:sz="0" w:space="0" w:color="auto"/>
        <w:right w:val="none" w:sz="0" w:space="0" w:color="auto"/>
      </w:divBdr>
    </w:div>
    <w:div w:id="464393312">
      <w:bodyDiv w:val="1"/>
      <w:marLeft w:val="0"/>
      <w:marRight w:val="0"/>
      <w:marTop w:val="0"/>
      <w:marBottom w:val="0"/>
      <w:divBdr>
        <w:top w:val="none" w:sz="0" w:space="0" w:color="auto"/>
        <w:left w:val="none" w:sz="0" w:space="0" w:color="auto"/>
        <w:bottom w:val="none" w:sz="0" w:space="0" w:color="auto"/>
        <w:right w:val="none" w:sz="0" w:space="0" w:color="auto"/>
      </w:divBdr>
    </w:div>
    <w:div w:id="559708288">
      <w:bodyDiv w:val="1"/>
      <w:marLeft w:val="0"/>
      <w:marRight w:val="0"/>
      <w:marTop w:val="0"/>
      <w:marBottom w:val="0"/>
      <w:divBdr>
        <w:top w:val="none" w:sz="0" w:space="0" w:color="auto"/>
        <w:left w:val="none" w:sz="0" w:space="0" w:color="auto"/>
        <w:bottom w:val="none" w:sz="0" w:space="0" w:color="auto"/>
        <w:right w:val="none" w:sz="0" w:space="0" w:color="auto"/>
      </w:divBdr>
      <w:divsChild>
        <w:div w:id="1656568303">
          <w:marLeft w:val="0"/>
          <w:marRight w:val="0"/>
          <w:marTop w:val="0"/>
          <w:marBottom w:val="0"/>
          <w:divBdr>
            <w:top w:val="none" w:sz="0" w:space="0" w:color="auto"/>
            <w:left w:val="none" w:sz="0" w:space="0" w:color="auto"/>
            <w:bottom w:val="none" w:sz="0" w:space="0" w:color="auto"/>
            <w:right w:val="none" w:sz="0" w:space="0" w:color="auto"/>
          </w:divBdr>
        </w:div>
        <w:div w:id="560752528">
          <w:marLeft w:val="0"/>
          <w:marRight w:val="0"/>
          <w:marTop w:val="0"/>
          <w:marBottom w:val="0"/>
          <w:divBdr>
            <w:top w:val="none" w:sz="0" w:space="0" w:color="auto"/>
            <w:left w:val="none" w:sz="0" w:space="0" w:color="auto"/>
            <w:bottom w:val="none" w:sz="0" w:space="0" w:color="auto"/>
            <w:right w:val="none" w:sz="0" w:space="0" w:color="auto"/>
          </w:divBdr>
        </w:div>
        <w:div w:id="456027524">
          <w:marLeft w:val="0"/>
          <w:marRight w:val="0"/>
          <w:marTop w:val="0"/>
          <w:marBottom w:val="0"/>
          <w:divBdr>
            <w:top w:val="none" w:sz="0" w:space="0" w:color="auto"/>
            <w:left w:val="none" w:sz="0" w:space="0" w:color="auto"/>
            <w:bottom w:val="none" w:sz="0" w:space="0" w:color="auto"/>
            <w:right w:val="none" w:sz="0" w:space="0" w:color="auto"/>
          </w:divBdr>
        </w:div>
        <w:div w:id="413163012">
          <w:marLeft w:val="0"/>
          <w:marRight w:val="0"/>
          <w:marTop w:val="0"/>
          <w:marBottom w:val="0"/>
          <w:divBdr>
            <w:top w:val="none" w:sz="0" w:space="0" w:color="auto"/>
            <w:left w:val="none" w:sz="0" w:space="0" w:color="auto"/>
            <w:bottom w:val="none" w:sz="0" w:space="0" w:color="auto"/>
            <w:right w:val="none" w:sz="0" w:space="0" w:color="auto"/>
          </w:divBdr>
        </w:div>
        <w:div w:id="1832256874">
          <w:marLeft w:val="0"/>
          <w:marRight w:val="0"/>
          <w:marTop w:val="0"/>
          <w:marBottom w:val="0"/>
          <w:divBdr>
            <w:top w:val="none" w:sz="0" w:space="0" w:color="auto"/>
            <w:left w:val="none" w:sz="0" w:space="0" w:color="auto"/>
            <w:bottom w:val="none" w:sz="0" w:space="0" w:color="auto"/>
            <w:right w:val="none" w:sz="0" w:space="0" w:color="auto"/>
          </w:divBdr>
        </w:div>
        <w:div w:id="898588923">
          <w:marLeft w:val="0"/>
          <w:marRight w:val="0"/>
          <w:marTop w:val="0"/>
          <w:marBottom w:val="0"/>
          <w:divBdr>
            <w:top w:val="none" w:sz="0" w:space="0" w:color="auto"/>
            <w:left w:val="none" w:sz="0" w:space="0" w:color="auto"/>
            <w:bottom w:val="none" w:sz="0" w:space="0" w:color="auto"/>
            <w:right w:val="none" w:sz="0" w:space="0" w:color="auto"/>
          </w:divBdr>
        </w:div>
        <w:div w:id="856384733">
          <w:marLeft w:val="0"/>
          <w:marRight w:val="0"/>
          <w:marTop w:val="0"/>
          <w:marBottom w:val="0"/>
          <w:divBdr>
            <w:top w:val="none" w:sz="0" w:space="0" w:color="auto"/>
            <w:left w:val="none" w:sz="0" w:space="0" w:color="auto"/>
            <w:bottom w:val="none" w:sz="0" w:space="0" w:color="auto"/>
            <w:right w:val="none" w:sz="0" w:space="0" w:color="auto"/>
          </w:divBdr>
        </w:div>
        <w:div w:id="423572849">
          <w:marLeft w:val="0"/>
          <w:marRight w:val="0"/>
          <w:marTop w:val="0"/>
          <w:marBottom w:val="0"/>
          <w:divBdr>
            <w:top w:val="none" w:sz="0" w:space="0" w:color="auto"/>
            <w:left w:val="none" w:sz="0" w:space="0" w:color="auto"/>
            <w:bottom w:val="none" w:sz="0" w:space="0" w:color="auto"/>
            <w:right w:val="none" w:sz="0" w:space="0" w:color="auto"/>
          </w:divBdr>
        </w:div>
        <w:div w:id="1504930961">
          <w:marLeft w:val="0"/>
          <w:marRight w:val="0"/>
          <w:marTop w:val="0"/>
          <w:marBottom w:val="0"/>
          <w:divBdr>
            <w:top w:val="none" w:sz="0" w:space="0" w:color="auto"/>
            <w:left w:val="none" w:sz="0" w:space="0" w:color="auto"/>
            <w:bottom w:val="none" w:sz="0" w:space="0" w:color="auto"/>
            <w:right w:val="none" w:sz="0" w:space="0" w:color="auto"/>
          </w:divBdr>
        </w:div>
        <w:div w:id="748968406">
          <w:marLeft w:val="0"/>
          <w:marRight w:val="0"/>
          <w:marTop w:val="0"/>
          <w:marBottom w:val="0"/>
          <w:divBdr>
            <w:top w:val="none" w:sz="0" w:space="0" w:color="auto"/>
            <w:left w:val="none" w:sz="0" w:space="0" w:color="auto"/>
            <w:bottom w:val="none" w:sz="0" w:space="0" w:color="auto"/>
            <w:right w:val="none" w:sz="0" w:space="0" w:color="auto"/>
          </w:divBdr>
        </w:div>
        <w:div w:id="114688124">
          <w:marLeft w:val="0"/>
          <w:marRight w:val="0"/>
          <w:marTop w:val="0"/>
          <w:marBottom w:val="0"/>
          <w:divBdr>
            <w:top w:val="none" w:sz="0" w:space="0" w:color="auto"/>
            <w:left w:val="none" w:sz="0" w:space="0" w:color="auto"/>
            <w:bottom w:val="none" w:sz="0" w:space="0" w:color="auto"/>
            <w:right w:val="none" w:sz="0" w:space="0" w:color="auto"/>
          </w:divBdr>
        </w:div>
        <w:div w:id="505898086">
          <w:marLeft w:val="0"/>
          <w:marRight w:val="0"/>
          <w:marTop w:val="0"/>
          <w:marBottom w:val="0"/>
          <w:divBdr>
            <w:top w:val="none" w:sz="0" w:space="0" w:color="auto"/>
            <w:left w:val="none" w:sz="0" w:space="0" w:color="auto"/>
            <w:bottom w:val="none" w:sz="0" w:space="0" w:color="auto"/>
            <w:right w:val="none" w:sz="0" w:space="0" w:color="auto"/>
          </w:divBdr>
        </w:div>
        <w:div w:id="913854166">
          <w:marLeft w:val="0"/>
          <w:marRight w:val="0"/>
          <w:marTop w:val="0"/>
          <w:marBottom w:val="0"/>
          <w:divBdr>
            <w:top w:val="none" w:sz="0" w:space="0" w:color="auto"/>
            <w:left w:val="none" w:sz="0" w:space="0" w:color="auto"/>
            <w:bottom w:val="none" w:sz="0" w:space="0" w:color="auto"/>
            <w:right w:val="none" w:sz="0" w:space="0" w:color="auto"/>
          </w:divBdr>
        </w:div>
        <w:div w:id="248851375">
          <w:marLeft w:val="0"/>
          <w:marRight w:val="0"/>
          <w:marTop w:val="0"/>
          <w:marBottom w:val="0"/>
          <w:divBdr>
            <w:top w:val="none" w:sz="0" w:space="0" w:color="auto"/>
            <w:left w:val="none" w:sz="0" w:space="0" w:color="auto"/>
            <w:bottom w:val="none" w:sz="0" w:space="0" w:color="auto"/>
            <w:right w:val="none" w:sz="0" w:space="0" w:color="auto"/>
          </w:divBdr>
        </w:div>
        <w:div w:id="1720395363">
          <w:marLeft w:val="0"/>
          <w:marRight w:val="0"/>
          <w:marTop w:val="0"/>
          <w:marBottom w:val="0"/>
          <w:divBdr>
            <w:top w:val="none" w:sz="0" w:space="0" w:color="auto"/>
            <w:left w:val="none" w:sz="0" w:space="0" w:color="auto"/>
            <w:bottom w:val="none" w:sz="0" w:space="0" w:color="auto"/>
            <w:right w:val="none" w:sz="0" w:space="0" w:color="auto"/>
          </w:divBdr>
        </w:div>
        <w:div w:id="1143305815">
          <w:marLeft w:val="0"/>
          <w:marRight w:val="0"/>
          <w:marTop w:val="0"/>
          <w:marBottom w:val="0"/>
          <w:divBdr>
            <w:top w:val="none" w:sz="0" w:space="0" w:color="auto"/>
            <w:left w:val="none" w:sz="0" w:space="0" w:color="auto"/>
            <w:bottom w:val="none" w:sz="0" w:space="0" w:color="auto"/>
            <w:right w:val="none" w:sz="0" w:space="0" w:color="auto"/>
          </w:divBdr>
        </w:div>
        <w:div w:id="609628921">
          <w:marLeft w:val="0"/>
          <w:marRight w:val="0"/>
          <w:marTop w:val="0"/>
          <w:marBottom w:val="0"/>
          <w:divBdr>
            <w:top w:val="none" w:sz="0" w:space="0" w:color="auto"/>
            <w:left w:val="none" w:sz="0" w:space="0" w:color="auto"/>
            <w:bottom w:val="none" w:sz="0" w:space="0" w:color="auto"/>
            <w:right w:val="none" w:sz="0" w:space="0" w:color="auto"/>
          </w:divBdr>
        </w:div>
        <w:div w:id="432437382">
          <w:marLeft w:val="0"/>
          <w:marRight w:val="0"/>
          <w:marTop w:val="0"/>
          <w:marBottom w:val="0"/>
          <w:divBdr>
            <w:top w:val="none" w:sz="0" w:space="0" w:color="auto"/>
            <w:left w:val="none" w:sz="0" w:space="0" w:color="auto"/>
            <w:bottom w:val="none" w:sz="0" w:space="0" w:color="auto"/>
            <w:right w:val="none" w:sz="0" w:space="0" w:color="auto"/>
          </w:divBdr>
        </w:div>
        <w:div w:id="902375026">
          <w:marLeft w:val="0"/>
          <w:marRight w:val="0"/>
          <w:marTop w:val="0"/>
          <w:marBottom w:val="0"/>
          <w:divBdr>
            <w:top w:val="none" w:sz="0" w:space="0" w:color="auto"/>
            <w:left w:val="none" w:sz="0" w:space="0" w:color="auto"/>
            <w:bottom w:val="none" w:sz="0" w:space="0" w:color="auto"/>
            <w:right w:val="none" w:sz="0" w:space="0" w:color="auto"/>
          </w:divBdr>
        </w:div>
        <w:div w:id="433478211">
          <w:marLeft w:val="0"/>
          <w:marRight w:val="0"/>
          <w:marTop w:val="0"/>
          <w:marBottom w:val="0"/>
          <w:divBdr>
            <w:top w:val="none" w:sz="0" w:space="0" w:color="auto"/>
            <w:left w:val="none" w:sz="0" w:space="0" w:color="auto"/>
            <w:bottom w:val="none" w:sz="0" w:space="0" w:color="auto"/>
            <w:right w:val="none" w:sz="0" w:space="0" w:color="auto"/>
          </w:divBdr>
        </w:div>
        <w:div w:id="1572345213">
          <w:marLeft w:val="0"/>
          <w:marRight w:val="0"/>
          <w:marTop w:val="0"/>
          <w:marBottom w:val="0"/>
          <w:divBdr>
            <w:top w:val="none" w:sz="0" w:space="0" w:color="auto"/>
            <w:left w:val="none" w:sz="0" w:space="0" w:color="auto"/>
            <w:bottom w:val="none" w:sz="0" w:space="0" w:color="auto"/>
            <w:right w:val="none" w:sz="0" w:space="0" w:color="auto"/>
          </w:divBdr>
        </w:div>
        <w:div w:id="1250771222">
          <w:marLeft w:val="0"/>
          <w:marRight w:val="0"/>
          <w:marTop w:val="0"/>
          <w:marBottom w:val="0"/>
          <w:divBdr>
            <w:top w:val="none" w:sz="0" w:space="0" w:color="auto"/>
            <w:left w:val="none" w:sz="0" w:space="0" w:color="auto"/>
            <w:bottom w:val="none" w:sz="0" w:space="0" w:color="auto"/>
            <w:right w:val="none" w:sz="0" w:space="0" w:color="auto"/>
          </w:divBdr>
        </w:div>
        <w:div w:id="1496799722">
          <w:marLeft w:val="0"/>
          <w:marRight w:val="0"/>
          <w:marTop w:val="0"/>
          <w:marBottom w:val="0"/>
          <w:divBdr>
            <w:top w:val="none" w:sz="0" w:space="0" w:color="auto"/>
            <w:left w:val="none" w:sz="0" w:space="0" w:color="auto"/>
            <w:bottom w:val="none" w:sz="0" w:space="0" w:color="auto"/>
            <w:right w:val="none" w:sz="0" w:space="0" w:color="auto"/>
          </w:divBdr>
        </w:div>
        <w:div w:id="1504708073">
          <w:marLeft w:val="0"/>
          <w:marRight w:val="0"/>
          <w:marTop w:val="0"/>
          <w:marBottom w:val="0"/>
          <w:divBdr>
            <w:top w:val="none" w:sz="0" w:space="0" w:color="auto"/>
            <w:left w:val="none" w:sz="0" w:space="0" w:color="auto"/>
            <w:bottom w:val="none" w:sz="0" w:space="0" w:color="auto"/>
            <w:right w:val="none" w:sz="0" w:space="0" w:color="auto"/>
          </w:divBdr>
        </w:div>
        <w:div w:id="2088919285">
          <w:marLeft w:val="0"/>
          <w:marRight w:val="0"/>
          <w:marTop w:val="0"/>
          <w:marBottom w:val="0"/>
          <w:divBdr>
            <w:top w:val="none" w:sz="0" w:space="0" w:color="auto"/>
            <w:left w:val="none" w:sz="0" w:space="0" w:color="auto"/>
            <w:bottom w:val="none" w:sz="0" w:space="0" w:color="auto"/>
            <w:right w:val="none" w:sz="0" w:space="0" w:color="auto"/>
          </w:divBdr>
        </w:div>
        <w:div w:id="1307465558">
          <w:marLeft w:val="0"/>
          <w:marRight w:val="0"/>
          <w:marTop w:val="0"/>
          <w:marBottom w:val="0"/>
          <w:divBdr>
            <w:top w:val="none" w:sz="0" w:space="0" w:color="auto"/>
            <w:left w:val="none" w:sz="0" w:space="0" w:color="auto"/>
            <w:bottom w:val="none" w:sz="0" w:space="0" w:color="auto"/>
            <w:right w:val="none" w:sz="0" w:space="0" w:color="auto"/>
          </w:divBdr>
        </w:div>
        <w:div w:id="1749963785">
          <w:marLeft w:val="0"/>
          <w:marRight w:val="0"/>
          <w:marTop w:val="0"/>
          <w:marBottom w:val="0"/>
          <w:divBdr>
            <w:top w:val="none" w:sz="0" w:space="0" w:color="auto"/>
            <w:left w:val="none" w:sz="0" w:space="0" w:color="auto"/>
            <w:bottom w:val="none" w:sz="0" w:space="0" w:color="auto"/>
            <w:right w:val="none" w:sz="0" w:space="0" w:color="auto"/>
          </w:divBdr>
        </w:div>
        <w:div w:id="1214653173">
          <w:marLeft w:val="0"/>
          <w:marRight w:val="0"/>
          <w:marTop w:val="0"/>
          <w:marBottom w:val="0"/>
          <w:divBdr>
            <w:top w:val="none" w:sz="0" w:space="0" w:color="auto"/>
            <w:left w:val="none" w:sz="0" w:space="0" w:color="auto"/>
            <w:bottom w:val="none" w:sz="0" w:space="0" w:color="auto"/>
            <w:right w:val="none" w:sz="0" w:space="0" w:color="auto"/>
          </w:divBdr>
        </w:div>
        <w:div w:id="884022066">
          <w:marLeft w:val="0"/>
          <w:marRight w:val="0"/>
          <w:marTop w:val="0"/>
          <w:marBottom w:val="0"/>
          <w:divBdr>
            <w:top w:val="none" w:sz="0" w:space="0" w:color="auto"/>
            <w:left w:val="none" w:sz="0" w:space="0" w:color="auto"/>
            <w:bottom w:val="none" w:sz="0" w:space="0" w:color="auto"/>
            <w:right w:val="none" w:sz="0" w:space="0" w:color="auto"/>
          </w:divBdr>
        </w:div>
        <w:div w:id="268514931">
          <w:marLeft w:val="0"/>
          <w:marRight w:val="0"/>
          <w:marTop w:val="0"/>
          <w:marBottom w:val="0"/>
          <w:divBdr>
            <w:top w:val="none" w:sz="0" w:space="0" w:color="auto"/>
            <w:left w:val="none" w:sz="0" w:space="0" w:color="auto"/>
            <w:bottom w:val="none" w:sz="0" w:space="0" w:color="auto"/>
            <w:right w:val="none" w:sz="0" w:space="0" w:color="auto"/>
          </w:divBdr>
        </w:div>
        <w:div w:id="1135374002">
          <w:marLeft w:val="0"/>
          <w:marRight w:val="0"/>
          <w:marTop w:val="0"/>
          <w:marBottom w:val="0"/>
          <w:divBdr>
            <w:top w:val="none" w:sz="0" w:space="0" w:color="auto"/>
            <w:left w:val="none" w:sz="0" w:space="0" w:color="auto"/>
            <w:bottom w:val="none" w:sz="0" w:space="0" w:color="auto"/>
            <w:right w:val="none" w:sz="0" w:space="0" w:color="auto"/>
          </w:divBdr>
        </w:div>
        <w:div w:id="1537229630">
          <w:marLeft w:val="0"/>
          <w:marRight w:val="0"/>
          <w:marTop w:val="0"/>
          <w:marBottom w:val="0"/>
          <w:divBdr>
            <w:top w:val="none" w:sz="0" w:space="0" w:color="auto"/>
            <w:left w:val="none" w:sz="0" w:space="0" w:color="auto"/>
            <w:bottom w:val="none" w:sz="0" w:space="0" w:color="auto"/>
            <w:right w:val="none" w:sz="0" w:space="0" w:color="auto"/>
          </w:divBdr>
        </w:div>
        <w:div w:id="1691905683">
          <w:marLeft w:val="0"/>
          <w:marRight w:val="0"/>
          <w:marTop w:val="0"/>
          <w:marBottom w:val="0"/>
          <w:divBdr>
            <w:top w:val="none" w:sz="0" w:space="0" w:color="auto"/>
            <w:left w:val="none" w:sz="0" w:space="0" w:color="auto"/>
            <w:bottom w:val="none" w:sz="0" w:space="0" w:color="auto"/>
            <w:right w:val="none" w:sz="0" w:space="0" w:color="auto"/>
          </w:divBdr>
        </w:div>
        <w:div w:id="770391399">
          <w:marLeft w:val="0"/>
          <w:marRight w:val="0"/>
          <w:marTop w:val="0"/>
          <w:marBottom w:val="0"/>
          <w:divBdr>
            <w:top w:val="none" w:sz="0" w:space="0" w:color="auto"/>
            <w:left w:val="none" w:sz="0" w:space="0" w:color="auto"/>
            <w:bottom w:val="none" w:sz="0" w:space="0" w:color="auto"/>
            <w:right w:val="none" w:sz="0" w:space="0" w:color="auto"/>
          </w:divBdr>
        </w:div>
        <w:div w:id="1538007145">
          <w:marLeft w:val="0"/>
          <w:marRight w:val="0"/>
          <w:marTop w:val="0"/>
          <w:marBottom w:val="0"/>
          <w:divBdr>
            <w:top w:val="none" w:sz="0" w:space="0" w:color="auto"/>
            <w:left w:val="none" w:sz="0" w:space="0" w:color="auto"/>
            <w:bottom w:val="none" w:sz="0" w:space="0" w:color="auto"/>
            <w:right w:val="none" w:sz="0" w:space="0" w:color="auto"/>
          </w:divBdr>
        </w:div>
        <w:div w:id="2094009366">
          <w:marLeft w:val="0"/>
          <w:marRight w:val="0"/>
          <w:marTop w:val="0"/>
          <w:marBottom w:val="0"/>
          <w:divBdr>
            <w:top w:val="none" w:sz="0" w:space="0" w:color="auto"/>
            <w:left w:val="none" w:sz="0" w:space="0" w:color="auto"/>
            <w:bottom w:val="none" w:sz="0" w:space="0" w:color="auto"/>
            <w:right w:val="none" w:sz="0" w:space="0" w:color="auto"/>
          </w:divBdr>
        </w:div>
        <w:div w:id="557208017">
          <w:marLeft w:val="0"/>
          <w:marRight w:val="0"/>
          <w:marTop w:val="0"/>
          <w:marBottom w:val="0"/>
          <w:divBdr>
            <w:top w:val="none" w:sz="0" w:space="0" w:color="auto"/>
            <w:left w:val="none" w:sz="0" w:space="0" w:color="auto"/>
            <w:bottom w:val="none" w:sz="0" w:space="0" w:color="auto"/>
            <w:right w:val="none" w:sz="0" w:space="0" w:color="auto"/>
          </w:divBdr>
        </w:div>
        <w:div w:id="1798915456">
          <w:marLeft w:val="0"/>
          <w:marRight w:val="0"/>
          <w:marTop w:val="0"/>
          <w:marBottom w:val="0"/>
          <w:divBdr>
            <w:top w:val="none" w:sz="0" w:space="0" w:color="auto"/>
            <w:left w:val="none" w:sz="0" w:space="0" w:color="auto"/>
            <w:bottom w:val="none" w:sz="0" w:space="0" w:color="auto"/>
            <w:right w:val="none" w:sz="0" w:space="0" w:color="auto"/>
          </w:divBdr>
        </w:div>
        <w:div w:id="2128352896">
          <w:marLeft w:val="0"/>
          <w:marRight w:val="0"/>
          <w:marTop w:val="0"/>
          <w:marBottom w:val="0"/>
          <w:divBdr>
            <w:top w:val="none" w:sz="0" w:space="0" w:color="auto"/>
            <w:left w:val="none" w:sz="0" w:space="0" w:color="auto"/>
            <w:bottom w:val="none" w:sz="0" w:space="0" w:color="auto"/>
            <w:right w:val="none" w:sz="0" w:space="0" w:color="auto"/>
          </w:divBdr>
        </w:div>
        <w:div w:id="1207135086">
          <w:marLeft w:val="0"/>
          <w:marRight w:val="0"/>
          <w:marTop w:val="0"/>
          <w:marBottom w:val="0"/>
          <w:divBdr>
            <w:top w:val="none" w:sz="0" w:space="0" w:color="auto"/>
            <w:left w:val="none" w:sz="0" w:space="0" w:color="auto"/>
            <w:bottom w:val="none" w:sz="0" w:space="0" w:color="auto"/>
            <w:right w:val="none" w:sz="0" w:space="0" w:color="auto"/>
          </w:divBdr>
        </w:div>
        <w:div w:id="174269315">
          <w:marLeft w:val="0"/>
          <w:marRight w:val="0"/>
          <w:marTop w:val="0"/>
          <w:marBottom w:val="0"/>
          <w:divBdr>
            <w:top w:val="none" w:sz="0" w:space="0" w:color="auto"/>
            <w:left w:val="none" w:sz="0" w:space="0" w:color="auto"/>
            <w:bottom w:val="none" w:sz="0" w:space="0" w:color="auto"/>
            <w:right w:val="none" w:sz="0" w:space="0" w:color="auto"/>
          </w:divBdr>
        </w:div>
        <w:div w:id="1767189479">
          <w:marLeft w:val="0"/>
          <w:marRight w:val="0"/>
          <w:marTop w:val="0"/>
          <w:marBottom w:val="0"/>
          <w:divBdr>
            <w:top w:val="none" w:sz="0" w:space="0" w:color="auto"/>
            <w:left w:val="none" w:sz="0" w:space="0" w:color="auto"/>
            <w:bottom w:val="none" w:sz="0" w:space="0" w:color="auto"/>
            <w:right w:val="none" w:sz="0" w:space="0" w:color="auto"/>
          </w:divBdr>
        </w:div>
        <w:div w:id="130024658">
          <w:marLeft w:val="0"/>
          <w:marRight w:val="0"/>
          <w:marTop w:val="0"/>
          <w:marBottom w:val="0"/>
          <w:divBdr>
            <w:top w:val="none" w:sz="0" w:space="0" w:color="auto"/>
            <w:left w:val="none" w:sz="0" w:space="0" w:color="auto"/>
            <w:bottom w:val="none" w:sz="0" w:space="0" w:color="auto"/>
            <w:right w:val="none" w:sz="0" w:space="0" w:color="auto"/>
          </w:divBdr>
        </w:div>
        <w:div w:id="255746969">
          <w:marLeft w:val="0"/>
          <w:marRight w:val="0"/>
          <w:marTop w:val="0"/>
          <w:marBottom w:val="0"/>
          <w:divBdr>
            <w:top w:val="none" w:sz="0" w:space="0" w:color="auto"/>
            <w:left w:val="none" w:sz="0" w:space="0" w:color="auto"/>
            <w:bottom w:val="none" w:sz="0" w:space="0" w:color="auto"/>
            <w:right w:val="none" w:sz="0" w:space="0" w:color="auto"/>
          </w:divBdr>
        </w:div>
        <w:div w:id="160657987">
          <w:marLeft w:val="0"/>
          <w:marRight w:val="0"/>
          <w:marTop w:val="0"/>
          <w:marBottom w:val="0"/>
          <w:divBdr>
            <w:top w:val="none" w:sz="0" w:space="0" w:color="auto"/>
            <w:left w:val="none" w:sz="0" w:space="0" w:color="auto"/>
            <w:bottom w:val="none" w:sz="0" w:space="0" w:color="auto"/>
            <w:right w:val="none" w:sz="0" w:space="0" w:color="auto"/>
          </w:divBdr>
        </w:div>
      </w:divsChild>
    </w:div>
    <w:div w:id="793525267">
      <w:bodyDiv w:val="1"/>
      <w:marLeft w:val="0"/>
      <w:marRight w:val="0"/>
      <w:marTop w:val="0"/>
      <w:marBottom w:val="0"/>
      <w:divBdr>
        <w:top w:val="none" w:sz="0" w:space="0" w:color="auto"/>
        <w:left w:val="none" w:sz="0" w:space="0" w:color="auto"/>
        <w:bottom w:val="none" w:sz="0" w:space="0" w:color="auto"/>
        <w:right w:val="none" w:sz="0" w:space="0" w:color="auto"/>
      </w:divBdr>
    </w:div>
    <w:div w:id="840897506">
      <w:bodyDiv w:val="1"/>
      <w:marLeft w:val="0"/>
      <w:marRight w:val="0"/>
      <w:marTop w:val="0"/>
      <w:marBottom w:val="0"/>
      <w:divBdr>
        <w:top w:val="none" w:sz="0" w:space="0" w:color="auto"/>
        <w:left w:val="none" w:sz="0" w:space="0" w:color="auto"/>
        <w:bottom w:val="none" w:sz="0" w:space="0" w:color="auto"/>
        <w:right w:val="none" w:sz="0" w:space="0" w:color="auto"/>
      </w:divBdr>
    </w:div>
    <w:div w:id="1187716516">
      <w:bodyDiv w:val="1"/>
      <w:marLeft w:val="0"/>
      <w:marRight w:val="0"/>
      <w:marTop w:val="0"/>
      <w:marBottom w:val="0"/>
      <w:divBdr>
        <w:top w:val="none" w:sz="0" w:space="0" w:color="auto"/>
        <w:left w:val="none" w:sz="0" w:space="0" w:color="auto"/>
        <w:bottom w:val="none" w:sz="0" w:space="0" w:color="auto"/>
        <w:right w:val="none" w:sz="0" w:space="0" w:color="auto"/>
      </w:divBdr>
    </w:div>
    <w:div w:id="1237596806">
      <w:bodyDiv w:val="1"/>
      <w:marLeft w:val="0"/>
      <w:marRight w:val="0"/>
      <w:marTop w:val="0"/>
      <w:marBottom w:val="0"/>
      <w:divBdr>
        <w:top w:val="none" w:sz="0" w:space="0" w:color="auto"/>
        <w:left w:val="none" w:sz="0" w:space="0" w:color="auto"/>
        <w:bottom w:val="none" w:sz="0" w:space="0" w:color="auto"/>
        <w:right w:val="none" w:sz="0" w:space="0" w:color="auto"/>
      </w:divBdr>
    </w:div>
    <w:div w:id="1507555215">
      <w:bodyDiv w:val="1"/>
      <w:marLeft w:val="0"/>
      <w:marRight w:val="0"/>
      <w:marTop w:val="0"/>
      <w:marBottom w:val="0"/>
      <w:divBdr>
        <w:top w:val="none" w:sz="0" w:space="0" w:color="auto"/>
        <w:left w:val="none" w:sz="0" w:space="0" w:color="auto"/>
        <w:bottom w:val="none" w:sz="0" w:space="0" w:color="auto"/>
        <w:right w:val="none" w:sz="0" w:space="0" w:color="auto"/>
      </w:divBdr>
      <w:divsChild>
        <w:div w:id="271323430">
          <w:marLeft w:val="0"/>
          <w:marRight w:val="0"/>
          <w:marTop w:val="0"/>
          <w:marBottom w:val="0"/>
          <w:divBdr>
            <w:top w:val="none" w:sz="0" w:space="0" w:color="auto"/>
            <w:left w:val="none" w:sz="0" w:space="0" w:color="auto"/>
            <w:bottom w:val="none" w:sz="0" w:space="0" w:color="auto"/>
            <w:right w:val="none" w:sz="0" w:space="0" w:color="auto"/>
          </w:divBdr>
        </w:div>
      </w:divsChild>
    </w:div>
    <w:div w:id="1554657245">
      <w:bodyDiv w:val="1"/>
      <w:marLeft w:val="0"/>
      <w:marRight w:val="0"/>
      <w:marTop w:val="0"/>
      <w:marBottom w:val="0"/>
      <w:divBdr>
        <w:top w:val="none" w:sz="0" w:space="0" w:color="auto"/>
        <w:left w:val="none" w:sz="0" w:space="0" w:color="auto"/>
        <w:bottom w:val="none" w:sz="0" w:space="0" w:color="auto"/>
        <w:right w:val="none" w:sz="0" w:space="0" w:color="auto"/>
      </w:divBdr>
      <w:divsChild>
        <w:div w:id="87045553">
          <w:marLeft w:val="0"/>
          <w:marRight w:val="0"/>
          <w:marTop w:val="0"/>
          <w:marBottom w:val="0"/>
          <w:divBdr>
            <w:top w:val="none" w:sz="0" w:space="0" w:color="auto"/>
            <w:left w:val="none" w:sz="0" w:space="0" w:color="auto"/>
            <w:bottom w:val="none" w:sz="0" w:space="0" w:color="auto"/>
            <w:right w:val="none" w:sz="0" w:space="0" w:color="auto"/>
          </w:divBdr>
        </w:div>
      </w:divsChild>
    </w:div>
    <w:div w:id="1580093416">
      <w:bodyDiv w:val="1"/>
      <w:marLeft w:val="0"/>
      <w:marRight w:val="0"/>
      <w:marTop w:val="0"/>
      <w:marBottom w:val="0"/>
      <w:divBdr>
        <w:top w:val="none" w:sz="0" w:space="0" w:color="auto"/>
        <w:left w:val="none" w:sz="0" w:space="0" w:color="auto"/>
        <w:bottom w:val="none" w:sz="0" w:space="0" w:color="auto"/>
        <w:right w:val="none" w:sz="0" w:space="0" w:color="auto"/>
      </w:divBdr>
      <w:divsChild>
        <w:div w:id="737363545">
          <w:marLeft w:val="0"/>
          <w:marRight w:val="0"/>
          <w:marTop w:val="0"/>
          <w:marBottom w:val="0"/>
          <w:divBdr>
            <w:top w:val="none" w:sz="0" w:space="0" w:color="auto"/>
            <w:left w:val="none" w:sz="0" w:space="0" w:color="auto"/>
            <w:bottom w:val="none" w:sz="0" w:space="0" w:color="auto"/>
            <w:right w:val="none" w:sz="0" w:space="0" w:color="auto"/>
          </w:divBdr>
        </w:div>
      </w:divsChild>
    </w:div>
    <w:div w:id="1626810186">
      <w:bodyDiv w:val="1"/>
      <w:marLeft w:val="0"/>
      <w:marRight w:val="0"/>
      <w:marTop w:val="0"/>
      <w:marBottom w:val="0"/>
      <w:divBdr>
        <w:top w:val="none" w:sz="0" w:space="0" w:color="auto"/>
        <w:left w:val="none" w:sz="0" w:space="0" w:color="auto"/>
        <w:bottom w:val="none" w:sz="0" w:space="0" w:color="auto"/>
        <w:right w:val="none" w:sz="0" w:space="0" w:color="auto"/>
      </w:divBdr>
      <w:divsChild>
        <w:div w:id="1311978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016/j.chiabu.2023.106073" TargetMode="External"/><Relationship Id="rId13" Type="http://schemas.openxmlformats.org/officeDocument/2006/relationships/hyperlink" Target="https://homeforgood.org.uk/statistics/care-leavers" TargetMode="External"/><Relationship Id="rId18" Type="http://schemas.openxmlformats.org/officeDocument/2006/relationships/hyperlink" Target="https://www.nhs.uk/conditions/night-terrors/" TargetMode="External"/><Relationship Id="rId26" Type="http://schemas.openxmlformats.org/officeDocument/2006/relationships/hyperlink" Target="https://www.researchgate.net/publication/327870256_Childhood_maltreatment_affects_adolescent_sensitivity_to_parenting_and_close_friendships_in_predicting_growth_in_externalizing_behavior" TargetMode="External"/><Relationship Id="rId3" Type="http://schemas.openxmlformats.org/officeDocument/2006/relationships/settings" Target="settings.xml"/><Relationship Id="rId21" Type="http://schemas.openxmlformats.org/officeDocument/2006/relationships/hyperlink" Target="https://www.ons.gov.uk/peoplepopulationandcommunity/crimeandjustice/bulletins/childabuseinenglandandwales/march2020" TargetMode="External"/><Relationship Id="rId7" Type="http://schemas.openxmlformats.org/officeDocument/2006/relationships/hyperlink" Target="https://www.cdc.gov/violenceprevention/aces/riskprotectivefactors.html" TargetMode="External"/><Relationship Id="rId12" Type="http://schemas.openxmlformats.org/officeDocument/2006/relationships/hyperlink" Target="https://www.justiceinspectorates.gov.uk/hmiprobation/wp-content/uploads/sites/5/2021/11/Academic-Insights-Gray-et-al.pdf" TargetMode="External"/><Relationship Id="rId17" Type="http://schemas.openxmlformats.org/officeDocument/2006/relationships/hyperlink" Target="https://www.nice.org.uk/guidance/ng205/resources/lookedafter-children-and-young-people-pdf-66143716414405" TargetMode="External"/><Relationship Id="rId25" Type="http://schemas.openxmlformats.org/officeDocument/2006/relationships/hyperlink" Target="https://www.gov.scot/binaries/content/documents/govscot/publications/research-and-analysis/2018/05/understanding-childhood-adversity-resilience-crime/documents/00535550-pdf/00535550-pdf/govscot%3Adocument/00535550.pdf" TargetMode="External"/><Relationship Id="rId2" Type="http://schemas.openxmlformats.org/officeDocument/2006/relationships/styles" Target="styles.xml"/><Relationship Id="rId16" Type="http://schemas.openxmlformats.org/officeDocument/2006/relationships/hyperlink" Target="https://www.nctsn.org/trauma-informed-care/trauma-informed-systems/justice/essential-elements" TargetMode="External"/><Relationship Id="rId20" Type="http://schemas.openxmlformats.org/officeDocument/2006/relationships/hyperlink" Target="https://learning.nspcc.org.uk/children-and-families-at-risk/looked-after-children"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oi.org/10.1111/j.1745-9125.2009.00170.x" TargetMode="External"/><Relationship Id="rId11" Type="http://schemas.openxmlformats.org/officeDocument/2006/relationships/hyperlink" Target="https://www.crimeandjustice.org.uk/sites/crimeandjustice.org.uk/files/civicrm/PSJ%20258%2C%20After%20care%2C%20after%20thought.pdf" TargetMode="External"/><Relationship Id="rId24" Type="http://schemas.openxmlformats.org/officeDocument/2006/relationships/hyperlink" Target="https://prisonreformtrust.org.uk/too-many-children-in-care-ending-up-behind-bars/" TargetMode="External"/><Relationship Id="rId5" Type="http://schemas.openxmlformats.org/officeDocument/2006/relationships/hyperlink" Target="https://acehubwales.com/what-are-aces/" TargetMode="External"/><Relationship Id="rId15" Type="http://schemas.openxmlformats.org/officeDocument/2006/relationships/hyperlink" Target="https://www.mind.org.uk/information-support/types-of-mental-health-problems/trauma/effects-of-trauma/" TargetMode="External"/><Relationship Id="rId23" Type="http://schemas.openxmlformats.org/officeDocument/2006/relationships/hyperlink" Target="https://explore-education-statistics.service.gov.uk/find-statistics/children-looked-after-in-england-including-adoptions" TargetMode="External"/><Relationship Id="rId28" Type="http://schemas.openxmlformats.org/officeDocument/2006/relationships/hyperlink" Target="https://www.violencepreventionwales.co.uk/research-evidence/adverse-childhood-experiences-aces" TargetMode="External"/><Relationship Id="rId10" Type="http://schemas.openxmlformats.org/officeDocument/2006/relationships/hyperlink" Target="https://phw.nhs.wales/files/aces/the-prisoner-ace-survey" TargetMode="External"/><Relationship Id="rId19" Type="http://schemas.openxmlformats.org/officeDocument/2006/relationships/hyperlink" Target="https://doi.org/10.1371/journal.pmed.1001349" TargetMode="External"/><Relationship Id="rId4" Type="http://schemas.openxmlformats.org/officeDocument/2006/relationships/webSettings" Target="webSettings.xml"/><Relationship Id="rId9" Type="http://schemas.openxmlformats.org/officeDocument/2006/relationships/hyperlink" Target="https://doi-org.ezproxy.uwtsd.ac.uk/10.1016/j.chiabu.2019.104089" TargetMode="External"/><Relationship Id="rId14" Type="http://schemas.openxmlformats.org/officeDocument/2006/relationships/hyperlink" Target="https://www.simplypsychology.org/bobo-doll.html" TargetMode="External"/><Relationship Id="rId22" Type="http://schemas.openxmlformats.org/officeDocument/2006/relationships/hyperlink" Target="https://www.ons.gov.uk/peoplepopulationandcommunity/educationandchildcare/articles/theeducationbackgroundoflookedafterchildrenwhointeractwiththecriminaljusticesystem/december2022" TargetMode="External"/><Relationship Id="rId27" Type="http://schemas.openxmlformats.org/officeDocument/2006/relationships/hyperlink" Target="https://cycj.org.uk/wp-content/uploads/2018/08/Adverse-Childhood-Experiences-in-high-risk_CYCJ-_Final-Version-proofed.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3611</Words>
  <Characters>20588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Morris-Puttock (2100519)</dc:creator>
  <cp:keywords/>
  <dc:description/>
  <cp:lastModifiedBy>Tammy Morris</cp:lastModifiedBy>
  <cp:revision>3</cp:revision>
  <dcterms:created xsi:type="dcterms:W3CDTF">2023-12-08T23:10:00Z</dcterms:created>
  <dcterms:modified xsi:type="dcterms:W3CDTF">2023-12-08T23:12:00Z</dcterms:modified>
</cp:coreProperties>
</file>