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B55DC" w14:textId="77777777" w:rsidR="00766A83" w:rsidRPr="00371EE3" w:rsidRDefault="00766A83" w:rsidP="00C74F91">
      <w:pPr>
        <w:spacing w:line="600" w:lineRule="auto"/>
        <w:jc w:val="center"/>
        <w:rPr>
          <w:rFonts w:ascii="Arial" w:hAnsi="Arial" w:cs="Arial"/>
          <w:b/>
          <w:bCs/>
          <w:sz w:val="24"/>
          <w:szCs w:val="24"/>
          <w:u w:val="single"/>
        </w:rPr>
      </w:pPr>
      <w:r w:rsidRPr="00371EE3">
        <w:rPr>
          <w:rFonts w:ascii="Arial" w:hAnsi="Arial" w:cs="Arial"/>
          <w:b/>
          <w:bCs/>
          <w:sz w:val="24"/>
          <w:szCs w:val="24"/>
          <w:u w:val="single"/>
        </w:rPr>
        <w:t>MA Children and Young People Mental Health</w:t>
      </w:r>
    </w:p>
    <w:p w14:paraId="5EA9B2FC" w14:textId="6C81DBCB" w:rsidR="00766A83" w:rsidRPr="00766A83" w:rsidRDefault="00766A83" w:rsidP="00C74F91">
      <w:pPr>
        <w:spacing w:line="600" w:lineRule="auto"/>
        <w:jc w:val="center"/>
        <w:rPr>
          <w:rFonts w:ascii="Arial" w:hAnsi="Arial" w:cs="Arial"/>
          <w:b/>
          <w:bCs/>
          <w:sz w:val="24"/>
          <w:szCs w:val="24"/>
          <w:u w:val="single"/>
        </w:rPr>
      </w:pPr>
      <w:r w:rsidRPr="00766A83">
        <w:rPr>
          <w:rFonts w:ascii="Arial" w:hAnsi="Arial" w:cs="Arial"/>
          <w:b/>
          <w:bCs/>
          <w:sz w:val="24"/>
          <w:szCs w:val="24"/>
          <w:u w:val="single"/>
        </w:rPr>
        <w:t>Understanding Trauma and the Mental Health Needs of the Child - ECCY7007</w:t>
      </w:r>
    </w:p>
    <w:p w14:paraId="2F445420" w14:textId="610FCEFF" w:rsidR="00766A83" w:rsidRPr="00371EE3" w:rsidRDefault="00766A83" w:rsidP="00C74F91">
      <w:pPr>
        <w:spacing w:line="600" w:lineRule="auto"/>
        <w:rPr>
          <w:rFonts w:ascii="Arial" w:hAnsi="Arial" w:cs="Arial"/>
          <w:b/>
          <w:bCs/>
          <w:sz w:val="24"/>
          <w:szCs w:val="24"/>
          <w:u w:val="single"/>
        </w:rPr>
      </w:pPr>
      <w:r w:rsidRPr="00371EE3">
        <w:rPr>
          <w:rFonts w:ascii="Arial" w:hAnsi="Arial" w:cs="Arial"/>
          <w:b/>
          <w:bCs/>
          <w:sz w:val="24"/>
          <w:szCs w:val="24"/>
          <w:u w:val="single"/>
        </w:rPr>
        <w:t>Carrie Needs – 0100928</w:t>
      </w:r>
      <w:r w:rsidRPr="00371EE3">
        <w:rPr>
          <w:rFonts w:ascii="Arial" w:hAnsi="Arial" w:cs="Arial"/>
          <w:b/>
          <w:bCs/>
          <w:sz w:val="24"/>
          <w:szCs w:val="24"/>
        </w:rPr>
        <w:tab/>
      </w:r>
      <w:r w:rsidRPr="00371EE3">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 xml:space="preserve">         </w:t>
      </w:r>
      <w:r>
        <w:rPr>
          <w:rFonts w:ascii="Arial" w:hAnsi="Arial" w:cs="Arial"/>
          <w:b/>
          <w:bCs/>
          <w:sz w:val="24"/>
          <w:szCs w:val="24"/>
          <w:u w:val="single"/>
        </w:rPr>
        <w:t>16</w:t>
      </w:r>
      <w:r w:rsidRPr="00371EE3">
        <w:rPr>
          <w:rFonts w:ascii="Arial" w:hAnsi="Arial" w:cs="Arial"/>
          <w:b/>
          <w:bCs/>
          <w:sz w:val="24"/>
          <w:szCs w:val="24"/>
          <w:u w:val="single"/>
        </w:rPr>
        <w:t>/1</w:t>
      </w:r>
      <w:r w:rsidR="00C77F1B">
        <w:rPr>
          <w:rFonts w:ascii="Arial" w:hAnsi="Arial" w:cs="Arial"/>
          <w:b/>
          <w:bCs/>
          <w:sz w:val="24"/>
          <w:szCs w:val="24"/>
          <w:u w:val="single"/>
        </w:rPr>
        <w:t>2</w:t>
      </w:r>
      <w:r w:rsidRPr="00371EE3">
        <w:rPr>
          <w:rFonts w:ascii="Arial" w:hAnsi="Arial" w:cs="Arial"/>
          <w:b/>
          <w:bCs/>
          <w:sz w:val="24"/>
          <w:szCs w:val="24"/>
          <w:u w:val="single"/>
        </w:rPr>
        <w:t>/2025</w:t>
      </w:r>
    </w:p>
    <w:p w14:paraId="2957160A" w14:textId="77777777" w:rsidR="00766A83" w:rsidRPr="00371EE3" w:rsidRDefault="00766A83" w:rsidP="00C74F91">
      <w:pPr>
        <w:spacing w:line="600" w:lineRule="auto"/>
        <w:rPr>
          <w:rFonts w:ascii="Arial" w:hAnsi="Arial" w:cs="Arial"/>
          <w:b/>
          <w:bCs/>
          <w:sz w:val="24"/>
          <w:szCs w:val="24"/>
          <w:u w:val="single"/>
        </w:rPr>
      </w:pPr>
      <w:r w:rsidRPr="00371EE3">
        <w:rPr>
          <w:rFonts w:ascii="Arial" w:hAnsi="Arial" w:cs="Arial"/>
          <w:b/>
          <w:bCs/>
          <w:sz w:val="24"/>
          <w:szCs w:val="24"/>
          <w:u w:val="single"/>
        </w:rPr>
        <w:t xml:space="preserve">AI acknowledgement: </w:t>
      </w:r>
    </w:p>
    <w:p w14:paraId="0CF53CE0" w14:textId="3BA3BA90" w:rsidR="00766A83" w:rsidRPr="00371EE3" w:rsidRDefault="00766A83" w:rsidP="00C74F91">
      <w:pPr>
        <w:spacing w:line="600" w:lineRule="auto"/>
        <w:rPr>
          <w:rFonts w:ascii="Arial" w:hAnsi="Arial" w:cs="Arial"/>
          <w:sz w:val="24"/>
          <w:szCs w:val="24"/>
        </w:rPr>
      </w:pPr>
      <w:r w:rsidRPr="00371EE3">
        <w:rPr>
          <w:rFonts w:ascii="Arial" w:hAnsi="Arial" w:cs="Arial"/>
          <w:sz w:val="24"/>
          <w:szCs w:val="24"/>
        </w:rPr>
        <w:t>I acknowledge the use of </w:t>
      </w:r>
      <w:r w:rsidR="002C669A">
        <w:rPr>
          <w:rFonts w:ascii="Arial" w:hAnsi="Arial" w:cs="Arial"/>
          <w:sz w:val="24"/>
          <w:szCs w:val="24"/>
        </w:rPr>
        <w:t>Co-Pilot</w:t>
      </w:r>
      <w:r>
        <w:rPr>
          <w:rFonts w:ascii="Arial" w:hAnsi="Arial" w:cs="Arial"/>
          <w:sz w:val="24"/>
          <w:szCs w:val="24"/>
        </w:rPr>
        <w:t xml:space="preserve"> </w:t>
      </w:r>
      <w:r w:rsidR="00C77F1B">
        <w:rPr>
          <w:rFonts w:ascii="Arial" w:hAnsi="Arial" w:cs="Arial"/>
          <w:sz w:val="24"/>
          <w:szCs w:val="24"/>
        </w:rPr>
        <w:t xml:space="preserve">to identify some appropriate research </w:t>
      </w:r>
      <w:r>
        <w:rPr>
          <w:rFonts w:ascii="Arial" w:hAnsi="Arial" w:cs="Arial"/>
          <w:sz w:val="24"/>
          <w:szCs w:val="24"/>
        </w:rPr>
        <w:t>on 15</w:t>
      </w:r>
      <w:r w:rsidR="00323A09">
        <w:rPr>
          <w:rFonts w:ascii="Arial" w:hAnsi="Arial" w:cs="Arial"/>
          <w:sz w:val="24"/>
          <w:szCs w:val="24"/>
        </w:rPr>
        <w:t>/1</w:t>
      </w:r>
      <w:r w:rsidR="00C77F1B">
        <w:rPr>
          <w:rFonts w:ascii="Arial" w:hAnsi="Arial" w:cs="Arial"/>
          <w:sz w:val="24"/>
          <w:szCs w:val="24"/>
        </w:rPr>
        <w:t>2</w:t>
      </w:r>
      <w:r w:rsidR="00323A09">
        <w:rPr>
          <w:rFonts w:ascii="Arial" w:hAnsi="Arial" w:cs="Arial"/>
          <w:sz w:val="24"/>
          <w:szCs w:val="24"/>
        </w:rPr>
        <w:t>/2025 and 16</w:t>
      </w:r>
      <w:r>
        <w:rPr>
          <w:rFonts w:ascii="Arial" w:hAnsi="Arial" w:cs="Arial"/>
          <w:sz w:val="24"/>
          <w:szCs w:val="24"/>
        </w:rPr>
        <w:t>/1</w:t>
      </w:r>
      <w:r w:rsidR="00C77F1B">
        <w:rPr>
          <w:rFonts w:ascii="Arial" w:hAnsi="Arial" w:cs="Arial"/>
          <w:sz w:val="24"/>
          <w:szCs w:val="24"/>
        </w:rPr>
        <w:t>2</w:t>
      </w:r>
      <w:r>
        <w:rPr>
          <w:rFonts w:ascii="Arial" w:hAnsi="Arial" w:cs="Arial"/>
          <w:sz w:val="24"/>
          <w:szCs w:val="24"/>
        </w:rPr>
        <w:t xml:space="preserve">/2025. </w:t>
      </w:r>
    </w:p>
    <w:p w14:paraId="372D1C8A" w14:textId="77777777" w:rsidR="00766A83" w:rsidRPr="00703CC8" w:rsidRDefault="00766A83" w:rsidP="00C74F91">
      <w:pPr>
        <w:spacing w:line="600" w:lineRule="auto"/>
        <w:rPr>
          <w:rFonts w:ascii="Arial" w:hAnsi="Arial" w:cs="Arial"/>
          <w:sz w:val="24"/>
          <w:szCs w:val="24"/>
        </w:rPr>
      </w:pPr>
      <w:r w:rsidRPr="00371EE3">
        <w:rPr>
          <w:rFonts w:ascii="Arial" w:hAnsi="Arial" w:cs="Arial"/>
          <w:sz w:val="24"/>
          <w:szCs w:val="24"/>
        </w:rPr>
        <w:t xml:space="preserve">I used </w:t>
      </w:r>
      <w:r w:rsidRPr="00703CC8">
        <w:rPr>
          <w:rFonts w:ascii="Arial" w:hAnsi="Arial" w:cs="Arial"/>
          <w:sz w:val="24"/>
          <w:szCs w:val="24"/>
        </w:rPr>
        <w:t xml:space="preserve">the prompt(s):   </w:t>
      </w:r>
    </w:p>
    <w:p w14:paraId="6FA16184" w14:textId="0C317118" w:rsidR="00323A09" w:rsidRDefault="00323A09" w:rsidP="00C74F91">
      <w:pPr>
        <w:spacing w:line="600" w:lineRule="auto"/>
        <w:rPr>
          <w:rFonts w:ascii="Arial" w:hAnsi="Arial" w:cs="Arial"/>
          <w:sz w:val="24"/>
          <w:szCs w:val="24"/>
        </w:rPr>
      </w:pPr>
      <w:r>
        <w:rPr>
          <w:rFonts w:ascii="Arial" w:hAnsi="Arial" w:cs="Arial"/>
          <w:sz w:val="24"/>
          <w:szCs w:val="24"/>
        </w:rPr>
        <w:t>‘</w:t>
      </w:r>
      <w:r w:rsidR="00C77F1B">
        <w:rPr>
          <w:rFonts w:ascii="Arial" w:hAnsi="Arial" w:cs="Arial"/>
          <w:sz w:val="24"/>
          <w:szCs w:val="24"/>
        </w:rPr>
        <w:t>S</w:t>
      </w:r>
      <w:r w:rsidR="00C77F1B" w:rsidRPr="00C77F1B">
        <w:rPr>
          <w:rFonts w:ascii="Arial" w:hAnsi="Arial" w:cs="Arial"/>
          <w:sz w:val="24"/>
          <w:szCs w:val="24"/>
        </w:rPr>
        <w:t xml:space="preserve">how me literature </w:t>
      </w:r>
      <w:r w:rsidR="002C669A">
        <w:rPr>
          <w:rFonts w:ascii="Arial" w:hAnsi="Arial" w:cs="Arial"/>
          <w:sz w:val="24"/>
          <w:szCs w:val="24"/>
        </w:rPr>
        <w:t>focusing</w:t>
      </w:r>
      <w:r w:rsidR="00C77F1B" w:rsidRPr="00C77F1B">
        <w:rPr>
          <w:rFonts w:ascii="Arial" w:hAnsi="Arial" w:cs="Arial"/>
          <w:sz w:val="24"/>
          <w:szCs w:val="24"/>
        </w:rPr>
        <w:t xml:space="preserve"> on trauma and mental health in children and young people from the last 5 years</w:t>
      </w:r>
      <w:r w:rsidR="00C77F1B">
        <w:rPr>
          <w:rFonts w:ascii="Arial" w:hAnsi="Arial" w:cs="Arial"/>
          <w:sz w:val="24"/>
          <w:szCs w:val="24"/>
        </w:rPr>
        <w:t xml:space="preserve">. This allowed me to formulate ideas for possible avenues to take the essay down, in relation to the case studies. </w:t>
      </w:r>
    </w:p>
    <w:p w14:paraId="753640FA" w14:textId="5C2AC3AB" w:rsidR="00766A83" w:rsidRPr="00371EE3" w:rsidRDefault="00766A83" w:rsidP="00C74F91">
      <w:pPr>
        <w:spacing w:line="600" w:lineRule="auto"/>
        <w:rPr>
          <w:rFonts w:ascii="Arial" w:hAnsi="Arial" w:cs="Arial"/>
          <w:sz w:val="24"/>
          <w:szCs w:val="24"/>
        </w:rPr>
      </w:pPr>
      <w:r w:rsidRPr="00371EE3">
        <w:rPr>
          <w:rFonts w:ascii="Arial" w:hAnsi="Arial" w:cs="Arial"/>
          <w:sz w:val="24"/>
          <w:szCs w:val="24"/>
        </w:rPr>
        <w:t xml:space="preserve">I confirm that I have not presented any </w:t>
      </w:r>
      <w:r>
        <w:rPr>
          <w:rFonts w:ascii="Arial" w:hAnsi="Arial" w:cs="Arial"/>
          <w:sz w:val="24"/>
          <w:szCs w:val="24"/>
        </w:rPr>
        <w:t>AI-generated</w:t>
      </w:r>
      <w:r w:rsidRPr="00371EE3">
        <w:rPr>
          <w:rFonts w:ascii="Arial" w:hAnsi="Arial" w:cs="Arial"/>
          <w:sz w:val="24"/>
          <w:szCs w:val="24"/>
        </w:rPr>
        <w:t xml:space="preserve"> text as my own work. </w:t>
      </w:r>
    </w:p>
    <w:p w14:paraId="3D67BF7D" w14:textId="77777777" w:rsidR="00766A83" w:rsidRPr="00371EE3" w:rsidRDefault="00766A83" w:rsidP="00C74F91">
      <w:pPr>
        <w:spacing w:line="600" w:lineRule="auto"/>
        <w:rPr>
          <w:rFonts w:ascii="Arial" w:hAnsi="Arial" w:cs="Arial"/>
          <w:sz w:val="24"/>
          <w:szCs w:val="24"/>
        </w:rPr>
      </w:pPr>
      <w:r w:rsidRPr="00371EE3">
        <w:rPr>
          <w:rFonts w:ascii="Arial" w:hAnsi="Arial" w:cs="Arial"/>
          <w:sz w:val="24"/>
          <w:szCs w:val="24"/>
        </w:rPr>
        <w:t>I confirm I have copies of my drafts, notes, and other resources I used before and after the use of AI tools</w:t>
      </w:r>
      <w:r>
        <w:rPr>
          <w:rFonts w:ascii="Arial" w:hAnsi="Arial" w:cs="Arial"/>
          <w:sz w:val="24"/>
          <w:szCs w:val="24"/>
        </w:rPr>
        <w:t>,</w:t>
      </w:r>
      <w:r w:rsidRPr="00371EE3">
        <w:rPr>
          <w:rFonts w:ascii="Arial" w:hAnsi="Arial" w:cs="Arial"/>
          <w:sz w:val="24"/>
          <w:szCs w:val="24"/>
        </w:rPr>
        <w:t xml:space="preserve"> which I may be asked to provide in evidence.  </w:t>
      </w:r>
    </w:p>
    <w:p w14:paraId="502A043D" w14:textId="4652FB65" w:rsidR="00766A83" w:rsidRPr="00371EE3" w:rsidRDefault="00766A83" w:rsidP="00C74F91">
      <w:pPr>
        <w:spacing w:line="600" w:lineRule="auto"/>
        <w:rPr>
          <w:rFonts w:ascii="Arial" w:hAnsi="Arial" w:cs="Arial"/>
          <w:sz w:val="24"/>
          <w:szCs w:val="24"/>
        </w:rPr>
      </w:pPr>
      <w:r w:rsidRPr="00371EE3">
        <w:rPr>
          <w:rFonts w:ascii="Arial" w:hAnsi="Arial" w:cs="Arial"/>
          <w:sz w:val="24"/>
          <w:szCs w:val="24"/>
        </w:rPr>
        <w:t>I acknowledge the use of Grammarly (</w:t>
      </w:r>
      <w:hyperlink r:id="rId7" w:history="1">
        <w:r w:rsidRPr="00470B58">
          <w:rPr>
            <w:rStyle w:val="Hyperlink"/>
            <w:rFonts w:ascii="Arial" w:hAnsi="Arial" w:cs="Arial"/>
            <w:sz w:val="24"/>
            <w:szCs w:val="24"/>
          </w:rPr>
          <w:t xml:space="preserve">https://www.grammarly.com/)  </w:t>
        </w:r>
      </w:hyperlink>
      <w:r>
        <w:rPr>
          <w:rFonts w:ascii="Arial" w:hAnsi="Arial" w:cs="Arial"/>
          <w:sz w:val="24"/>
          <w:szCs w:val="24"/>
        </w:rPr>
        <w:t>November 16</w:t>
      </w:r>
      <w:r w:rsidRPr="00766A83">
        <w:rPr>
          <w:rFonts w:ascii="Arial" w:hAnsi="Arial" w:cs="Arial"/>
          <w:sz w:val="24"/>
          <w:szCs w:val="24"/>
          <w:vertAlign w:val="superscript"/>
        </w:rPr>
        <w:t>th</w:t>
      </w:r>
      <w:r w:rsidR="00323A09">
        <w:rPr>
          <w:rFonts w:ascii="Arial" w:hAnsi="Arial" w:cs="Arial"/>
          <w:sz w:val="24"/>
          <w:szCs w:val="24"/>
        </w:rPr>
        <w:t>, 2025,</w:t>
      </w:r>
      <w:r w:rsidRPr="00371EE3">
        <w:rPr>
          <w:rFonts w:ascii="Arial" w:hAnsi="Arial" w:cs="Arial"/>
          <w:sz w:val="24"/>
          <w:szCs w:val="24"/>
        </w:rPr>
        <w:t xml:space="preserve"> to check my work using the prompt(s):   </w:t>
      </w:r>
    </w:p>
    <w:p w14:paraId="76F16C3A" w14:textId="77777777" w:rsidR="00766A83" w:rsidRPr="00371EE3" w:rsidRDefault="00766A83" w:rsidP="00C74F91">
      <w:pPr>
        <w:pStyle w:val="ListParagraph"/>
        <w:numPr>
          <w:ilvl w:val="0"/>
          <w:numId w:val="3"/>
        </w:numPr>
        <w:spacing w:line="600" w:lineRule="auto"/>
        <w:rPr>
          <w:rFonts w:ascii="Arial" w:hAnsi="Arial" w:cs="Arial"/>
          <w:sz w:val="24"/>
          <w:szCs w:val="24"/>
        </w:rPr>
      </w:pPr>
      <w:r w:rsidRPr="00371EE3">
        <w:rPr>
          <w:rFonts w:ascii="Arial" w:hAnsi="Arial" w:cs="Arial"/>
          <w:sz w:val="24"/>
          <w:szCs w:val="24"/>
        </w:rPr>
        <w:t xml:space="preserve">Please check the following text for readability, grammar and syntax.   </w:t>
      </w:r>
    </w:p>
    <w:p w14:paraId="26D1E5A2" w14:textId="77777777" w:rsidR="00766A83" w:rsidRPr="00371EE3" w:rsidRDefault="00766A83" w:rsidP="00C74F91">
      <w:pPr>
        <w:spacing w:line="600" w:lineRule="auto"/>
        <w:rPr>
          <w:rFonts w:ascii="Arial" w:hAnsi="Arial" w:cs="Arial"/>
          <w:sz w:val="24"/>
          <w:szCs w:val="24"/>
        </w:rPr>
      </w:pPr>
      <w:r w:rsidRPr="00371EE3">
        <w:rPr>
          <w:rFonts w:ascii="Arial" w:hAnsi="Arial" w:cs="Arial"/>
          <w:sz w:val="24"/>
          <w:szCs w:val="24"/>
        </w:rPr>
        <w:t xml:space="preserve">I confirm that I have not presented any </w:t>
      </w:r>
      <w:r>
        <w:rPr>
          <w:rFonts w:ascii="Arial" w:hAnsi="Arial" w:cs="Arial"/>
          <w:sz w:val="24"/>
          <w:szCs w:val="24"/>
        </w:rPr>
        <w:t>AI-generated</w:t>
      </w:r>
      <w:r w:rsidRPr="00371EE3">
        <w:rPr>
          <w:rFonts w:ascii="Arial" w:hAnsi="Arial" w:cs="Arial"/>
          <w:sz w:val="24"/>
          <w:szCs w:val="24"/>
        </w:rPr>
        <w:t xml:space="preserve"> text as my own work. </w:t>
      </w:r>
    </w:p>
    <w:p w14:paraId="5D63355E" w14:textId="77777777" w:rsidR="00766A83" w:rsidRPr="00371EE3" w:rsidRDefault="00766A83" w:rsidP="00C74F91">
      <w:pPr>
        <w:spacing w:line="600" w:lineRule="auto"/>
        <w:rPr>
          <w:rFonts w:ascii="Arial" w:hAnsi="Arial" w:cs="Arial"/>
          <w:sz w:val="24"/>
          <w:szCs w:val="24"/>
        </w:rPr>
      </w:pPr>
      <w:r w:rsidRPr="00371EE3">
        <w:rPr>
          <w:rFonts w:ascii="Arial" w:hAnsi="Arial" w:cs="Arial"/>
          <w:sz w:val="24"/>
          <w:szCs w:val="24"/>
        </w:rPr>
        <w:lastRenderedPageBreak/>
        <w:t xml:space="preserve">I confirm I have copies of my drafts, notes, </w:t>
      </w:r>
      <w:r>
        <w:rPr>
          <w:rFonts w:ascii="Arial" w:hAnsi="Arial" w:cs="Arial"/>
          <w:sz w:val="24"/>
          <w:szCs w:val="24"/>
        </w:rPr>
        <w:t xml:space="preserve">PDF files (literature saved with notes/highlighted sections), bookmarks in textbooks </w:t>
      </w:r>
      <w:r w:rsidRPr="00371EE3">
        <w:rPr>
          <w:rFonts w:ascii="Arial" w:hAnsi="Arial" w:cs="Arial"/>
          <w:sz w:val="24"/>
          <w:szCs w:val="24"/>
        </w:rPr>
        <w:t>and other resources I used before and after the use of AI tools</w:t>
      </w:r>
      <w:r>
        <w:rPr>
          <w:rFonts w:ascii="Arial" w:hAnsi="Arial" w:cs="Arial"/>
          <w:sz w:val="24"/>
          <w:szCs w:val="24"/>
        </w:rPr>
        <w:t>,</w:t>
      </w:r>
      <w:r w:rsidRPr="00371EE3">
        <w:rPr>
          <w:rFonts w:ascii="Arial" w:hAnsi="Arial" w:cs="Arial"/>
          <w:sz w:val="24"/>
          <w:szCs w:val="24"/>
        </w:rPr>
        <w:t xml:space="preserve"> which I may be asked to provide in evidence.  </w:t>
      </w:r>
    </w:p>
    <w:p w14:paraId="420335DC" w14:textId="77777777" w:rsidR="00766A83" w:rsidRDefault="00766A83" w:rsidP="00C74F91">
      <w:pPr>
        <w:spacing w:line="600" w:lineRule="auto"/>
        <w:rPr>
          <w:rFonts w:ascii="Arial" w:hAnsi="Arial" w:cs="Arial"/>
          <w:sz w:val="24"/>
          <w:szCs w:val="24"/>
        </w:rPr>
      </w:pPr>
      <w:r w:rsidRPr="00371EE3">
        <w:rPr>
          <w:rFonts w:ascii="Arial" w:hAnsi="Arial" w:cs="Arial"/>
          <w:sz w:val="24"/>
          <w:szCs w:val="24"/>
        </w:rPr>
        <w:t xml:space="preserve">I confirm that I have not used any AI tools in the research and creation of this assignment. I confirm that I have not presented any </w:t>
      </w:r>
      <w:r>
        <w:rPr>
          <w:rFonts w:ascii="Arial" w:hAnsi="Arial" w:cs="Arial"/>
          <w:sz w:val="24"/>
          <w:szCs w:val="24"/>
        </w:rPr>
        <w:t>AI-generated</w:t>
      </w:r>
      <w:r w:rsidRPr="00371EE3">
        <w:rPr>
          <w:rFonts w:ascii="Arial" w:hAnsi="Arial" w:cs="Arial"/>
          <w:sz w:val="24"/>
          <w:szCs w:val="24"/>
        </w:rPr>
        <w:t xml:space="preserve"> materials as my own work. I confirm I have copies of my drafts, notes, and other resources I used, which I may be asked to provide in evidence.</w:t>
      </w:r>
    </w:p>
    <w:p w14:paraId="2E5AFCD8" w14:textId="77777777" w:rsidR="00766A83" w:rsidRDefault="00766A83" w:rsidP="00C74F91">
      <w:pPr>
        <w:spacing w:line="600" w:lineRule="auto"/>
        <w:rPr>
          <w:u w:val="single"/>
        </w:rPr>
      </w:pPr>
    </w:p>
    <w:p w14:paraId="451B6A57" w14:textId="77777777" w:rsidR="00766A83" w:rsidRDefault="00766A83" w:rsidP="00C74F91">
      <w:pPr>
        <w:spacing w:line="600" w:lineRule="auto"/>
        <w:rPr>
          <w:u w:val="single"/>
        </w:rPr>
      </w:pPr>
    </w:p>
    <w:p w14:paraId="2282E3BB" w14:textId="77777777" w:rsidR="00C77F1B" w:rsidRDefault="00C77F1B" w:rsidP="00C74F91">
      <w:pPr>
        <w:spacing w:line="600" w:lineRule="auto"/>
        <w:rPr>
          <w:u w:val="single"/>
        </w:rPr>
      </w:pPr>
    </w:p>
    <w:p w14:paraId="4EC2704D" w14:textId="77777777" w:rsidR="00C74F91" w:rsidRDefault="00C74F91" w:rsidP="00C74F91">
      <w:pPr>
        <w:spacing w:line="600" w:lineRule="auto"/>
        <w:rPr>
          <w:u w:val="single"/>
        </w:rPr>
      </w:pPr>
    </w:p>
    <w:p w14:paraId="088EFC26" w14:textId="77777777" w:rsidR="00C74F91" w:rsidRDefault="00C74F91" w:rsidP="00C74F91">
      <w:pPr>
        <w:spacing w:line="600" w:lineRule="auto"/>
        <w:rPr>
          <w:u w:val="single"/>
        </w:rPr>
      </w:pPr>
    </w:p>
    <w:p w14:paraId="76483D84" w14:textId="77777777" w:rsidR="00C74F91" w:rsidRDefault="00C74F91" w:rsidP="00C74F91">
      <w:pPr>
        <w:spacing w:line="600" w:lineRule="auto"/>
        <w:rPr>
          <w:u w:val="single"/>
        </w:rPr>
      </w:pPr>
    </w:p>
    <w:p w14:paraId="0B74D162" w14:textId="77777777" w:rsidR="00C74F91" w:rsidRDefault="00C74F91" w:rsidP="00C74F91">
      <w:pPr>
        <w:spacing w:line="600" w:lineRule="auto"/>
        <w:rPr>
          <w:u w:val="single"/>
        </w:rPr>
      </w:pPr>
    </w:p>
    <w:p w14:paraId="32606DED" w14:textId="77777777" w:rsidR="00C74F91" w:rsidRDefault="00C74F91" w:rsidP="00C74F91">
      <w:pPr>
        <w:spacing w:line="600" w:lineRule="auto"/>
        <w:rPr>
          <w:u w:val="single"/>
        </w:rPr>
      </w:pPr>
    </w:p>
    <w:p w14:paraId="3BE179CC" w14:textId="77777777" w:rsidR="00C74F91" w:rsidRDefault="00C74F91" w:rsidP="00C74F91">
      <w:pPr>
        <w:spacing w:line="600" w:lineRule="auto"/>
        <w:rPr>
          <w:u w:val="single"/>
        </w:rPr>
      </w:pPr>
    </w:p>
    <w:p w14:paraId="2E0232C5" w14:textId="77777777" w:rsidR="00C74F91" w:rsidRDefault="00C74F91" w:rsidP="00C74F91">
      <w:pPr>
        <w:spacing w:line="600" w:lineRule="auto"/>
        <w:rPr>
          <w:u w:val="single"/>
        </w:rPr>
      </w:pPr>
    </w:p>
    <w:p w14:paraId="1C2918C6" w14:textId="77777777" w:rsidR="00C77F1B" w:rsidRDefault="00C77F1B" w:rsidP="00F80C61">
      <w:pPr>
        <w:spacing w:line="480" w:lineRule="auto"/>
        <w:rPr>
          <w:u w:val="single"/>
        </w:rPr>
      </w:pPr>
    </w:p>
    <w:p w14:paraId="262C77D8" w14:textId="20D8FB48" w:rsidR="006A3541" w:rsidRDefault="006A3541" w:rsidP="00F80C61">
      <w:pPr>
        <w:spacing w:line="480" w:lineRule="auto"/>
        <w:ind w:firstLine="720"/>
        <w:rPr>
          <w:rFonts w:ascii="Arial" w:hAnsi="Arial" w:cs="Arial"/>
          <w:sz w:val="24"/>
          <w:szCs w:val="24"/>
        </w:rPr>
      </w:pPr>
      <w:r>
        <w:rPr>
          <w:rFonts w:ascii="Arial" w:hAnsi="Arial" w:cs="Arial"/>
          <w:sz w:val="24"/>
          <w:szCs w:val="24"/>
        </w:rPr>
        <w:lastRenderedPageBreak/>
        <w:t xml:space="preserve">‘Loving your child is not </w:t>
      </w:r>
      <w:r w:rsidRPr="006A3541">
        <w:rPr>
          <w:rFonts w:ascii="Arial" w:hAnsi="Arial" w:cs="Arial"/>
          <w:sz w:val="24"/>
          <w:szCs w:val="24"/>
        </w:rPr>
        <w:t>enough (</w:t>
      </w:r>
      <w:proofErr w:type="spellStart"/>
      <w:r w:rsidRPr="006A3541">
        <w:rPr>
          <w:rFonts w:ascii="Arial" w:eastAsia="Times New Roman" w:hAnsi="Arial" w:cs="Arial"/>
          <w:kern w:val="0"/>
          <w:sz w:val="24"/>
          <w:szCs w:val="24"/>
          <w:lang w:eastAsia="en-GB"/>
          <w14:ligatures w14:val="none"/>
        </w:rPr>
        <w:t>Samalin</w:t>
      </w:r>
      <w:proofErr w:type="spellEnd"/>
      <w:r w:rsidRPr="006A3541">
        <w:rPr>
          <w:rFonts w:ascii="Arial" w:eastAsia="Times New Roman" w:hAnsi="Arial" w:cs="Arial"/>
          <w:kern w:val="0"/>
          <w:sz w:val="24"/>
          <w:szCs w:val="24"/>
          <w:lang w:eastAsia="en-GB"/>
          <w14:ligatures w14:val="none"/>
        </w:rPr>
        <w:t xml:space="preserve"> and Jablow, 1998)</w:t>
      </w:r>
      <w:r>
        <w:rPr>
          <w:rFonts w:ascii="Arial" w:eastAsia="Times New Roman" w:hAnsi="Arial" w:cs="Arial"/>
          <w:kern w:val="0"/>
          <w:sz w:val="24"/>
          <w:szCs w:val="24"/>
          <w:lang w:eastAsia="en-GB"/>
          <w14:ligatures w14:val="none"/>
        </w:rPr>
        <w:t>’</w:t>
      </w:r>
      <w:r w:rsidRPr="006A3541">
        <w:rPr>
          <w:rFonts w:ascii="Arial" w:eastAsia="Times New Roman" w:hAnsi="Arial" w:cs="Arial"/>
          <w:kern w:val="0"/>
          <w:sz w:val="24"/>
          <w:szCs w:val="24"/>
          <w:lang w:eastAsia="en-GB"/>
          <w14:ligatures w14:val="none"/>
        </w:rPr>
        <w:t xml:space="preserve">. </w:t>
      </w:r>
      <w:r w:rsidRPr="006A3541">
        <w:rPr>
          <w:rFonts w:ascii="Arial" w:hAnsi="Arial" w:cs="Arial"/>
          <w:sz w:val="24"/>
          <w:szCs w:val="24"/>
        </w:rPr>
        <w:t xml:space="preserve">The phrase is </w:t>
      </w:r>
      <w:r w:rsidR="002C669A">
        <w:rPr>
          <w:rFonts w:ascii="Arial" w:hAnsi="Arial" w:cs="Arial"/>
          <w:sz w:val="24"/>
          <w:szCs w:val="24"/>
        </w:rPr>
        <w:t>‘</w:t>
      </w:r>
      <w:r w:rsidRPr="006A3541">
        <w:rPr>
          <w:rFonts w:ascii="Arial" w:hAnsi="Arial" w:cs="Arial"/>
          <w:sz w:val="24"/>
          <w:szCs w:val="24"/>
        </w:rPr>
        <w:t>not just a slogan</w:t>
      </w:r>
      <w:r w:rsidR="002C669A">
        <w:rPr>
          <w:rFonts w:ascii="Arial" w:hAnsi="Arial" w:cs="Arial"/>
          <w:sz w:val="24"/>
          <w:szCs w:val="24"/>
        </w:rPr>
        <w:t>’</w:t>
      </w:r>
      <w:r w:rsidRPr="006A3541">
        <w:rPr>
          <w:rFonts w:ascii="Arial" w:hAnsi="Arial" w:cs="Arial"/>
          <w:sz w:val="24"/>
          <w:szCs w:val="24"/>
        </w:rPr>
        <w:t xml:space="preserve"> but the core thesis of Nancy Samalin’s parenting approach</w:t>
      </w:r>
      <w:r>
        <w:rPr>
          <w:rFonts w:ascii="Arial" w:hAnsi="Arial" w:cs="Arial"/>
          <w:sz w:val="24"/>
          <w:szCs w:val="24"/>
        </w:rPr>
        <w:t>;</w:t>
      </w:r>
      <w:r w:rsidRPr="006A3541">
        <w:rPr>
          <w:rFonts w:ascii="Arial" w:hAnsi="Arial" w:cs="Arial"/>
          <w:sz w:val="24"/>
          <w:szCs w:val="24"/>
        </w:rPr>
        <w:t xml:space="preserve"> </w:t>
      </w:r>
      <w:r w:rsidR="002C669A">
        <w:rPr>
          <w:rFonts w:ascii="Arial" w:hAnsi="Arial" w:cs="Arial"/>
          <w:sz w:val="24"/>
          <w:szCs w:val="24"/>
        </w:rPr>
        <w:t>‘</w:t>
      </w:r>
      <w:r w:rsidRPr="006A3541">
        <w:rPr>
          <w:rFonts w:ascii="Arial" w:hAnsi="Arial" w:cs="Arial"/>
          <w:sz w:val="24"/>
          <w:szCs w:val="24"/>
        </w:rPr>
        <w:t>effective child development requires both emotional warmth and structured, trauma</w:t>
      </w:r>
      <w:r w:rsidRPr="006A3541">
        <w:rPr>
          <w:rFonts w:ascii="Cambria Math" w:hAnsi="Cambria Math" w:cs="Cambria Math"/>
          <w:sz w:val="24"/>
          <w:szCs w:val="24"/>
        </w:rPr>
        <w:t>‑</w:t>
      </w:r>
      <w:r w:rsidRPr="006A3541">
        <w:rPr>
          <w:rFonts w:ascii="Arial" w:hAnsi="Arial" w:cs="Arial"/>
          <w:sz w:val="24"/>
          <w:szCs w:val="24"/>
        </w:rPr>
        <w:t xml:space="preserve">informed </w:t>
      </w:r>
      <w:r>
        <w:rPr>
          <w:rFonts w:ascii="Arial" w:hAnsi="Arial" w:cs="Arial"/>
          <w:sz w:val="24"/>
          <w:szCs w:val="24"/>
        </w:rPr>
        <w:t>care</w:t>
      </w:r>
      <w:r w:rsidR="002C669A">
        <w:rPr>
          <w:rFonts w:ascii="Arial" w:hAnsi="Arial" w:cs="Arial"/>
          <w:sz w:val="24"/>
          <w:szCs w:val="24"/>
        </w:rPr>
        <w:t>’</w:t>
      </w:r>
      <w:r w:rsidRPr="006A3541">
        <w:rPr>
          <w:rFonts w:ascii="Arial" w:hAnsi="Arial" w:cs="Arial"/>
          <w:sz w:val="24"/>
          <w:szCs w:val="24"/>
        </w:rPr>
        <w:t xml:space="preserve">. This resonates strongly with </w:t>
      </w:r>
      <w:r>
        <w:rPr>
          <w:rFonts w:ascii="Arial" w:hAnsi="Arial" w:cs="Arial"/>
          <w:sz w:val="24"/>
          <w:szCs w:val="24"/>
        </w:rPr>
        <w:t>the case study ‘</w:t>
      </w:r>
      <w:r w:rsidRPr="006A3541">
        <w:rPr>
          <w:rFonts w:ascii="Arial" w:hAnsi="Arial" w:cs="Arial"/>
          <w:sz w:val="24"/>
          <w:szCs w:val="24"/>
        </w:rPr>
        <w:t>Jack</w:t>
      </w:r>
      <w:r>
        <w:rPr>
          <w:rFonts w:ascii="Arial" w:hAnsi="Arial" w:cs="Arial"/>
          <w:sz w:val="24"/>
          <w:szCs w:val="24"/>
        </w:rPr>
        <w:t>’</w:t>
      </w:r>
      <w:r w:rsidRPr="006A3541">
        <w:rPr>
          <w:rFonts w:ascii="Arial" w:hAnsi="Arial" w:cs="Arial"/>
          <w:sz w:val="24"/>
          <w:szCs w:val="24"/>
        </w:rPr>
        <w:t>, where love and care must be paired with stability, boundaries, and trauma</w:t>
      </w:r>
      <w:r w:rsidRPr="006A3541">
        <w:rPr>
          <w:rFonts w:ascii="Cambria Math" w:hAnsi="Cambria Math" w:cs="Cambria Math"/>
          <w:sz w:val="24"/>
          <w:szCs w:val="24"/>
        </w:rPr>
        <w:t>‑</w:t>
      </w:r>
      <w:r w:rsidRPr="006A3541">
        <w:rPr>
          <w:rFonts w:ascii="Arial" w:hAnsi="Arial" w:cs="Arial"/>
          <w:sz w:val="24"/>
          <w:szCs w:val="24"/>
        </w:rPr>
        <w:t>sensitive support to mitigate the effects of neglect and instability</w:t>
      </w:r>
      <w:r>
        <w:rPr>
          <w:rFonts w:ascii="Arial" w:hAnsi="Arial" w:cs="Arial"/>
          <w:sz w:val="24"/>
          <w:szCs w:val="24"/>
        </w:rPr>
        <w:t>.</w:t>
      </w:r>
    </w:p>
    <w:p w14:paraId="4F76CAE7" w14:textId="6DEB5802" w:rsidR="003F3033" w:rsidRPr="00587620" w:rsidRDefault="003F3033" w:rsidP="00F80C61">
      <w:pPr>
        <w:spacing w:line="480" w:lineRule="auto"/>
        <w:ind w:firstLine="720"/>
        <w:rPr>
          <w:rFonts w:ascii="Arial" w:hAnsi="Arial" w:cs="Arial"/>
          <w:sz w:val="24"/>
          <w:szCs w:val="24"/>
        </w:rPr>
      </w:pPr>
      <w:r w:rsidRPr="003F3033">
        <w:rPr>
          <w:rFonts w:ascii="Arial" w:hAnsi="Arial" w:cs="Arial"/>
          <w:sz w:val="24"/>
          <w:szCs w:val="24"/>
        </w:rPr>
        <w:t>Jack’s trauma profile reflects disrupted attachment, cumulative adversity, and behavioural dysregulation consistent with recent findings on children in foster care</w:t>
      </w:r>
      <w:r>
        <w:rPr>
          <w:rFonts w:ascii="Arial" w:hAnsi="Arial" w:cs="Arial"/>
          <w:sz w:val="24"/>
          <w:szCs w:val="24"/>
        </w:rPr>
        <w:t xml:space="preserve"> (Maguire et al 2024 and Jacobs et al, 2022)</w:t>
      </w:r>
      <w:r w:rsidRPr="003F3033">
        <w:rPr>
          <w:rFonts w:ascii="Arial" w:hAnsi="Arial" w:cs="Arial"/>
          <w:sz w:val="24"/>
          <w:szCs w:val="24"/>
        </w:rPr>
        <w:t xml:space="preserve">. Literature from the last five years highlights how early abuse, neglect, instability, and repeated placement moves compound emotional and social difficulties, increasing risks for PTSD, aggression, </w:t>
      </w:r>
      <w:r w:rsidRPr="00587620">
        <w:rPr>
          <w:rFonts w:ascii="Arial" w:hAnsi="Arial" w:cs="Arial"/>
          <w:sz w:val="24"/>
          <w:szCs w:val="24"/>
        </w:rPr>
        <w:t>and insecure attachment (Sparks, 2025</w:t>
      </w:r>
      <w:r w:rsidR="002C669A">
        <w:rPr>
          <w:rFonts w:ascii="Arial" w:hAnsi="Arial" w:cs="Arial"/>
          <w:sz w:val="24"/>
          <w:szCs w:val="24"/>
        </w:rPr>
        <w:t xml:space="preserve">; </w:t>
      </w:r>
      <w:r w:rsidRPr="00587620">
        <w:rPr>
          <w:rFonts w:ascii="Arial" w:hAnsi="Arial" w:cs="Arial"/>
          <w:sz w:val="24"/>
          <w:szCs w:val="24"/>
        </w:rPr>
        <w:t xml:space="preserve">Asmussen et al 2024). </w:t>
      </w:r>
    </w:p>
    <w:p w14:paraId="5544CFF7" w14:textId="4C9236BE" w:rsidR="003F3033" w:rsidRPr="003F3033" w:rsidRDefault="00587620" w:rsidP="00F80C61">
      <w:pPr>
        <w:spacing w:line="480" w:lineRule="auto"/>
        <w:rPr>
          <w:rFonts w:ascii="Arial" w:hAnsi="Arial" w:cs="Arial"/>
          <w:sz w:val="24"/>
          <w:szCs w:val="24"/>
        </w:rPr>
      </w:pPr>
      <w:r w:rsidRPr="00587620">
        <w:rPr>
          <w:rFonts w:ascii="Arial" w:hAnsi="Arial" w:cs="Arial"/>
          <w:sz w:val="24"/>
          <w:szCs w:val="24"/>
        </w:rPr>
        <w:t>Jack’s early exposure to domestic violence, physical abuse, and neglect impaired his development (Gibbs et al., 2024; RCPCH, 2022). Neglect is linked to delayed emotional regulation, insecure attachment, and increased mental health risk (Simon et al., 2024; Finch et al., 2024). Repeated removals from caregivers further disrupted attachment, trust, and relational stability (Jacobs et al., 2022; Maguire et al., 2024; NSPCC Learning, 2025).</w:t>
      </w:r>
      <w:r w:rsidR="00C74F91">
        <w:rPr>
          <w:rFonts w:ascii="Arial" w:hAnsi="Arial" w:cs="Arial"/>
          <w:sz w:val="24"/>
          <w:szCs w:val="24"/>
        </w:rPr>
        <w:t xml:space="preserve"> </w:t>
      </w:r>
      <w:r w:rsidR="003F3033" w:rsidRPr="003F3033">
        <w:rPr>
          <w:rFonts w:ascii="Arial" w:hAnsi="Arial" w:cs="Arial"/>
          <w:sz w:val="24"/>
          <w:szCs w:val="24"/>
        </w:rPr>
        <w:t>Jack has, in addition to this, also experienced ‘placement instability’ and has lived in multiple foster and family homes; each with their own parenting styles, strengths and risks, which is a confirmed risk factor for poor mental health outcomes</w:t>
      </w:r>
      <w:r w:rsidR="00037194">
        <w:rPr>
          <w:rFonts w:ascii="Arial" w:hAnsi="Arial" w:cs="Arial"/>
          <w:sz w:val="24"/>
          <w:szCs w:val="24"/>
        </w:rPr>
        <w:t xml:space="preserve"> (The Fostering Network, 2025</w:t>
      </w:r>
      <w:r w:rsidR="002C669A">
        <w:rPr>
          <w:rFonts w:ascii="Arial" w:hAnsi="Arial" w:cs="Arial"/>
          <w:sz w:val="24"/>
          <w:szCs w:val="24"/>
        </w:rPr>
        <w:t>;</w:t>
      </w:r>
      <w:r w:rsidR="00037194">
        <w:rPr>
          <w:rFonts w:ascii="Arial" w:hAnsi="Arial" w:cs="Arial"/>
          <w:sz w:val="24"/>
          <w:szCs w:val="24"/>
        </w:rPr>
        <w:t xml:space="preserve"> Maguire et al, 2024)</w:t>
      </w:r>
      <w:r w:rsidR="003F3033" w:rsidRPr="003F3033">
        <w:rPr>
          <w:rFonts w:ascii="Arial" w:hAnsi="Arial" w:cs="Arial"/>
          <w:sz w:val="24"/>
          <w:szCs w:val="24"/>
        </w:rPr>
        <w:t>. Recent studies confirm that inconsistent support, with instability of a ‘safe base’</w:t>
      </w:r>
      <w:r w:rsidR="002C669A">
        <w:rPr>
          <w:rFonts w:ascii="Arial" w:hAnsi="Arial" w:cs="Arial"/>
          <w:sz w:val="24"/>
          <w:szCs w:val="24"/>
        </w:rPr>
        <w:t>,</w:t>
      </w:r>
      <w:r w:rsidR="003F3033" w:rsidRPr="003F3033">
        <w:rPr>
          <w:rFonts w:ascii="Arial" w:hAnsi="Arial" w:cs="Arial"/>
          <w:sz w:val="24"/>
          <w:szCs w:val="24"/>
        </w:rPr>
        <w:t xml:space="preserve"> is linked to anxiety, aggression, and difficulties forming peer relationships</w:t>
      </w:r>
      <w:r w:rsidR="00037194">
        <w:rPr>
          <w:rFonts w:ascii="Arial" w:hAnsi="Arial" w:cs="Arial"/>
          <w:sz w:val="24"/>
          <w:szCs w:val="24"/>
        </w:rPr>
        <w:t xml:space="preserve"> (Varnish et al, 2025</w:t>
      </w:r>
      <w:r w:rsidR="002C669A">
        <w:rPr>
          <w:rFonts w:ascii="Arial" w:hAnsi="Arial" w:cs="Arial"/>
          <w:sz w:val="24"/>
          <w:szCs w:val="24"/>
        </w:rPr>
        <w:t>;</w:t>
      </w:r>
      <w:r w:rsidR="00037194">
        <w:rPr>
          <w:rFonts w:ascii="Arial" w:hAnsi="Arial" w:cs="Arial"/>
          <w:sz w:val="24"/>
          <w:szCs w:val="24"/>
        </w:rPr>
        <w:t xml:space="preserve"> Hood et al, 2025</w:t>
      </w:r>
      <w:r w:rsidR="002C669A">
        <w:rPr>
          <w:rFonts w:ascii="Arial" w:hAnsi="Arial" w:cs="Arial"/>
          <w:sz w:val="24"/>
          <w:szCs w:val="24"/>
        </w:rPr>
        <w:t>;</w:t>
      </w:r>
      <w:r w:rsidR="00037194">
        <w:rPr>
          <w:rFonts w:ascii="Arial" w:hAnsi="Arial" w:cs="Arial"/>
          <w:sz w:val="24"/>
          <w:szCs w:val="24"/>
        </w:rPr>
        <w:t xml:space="preserve"> Field, 2025).</w:t>
      </w:r>
    </w:p>
    <w:p w14:paraId="7ECC7BEE" w14:textId="4E6988F4" w:rsidR="00C77F1B" w:rsidRPr="00FB780A" w:rsidRDefault="003F3033" w:rsidP="00F80C61">
      <w:pPr>
        <w:spacing w:line="480" w:lineRule="auto"/>
        <w:rPr>
          <w:rFonts w:ascii="Arial" w:hAnsi="Arial" w:cs="Arial"/>
          <w:sz w:val="24"/>
          <w:szCs w:val="24"/>
        </w:rPr>
      </w:pPr>
      <w:r w:rsidRPr="003F3033">
        <w:rPr>
          <w:rFonts w:ascii="Arial" w:hAnsi="Arial" w:cs="Arial"/>
          <w:sz w:val="24"/>
          <w:szCs w:val="24"/>
        </w:rPr>
        <w:lastRenderedPageBreak/>
        <w:t>From an attachment perspective, Jack’s apparent clinginess to Sarah reflects a likely insecure attachment and fear of abandonment</w:t>
      </w:r>
      <w:r w:rsidR="00037194">
        <w:rPr>
          <w:rFonts w:ascii="Arial" w:hAnsi="Arial" w:cs="Arial"/>
          <w:sz w:val="24"/>
          <w:szCs w:val="24"/>
        </w:rPr>
        <w:t xml:space="preserve"> (Varnish et al, 2025). </w:t>
      </w:r>
      <w:r w:rsidR="00C74F91">
        <w:rPr>
          <w:rFonts w:ascii="Arial" w:hAnsi="Arial" w:cs="Arial"/>
          <w:sz w:val="24"/>
          <w:szCs w:val="24"/>
        </w:rPr>
        <w:t xml:space="preserve"> </w:t>
      </w:r>
      <w:r w:rsidRPr="003F3033">
        <w:rPr>
          <w:rFonts w:ascii="Arial" w:hAnsi="Arial" w:cs="Arial"/>
          <w:sz w:val="24"/>
          <w:szCs w:val="24"/>
        </w:rPr>
        <w:t>Trauma-informed foster care literature emphasises the importance of carers “holding the child’s life story” to help them make sense of early experiences and build secure relationships</w:t>
      </w:r>
      <w:r w:rsidR="006E5B1D">
        <w:rPr>
          <w:rFonts w:ascii="Arial" w:hAnsi="Arial" w:cs="Arial"/>
          <w:sz w:val="24"/>
          <w:szCs w:val="24"/>
        </w:rPr>
        <w:t xml:space="preserve"> (Coe et al, 2025</w:t>
      </w:r>
      <w:r w:rsidR="002C669A">
        <w:rPr>
          <w:rFonts w:ascii="Arial" w:hAnsi="Arial" w:cs="Arial"/>
          <w:sz w:val="24"/>
          <w:szCs w:val="24"/>
        </w:rPr>
        <w:t>;</w:t>
      </w:r>
      <w:r w:rsidR="006E5B1D">
        <w:rPr>
          <w:rFonts w:ascii="Arial" w:hAnsi="Arial" w:cs="Arial"/>
          <w:sz w:val="24"/>
          <w:szCs w:val="24"/>
        </w:rPr>
        <w:t xml:space="preserve"> Treasure Keppers, 2023</w:t>
      </w:r>
      <w:r w:rsidR="002C669A">
        <w:rPr>
          <w:rFonts w:ascii="Arial" w:hAnsi="Arial" w:cs="Arial"/>
          <w:sz w:val="24"/>
          <w:szCs w:val="24"/>
        </w:rPr>
        <w:t>;</w:t>
      </w:r>
      <w:r w:rsidR="006E5B1D">
        <w:rPr>
          <w:rFonts w:ascii="Arial" w:hAnsi="Arial" w:cs="Arial"/>
          <w:sz w:val="24"/>
          <w:szCs w:val="24"/>
        </w:rPr>
        <w:t xml:space="preserve"> </w:t>
      </w:r>
      <w:r w:rsidR="006E5B1D" w:rsidRPr="006E5B1D">
        <w:rPr>
          <w:rFonts w:ascii="Arial" w:hAnsi="Arial" w:cs="Arial"/>
          <w:sz w:val="24"/>
          <w:szCs w:val="24"/>
        </w:rPr>
        <w:t>Centre of Excellence in Child Trauma</w:t>
      </w:r>
      <w:r w:rsidR="006E5B1D">
        <w:rPr>
          <w:rFonts w:ascii="Arial" w:hAnsi="Arial" w:cs="Arial"/>
          <w:sz w:val="24"/>
          <w:szCs w:val="24"/>
        </w:rPr>
        <w:t xml:space="preserve">, </w:t>
      </w:r>
      <w:r w:rsidR="006E5B1D" w:rsidRPr="006E5B1D">
        <w:rPr>
          <w:rFonts w:ascii="Arial" w:hAnsi="Arial" w:cs="Arial"/>
          <w:sz w:val="24"/>
          <w:szCs w:val="24"/>
        </w:rPr>
        <w:t>2024).</w:t>
      </w:r>
      <w:r w:rsidR="00C74F91">
        <w:rPr>
          <w:rFonts w:ascii="Arial" w:hAnsi="Arial" w:cs="Arial"/>
          <w:sz w:val="24"/>
          <w:szCs w:val="24"/>
        </w:rPr>
        <w:t xml:space="preserve"> </w:t>
      </w:r>
      <w:r w:rsidRPr="003F3033">
        <w:rPr>
          <w:rFonts w:ascii="Arial" w:hAnsi="Arial" w:cs="Arial"/>
          <w:sz w:val="24"/>
          <w:szCs w:val="24"/>
        </w:rPr>
        <w:t>Jack displayed behavioural dysregulation</w:t>
      </w:r>
      <w:r w:rsidR="002C669A">
        <w:rPr>
          <w:rFonts w:ascii="Arial" w:hAnsi="Arial" w:cs="Arial"/>
          <w:sz w:val="24"/>
          <w:szCs w:val="24"/>
        </w:rPr>
        <w:t>,</w:t>
      </w:r>
      <w:r w:rsidRPr="003F3033">
        <w:rPr>
          <w:rFonts w:ascii="Arial" w:hAnsi="Arial" w:cs="Arial"/>
          <w:sz w:val="24"/>
          <w:szCs w:val="24"/>
        </w:rPr>
        <w:t xml:space="preserve"> and his anger and physical aggression when frustrated are consistent with trauma-related hyperarousal and poor emotional regulation</w:t>
      </w:r>
      <w:r w:rsidR="006E5B1D">
        <w:rPr>
          <w:rFonts w:ascii="Arial" w:hAnsi="Arial" w:cs="Arial"/>
          <w:sz w:val="24"/>
          <w:szCs w:val="24"/>
        </w:rPr>
        <w:t xml:space="preserve"> (Varnish et al, 2025</w:t>
      </w:r>
      <w:r w:rsidR="002C669A">
        <w:rPr>
          <w:rFonts w:ascii="Arial" w:hAnsi="Arial" w:cs="Arial"/>
          <w:sz w:val="24"/>
          <w:szCs w:val="24"/>
        </w:rPr>
        <w:t>;</w:t>
      </w:r>
      <w:r w:rsidR="006E5B1D">
        <w:rPr>
          <w:rFonts w:ascii="Arial" w:hAnsi="Arial" w:cs="Arial"/>
          <w:sz w:val="24"/>
          <w:szCs w:val="24"/>
        </w:rPr>
        <w:t xml:space="preserve"> Simon et al, 2024)</w:t>
      </w:r>
      <w:r w:rsidRPr="003F3033">
        <w:rPr>
          <w:rFonts w:ascii="Arial" w:hAnsi="Arial" w:cs="Arial"/>
          <w:sz w:val="24"/>
          <w:szCs w:val="24"/>
        </w:rPr>
        <w:t>. The NSPCC case reviews (2025) highlight how children exposed to violence often externalise distress through aggression.</w:t>
      </w:r>
      <w:r w:rsidR="00C74F91">
        <w:rPr>
          <w:rFonts w:ascii="Arial" w:hAnsi="Arial" w:cs="Arial"/>
          <w:sz w:val="24"/>
          <w:szCs w:val="24"/>
        </w:rPr>
        <w:t xml:space="preserve"> </w:t>
      </w:r>
      <w:r w:rsidRPr="003F3033">
        <w:rPr>
          <w:rFonts w:ascii="Arial" w:hAnsi="Arial" w:cs="Arial"/>
          <w:sz w:val="24"/>
          <w:szCs w:val="24"/>
        </w:rPr>
        <w:t>Jack also presents as a loving</w:t>
      </w:r>
      <w:r w:rsidR="002C669A">
        <w:rPr>
          <w:rFonts w:ascii="Arial" w:hAnsi="Arial" w:cs="Arial"/>
          <w:sz w:val="24"/>
          <w:szCs w:val="24"/>
        </w:rPr>
        <w:t>,</w:t>
      </w:r>
      <w:r w:rsidRPr="003F3033">
        <w:rPr>
          <w:rFonts w:ascii="Arial" w:hAnsi="Arial" w:cs="Arial"/>
          <w:sz w:val="24"/>
          <w:szCs w:val="24"/>
        </w:rPr>
        <w:t xml:space="preserve"> engaging and energetic child who enjoys outdoor activities. Positive relationships and structured activities can serve as protective factors, buffering against trauma’s long-term effects. Without intervention, Jack is at risk of conduct problems, poor peer relationships, and long-term mental health difficulties. Ensuring a trauma-informed, stable caregiving and therapeutic support through intervention </w:t>
      </w:r>
      <w:r w:rsidR="002C669A">
        <w:rPr>
          <w:rFonts w:ascii="Arial" w:hAnsi="Arial" w:cs="Arial"/>
          <w:sz w:val="24"/>
          <w:szCs w:val="24"/>
        </w:rPr>
        <w:t>is</w:t>
      </w:r>
      <w:r w:rsidRPr="003F3033">
        <w:rPr>
          <w:rFonts w:ascii="Arial" w:hAnsi="Arial" w:cs="Arial"/>
          <w:sz w:val="24"/>
          <w:szCs w:val="24"/>
        </w:rPr>
        <w:t xml:space="preserve"> essential to help him process his experiences and develop resilience.</w:t>
      </w:r>
      <w:r w:rsidR="002C669A">
        <w:rPr>
          <w:rFonts w:ascii="Arial" w:hAnsi="Arial" w:cs="Arial"/>
          <w:sz w:val="24"/>
          <w:szCs w:val="24"/>
        </w:rPr>
        <w:t xml:space="preserve"> </w:t>
      </w:r>
      <w:r w:rsidR="006E5B1D" w:rsidRPr="006E5B1D">
        <w:rPr>
          <w:rFonts w:ascii="Arial" w:hAnsi="Arial" w:cs="Arial"/>
          <w:sz w:val="24"/>
          <w:szCs w:val="24"/>
        </w:rPr>
        <w:t xml:space="preserve">Jack struggles to make friends and can often be pushy or physically aggressive towards his peers; Maguire et al (2024) </w:t>
      </w:r>
      <w:r w:rsidR="002C669A">
        <w:rPr>
          <w:rFonts w:ascii="Arial" w:hAnsi="Arial" w:cs="Arial"/>
          <w:sz w:val="24"/>
          <w:szCs w:val="24"/>
        </w:rPr>
        <w:t>confirm</w:t>
      </w:r>
      <w:r w:rsidR="006E5B1D" w:rsidRPr="006E5B1D">
        <w:rPr>
          <w:rFonts w:ascii="Arial" w:hAnsi="Arial" w:cs="Arial"/>
          <w:sz w:val="24"/>
          <w:szCs w:val="24"/>
        </w:rPr>
        <w:t xml:space="preserve"> that placement instability contributes to peer relationship difficulties and aggression, as children struggle to trust and regulate emotions.</w:t>
      </w:r>
    </w:p>
    <w:p w14:paraId="6467F62C" w14:textId="7EE9E2DA" w:rsidR="006A3541" w:rsidRPr="002C669A" w:rsidRDefault="002C669A" w:rsidP="00F80C61">
      <w:pPr>
        <w:spacing w:line="480" w:lineRule="auto"/>
        <w:ind w:firstLine="720"/>
        <w:rPr>
          <w:rFonts w:ascii="Arial" w:hAnsi="Arial" w:cs="Arial"/>
          <w:sz w:val="24"/>
          <w:szCs w:val="24"/>
          <w:highlight w:val="yellow"/>
        </w:rPr>
      </w:pPr>
      <w:r>
        <w:rPr>
          <w:rFonts w:ascii="Arial" w:hAnsi="Arial" w:cs="Arial"/>
          <w:sz w:val="24"/>
          <w:szCs w:val="24"/>
        </w:rPr>
        <w:t xml:space="preserve">Trauma in childhood refers to experiences of abuse, neglect, or instability that overwhelm a child’s ability to cope, often disrupting neurological and emotional development. Developmental trauma is associated with hyperarousal, poor emotional regulation, and long-term mental health risks (Simon et al, 2024). Attachment, as outlined by Bowlby, describes the lasting emotional bond between child and caregiver. Secure attachment offers a “safe base” for exploration, while </w:t>
      </w:r>
      <w:r>
        <w:rPr>
          <w:rFonts w:ascii="Arial" w:hAnsi="Arial" w:cs="Arial"/>
          <w:sz w:val="24"/>
          <w:szCs w:val="24"/>
        </w:rPr>
        <w:lastRenderedPageBreak/>
        <w:t xml:space="preserve">insecure attachment results from inconsistent or harmful caregiving, leading to anxiety, clinginess, or avoidance (Maguire et al 2024). Resilience is the ability to adapt positively despite adversity, supported by protective factors such as stable caregiving and supportive relationships. Recent frameworks emphasise resilience as relational, not innate, highlighting the importance of consistent trauma-informed care in promoting recovery (Asmussen et al 2024). Together, these concepts explain how early adversity influences emotional regulation, peer relationships, and developmental outcomes. </w:t>
      </w:r>
      <w:r w:rsidR="006A3541" w:rsidRPr="006A3541">
        <w:rPr>
          <w:rFonts w:ascii="Arial" w:hAnsi="Arial" w:cs="Arial"/>
          <w:sz w:val="24"/>
          <w:szCs w:val="24"/>
        </w:rPr>
        <w:t>Attachment theory remains central to understanding the developmental impact of trauma. Bowlby’s seminal work emphasised the need for a secure base, where consistent caregiving fosters trust and exploration. Insecure attachment, arising from neglect or instability, manifests as clinginess, fear of abandonment, or aggression. Recent reviews confirm that placement instability undermines attachment security, leaving children vulnerable to anxiety and poor peer relationships (Maguire et al 2024). Ainsworth’s “Strange Situation” further categorised attachment styles, highlighting how inconsistent caregiving produces anxious or avoidant behaviours, while disorganised attachment often emerges in contexts of abuse.</w:t>
      </w:r>
    </w:p>
    <w:p w14:paraId="035BD05A" w14:textId="7CCAB8B2" w:rsidR="006A3541" w:rsidRPr="006A3541" w:rsidRDefault="006A3541" w:rsidP="00F80C61">
      <w:pPr>
        <w:spacing w:line="480" w:lineRule="auto"/>
        <w:rPr>
          <w:rFonts w:ascii="Arial" w:hAnsi="Arial" w:cs="Arial"/>
          <w:sz w:val="24"/>
          <w:szCs w:val="24"/>
        </w:rPr>
      </w:pPr>
      <w:r w:rsidRPr="006A3541">
        <w:rPr>
          <w:rFonts w:ascii="Arial" w:hAnsi="Arial" w:cs="Arial"/>
          <w:sz w:val="24"/>
          <w:szCs w:val="24"/>
        </w:rPr>
        <w:t xml:space="preserve">Trauma-informed practice frameworks extend these insights by recognising the pervasive impact of adverse childhood experiences (ACEs). They emphasise safety, trust, collaboration, and empowerment as core principles for supporting children in care. Contemporary evidence shows that trauma-informed approaches reduce behavioural dysregulation and improve relational outcomes when carers are trained to interpret aggression or clinginess as trauma responses rather than defiance (Asmussen et al 2024). These frameworks also stress the importance of carers </w:t>
      </w:r>
      <w:r w:rsidRPr="006A3541">
        <w:rPr>
          <w:rFonts w:ascii="Arial" w:hAnsi="Arial" w:cs="Arial"/>
          <w:sz w:val="24"/>
          <w:szCs w:val="24"/>
        </w:rPr>
        <w:lastRenderedPageBreak/>
        <w:t>“holding the child’s life story” to help children make sense of fragmented histories and build secure relationships (Coe et al 2025).</w:t>
      </w:r>
    </w:p>
    <w:p w14:paraId="34B5E496" w14:textId="7A6A39E9" w:rsidR="006E5B1D" w:rsidRPr="006A3541" w:rsidRDefault="006A3541" w:rsidP="00F80C61">
      <w:pPr>
        <w:spacing w:line="480" w:lineRule="auto"/>
        <w:rPr>
          <w:rFonts w:ascii="Arial" w:hAnsi="Arial" w:cs="Arial"/>
          <w:sz w:val="24"/>
          <w:szCs w:val="24"/>
          <w:highlight w:val="yellow"/>
        </w:rPr>
      </w:pPr>
      <w:r w:rsidRPr="006A3541">
        <w:rPr>
          <w:rFonts w:ascii="Arial" w:hAnsi="Arial" w:cs="Arial"/>
          <w:sz w:val="24"/>
          <w:szCs w:val="24"/>
        </w:rPr>
        <w:t xml:space="preserve">Resilience theory complements these perspectives by focusing on protective factors. Stable caregiving, supportive peer networks, and trauma-informed interventions can buffer the effects of adversity (Asmussen et al, 2024). Together, these theories provide a </w:t>
      </w:r>
      <w:r>
        <w:rPr>
          <w:rFonts w:ascii="Arial" w:hAnsi="Arial" w:cs="Arial"/>
          <w:sz w:val="24"/>
          <w:szCs w:val="24"/>
        </w:rPr>
        <w:t>critical</w:t>
      </w:r>
      <w:r w:rsidRPr="006A3541">
        <w:rPr>
          <w:rFonts w:ascii="Arial" w:hAnsi="Arial" w:cs="Arial"/>
          <w:sz w:val="24"/>
          <w:szCs w:val="24"/>
        </w:rPr>
        <w:t xml:space="preserve"> lens for interpreting Jack’s clinginess, aggression, and peer difficulties as trauma-related outcomes of disrupted attachment and instability, while also identifying pathways for recovery through consistent, trauma-informed care.</w:t>
      </w:r>
    </w:p>
    <w:p w14:paraId="2DE75BD7" w14:textId="48C9A5F3" w:rsidR="006A3541" w:rsidRPr="006A3541" w:rsidRDefault="006A3541" w:rsidP="00F80C61">
      <w:pPr>
        <w:pStyle w:val="NormalWeb"/>
        <w:spacing w:line="480" w:lineRule="auto"/>
        <w:rPr>
          <w:rFonts w:ascii="Arial" w:hAnsi="Arial" w:cs="Arial"/>
        </w:rPr>
      </w:pPr>
      <w:r w:rsidRPr="006A3541">
        <w:rPr>
          <w:rFonts w:ascii="Arial" w:hAnsi="Arial" w:cs="Arial"/>
        </w:rPr>
        <w:t>Recent literature</w:t>
      </w:r>
      <w:r w:rsidR="002C669A">
        <w:rPr>
          <w:rFonts w:ascii="Arial" w:hAnsi="Arial" w:cs="Arial"/>
        </w:rPr>
        <w:t xml:space="preserve"> </w:t>
      </w:r>
      <w:r w:rsidR="002C669A" w:rsidRPr="006A3541">
        <w:rPr>
          <w:rFonts w:ascii="Arial" w:hAnsi="Arial" w:cs="Arial"/>
        </w:rPr>
        <w:t xml:space="preserve">(Simon, </w:t>
      </w:r>
      <w:proofErr w:type="spellStart"/>
      <w:r w:rsidR="002C669A" w:rsidRPr="006A3541">
        <w:rPr>
          <w:rFonts w:ascii="Arial" w:hAnsi="Arial" w:cs="Arial"/>
        </w:rPr>
        <w:t>Raats</w:t>
      </w:r>
      <w:proofErr w:type="spellEnd"/>
      <w:r w:rsidR="002C669A" w:rsidRPr="006A3541">
        <w:rPr>
          <w:rFonts w:ascii="Arial" w:hAnsi="Arial" w:cs="Arial"/>
        </w:rPr>
        <w:t>, &amp; Erens, 2024)</w:t>
      </w:r>
      <w:r w:rsidR="002C669A">
        <w:rPr>
          <w:rFonts w:ascii="Arial" w:hAnsi="Arial" w:cs="Arial"/>
        </w:rPr>
        <w:t xml:space="preserve"> </w:t>
      </w:r>
      <w:r w:rsidRPr="006A3541">
        <w:rPr>
          <w:rFonts w:ascii="Arial" w:hAnsi="Arial" w:cs="Arial"/>
        </w:rPr>
        <w:t xml:space="preserve">shows that </w:t>
      </w:r>
      <w:r w:rsidRPr="006A3541">
        <w:rPr>
          <w:rStyle w:val="Strong"/>
          <w:rFonts w:ascii="Arial" w:eastAsiaTheme="majorEastAsia" w:hAnsi="Arial" w:cs="Arial"/>
          <w:b w:val="0"/>
          <w:bCs w:val="0"/>
        </w:rPr>
        <w:t>early abuse, neglect, and instability profoundly disrupt emotional regulation, peer relationships, and long-term developmental outcomes</w:t>
      </w:r>
      <w:r w:rsidRPr="006A3541">
        <w:rPr>
          <w:rFonts w:ascii="Arial" w:hAnsi="Arial" w:cs="Arial"/>
          <w:b/>
          <w:bCs/>
        </w:rPr>
        <w:t>,</w:t>
      </w:r>
      <w:r w:rsidRPr="006A3541">
        <w:rPr>
          <w:rFonts w:ascii="Arial" w:hAnsi="Arial" w:cs="Arial"/>
        </w:rPr>
        <w:t xml:space="preserve"> leaving children at heightened risk of anxiety, aggression, insecure attachment, and poor social integration. Early abuse and neglect are among the most damaging experiences in childhood, undermining the development of emotional regulation and secure attachment. Trauma exposure activates chronic stress responses, leading to hyperarousal and difficulties in managing anger or frustration. Children who experience neglect often lack opportunities to learn self-soothing strategies, resulting in behavioural dysregulation and aggression when overwhelmed</w:t>
      </w:r>
      <w:r w:rsidR="002C669A">
        <w:rPr>
          <w:rFonts w:ascii="Arial" w:hAnsi="Arial" w:cs="Arial"/>
        </w:rPr>
        <w:t>.</w:t>
      </w:r>
    </w:p>
    <w:p w14:paraId="2E678B53" w14:textId="02CC0EE9" w:rsidR="00587620" w:rsidRPr="00587620" w:rsidRDefault="006A354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6A3541">
        <w:rPr>
          <w:rFonts w:ascii="Arial" w:eastAsia="Times New Roman" w:hAnsi="Arial" w:cs="Arial"/>
          <w:kern w:val="0"/>
          <w:sz w:val="24"/>
          <w:szCs w:val="24"/>
          <w:lang w:eastAsia="en-GB"/>
          <w14:ligatures w14:val="none"/>
        </w:rPr>
        <w:t>Instability, particularly repeated placement moves, compounds these difficulties. Without a consistent “safe base,” children struggle to trust caregivers, which manifests as clinginess, fear of abandonment, or hostility. Recent meta-analyses confirm that placement instability is strongly associated with poor emotional regulation and increased risks of anxiety and depression (Varnish et al., 2025).</w:t>
      </w:r>
    </w:p>
    <w:p w14:paraId="5864034E" w14:textId="286861A7" w:rsidR="008641E8" w:rsidRPr="00587620" w:rsidRDefault="00587620" w:rsidP="00F80C61">
      <w:pPr>
        <w:pStyle w:val="NormalWeb"/>
        <w:spacing w:line="480" w:lineRule="auto"/>
        <w:rPr>
          <w:rFonts w:ascii="Arial" w:hAnsi="Arial" w:cs="Arial"/>
        </w:rPr>
      </w:pPr>
      <w:r w:rsidRPr="00587620">
        <w:rPr>
          <w:rFonts w:ascii="Arial" w:hAnsi="Arial" w:cs="Arial"/>
        </w:rPr>
        <w:lastRenderedPageBreak/>
        <w:t xml:space="preserve">Early adversity also affects peer relationships, with children often showing pushiness, aggression, or withdrawal, which hinders reciprocal friendships and increases social isolation (Maguire, May, McCormack, &amp; </w:t>
      </w:r>
      <w:proofErr w:type="spellStart"/>
      <w:r w:rsidRPr="00587620">
        <w:rPr>
          <w:rFonts w:ascii="Arial" w:hAnsi="Arial" w:cs="Arial"/>
        </w:rPr>
        <w:t>Fosker</w:t>
      </w:r>
      <w:proofErr w:type="spellEnd"/>
      <w:r w:rsidRPr="00587620">
        <w:rPr>
          <w:rFonts w:ascii="Arial" w:hAnsi="Arial" w:cs="Arial"/>
        </w:rPr>
        <w:t>, 2024). Long-term, such experiences raise risks of PTSD, conduct disorders, and insecure attachment, and predict poorer educational, mental health, and relational outcomes (Lee, 2024). Jack’s clinginess, aggression, and peer difficulties illustrate these trauma-related impacts, underscoring the need for stable, trauma-informed caregiving.</w:t>
      </w:r>
      <w:r w:rsidR="00004CE9" w:rsidRPr="008641E8">
        <w:rPr>
          <w:rFonts w:ascii="Arial" w:hAnsi="Arial" w:cs="Arial"/>
        </w:rPr>
        <w:br/>
      </w:r>
      <w:r w:rsidRPr="00587620">
        <w:rPr>
          <w:rFonts w:ascii="Arial" w:hAnsi="Arial" w:cs="Arial"/>
        </w:rPr>
        <w:t xml:space="preserve">Understanding trauma, attachment, and resilience is vital for children facing early adversity (Livingstone et al., 2025; Parent-Infant Foundation, 2022; Whitters, 2020; Berástegui &amp; </w:t>
      </w:r>
      <w:proofErr w:type="spellStart"/>
      <w:r w:rsidRPr="00587620">
        <w:rPr>
          <w:rFonts w:ascii="Arial" w:hAnsi="Arial" w:cs="Arial"/>
        </w:rPr>
        <w:t>Pitillas</w:t>
      </w:r>
      <w:proofErr w:type="spellEnd"/>
      <w:r w:rsidRPr="00587620">
        <w:rPr>
          <w:rFonts w:ascii="Arial" w:hAnsi="Arial" w:cs="Arial"/>
        </w:rPr>
        <w:t>, 2021). Trauma disrupts emotional regulation and social functioning, attachment highlights the role of secure relationships, and resilience identifies protective factors that buffer harm. This section defines these concepts, reviews key theories, and applies them to Jack’s experiences, framing his behaviours within psychological and safeguarding literature.</w:t>
      </w:r>
      <w:r w:rsidR="00004CE9" w:rsidRPr="008641E8">
        <w:rPr>
          <w:rFonts w:ascii="Arial" w:hAnsi="Arial" w:cs="Arial"/>
        </w:rPr>
        <w:br/>
      </w:r>
      <w:r w:rsidRPr="00587620">
        <w:rPr>
          <w:rFonts w:ascii="Arial" w:hAnsi="Arial" w:cs="Arial"/>
        </w:rPr>
        <w:t>Developmental trauma involves prolonged or repeated interpersonal adversity during critical childhood periods, such as chronic abuse, neglect, or unstable caregiving. These experiences disrupt neurological development, stress-response systems, and emotional regulation (Cruz, 2022; van der Kolk et al.). Unlike single-event trauma, developmental trauma has cumulative relational effects, impairing self-regulation and relational functioning across domains (Ford, 2025).</w:t>
      </w:r>
    </w:p>
    <w:p w14:paraId="5B5DA1FA" w14:textId="22072FF5" w:rsidR="00587620" w:rsidRPr="00587620" w:rsidRDefault="00587620" w:rsidP="00F80C61">
      <w:pPr>
        <w:pStyle w:val="NormalWeb"/>
        <w:spacing w:line="480" w:lineRule="auto"/>
        <w:rPr>
          <w:rFonts w:ascii="Arial" w:hAnsi="Arial" w:cs="Arial"/>
        </w:rPr>
      </w:pPr>
      <w:r w:rsidRPr="00587620">
        <w:rPr>
          <w:rFonts w:ascii="Arial" w:hAnsi="Arial" w:cs="Arial"/>
        </w:rPr>
        <w:t xml:space="preserve">Attachment theory explains how early caregiving shapes emotional and relational development. Secure attachment, formed through reliable and attuned caregiving, provides a “secure base” for exploration and a “haven” in distress. Insecure attachment, resulting from inconsistent or neglectful care, leads to avoidant, anxious, </w:t>
      </w:r>
      <w:r w:rsidRPr="00587620">
        <w:rPr>
          <w:rFonts w:ascii="Arial" w:hAnsi="Arial" w:cs="Arial"/>
        </w:rPr>
        <w:lastRenderedPageBreak/>
        <w:t xml:space="preserve">or </w:t>
      </w:r>
      <w:r w:rsidR="002C669A">
        <w:rPr>
          <w:rFonts w:ascii="Arial" w:hAnsi="Arial" w:cs="Arial"/>
        </w:rPr>
        <w:t>disorganised</w:t>
      </w:r>
      <w:r w:rsidRPr="00587620">
        <w:rPr>
          <w:rFonts w:ascii="Arial" w:hAnsi="Arial" w:cs="Arial"/>
        </w:rPr>
        <w:t xml:space="preserve"> strategies and increases risk for later stress-related difficulties (Watters, 2024; Foster, 2025).</w:t>
      </w:r>
    </w:p>
    <w:p w14:paraId="6A4AE02B" w14:textId="5CDE469E" w:rsidR="00587620" w:rsidRDefault="00587620" w:rsidP="00F80C61">
      <w:pPr>
        <w:pStyle w:val="NormalWeb"/>
        <w:spacing w:line="480" w:lineRule="auto"/>
        <w:rPr>
          <w:rFonts w:ascii="Arial" w:hAnsi="Arial" w:cs="Arial"/>
        </w:rPr>
      </w:pPr>
      <w:r w:rsidRPr="00587620">
        <w:rPr>
          <w:rFonts w:ascii="Arial" w:hAnsi="Arial" w:cs="Arial"/>
        </w:rPr>
        <w:t>Resilience is the capacity to adapt positively despite adversity and is a dynamic process shaped by protective factors at individual, family, and community levels (Livingston, 2025). Key supports include stable caregiving, social connections, emotion regulation, and contextual resources. Jack’s early chronic abuse, neglect, and repeated placement disruptions constitute developmental trauma, increasing risks of emotional dysregulation, heightened threat sensitivity, and behavioural difficulties (Ford, 2025; van der Kolk, 2014).</w:t>
      </w:r>
      <w:r>
        <w:rPr>
          <w:rFonts w:ascii="Arial" w:hAnsi="Arial" w:cs="Arial"/>
        </w:rPr>
        <w:t xml:space="preserve"> </w:t>
      </w:r>
      <w:r w:rsidRPr="00587620">
        <w:rPr>
          <w:rFonts w:ascii="Arial" w:hAnsi="Arial" w:cs="Arial"/>
        </w:rPr>
        <w:t>Jack’s anger and aggression when overwhelmed reflect trauma-related stress responses rather than intentional misbehaviour. Insecure and inconsistent early caregiving likely disrupted his attachment formation (Bowlby, 1969/1982). His clinginess toward Sarah and need to monitor her whereabouts indicate anxious or disorganised attachment, shaped by earlier losses (Ainsworth et al., 1978). Nevertheless, his positive engagement with familiar adults shows that attachment needs can still be met in stable, nurturing relationships.</w:t>
      </w:r>
    </w:p>
    <w:p w14:paraId="298381A1" w14:textId="62CCEA71" w:rsidR="00587620" w:rsidRPr="00587620" w:rsidRDefault="00587620" w:rsidP="00F80C61">
      <w:pPr>
        <w:pStyle w:val="NormalWeb"/>
        <w:spacing w:line="480" w:lineRule="auto"/>
        <w:rPr>
          <w:rFonts w:ascii="Arial" w:eastAsiaTheme="majorEastAsia" w:hAnsi="Arial" w:cs="Arial"/>
        </w:rPr>
      </w:pPr>
      <w:r w:rsidRPr="00587620">
        <w:rPr>
          <w:rFonts w:ascii="Arial" w:hAnsi="Arial" w:cs="Arial"/>
        </w:rPr>
        <w:t>Trauma-informed frameworks emphasise safety, trust, predictability, and empowerment (SAMHSA, 2014). For Jack, consistent caregiving, clear boundaries, and attuned responses are vital to reduce anxiety and aggression. Resilience theory highlights Sarah’s stable support as a protective factor, helping him adapt despite adversity (Masten, 2021). Early abuse, neglect, and domestic violence have disrupted Jack’s emotional regulation, leading to hyperarousal and threat sensitivity. His aggressive outbursts reflect stress-based regulatory difficulties rather than deliberate defiance (McLaughlin et al., 2021).</w:t>
      </w:r>
    </w:p>
    <w:p w14:paraId="0688619A" w14:textId="389F2BF3" w:rsidR="00587620" w:rsidRPr="00587620" w:rsidRDefault="00587620" w:rsidP="00F80C61">
      <w:pPr>
        <w:pStyle w:val="NormalWeb"/>
        <w:spacing w:line="480" w:lineRule="auto"/>
        <w:rPr>
          <w:rFonts w:ascii="Arial" w:hAnsi="Arial" w:cs="Arial"/>
        </w:rPr>
      </w:pPr>
      <w:r w:rsidRPr="00587620">
        <w:rPr>
          <w:rFonts w:ascii="Arial" w:hAnsi="Arial" w:cs="Arial"/>
        </w:rPr>
        <w:lastRenderedPageBreak/>
        <w:t>Early m</w:t>
      </w:r>
      <w:r w:rsidR="00C74F91">
        <w:rPr>
          <w:rFonts w:ascii="Arial" w:hAnsi="Arial" w:cs="Arial"/>
        </w:rPr>
        <w:t>is</w:t>
      </w:r>
      <w:r w:rsidRPr="00587620">
        <w:rPr>
          <w:rFonts w:ascii="Arial" w:hAnsi="Arial" w:cs="Arial"/>
        </w:rPr>
        <w:t>treatment and caregiver disruptions impair peer relationships, as children with trauma histories often struggle with trust, misread social cues, and show controlling behaviours, heightening peer conflict (Heleniak et al., 2020). Jack’s frustration likely affects his peer interactions. Cumulative trauma and placement instability increase risks of PTSD, depression, conduct problems, and disorganised attachment (Humphreys et al., 2020). Frequent moves exacerbate harm by preventing stable corrective relationships, intensifying emotional insecurity and behavioural dysregulation (Rubin et al., 2020).</w:t>
      </w:r>
    </w:p>
    <w:p w14:paraId="03AC340D" w14:textId="55B8EABF" w:rsidR="00230E3A" w:rsidRDefault="00587620" w:rsidP="00F80C61">
      <w:pPr>
        <w:pStyle w:val="NormalWeb"/>
        <w:spacing w:line="480" w:lineRule="auto"/>
        <w:rPr>
          <w:rFonts w:ascii="Arial" w:hAnsi="Arial" w:cs="Arial"/>
        </w:rPr>
      </w:pPr>
      <w:r w:rsidRPr="00587620">
        <w:rPr>
          <w:rFonts w:ascii="Arial" w:hAnsi="Arial" w:cs="Arial"/>
        </w:rPr>
        <w:t xml:space="preserve">Jack’s clinginess to Sarah reflects insecure attachment and fear of abandonment from repeated relational losses (Granqvist et al., 2023), with his monitoring of her availability indicating attachment anxiety rather than immaturity. His anger and aggression align with trauma-related hyperarousal and poor self-regulation from chronic adversity (DePasquale et al., 2022). Peer difficulties stem from disrupted social development due to placement instability (Villodas et al., 2021). Despite this, Jack’s energy, positive engagement with familiar adults, and enjoyment of outdoor activity are resilience factors that can support regulation, mastery, and relationships when appropriately supported (Ungar, 2021). His case highlights how trauma, attachment disruption, and instability intersect, </w:t>
      </w:r>
      <w:r w:rsidR="002C669A">
        <w:rPr>
          <w:rFonts w:ascii="Arial" w:hAnsi="Arial" w:cs="Arial"/>
        </w:rPr>
        <w:t>emphasising</w:t>
      </w:r>
      <w:r w:rsidRPr="00587620">
        <w:rPr>
          <w:rFonts w:ascii="Arial" w:hAnsi="Arial" w:cs="Arial"/>
        </w:rPr>
        <w:t xml:space="preserve"> the need for trauma-informed intervention.</w:t>
      </w:r>
      <w:r w:rsidR="00C74F91">
        <w:rPr>
          <w:rFonts w:ascii="Arial" w:hAnsi="Arial" w:cs="Arial"/>
        </w:rPr>
        <w:t xml:space="preserve"> </w:t>
      </w:r>
      <w:r w:rsidR="00230E3A" w:rsidRPr="00230E3A">
        <w:rPr>
          <w:rFonts w:ascii="Arial" w:hAnsi="Arial" w:cs="Arial"/>
        </w:rPr>
        <w:t xml:space="preserve">Jack’s clinginess to Sarah </w:t>
      </w:r>
      <w:r w:rsidR="002C669A">
        <w:rPr>
          <w:rFonts w:ascii="Arial" w:hAnsi="Arial" w:cs="Arial"/>
        </w:rPr>
        <w:t xml:space="preserve">could also </w:t>
      </w:r>
      <w:r w:rsidR="00230E3A" w:rsidRPr="00230E3A">
        <w:rPr>
          <w:rFonts w:ascii="Arial" w:hAnsi="Arial" w:cs="Arial"/>
        </w:rPr>
        <w:t>reflec</w:t>
      </w:r>
      <w:r w:rsidR="002C669A">
        <w:rPr>
          <w:rFonts w:ascii="Arial" w:hAnsi="Arial" w:cs="Arial"/>
        </w:rPr>
        <w:t>t</w:t>
      </w:r>
      <w:r w:rsidR="00230E3A" w:rsidRPr="00230E3A">
        <w:rPr>
          <w:rFonts w:ascii="Arial" w:hAnsi="Arial" w:cs="Arial"/>
        </w:rPr>
        <w:t xml:space="preserve"> anxious or disorganised attachment </w:t>
      </w:r>
      <w:r w:rsidR="002C669A">
        <w:rPr>
          <w:rFonts w:ascii="Arial" w:hAnsi="Arial" w:cs="Arial"/>
        </w:rPr>
        <w:t xml:space="preserve">due to his prior </w:t>
      </w:r>
      <w:r w:rsidR="00230E3A" w:rsidRPr="00230E3A">
        <w:rPr>
          <w:rFonts w:ascii="Arial" w:hAnsi="Arial" w:cs="Arial"/>
        </w:rPr>
        <w:t>maltreatment and relational disruptions. Children exposed to unpredictable caregiving often show heightened attachment vigilance, seeking constant proximity due to fear of abandonment (Granqvist et al., 2023). This behaviour is an adaptive response to past losses rather than immaturity. Attachment insecurity is not fixed; longitudinal research shows patterns can change with sustained, sensitive caregiving in later childhood (Zajac et al., 2020).</w:t>
      </w:r>
      <w:r w:rsidR="00230E3A">
        <w:rPr>
          <w:rFonts w:ascii="Arial" w:hAnsi="Arial" w:cs="Arial"/>
        </w:rPr>
        <w:t xml:space="preserve"> </w:t>
      </w:r>
      <w:r w:rsidR="00230E3A" w:rsidRPr="00230E3A">
        <w:rPr>
          <w:rFonts w:ascii="Arial" w:hAnsi="Arial" w:cs="Arial"/>
        </w:rPr>
        <w:lastRenderedPageBreak/>
        <w:t>Attachment-informed approaches emphasise relational repair rather than pathologisation. Jack’s peer difficulties reflect attachment challenges, as children with unstable histories often struggle with trust, emotional reciprocity, and conflict resolution, heightening risk of peer rejection and aggression (</w:t>
      </w:r>
      <w:proofErr w:type="spellStart"/>
      <w:r w:rsidR="00230E3A" w:rsidRPr="00230E3A">
        <w:rPr>
          <w:rFonts w:ascii="Arial" w:hAnsi="Arial" w:cs="Arial"/>
        </w:rPr>
        <w:t>Brumariu</w:t>
      </w:r>
      <w:proofErr w:type="spellEnd"/>
      <w:r w:rsidR="00230E3A" w:rsidRPr="00230E3A">
        <w:rPr>
          <w:rFonts w:ascii="Arial" w:hAnsi="Arial" w:cs="Arial"/>
        </w:rPr>
        <w:t xml:space="preserve"> &amp; Kerns, 2021).</w:t>
      </w:r>
    </w:p>
    <w:p w14:paraId="00642310" w14:textId="7045F0E7" w:rsidR="00004CE9" w:rsidRPr="000041D1" w:rsidRDefault="00230E3A" w:rsidP="00F80C61">
      <w:pPr>
        <w:pStyle w:val="NormalWeb"/>
        <w:spacing w:line="480" w:lineRule="auto"/>
        <w:rPr>
          <w:rFonts w:ascii="Arial" w:hAnsi="Arial" w:cs="Arial"/>
        </w:rPr>
      </w:pPr>
      <w:r w:rsidRPr="00230E3A">
        <w:rPr>
          <w:rFonts w:ascii="Arial" w:hAnsi="Arial" w:cs="Arial"/>
        </w:rPr>
        <w:t xml:space="preserve">Critics note that attachment theory alone overlooks contextual factors like placement instability and school transitions, which disrupt peer relationships (Villodas et al., 2021). Jack’s relational difficulties reflect both early attachment disruption and ongoing instability. </w:t>
      </w:r>
      <w:r w:rsidR="002C669A">
        <w:rPr>
          <w:rFonts w:ascii="Arial" w:hAnsi="Arial" w:cs="Arial"/>
        </w:rPr>
        <w:t>The r</w:t>
      </w:r>
      <w:r w:rsidRPr="00230E3A">
        <w:rPr>
          <w:rFonts w:ascii="Arial" w:hAnsi="Arial" w:cs="Arial"/>
        </w:rPr>
        <w:t xml:space="preserve">esearch highlights that consistent caregiving, such as Sarah’s support, is crucial for fostering attachment security and improving peer functioning, </w:t>
      </w:r>
      <w:r w:rsidR="002C669A">
        <w:rPr>
          <w:rFonts w:ascii="Arial" w:hAnsi="Arial" w:cs="Arial"/>
        </w:rPr>
        <w:t>emphasising</w:t>
      </w:r>
      <w:r w:rsidRPr="00230E3A">
        <w:rPr>
          <w:rFonts w:ascii="Arial" w:hAnsi="Arial" w:cs="Arial"/>
        </w:rPr>
        <w:t xml:space="preserve"> the importance of relational, trauma-informed interventions.</w:t>
      </w:r>
    </w:p>
    <w:p w14:paraId="74B40CCE" w14:textId="24F056B3" w:rsidR="000041D1" w:rsidRPr="000041D1" w:rsidRDefault="00230E3A" w:rsidP="00F80C61">
      <w:pPr>
        <w:pStyle w:val="NormalWeb"/>
        <w:spacing w:line="480" w:lineRule="auto"/>
        <w:rPr>
          <w:rFonts w:ascii="Arial" w:hAnsi="Arial" w:cs="Arial"/>
        </w:rPr>
      </w:pPr>
      <w:r w:rsidRPr="00230E3A">
        <w:rPr>
          <w:rFonts w:ascii="Arial" w:hAnsi="Arial" w:cs="Arial"/>
        </w:rPr>
        <w:t>Jack’s anger, aggression, and pushiness reflect trauma-related adaptations from early abuse, neglect, and disrupted attachment. Chronic adversity sensitises stress-response systems, causing hyperarousal, impulsivity, and low frustration tolerance (McLaughlin et al., 2021). His aggressive reactions likely stem from survival-based responses rather than deliberate defiance, with disrupted attachment further exacerbating these difficulties</w:t>
      </w:r>
      <w:r w:rsidR="000041D1" w:rsidRPr="00230E3A">
        <w:rPr>
          <w:rFonts w:ascii="Arial" w:hAnsi="Arial" w:cs="Arial"/>
        </w:rPr>
        <w:t>.</w:t>
      </w:r>
      <w:r w:rsidR="000041D1" w:rsidRPr="000041D1">
        <w:rPr>
          <w:rFonts w:ascii="Arial" w:hAnsi="Arial" w:cs="Arial"/>
        </w:rPr>
        <w:t xml:space="preserve"> </w:t>
      </w:r>
      <w:r w:rsidRPr="00230E3A">
        <w:rPr>
          <w:rFonts w:ascii="Arial" w:hAnsi="Arial" w:cs="Arial"/>
        </w:rPr>
        <w:t>Children with inconsistent or frightening caregiving often fail to internalise self-regulation, using externalised behaviours to manage distress (Granqvist et al., 2023). Jack’s pushiness may reflect attempts to regain predictability and safety. Research links insecure and disorganised attachment to increased externalising behaviours in middle childhood, especially among children with care histories (Fearon et al., 2022).</w:t>
      </w:r>
      <w:r>
        <w:rPr>
          <w:rFonts w:ascii="Arial" w:hAnsi="Arial" w:cs="Arial"/>
        </w:rPr>
        <w:t xml:space="preserve"> </w:t>
      </w:r>
      <w:r w:rsidR="000041D1" w:rsidRPr="000041D1">
        <w:rPr>
          <w:rFonts w:ascii="Arial" w:hAnsi="Arial" w:cs="Arial"/>
        </w:rPr>
        <w:t xml:space="preserve">However, </w:t>
      </w:r>
      <w:r>
        <w:rPr>
          <w:rFonts w:ascii="Arial" w:hAnsi="Arial" w:cs="Arial"/>
        </w:rPr>
        <w:t>a</w:t>
      </w:r>
      <w:r w:rsidR="000041D1" w:rsidRPr="000041D1">
        <w:rPr>
          <w:rFonts w:ascii="Arial" w:hAnsi="Arial" w:cs="Arial"/>
        </w:rPr>
        <w:t xml:space="preserve">s depicted in the literature cited, </w:t>
      </w:r>
      <w:r w:rsidRPr="00230E3A">
        <w:rPr>
          <w:rFonts w:ascii="Arial" w:hAnsi="Arial" w:cs="Arial"/>
        </w:rPr>
        <w:t xml:space="preserve">critics caution against attributing Jack’s behavioural challenges solely to trauma or attachment. Contextual factors, such as placement instability and school exclusion, </w:t>
      </w:r>
      <w:r w:rsidRPr="00230E3A">
        <w:rPr>
          <w:rFonts w:ascii="Arial" w:hAnsi="Arial" w:cs="Arial"/>
        </w:rPr>
        <w:lastRenderedPageBreak/>
        <w:t>also increase aggression and dysregulation (Villodas &amp; McWey, 2021). His behaviour should be understood within this broader ecological context. Literature supports a trauma-informed, attachment-aware interpretation of his anger while emphasising that stable environments and consistent relationships are key to reducing behavioural risk.</w:t>
      </w:r>
    </w:p>
    <w:p w14:paraId="5C288702" w14:textId="46EDD955" w:rsidR="00230E3A" w:rsidRPr="00230E3A" w:rsidRDefault="00230E3A" w:rsidP="00F80C61">
      <w:pPr>
        <w:pStyle w:val="NormalWeb"/>
        <w:spacing w:line="480" w:lineRule="auto"/>
        <w:rPr>
          <w:rFonts w:ascii="Arial" w:hAnsi="Arial" w:cs="Arial"/>
        </w:rPr>
      </w:pPr>
      <w:r w:rsidRPr="00230E3A">
        <w:rPr>
          <w:rFonts w:ascii="Arial" w:hAnsi="Arial" w:cs="Arial"/>
        </w:rPr>
        <w:t>Jack’s energy, positive engagement with familiar adults, and enjoyment of outdoor activities reflect adaptive functioning and support emotional regulation, behavioural control, and relational resilience (Gartland et al., 2022; Tillmann et al., 2021; Luthar et al., 2023). With consistent caregiving, these strengths can be leveraged therapeutically to promote attachment, self-regulation, and overall developmental growth within a trauma-informed, strengths-based approach.</w:t>
      </w:r>
    </w:p>
    <w:p w14:paraId="0B3EE40A" w14:textId="77777777" w:rsidR="00C74F91" w:rsidRDefault="00230E3A" w:rsidP="00F80C61">
      <w:pPr>
        <w:pStyle w:val="NormalWeb"/>
        <w:spacing w:line="480" w:lineRule="auto"/>
        <w:rPr>
          <w:rFonts w:ascii="Arial" w:hAnsi="Arial" w:cs="Arial"/>
        </w:rPr>
      </w:pPr>
      <w:r w:rsidRPr="00230E3A">
        <w:rPr>
          <w:rFonts w:ascii="Arial" w:hAnsi="Arial" w:cs="Arial"/>
        </w:rPr>
        <w:t>Jack’s early abuse, neglect, and placement instability increase his risk for long-term developmental and mental health difficulties, including aggression, conduct problems, and academic or relational challenges (Fearon et al., 2022; Villodas &amp; McWey, 2021). His clinginess and separation anxiety reflect insecure or disorganised attachment, linked to poor emotion regulation and heightened risk of anxiety or depression (Granqvist et al., 2023). Trauma-related hyperarousal further raises vulnerability to substance use, risk-taking, and maladaptive coping in adolescence (McLaughlin et al., 2021).</w:t>
      </w:r>
      <w:r>
        <w:rPr>
          <w:rFonts w:ascii="Arial" w:hAnsi="Arial" w:cs="Arial"/>
        </w:rPr>
        <w:t xml:space="preserve"> </w:t>
      </w:r>
      <w:r w:rsidRPr="00230E3A">
        <w:rPr>
          <w:rFonts w:ascii="Arial" w:hAnsi="Arial" w:cs="Arial"/>
        </w:rPr>
        <w:t xml:space="preserve">Placement instability compounds </w:t>
      </w:r>
      <w:r w:rsidR="002C669A" w:rsidRPr="00230E3A">
        <w:rPr>
          <w:rFonts w:ascii="Arial" w:hAnsi="Arial" w:cs="Arial"/>
        </w:rPr>
        <w:t>risk</w:t>
      </w:r>
      <w:r w:rsidRPr="00230E3A">
        <w:rPr>
          <w:rFonts w:ascii="Arial" w:hAnsi="Arial" w:cs="Arial"/>
        </w:rPr>
        <w:t xml:space="preserve"> by preventing stable, corrective relationships that buffer early adversity (Rubin et al., 2020). Without consistent caregiving and trauma-informed support, Jack may develop long-term socioemotional and behavioural challenges, including conduct disorder, peer and adult relationship difficulties, and reduced stress resilience. </w:t>
      </w:r>
    </w:p>
    <w:p w14:paraId="3AA21C6D" w14:textId="3212832B" w:rsidR="000C4BA0" w:rsidRPr="000C4BA0" w:rsidRDefault="00230E3A" w:rsidP="00F80C61">
      <w:pPr>
        <w:pStyle w:val="NormalWeb"/>
        <w:spacing w:line="480" w:lineRule="auto"/>
        <w:ind w:firstLine="720"/>
        <w:rPr>
          <w:rFonts w:ascii="Arial" w:hAnsi="Arial" w:cs="Arial"/>
        </w:rPr>
      </w:pPr>
      <w:r w:rsidRPr="00230E3A">
        <w:rPr>
          <w:rFonts w:ascii="Arial" w:hAnsi="Arial" w:cs="Arial"/>
        </w:rPr>
        <w:lastRenderedPageBreak/>
        <w:t>Early identification and interventions</w:t>
      </w:r>
      <w:r>
        <w:rPr>
          <w:rFonts w:ascii="Arial" w:hAnsi="Arial" w:cs="Arial"/>
        </w:rPr>
        <w:t xml:space="preserve">, </w:t>
      </w:r>
      <w:r w:rsidRPr="00230E3A">
        <w:rPr>
          <w:rFonts w:ascii="Arial" w:hAnsi="Arial" w:cs="Arial"/>
        </w:rPr>
        <w:t>stable placements, trauma-informed care, and relationship-based strategies</w:t>
      </w:r>
      <w:r>
        <w:rPr>
          <w:rFonts w:ascii="Arial" w:hAnsi="Arial" w:cs="Arial"/>
        </w:rPr>
        <w:t xml:space="preserve"> </w:t>
      </w:r>
      <w:r w:rsidRPr="00230E3A">
        <w:rPr>
          <w:rFonts w:ascii="Arial" w:hAnsi="Arial" w:cs="Arial"/>
        </w:rPr>
        <w:t>are crucial to mitigating these risks and promoting adaptive outcomes.</w:t>
      </w:r>
    </w:p>
    <w:p w14:paraId="076E960E" w14:textId="265064F0" w:rsidR="00230E3A" w:rsidRPr="00230E3A" w:rsidRDefault="00230E3A" w:rsidP="00F80C61">
      <w:pPr>
        <w:pStyle w:val="NormalWeb"/>
        <w:spacing w:line="480" w:lineRule="auto"/>
        <w:rPr>
          <w:rFonts w:ascii="Arial" w:hAnsi="Arial" w:cs="Arial"/>
        </w:rPr>
      </w:pPr>
      <w:r w:rsidRPr="00230E3A">
        <w:rPr>
          <w:rFonts w:ascii="Arial" w:hAnsi="Arial" w:cs="Arial"/>
        </w:rPr>
        <w:t xml:space="preserve">Play therapy offers a developmentally appropriate way for children to express emotions, process trauma, and practise regulation (Bratton et al., 2021). For Jack, it can reduce hyperarousal, aggression, and anxiety while supporting coping strategies. Evidence shows moderate to </w:t>
      </w:r>
      <w:r w:rsidR="002C669A">
        <w:rPr>
          <w:rFonts w:ascii="Arial" w:hAnsi="Arial" w:cs="Arial"/>
        </w:rPr>
        <w:t>great</w:t>
      </w:r>
      <w:r w:rsidRPr="00230E3A">
        <w:rPr>
          <w:rFonts w:ascii="Arial" w:hAnsi="Arial" w:cs="Arial"/>
        </w:rPr>
        <w:t xml:space="preserve"> improvements in emotional and behavioural outcomes, especially when combined with trauma-informed, attachment-focused approaches (Nwoke et al., 2022). Efficacy depends on therapist training, session frequency, and caregiver involvement, highlighting the need for systemic inclusion of Sarah.</w:t>
      </w:r>
    </w:p>
    <w:p w14:paraId="4AE884DD" w14:textId="118070A8" w:rsidR="00230E3A" w:rsidRPr="00230E3A" w:rsidRDefault="00230E3A" w:rsidP="00F80C61">
      <w:pPr>
        <w:pStyle w:val="NormalWeb"/>
        <w:spacing w:line="480" w:lineRule="auto"/>
        <w:rPr>
          <w:rFonts w:ascii="Arial" w:hAnsi="Arial" w:cs="Arial"/>
        </w:rPr>
      </w:pPr>
      <w:r w:rsidRPr="00230E3A">
        <w:rPr>
          <w:rFonts w:ascii="Arial" w:hAnsi="Arial" w:cs="Arial"/>
        </w:rPr>
        <w:t>Life story work helps children in care integrate experiences and develop identity coherence (Cossar et al., 2021). For Jack, it can contextualise his placement history, validate experiences, and support secure attachment through reflective dialogue with carers. While it can improve self-esteem and emotional understanding, revisiting trauma may temporarily increase distress if poorly facilitated (Mann-Feder et al., 2020). Careful implementation with consistent caregiver involvement is essential to address Jack’s emotional regulation, attachment, and identity needs.</w:t>
      </w:r>
    </w:p>
    <w:p w14:paraId="558B02C1" w14:textId="3C1633F8" w:rsidR="009C53CA" w:rsidRPr="009C53CA" w:rsidRDefault="009C53CA" w:rsidP="00F80C61">
      <w:pPr>
        <w:pStyle w:val="NormalWeb"/>
        <w:spacing w:line="480" w:lineRule="auto"/>
        <w:rPr>
          <w:rFonts w:ascii="Arial" w:hAnsi="Arial" w:cs="Arial"/>
        </w:rPr>
      </w:pPr>
      <w:r w:rsidRPr="009C53CA">
        <w:rPr>
          <w:rFonts w:ascii="Arial" w:hAnsi="Arial" w:cs="Arial"/>
        </w:rPr>
        <w:t>Children with trauma and disrupted attachment, like Jack, often face peer conflict, poor emotion regulation, and behavioural difficulties. Inclusive, trauma-informed school strategies</w:t>
      </w:r>
      <w:r w:rsidR="002C669A">
        <w:rPr>
          <w:rFonts w:ascii="Arial" w:hAnsi="Arial" w:cs="Arial"/>
        </w:rPr>
        <w:t xml:space="preserve">, </w:t>
      </w:r>
      <w:r w:rsidRPr="009C53CA">
        <w:rPr>
          <w:rFonts w:ascii="Arial" w:hAnsi="Arial" w:cs="Arial"/>
        </w:rPr>
        <w:t>predictable routines, safe spaces, and responsive staff support engagement and emotional regulation (Cole et al., 2020). For Jack, consistent classroom expectations and supportive teacher relationships can reduce anxiety and improve learning focus.</w:t>
      </w:r>
    </w:p>
    <w:p w14:paraId="1D97DB05" w14:textId="333363DE" w:rsidR="009C53CA" w:rsidRPr="009C53CA" w:rsidRDefault="009C53CA" w:rsidP="00F80C61">
      <w:pPr>
        <w:pStyle w:val="NormalWeb"/>
        <w:spacing w:line="480" w:lineRule="auto"/>
        <w:rPr>
          <w:rFonts w:ascii="Arial" w:hAnsi="Arial" w:cs="Arial"/>
        </w:rPr>
      </w:pPr>
      <w:r w:rsidRPr="009C53CA">
        <w:rPr>
          <w:rFonts w:ascii="Arial" w:hAnsi="Arial" w:cs="Arial"/>
        </w:rPr>
        <w:lastRenderedPageBreak/>
        <w:t>Peer relationship building is essential. Structured social skills interventions, cooperative tasks, and peer mentoring improve social competence and reduce aggression in children with early adversity (Kaufman et al., 2022). Jack’s pushiness and aggression can be moderated through guided peer interactions that model prosocial behaviour and reinforce empathy and conflict resolution. Behaviour management should use positive reinforcement, clear boundaries, and de-escalation rather than punitive approaches (Eklund et al., 2021). School interventions must be integrated with stable caregiving and mental health support to sustain gains, making collaboration between staff, foster carers, and mental health professionals critical for Jack’s adaptive behaviour and social inclusion.</w:t>
      </w:r>
    </w:p>
    <w:p w14:paraId="766D595E" w14:textId="42A6130A" w:rsidR="009C53CA" w:rsidRPr="009C53CA" w:rsidRDefault="009C53CA" w:rsidP="00F80C61">
      <w:pPr>
        <w:pStyle w:val="NormalWeb"/>
        <w:spacing w:line="480" w:lineRule="auto"/>
        <w:rPr>
          <w:rFonts w:ascii="Arial" w:hAnsi="Arial" w:cs="Arial"/>
        </w:rPr>
      </w:pPr>
      <w:r w:rsidRPr="009C53CA">
        <w:rPr>
          <w:rFonts w:ascii="Arial" w:hAnsi="Arial" w:cs="Arial"/>
        </w:rPr>
        <w:t xml:space="preserve">Foster carers are pivotal in supporting children with trauma and disrupted attachment. Jack’s clinginess and aggression highlight the need to equip Sarah with attachment- and trauma-informed training to respond effectively while maintaining her </w:t>
      </w:r>
      <w:r w:rsidR="002C669A">
        <w:rPr>
          <w:rFonts w:ascii="Arial" w:hAnsi="Arial" w:cs="Arial"/>
        </w:rPr>
        <w:t>well-being</w:t>
      </w:r>
      <w:r w:rsidRPr="009C53CA">
        <w:rPr>
          <w:rFonts w:ascii="Arial" w:hAnsi="Arial" w:cs="Arial"/>
        </w:rPr>
        <w:t xml:space="preserve"> (Cameron et al., 2021). Strategies such as emotion coaching, reflective practice, and structured routines provide Jack with a secure base and teach self-regulation skills (Thomas &amp; Simmonds, 2022). Carer support alone is insufficient without systemic supports, including supervision, mental health consultation, and collaborative care planning, to prevent burnout and placement instability (Wall et al., 2020). Relationship-based approaches, with consistent, attuned responses, can gradually reduce Jack’s attachment anxiety and aggression, reinforcing trust (Leathers et al., 2022). Integrating reflective guidance with structured interventions supports both Jack’s emotional and behavioural development, highlighting the importance of sustained, evidence-based foster care support.</w:t>
      </w:r>
    </w:p>
    <w:p w14:paraId="069B253B" w14:textId="210FCE62" w:rsidR="009C53CA" w:rsidRPr="009C53CA" w:rsidRDefault="009C53CA" w:rsidP="00F80C61">
      <w:pPr>
        <w:pStyle w:val="NormalWeb"/>
        <w:spacing w:line="480" w:lineRule="auto"/>
        <w:ind w:firstLine="720"/>
        <w:rPr>
          <w:rFonts w:ascii="Arial" w:hAnsi="Arial" w:cs="Arial"/>
        </w:rPr>
      </w:pPr>
      <w:r w:rsidRPr="009C53CA">
        <w:rPr>
          <w:rFonts w:ascii="Arial" w:hAnsi="Arial" w:cs="Arial"/>
        </w:rPr>
        <w:lastRenderedPageBreak/>
        <w:t>Jack’s history of abuse, neglect, and placement instability requires multi-agency collaboration to support his emotional, behavioural, and social development. CAMHS engagement is essential to address trauma-related hyperarousal, aggression, and attachment difficulties using evidence-based interventions like TF-CBT (Ford et al., 2021). Research highlights that CAMHS is most effective when integrated with foster carers and educational staff, ensuring consistent strategies across home and school.</w:t>
      </w:r>
    </w:p>
    <w:p w14:paraId="4C2C8CBE" w14:textId="783536BA" w:rsidR="009C53CA" w:rsidRPr="009C53CA" w:rsidRDefault="009C53CA" w:rsidP="00F80C61">
      <w:pPr>
        <w:pStyle w:val="NormalWeb"/>
        <w:spacing w:line="480" w:lineRule="auto"/>
        <w:rPr>
          <w:rStyle w:val="Strong"/>
          <w:rFonts w:ascii="Arial" w:eastAsiaTheme="majorEastAsia" w:hAnsi="Arial" w:cs="Arial"/>
          <w:b w:val="0"/>
          <w:bCs w:val="0"/>
        </w:rPr>
      </w:pPr>
      <w:r w:rsidRPr="009C53CA">
        <w:rPr>
          <w:rFonts w:ascii="Arial" w:hAnsi="Arial" w:cs="Arial"/>
        </w:rPr>
        <w:t>Children’s services provide ongoing monitoring of placement stability, safeguarding, and carer support. Regular supervision, training, and consultation enhance foster carers’ capacity to manage challenging behaviours and reduce burnout (Webb et al., 2020). Safeguarding frameworks ensure Jack’s safety, especially given early domestic violence. Outcomes improve when agencies communicate, share information, and collaboratively plan interventions, as isolated efforts are insufficient (Wells et al., 2022).</w:t>
      </w:r>
    </w:p>
    <w:p w14:paraId="2910D14F" w14:textId="6F69E2BE" w:rsidR="009C53CA" w:rsidRPr="009C53CA" w:rsidRDefault="009C53CA" w:rsidP="00F80C61">
      <w:pPr>
        <w:pStyle w:val="NormalWeb"/>
        <w:spacing w:line="480" w:lineRule="auto"/>
        <w:rPr>
          <w:rFonts w:ascii="Arial" w:hAnsi="Arial" w:cs="Arial"/>
        </w:rPr>
      </w:pPr>
      <w:r w:rsidRPr="009C53CA">
        <w:rPr>
          <w:rFonts w:ascii="Arial" w:hAnsi="Arial" w:cs="Arial"/>
        </w:rPr>
        <w:t>Structured guidance from social services and CAMHS supports Sarah’s trauma-informed caregiving, while coordinated multi-agency support helps Jack with emotional regulation, relational security, and social inclusion. Evidence highlights that collaborative frameworks are crucial for reducing risk and promoting resilience. Jack’s early abuse, neglect, and placement instability require a multi-faceted, trauma-informed approach, including therapeutic work, educational support, foster care support, and multi-agency collaboration, each offering benefits but also presenting limitations and ethical considerations.</w:t>
      </w:r>
    </w:p>
    <w:p w14:paraId="481871E2" w14:textId="2C818471" w:rsidR="009C53CA" w:rsidRPr="009C53CA" w:rsidRDefault="009C53CA" w:rsidP="00F80C61">
      <w:pPr>
        <w:pStyle w:val="NormalWeb"/>
        <w:spacing w:line="480" w:lineRule="auto"/>
        <w:ind w:firstLine="720"/>
        <w:rPr>
          <w:rFonts w:ascii="Arial" w:hAnsi="Arial" w:cs="Arial"/>
        </w:rPr>
      </w:pPr>
      <w:r w:rsidRPr="009C53CA">
        <w:rPr>
          <w:rFonts w:ascii="Arial" w:hAnsi="Arial" w:cs="Arial"/>
        </w:rPr>
        <w:t xml:space="preserve">Play therapy provides Jack a developmentally appropriate way to express emotions, process trauma, and practise self-regulation (Bratton et al., 2021). </w:t>
      </w:r>
      <w:r w:rsidRPr="009C53CA">
        <w:rPr>
          <w:rFonts w:ascii="Arial" w:hAnsi="Arial" w:cs="Arial"/>
        </w:rPr>
        <w:lastRenderedPageBreak/>
        <w:t xml:space="preserve">Evidence shows improved emotional and behavioural outcomes, especially with attachment-focused strategies (Nwoke et al., 2022). It can help manage aggression, reduce hyperarousal, and improve relational skills with Sarah. Limitations include therapist skill, session frequency, and </w:t>
      </w:r>
      <w:r w:rsidR="002C669A">
        <w:rPr>
          <w:rFonts w:ascii="Arial" w:hAnsi="Arial" w:cs="Arial"/>
        </w:rPr>
        <w:t xml:space="preserve">the </w:t>
      </w:r>
      <w:r w:rsidRPr="009C53CA">
        <w:rPr>
          <w:rFonts w:ascii="Arial" w:hAnsi="Arial" w:cs="Arial"/>
        </w:rPr>
        <w:t>need for caregiver involvement. Ethical considerations include avoiding re-traumatisation and ensuring voluntary, developmentally appropriate, culturally sensitive therapy (Mann-Feder et al., 2020).</w:t>
      </w:r>
    </w:p>
    <w:p w14:paraId="10589FC8" w14:textId="450B0373" w:rsidR="009C53CA" w:rsidRPr="009C53CA" w:rsidRDefault="009C53CA" w:rsidP="00F80C61">
      <w:pPr>
        <w:pStyle w:val="NormalWeb"/>
        <w:spacing w:line="480" w:lineRule="auto"/>
        <w:rPr>
          <w:rStyle w:val="Strong"/>
          <w:rFonts w:ascii="Arial" w:hAnsi="Arial" w:cs="Arial"/>
          <w:b w:val="0"/>
          <w:bCs w:val="0"/>
        </w:rPr>
      </w:pPr>
      <w:r w:rsidRPr="009C53CA">
        <w:rPr>
          <w:rFonts w:ascii="Arial" w:hAnsi="Arial" w:cs="Arial"/>
        </w:rPr>
        <w:t>Life story work supports Jack in integrating fragmented experiences and developing identity coherence after multiple placements (Cossar et al., 2021). It can improve self-esteem and emotional understanding, but revisiting trauma may temporarily increase distress if poorly facilitated (Mann-Feder et al., 2020). Ethical practice requires pacing, informed consent, and safeguarding when discussing past abuse.</w:t>
      </w:r>
    </w:p>
    <w:p w14:paraId="3CE0C717" w14:textId="73549EAF" w:rsidR="009C53CA" w:rsidRPr="009C53CA" w:rsidRDefault="009C53CA" w:rsidP="00F80C61">
      <w:pPr>
        <w:pStyle w:val="NormalWeb"/>
        <w:spacing w:line="480" w:lineRule="auto"/>
        <w:rPr>
          <w:rStyle w:val="Strong"/>
          <w:rFonts w:ascii="Arial" w:eastAsiaTheme="majorEastAsia" w:hAnsi="Arial" w:cs="Arial"/>
          <w:b w:val="0"/>
          <w:bCs w:val="0"/>
        </w:rPr>
      </w:pPr>
      <w:r w:rsidRPr="009C53CA">
        <w:rPr>
          <w:rFonts w:ascii="Arial" w:hAnsi="Arial" w:cs="Arial"/>
        </w:rPr>
        <w:t>Educational support using trauma-informed practices and peer interventions can improve Jack’s engagement, social skills, and behaviour (Cole et al., 2020; Kaufman et al., 2022). Structured routines, positive reinforcement, and cooperative activities are essential. Limitations include inconsistent staff implementation and potential stigma. Ethically, interventions must balance behaviour management with Jack’s right to a safe, inclusive learning environment.</w:t>
      </w:r>
    </w:p>
    <w:p w14:paraId="12145338" w14:textId="6C904B9A" w:rsidR="009C53CA" w:rsidRPr="009C53CA" w:rsidRDefault="009C53CA" w:rsidP="00F80C61">
      <w:pPr>
        <w:pStyle w:val="NormalWeb"/>
        <w:spacing w:line="480" w:lineRule="auto"/>
        <w:rPr>
          <w:rStyle w:val="Strong"/>
          <w:rFonts w:ascii="Arial" w:eastAsiaTheme="majorEastAsia" w:hAnsi="Arial" w:cs="Arial"/>
          <w:b w:val="0"/>
          <w:bCs w:val="0"/>
        </w:rPr>
      </w:pPr>
      <w:r w:rsidRPr="009C53CA">
        <w:rPr>
          <w:rFonts w:ascii="Arial" w:hAnsi="Arial" w:cs="Arial"/>
        </w:rPr>
        <w:t xml:space="preserve">Foster care support is vital for Jack’s relational security. Training Sarah in emotion coaching, reflective practice, and trauma-informed strategies can reduce clinginess and aggression, supporting attachment repair (Cameron et al., 2021; Thomas &amp; Simmonds, 2022). Limitations include carer burnout, lack of systemic support, or inconsistent strategy application. Ethical considerations involve safeguarding Sarah’s </w:t>
      </w:r>
      <w:r w:rsidR="002C669A">
        <w:rPr>
          <w:rFonts w:ascii="Arial" w:hAnsi="Arial" w:cs="Arial"/>
        </w:rPr>
        <w:t>well-being</w:t>
      </w:r>
      <w:r w:rsidRPr="009C53CA">
        <w:rPr>
          <w:rFonts w:ascii="Arial" w:hAnsi="Arial" w:cs="Arial"/>
        </w:rPr>
        <w:t>, respecting Jack’s autonomy, and maintaining confidentiality when sharing information with professionals.</w:t>
      </w:r>
    </w:p>
    <w:p w14:paraId="569C60B4" w14:textId="2F772AEB" w:rsidR="009C53CA" w:rsidRPr="002C669A" w:rsidRDefault="009C53CA" w:rsidP="00F80C61">
      <w:pPr>
        <w:pStyle w:val="NormalWeb"/>
        <w:spacing w:line="480" w:lineRule="auto"/>
        <w:rPr>
          <w:rFonts w:ascii="Arial" w:eastAsiaTheme="majorEastAsia" w:hAnsi="Arial" w:cs="Arial"/>
        </w:rPr>
      </w:pPr>
      <w:r w:rsidRPr="009C53CA">
        <w:rPr>
          <w:rFonts w:ascii="Arial" w:hAnsi="Arial" w:cs="Arial"/>
        </w:rPr>
        <w:lastRenderedPageBreak/>
        <w:t xml:space="preserve">Multi-agency collaboration integrating CAMHS, social services, education, and safeguarding </w:t>
      </w:r>
      <w:r w:rsidR="002C669A">
        <w:rPr>
          <w:rFonts w:ascii="Arial" w:hAnsi="Arial" w:cs="Arial"/>
        </w:rPr>
        <w:t>enhances</w:t>
      </w:r>
      <w:r w:rsidRPr="009C53CA">
        <w:rPr>
          <w:rFonts w:ascii="Arial" w:hAnsi="Arial" w:cs="Arial"/>
        </w:rPr>
        <w:t xml:space="preserve"> consistency and reduces risk (Ford et al., 2021; Wells et al., 2022). Limitations include bureaucratic delays, communication breakdowns, and differing professional perspectives. Ethically, agencies must prioritise Jack’s best interests, maintain data privacy, and ensure transparent, child-centred decision-making.</w:t>
      </w:r>
      <w:r w:rsidR="002C669A">
        <w:rPr>
          <w:rStyle w:val="Strong"/>
          <w:rFonts w:ascii="Arial" w:eastAsiaTheme="majorEastAsia" w:hAnsi="Arial" w:cs="Arial"/>
          <w:b w:val="0"/>
          <w:bCs w:val="0"/>
        </w:rPr>
        <w:t xml:space="preserve"> </w:t>
      </w:r>
      <w:r w:rsidRPr="009C53CA">
        <w:rPr>
          <w:rFonts w:ascii="Arial" w:hAnsi="Arial" w:cs="Arial"/>
        </w:rPr>
        <w:t xml:space="preserve">Evidence supports multi-systemic approaches as </w:t>
      </w:r>
      <w:r w:rsidR="002C669A">
        <w:rPr>
          <w:rFonts w:ascii="Arial" w:hAnsi="Arial" w:cs="Arial"/>
        </w:rPr>
        <w:t xml:space="preserve">the </w:t>
      </w:r>
      <w:r w:rsidRPr="009C53CA">
        <w:rPr>
          <w:rFonts w:ascii="Arial" w:hAnsi="Arial" w:cs="Arial"/>
        </w:rPr>
        <w:t xml:space="preserve">most effective for children like Jack. Interventions are limited if delivered in isolation, inconsistently, or without caregiver involvement. Ethical practice requires trauma-informed, developmentally sensitive approaches that ensure safety, respect autonomy, and provide reflective support for carers. Future research </w:t>
      </w:r>
      <w:r w:rsidR="002C669A">
        <w:rPr>
          <w:rFonts w:ascii="Arial" w:hAnsi="Arial" w:cs="Arial"/>
        </w:rPr>
        <w:t>emphasises</w:t>
      </w:r>
      <w:r w:rsidRPr="009C53CA">
        <w:rPr>
          <w:rFonts w:ascii="Arial" w:hAnsi="Arial" w:cs="Arial"/>
        </w:rPr>
        <w:t xml:space="preserve"> long-term follow-up to evaluate outcomes and prevent re-traumatisation.</w:t>
      </w:r>
      <w:r>
        <w:rPr>
          <w:rFonts w:ascii="Arial" w:hAnsi="Arial" w:cs="Arial"/>
        </w:rPr>
        <w:t xml:space="preserve"> </w:t>
      </w:r>
      <w:r w:rsidRPr="009C53CA">
        <w:rPr>
          <w:rFonts w:ascii="Arial" w:hAnsi="Arial" w:cs="Arial"/>
        </w:rPr>
        <w:t>Integrating therapeutic, educational, foster care, and multi-agency interventions supports Jack’s emotional, social, and cognitive development. Research shows children with complex trauma benefit from multi-systemic approaches combining relationship-based interventions, skill-building, and consistent caregiving (Ford et al., 2021; Wells et al., 2022). For Jack, play therapy and life story work can help him process early abuse, neglect, and multiple placements, fostering self-awareness and narrative coherence (Cossar et al., 2021).</w:t>
      </w:r>
      <w:r>
        <w:rPr>
          <w:rFonts w:ascii="Arial" w:hAnsi="Arial" w:cs="Arial"/>
        </w:rPr>
        <w:t xml:space="preserve"> </w:t>
      </w:r>
      <w:r w:rsidRPr="009C53CA">
        <w:rPr>
          <w:rFonts w:ascii="Arial" w:hAnsi="Arial" w:cs="Arial"/>
        </w:rPr>
        <w:t>Educational strategies promote social competence, self-regulation, and positive peer interactions, reducing aggression (Kaufman et al., 2022). Foster carer support provides a “secure base” for exploration and emotional regulation (Cameron et al., 2021). Multi-agency collaboration aligns therapeutic, educational, and safeguarding interventions, enhancing consistency. Literature notes that without integration, interventions risk fragmentation and reduced effectiveness (Wells et al., 2022). Jack</w:t>
      </w:r>
      <w:r w:rsidR="00C74F91">
        <w:rPr>
          <w:rFonts w:ascii="Arial" w:hAnsi="Arial" w:cs="Arial"/>
        </w:rPr>
        <w:t xml:space="preserve"> requires</w:t>
      </w:r>
      <w:r w:rsidRPr="009C53CA">
        <w:rPr>
          <w:rFonts w:ascii="Arial" w:hAnsi="Arial" w:cs="Arial"/>
        </w:rPr>
        <w:t xml:space="preserve"> a coordinated, trauma-informed, attachment-focused approach </w:t>
      </w:r>
      <w:r w:rsidRPr="009C53CA">
        <w:rPr>
          <w:rFonts w:ascii="Arial" w:hAnsi="Arial" w:cs="Arial"/>
        </w:rPr>
        <w:lastRenderedPageBreak/>
        <w:t>is essential to strengthen resilience, help him make sense of his experiences, and support long-term developmental outcomes.</w:t>
      </w:r>
    </w:p>
    <w:p w14:paraId="7C253E5B" w14:textId="5AAEA4C0" w:rsidR="009C53CA" w:rsidRPr="009C53CA" w:rsidRDefault="009C53CA" w:rsidP="00F80C61">
      <w:pPr>
        <w:pStyle w:val="NormalWeb"/>
        <w:spacing w:line="480" w:lineRule="auto"/>
        <w:ind w:firstLine="720"/>
        <w:rPr>
          <w:rFonts w:ascii="Arial" w:hAnsi="Arial" w:cs="Arial"/>
        </w:rPr>
      </w:pPr>
      <w:r w:rsidRPr="009C53CA">
        <w:rPr>
          <w:rFonts w:ascii="Arial" w:hAnsi="Arial" w:cs="Arial"/>
        </w:rPr>
        <w:t>Supporting children with complex trauma like Jack is emotionally demanding due to behavioural challenges, abuse histories, and relational disruptions. Practitioners may experience vicarious trauma, compassion fatigue, and moral stress (Knight, 2021). Jack’s aggression, clinginess, and emotional dysregulation can trigger strong emotional responses, underscoring the importance of reflective practice and supervision.</w:t>
      </w:r>
    </w:p>
    <w:p w14:paraId="49A1D07E" w14:textId="3929300D" w:rsidR="0071452B" w:rsidRPr="0071452B" w:rsidRDefault="0071452B" w:rsidP="00F80C61">
      <w:pPr>
        <w:pStyle w:val="NormalWeb"/>
        <w:spacing w:line="480" w:lineRule="auto"/>
        <w:rPr>
          <w:rFonts w:ascii="Arial" w:hAnsi="Arial" w:cs="Arial"/>
        </w:rPr>
      </w:pPr>
      <w:r w:rsidRPr="0071452B">
        <w:rPr>
          <w:rFonts w:ascii="Arial" w:hAnsi="Arial" w:cs="Arial"/>
        </w:rPr>
        <w:t>Recent literature highlights that structured reflective supervision supports practitioner resilience, professional judgement, and trauma-informed care (Beddoe &amp; McNeill, 2021). It enables exploration of emotional responses, ethical dilemmas, and interventions, integrating multi-agency input while maintaining a child-centred focus for decisions in Jack’s best interests. Supporting children like Jack also requires balancing empathy with professional boundaries and ongoing self-care. Supervision mitigates burnout, promotes reflective decision-making, and reinforces the practitioner’s ability to provide consistent, sensitive, and effective support for children with complex needs.</w:t>
      </w:r>
    </w:p>
    <w:p w14:paraId="5D52229C" w14:textId="6B764695" w:rsidR="0071452B" w:rsidRPr="0071452B" w:rsidRDefault="0071452B" w:rsidP="00F80C61">
      <w:pPr>
        <w:pStyle w:val="NormalWeb"/>
        <w:spacing w:line="480" w:lineRule="auto"/>
        <w:rPr>
          <w:rFonts w:ascii="Arial" w:hAnsi="Arial" w:cs="Arial"/>
        </w:rPr>
      </w:pPr>
      <w:r w:rsidRPr="0071452B">
        <w:rPr>
          <w:rFonts w:ascii="Arial" w:hAnsi="Arial" w:cs="Arial"/>
        </w:rPr>
        <w:t>Supporting children with complex trauma</w:t>
      </w:r>
      <w:r w:rsidR="002C669A">
        <w:rPr>
          <w:rFonts w:ascii="Arial" w:hAnsi="Arial" w:cs="Arial"/>
        </w:rPr>
        <w:t>,</w:t>
      </w:r>
      <w:r w:rsidRPr="0071452B">
        <w:rPr>
          <w:rFonts w:ascii="Arial" w:hAnsi="Arial" w:cs="Arial"/>
        </w:rPr>
        <w:t xml:space="preserve"> like Jack</w:t>
      </w:r>
      <w:r w:rsidR="002C669A">
        <w:rPr>
          <w:rFonts w:ascii="Arial" w:hAnsi="Arial" w:cs="Arial"/>
        </w:rPr>
        <w:t>,</w:t>
      </w:r>
      <w:r w:rsidRPr="0071452B">
        <w:rPr>
          <w:rFonts w:ascii="Arial" w:hAnsi="Arial" w:cs="Arial"/>
        </w:rPr>
        <w:t xml:space="preserve"> places significant emotional demands on </w:t>
      </w:r>
      <w:r w:rsidR="002C669A">
        <w:rPr>
          <w:rFonts w:ascii="Arial" w:hAnsi="Arial" w:cs="Arial"/>
        </w:rPr>
        <w:t>practitioners</w:t>
      </w:r>
      <w:r w:rsidRPr="0071452B">
        <w:rPr>
          <w:rFonts w:ascii="Arial" w:hAnsi="Arial" w:cs="Arial"/>
        </w:rPr>
        <w:t>, requiring deliberate resilience strategies. Reflective supervision is essential for processing challenging cases, promoting professional growth, and reducing vicarious trauma (Beddoe &amp; McNeill, 2021). Structured reflection allows practitioners to examine emotional responses, ethical dilemmas, and interventions, enhancing self-awareness and children’s outcomes.</w:t>
      </w:r>
    </w:p>
    <w:p w14:paraId="7FA20195" w14:textId="26A71FCA" w:rsidR="0071452B" w:rsidRPr="0071452B" w:rsidRDefault="0071452B" w:rsidP="00F80C61">
      <w:pPr>
        <w:pStyle w:val="NormalWeb"/>
        <w:spacing w:line="480" w:lineRule="auto"/>
        <w:rPr>
          <w:rStyle w:val="Strong"/>
          <w:rFonts w:ascii="Arial" w:eastAsiaTheme="majorEastAsia" w:hAnsi="Arial" w:cs="Arial"/>
          <w:b w:val="0"/>
          <w:bCs w:val="0"/>
        </w:rPr>
      </w:pPr>
      <w:r w:rsidRPr="0071452B">
        <w:rPr>
          <w:rFonts w:ascii="Arial" w:hAnsi="Arial" w:cs="Arial"/>
        </w:rPr>
        <w:lastRenderedPageBreak/>
        <w:t>Peer support and team-based reflective practice foster collaboration, shared learning, and normali</w:t>
      </w:r>
      <w:r>
        <w:rPr>
          <w:rFonts w:ascii="Arial" w:hAnsi="Arial" w:cs="Arial"/>
        </w:rPr>
        <w:t>s</w:t>
      </w:r>
      <w:r w:rsidRPr="0071452B">
        <w:rPr>
          <w:rFonts w:ascii="Arial" w:hAnsi="Arial" w:cs="Arial"/>
        </w:rPr>
        <w:t xml:space="preserve">ation of challenges (Healy &amp; Meagher, 2020). A trauma-informed team culture further enhances resilience by aligning </w:t>
      </w:r>
      <w:r w:rsidR="002C669A">
        <w:rPr>
          <w:rFonts w:ascii="Arial" w:hAnsi="Arial" w:cs="Arial"/>
        </w:rPr>
        <w:t>organisational</w:t>
      </w:r>
      <w:r w:rsidRPr="0071452B">
        <w:rPr>
          <w:rFonts w:ascii="Arial" w:hAnsi="Arial" w:cs="Arial"/>
        </w:rPr>
        <w:t xml:space="preserve"> policies and practices with the emotional demands of working with trauma-exposed children (Isobel et al., 2022).</w:t>
      </w:r>
    </w:p>
    <w:p w14:paraId="5B604CB5" w14:textId="6E8B880D" w:rsidR="0071452B" w:rsidRPr="0071452B" w:rsidRDefault="0071452B" w:rsidP="00F80C61">
      <w:pPr>
        <w:pStyle w:val="NormalWeb"/>
        <w:spacing w:line="480" w:lineRule="auto"/>
        <w:rPr>
          <w:rFonts w:ascii="Arial" w:hAnsi="Arial" w:cs="Arial"/>
        </w:rPr>
      </w:pPr>
      <w:r w:rsidRPr="0071452B">
        <w:rPr>
          <w:rFonts w:ascii="Arial" w:hAnsi="Arial" w:cs="Arial"/>
        </w:rPr>
        <w:t xml:space="preserve">Additional strategies for </w:t>
      </w:r>
      <w:r w:rsidR="002C669A">
        <w:rPr>
          <w:rFonts w:ascii="Arial" w:hAnsi="Arial" w:cs="Arial"/>
        </w:rPr>
        <w:t>practitioners</w:t>
      </w:r>
      <w:r w:rsidRPr="0071452B">
        <w:rPr>
          <w:rFonts w:ascii="Arial" w:hAnsi="Arial" w:cs="Arial"/>
        </w:rPr>
        <w:t xml:space="preserve"> supporting Jack include maintaining professional boundaries, mindfulness, and prioritising self-care to prevent burnout (Morley et al., 2021). Literature </w:t>
      </w:r>
      <w:r w:rsidR="002C669A">
        <w:rPr>
          <w:rFonts w:ascii="Arial" w:hAnsi="Arial" w:cs="Arial"/>
        </w:rPr>
        <w:t>emphasises</w:t>
      </w:r>
      <w:r w:rsidRPr="0071452B">
        <w:rPr>
          <w:rFonts w:ascii="Arial" w:hAnsi="Arial" w:cs="Arial"/>
        </w:rPr>
        <w:t xml:space="preserve"> that individual strategies are insufficient without </w:t>
      </w:r>
      <w:r w:rsidR="002C669A">
        <w:rPr>
          <w:rFonts w:ascii="Arial" w:hAnsi="Arial" w:cs="Arial"/>
        </w:rPr>
        <w:t>organisational</w:t>
      </w:r>
      <w:r w:rsidRPr="0071452B">
        <w:rPr>
          <w:rFonts w:ascii="Arial" w:hAnsi="Arial" w:cs="Arial"/>
        </w:rPr>
        <w:t xml:space="preserve"> support; resilience is optimised when reflective supervision, peer support, and trauma-informed culture operate together (Beddoe &amp; McNeill, 2021; Healy &amp; Meagher, 2020). Maintaining work-life balance and engaging in professional development enhances competence, confidence, and sustainable practice (Knight, 2021). Early recognition of burnout signs, coupled with supervision to process stress, manage workload, and access peer support, ensures ethical, trauma-sensitive, and consistent care. These strategies enable </w:t>
      </w:r>
      <w:r w:rsidR="002C669A">
        <w:rPr>
          <w:rFonts w:ascii="Arial" w:hAnsi="Arial" w:cs="Arial"/>
        </w:rPr>
        <w:t>practitioners</w:t>
      </w:r>
      <w:r w:rsidRPr="0071452B">
        <w:rPr>
          <w:rFonts w:ascii="Arial" w:hAnsi="Arial" w:cs="Arial"/>
        </w:rPr>
        <w:t xml:space="preserve"> to manage the emotional and cognitive demands of complex trauma cases, supporting both practitioner wellbeing and high-quality outcomes for children like Jack.</w:t>
      </w:r>
    </w:p>
    <w:p w14:paraId="4C5526C4" w14:textId="2E58042F" w:rsidR="0071452B" w:rsidRPr="0071452B" w:rsidRDefault="0071452B" w:rsidP="00F80C61">
      <w:pPr>
        <w:pStyle w:val="NormalWeb"/>
        <w:spacing w:line="480" w:lineRule="auto"/>
        <w:rPr>
          <w:rFonts w:ascii="Arial" w:hAnsi="Arial" w:cs="Arial"/>
        </w:rPr>
      </w:pPr>
      <w:r w:rsidRPr="0071452B">
        <w:rPr>
          <w:rFonts w:ascii="Arial" w:hAnsi="Arial" w:cs="Arial"/>
        </w:rPr>
        <w:t xml:space="preserve">Resilience strategies, reflective supervision, peer support, trauma-informed team culture, mindfulness, and boundary-setting are essential for </w:t>
      </w:r>
      <w:r w:rsidR="002C669A">
        <w:rPr>
          <w:rFonts w:ascii="Arial" w:hAnsi="Arial" w:cs="Arial"/>
        </w:rPr>
        <w:t>practitioners</w:t>
      </w:r>
      <w:r w:rsidRPr="0071452B">
        <w:rPr>
          <w:rFonts w:ascii="Arial" w:hAnsi="Arial" w:cs="Arial"/>
        </w:rPr>
        <w:t xml:space="preserve"> supporting complex cases like Jack. These strategies enhance emotional regulation, critical reflection, and decision-making, promoting safer, more consistent interventions for children exposed to abuse, neglect, and placement instability (Beddoe &amp; McNeill, 2021; Isobel et al., 2022). Reflective supervision, for example, helps </w:t>
      </w:r>
      <w:r w:rsidR="002C669A">
        <w:rPr>
          <w:rFonts w:ascii="Arial" w:hAnsi="Arial" w:cs="Arial"/>
        </w:rPr>
        <w:t>practitioners</w:t>
      </w:r>
      <w:r w:rsidRPr="0071452B">
        <w:rPr>
          <w:rFonts w:ascii="Arial" w:hAnsi="Arial" w:cs="Arial"/>
        </w:rPr>
        <w:t xml:space="preserve"> </w:t>
      </w:r>
      <w:r w:rsidRPr="0071452B">
        <w:rPr>
          <w:rFonts w:ascii="Arial" w:hAnsi="Arial" w:cs="Arial"/>
        </w:rPr>
        <w:lastRenderedPageBreak/>
        <w:t>process vicarious trauma, evaluate risk, and maintain a child-centred focus, strengthening safeguarding practice.</w:t>
      </w:r>
    </w:p>
    <w:p w14:paraId="0A6CDDA7" w14:textId="6B697CDB" w:rsidR="0071452B" w:rsidRPr="0071452B" w:rsidRDefault="0071452B" w:rsidP="00F80C61">
      <w:pPr>
        <w:pStyle w:val="NormalWeb"/>
        <w:spacing w:line="480" w:lineRule="auto"/>
        <w:rPr>
          <w:rFonts w:ascii="Arial" w:hAnsi="Arial" w:cs="Arial"/>
        </w:rPr>
      </w:pPr>
      <w:r w:rsidRPr="0071452B">
        <w:rPr>
          <w:rFonts w:ascii="Arial" w:hAnsi="Arial" w:cs="Arial"/>
        </w:rPr>
        <w:t xml:space="preserve">Limitations exist, as individual resilience strategies are insufficient without </w:t>
      </w:r>
      <w:r w:rsidR="002C669A">
        <w:rPr>
          <w:rFonts w:ascii="Arial" w:hAnsi="Arial" w:cs="Arial"/>
        </w:rPr>
        <w:t>organisational</w:t>
      </w:r>
      <w:r w:rsidRPr="0071452B">
        <w:rPr>
          <w:rFonts w:ascii="Arial" w:hAnsi="Arial" w:cs="Arial"/>
        </w:rPr>
        <w:t xml:space="preserve"> support, including manageable caseloads and robust safeguarding policies (Morley et al., 2021). In high-risk UK contexts, systemic constraints can cause moral distress, reducing the protective effect of personal strategies (Healy &amp; Meagher, 2020). Over-reliance on mindfulness or self-care without reflective supervision may also risk isolation and inconsistent decision-making. Literature emphasises that resilience is most effective when embedded in a trauma-informed, multi-agency framework, ensuring practitioner well-being supports safe, consistent, and effective interventions for children like Jack.</w:t>
      </w:r>
    </w:p>
    <w:p w14:paraId="7613B512" w14:textId="623E5DA1" w:rsidR="0071452B" w:rsidRPr="0071452B" w:rsidRDefault="0071452B" w:rsidP="00F80C61">
      <w:pPr>
        <w:pStyle w:val="NormalWeb"/>
        <w:spacing w:line="480" w:lineRule="auto"/>
        <w:rPr>
          <w:rFonts w:ascii="Arial" w:hAnsi="Arial" w:cs="Arial"/>
        </w:rPr>
      </w:pPr>
      <w:r w:rsidRPr="0071452B">
        <w:rPr>
          <w:rFonts w:ascii="Arial" w:hAnsi="Arial" w:cs="Arial"/>
        </w:rPr>
        <w:t xml:space="preserve">Practitioner resilience is essential for delivering consistent, trauma-informed care for children like Jack, whose history of abuse and multiple placements requires sensitive, predictable interventions. Literature shows that reflective supervision, peer support, and self-care enable </w:t>
      </w:r>
      <w:r w:rsidR="002C669A">
        <w:rPr>
          <w:rFonts w:ascii="Arial" w:hAnsi="Arial" w:cs="Arial"/>
        </w:rPr>
        <w:t>practitioners</w:t>
      </w:r>
      <w:r w:rsidRPr="0071452B">
        <w:rPr>
          <w:rFonts w:ascii="Arial" w:hAnsi="Arial" w:cs="Arial"/>
        </w:rPr>
        <w:t xml:space="preserve"> to manage stress, maintain boundaries, and make informed safeguarding decisions (Beddoe &amp; McNeill, 2021; Healy &amp; Meagher, 2020). For Jack, this enhances relational stability, risk assessment, and coordination with foster carers, schools, and CAMHS. Resilient practitioners can sustain the patience and attunement needed to address his clinginess, aggression, and peer difficulties, directly improving the quality and effectiveness of interventions in line with UK safeguarding best practice.</w:t>
      </w:r>
    </w:p>
    <w:p w14:paraId="67164011" w14:textId="0E765F61" w:rsidR="0071452B" w:rsidRPr="0071452B" w:rsidRDefault="0071452B" w:rsidP="00F80C61">
      <w:pPr>
        <w:pStyle w:val="NormalWeb"/>
        <w:spacing w:line="480" w:lineRule="auto"/>
        <w:ind w:firstLine="720"/>
        <w:rPr>
          <w:rFonts w:ascii="Arial" w:hAnsi="Arial" w:cs="Arial"/>
        </w:rPr>
      </w:pPr>
      <w:r w:rsidRPr="0071452B">
        <w:rPr>
          <w:rFonts w:ascii="Arial" w:hAnsi="Arial" w:cs="Arial"/>
        </w:rPr>
        <w:t xml:space="preserve">Jack, an 11-year-old with a history of abuse, neglect, and multiple placements, shows trauma-related behaviours, including clinginess, aggression, and peer difficulties. These experiences affect his emotional regulation, social </w:t>
      </w:r>
      <w:r w:rsidRPr="0071452B">
        <w:rPr>
          <w:rFonts w:ascii="Arial" w:hAnsi="Arial" w:cs="Arial"/>
        </w:rPr>
        <w:lastRenderedPageBreak/>
        <w:t xml:space="preserve">development, and long-term </w:t>
      </w:r>
      <w:r w:rsidR="002C669A">
        <w:rPr>
          <w:rFonts w:ascii="Arial" w:hAnsi="Arial" w:cs="Arial"/>
        </w:rPr>
        <w:t>well-being</w:t>
      </w:r>
      <w:r w:rsidRPr="0071452B">
        <w:rPr>
          <w:rFonts w:ascii="Arial" w:hAnsi="Arial" w:cs="Arial"/>
        </w:rPr>
        <w:t xml:space="preserve">, though his energy and enjoyment of outdoor play serve as protective factors. Effective support requires a </w:t>
      </w:r>
      <w:r w:rsidRPr="0071452B">
        <w:rPr>
          <w:rStyle w:val="Strong"/>
          <w:rFonts w:ascii="Arial" w:eastAsiaTheme="majorEastAsia" w:hAnsi="Arial" w:cs="Arial"/>
          <w:b w:val="0"/>
          <w:bCs w:val="0"/>
        </w:rPr>
        <w:t>multi-faceted, trauma-informed approach</w:t>
      </w:r>
      <w:r w:rsidRPr="0071452B">
        <w:rPr>
          <w:rFonts w:ascii="Arial" w:hAnsi="Arial" w:cs="Arial"/>
        </w:rPr>
        <w:t xml:space="preserve">, therapeutic interventions, educational support, foster </w:t>
      </w:r>
      <w:proofErr w:type="spellStart"/>
      <w:r w:rsidRPr="0071452B">
        <w:rPr>
          <w:rFonts w:ascii="Arial" w:hAnsi="Arial" w:cs="Arial"/>
        </w:rPr>
        <w:t>carer</w:t>
      </w:r>
      <w:proofErr w:type="spellEnd"/>
      <w:r w:rsidRPr="0071452B">
        <w:rPr>
          <w:rFonts w:ascii="Arial" w:hAnsi="Arial" w:cs="Arial"/>
        </w:rPr>
        <w:t xml:space="preserve"> guidance, and multi-agency collaboration. Literature highlights the benefits of integrated interventions but notes limitations such as variable carer implementation and </w:t>
      </w:r>
      <w:r w:rsidR="002C669A">
        <w:rPr>
          <w:rFonts w:ascii="Arial" w:hAnsi="Arial" w:cs="Arial"/>
        </w:rPr>
        <w:t>organisational</w:t>
      </w:r>
      <w:r w:rsidRPr="0071452B">
        <w:rPr>
          <w:rFonts w:ascii="Arial" w:hAnsi="Arial" w:cs="Arial"/>
        </w:rPr>
        <w:t xml:space="preserve"> constraints. Practitioner resilience, supported through supervision, peer support, and self-care, is crucial for maintaining consistent, high-quality care, directly impacting Jack’s developmental, emotional, and relational outcomes in line with UK child </w:t>
      </w:r>
      <w:r w:rsidR="002C669A">
        <w:rPr>
          <w:rFonts w:ascii="Arial" w:hAnsi="Arial" w:cs="Arial"/>
        </w:rPr>
        <w:t>safeguarding</w:t>
      </w:r>
      <w:r w:rsidRPr="0071452B">
        <w:rPr>
          <w:rFonts w:ascii="Arial" w:hAnsi="Arial" w:cs="Arial"/>
        </w:rPr>
        <w:t xml:space="preserve"> best practice.</w:t>
      </w:r>
    </w:p>
    <w:p w14:paraId="714933E3" w14:textId="1CE9D557" w:rsidR="0071452B" w:rsidRPr="0071452B" w:rsidRDefault="0071452B" w:rsidP="00F80C61">
      <w:pPr>
        <w:pStyle w:val="NormalWeb"/>
        <w:spacing w:line="480" w:lineRule="auto"/>
        <w:rPr>
          <w:rFonts w:ascii="Arial" w:hAnsi="Arial" w:cs="Arial"/>
        </w:rPr>
      </w:pPr>
      <w:r w:rsidRPr="0071452B">
        <w:rPr>
          <w:rFonts w:ascii="Arial" w:hAnsi="Arial" w:cs="Arial"/>
        </w:rPr>
        <w:t xml:space="preserve">Trauma, attachment, and resilience provide key frameworks for understanding children affected by early adversity. Trauma disrupts emotional regulation, leading to hyperarousal, aggression, and difficulties in self-soothing. Attachment theory, including Bowlby’s secure base and Ainsworth’s classifications, explains how disrupted caregiving fosters clinginess, fear of abandonment, or avoidance. Trauma-informed practice emphasises safety, trust, and collaboration, framing behaviours as trauma responses rather than defiance. Resilience theory highlights </w:t>
      </w:r>
      <w:r w:rsidR="002C669A">
        <w:rPr>
          <w:rFonts w:ascii="Arial" w:hAnsi="Arial" w:cs="Arial"/>
        </w:rPr>
        <w:t xml:space="preserve">the </w:t>
      </w:r>
      <w:r w:rsidRPr="0071452B">
        <w:rPr>
          <w:rFonts w:ascii="Arial" w:hAnsi="Arial" w:cs="Arial"/>
        </w:rPr>
        <w:t>protective roles of stable caregiving and supportive relationships. Applied to Jack, these theories explain his aggression, behavioural dysregulation, and peer difficulties, while his enjoyment of outdoor play reflects resilience. Despite limitations, such as cultural bias or overlooking structural factors, these frameworks collectively inform trauma-informed, consistent caregiving that supports secure relationships and long-term developmental recovery.</w:t>
      </w:r>
    </w:p>
    <w:p w14:paraId="0F874603" w14:textId="1A0C5D3E" w:rsidR="0071452B" w:rsidRPr="0071452B" w:rsidRDefault="0071452B" w:rsidP="00F80C61">
      <w:pPr>
        <w:pStyle w:val="NormalWeb"/>
        <w:spacing w:line="480" w:lineRule="auto"/>
        <w:rPr>
          <w:rFonts w:ascii="Arial" w:hAnsi="Arial" w:cs="Arial"/>
        </w:rPr>
      </w:pPr>
      <w:r w:rsidRPr="0071452B">
        <w:rPr>
          <w:rFonts w:ascii="Arial" w:hAnsi="Arial" w:cs="Arial"/>
        </w:rPr>
        <w:t>I</w:t>
      </w:r>
      <w:r w:rsidR="00C74F91">
        <w:rPr>
          <w:rFonts w:ascii="Arial" w:hAnsi="Arial" w:cs="Arial"/>
        </w:rPr>
        <w:t>’ve</w:t>
      </w:r>
      <w:r w:rsidRPr="0071452B">
        <w:rPr>
          <w:rFonts w:ascii="Arial" w:hAnsi="Arial" w:cs="Arial"/>
        </w:rPr>
        <w:t xml:space="preserve"> considered interventions to help Jack make sense of his experiences and support long-term development. Using attachment theory and trauma-informed </w:t>
      </w:r>
      <w:r w:rsidRPr="0071452B">
        <w:rPr>
          <w:rFonts w:ascii="Arial" w:hAnsi="Arial" w:cs="Arial"/>
        </w:rPr>
        <w:lastRenderedPageBreak/>
        <w:t xml:space="preserve">frameworks, I emphasised consistent caregiving, life story work, and therapeutic approaches like play therapy. These help Jack </w:t>
      </w:r>
      <w:proofErr w:type="gramStart"/>
      <w:r w:rsidRPr="0071452B">
        <w:rPr>
          <w:rFonts w:ascii="Arial" w:hAnsi="Arial" w:cs="Arial"/>
        </w:rPr>
        <w:t>integrate</w:t>
      </w:r>
      <w:proofErr w:type="gramEnd"/>
      <w:r w:rsidRPr="0071452B">
        <w:rPr>
          <w:rFonts w:ascii="Arial" w:hAnsi="Arial" w:cs="Arial"/>
        </w:rPr>
        <w:t xml:space="preserve"> experiences, regulate emotions, and reduce hyperarousal. Linking theory to practice shows </w:t>
      </w:r>
      <w:r w:rsidR="002C669A">
        <w:rPr>
          <w:rFonts w:ascii="Arial" w:hAnsi="Arial" w:cs="Arial"/>
        </w:rPr>
        <w:t xml:space="preserve">that </w:t>
      </w:r>
      <w:r w:rsidRPr="0071452B">
        <w:rPr>
          <w:rFonts w:ascii="Arial" w:hAnsi="Arial" w:cs="Arial"/>
        </w:rPr>
        <w:t>his clinginess, aggression, and peer difficulties reflect trauma responses, and that stable, nurturing relationships can foster resilience and mitigate long-term risks.</w:t>
      </w:r>
    </w:p>
    <w:p w14:paraId="5DBA7497" w14:textId="13ED2F72" w:rsidR="00FB780A" w:rsidRPr="0071452B" w:rsidRDefault="0071452B" w:rsidP="00F80C61">
      <w:pPr>
        <w:pStyle w:val="NormalWeb"/>
        <w:spacing w:line="480" w:lineRule="auto"/>
        <w:rPr>
          <w:rFonts w:ascii="Arial" w:hAnsi="Arial" w:cs="Arial"/>
        </w:rPr>
      </w:pPr>
      <w:r w:rsidRPr="0071452B">
        <w:rPr>
          <w:rFonts w:ascii="Arial" w:hAnsi="Arial" w:cs="Arial"/>
        </w:rPr>
        <w:t>I</w:t>
      </w:r>
      <w:r w:rsidR="00C74F91">
        <w:rPr>
          <w:rFonts w:ascii="Arial" w:hAnsi="Arial" w:cs="Arial"/>
        </w:rPr>
        <w:t>’ve</w:t>
      </w:r>
      <w:r w:rsidRPr="0071452B">
        <w:rPr>
          <w:rFonts w:ascii="Arial" w:hAnsi="Arial" w:cs="Arial"/>
        </w:rPr>
        <w:t xml:space="preserve"> reflected on my resilience and self-care, recognising that supporting Jack requires emotional stamina and clear boundaries. I emphasised supervision, peer support, and reflective practice to navigate complex safeguarding challenges. Personal strategies, including work-life balance, restorative activities, and recognising early stress, help prevent burnout. Critically evaluating these approaches highlighted how practitioner resilience directly affects my capacity to provide consistent, trauma-informed support to Jack while maintaining my own </w:t>
      </w:r>
      <w:r w:rsidR="002C669A">
        <w:rPr>
          <w:rFonts w:ascii="Arial" w:hAnsi="Arial" w:cs="Arial"/>
        </w:rPr>
        <w:t>well-being</w:t>
      </w:r>
      <w:r w:rsidRPr="0071452B">
        <w:rPr>
          <w:rFonts w:ascii="Arial" w:hAnsi="Arial" w:cs="Arial"/>
        </w:rPr>
        <w:t>.</w:t>
      </w:r>
      <w:r w:rsidR="00C74F91">
        <w:rPr>
          <w:rFonts w:ascii="Arial" w:hAnsi="Arial" w:cs="Arial"/>
        </w:rPr>
        <w:t xml:space="preserve"> </w:t>
      </w:r>
      <w:r w:rsidRPr="0071452B">
        <w:rPr>
          <w:rFonts w:ascii="Arial" w:hAnsi="Arial" w:cs="Arial"/>
        </w:rPr>
        <w:t>Jack’s case underscores the need for trauma-informed safeguarding that addresses early abuse, attachment disruption, and placement instability. Effective practice relies on multi-agency collaboration, consistent caregiver support, and evidence-based interventions. Supporting practitioner resilience through supervision and reflective practice ensures high-quality, child-centred care. Embedding trauma-informed principles across systems enhances both immediate safety and long-term developmental outcomes for vulnerable children in the UK.</w:t>
      </w:r>
    </w:p>
    <w:p w14:paraId="36686FA2" w14:textId="3091178C" w:rsidR="000041D1" w:rsidRPr="002C669A" w:rsidRDefault="002C669A" w:rsidP="00C74F91">
      <w:pPr>
        <w:pStyle w:val="NormalWeb"/>
        <w:spacing w:line="600" w:lineRule="auto"/>
        <w:rPr>
          <w:rFonts w:ascii="Arial" w:hAnsi="Arial" w:cs="Arial"/>
          <w:u w:val="single"/>
        </w:rPr>
      </w:pPr>
      <w:r w:rsidRPr="002C669A">
        <w:rPr>
          <w:rFonts w:ascii="Arial" w:hAnsi="Arial" w:cs="Arial"/>
          <w:u w:val="single"/>
        </w:rPr>
        <w:t>4362 words</w:t>
      </w:r>
    </w:p>
    <w:p w14:paraId="2C5CE13B" w14:textId="77777777" w:rsidR="00C74F91" w:rsidRPr="00C74F91" w:rsidRDefault="00C74F91" w:rsidP="00F80C61">
      <w:pPr>
        <w:spacing w:line="480" w:lineRule="auto"/>
        <w:rPr>
          <w:rFonts w:ascii="Arial" w:hAnsi="Arial" w:cs="Arial"/>
          <w:b/>
          <w:bCs/>
          <w:sz w:val="24"/>
          <w:szCs w:val="24"/>
          <w:u w:val="single"/>
        </w:rPr>
      </w:pPr>
      <w:r w:rsidRPr="00C74F91">
        <w:rPr>
          <w:rFonts w:ascii="Arial" w:hAnsi="Arial" w:cs="Arial"/>
          <w:b/>
          <w:bCs/>
          <w:sz w:val="24"/>
          <w:szCs w:val="24"/>
          <w:u w:val="single"/>
        </w:rPr>
        <w:t xml:space="preserve">References: </w:t>
      </w:r>
    </w:p>
    <w:p w14:paraId="02394EA8"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 xml:space="preserve">Abate, B. B., </w:t>
      </w:r>
      <w:proofErr w:type="spellStart"/>
      <w:r w:rsidRPr="00C74F91">
        <w:rPr>
          <w:rFonts w:ascii="Arial" w:hAnsi="Arial" w:cs="Arial"/>
          <w:sz w:val="24"/>
          <w:szCs w:val="24"/>
        </w:rPr>
        <w:t>Sendekie</w:t>
      </w:r>
      <w:proofErr w:type="spellEnd"/>
      <w:r w:rsidRPr="00C74F91">
        <w:rPr>
          <w:rFonts w:ascii="Arial" w:hAnsi="Arial" w:cs="Arial"/>
          <w:sz w:val="24"/>
          <w:szCs w:val="24"/>
        </w:rPr>
        <w:t xml:space="preserve">, A. K., Tadesse, H., </w:t>
      </w:r>
      <w:proofErr w:type="spellStart"/>
      <w:r w:rsidRPr="00C74F91">
        <w:rPr>
          <w:rFonts w:ascii="Arial" w:hAnsi="Arial" w:cs="Arial"/>
          <w:sz w:val="24"/>
          <w:szCs w:val="24"/>
        </w:rPr>
        <w:t>Engdaw</w:t>
      </w:r>
      <w:proofErr w:type="spellEnd"/>
      <w:r w:rsidRPr="00C74F91">
        <w:rPr>
          <w:rFonts w:ascii="Arial" w:hAnsi="Arial" w:cs="Arial"/>
          <w:sz w:val="24"/>
          <w:szCs w:val="24"/>
        </w:rPr>
        <w:t xml:space="preserve">, D., Mengesha, M., Zemariam, A., </w:t>
      </w:r>
      <w:proofErr w:type="spellStart"/>
      <w:r w:rsidRPr="00C74F91">
        <w:rPr>
          <w:rFonts w:ascii="Arial" w:hAnsi="Arial" w:cs="Arial"/>
          <w:sz w:val="24"/>
          <w:szCs w:val="24"/>
        </w:rPr>
        <w:t>Alamaw</w:t>
      </w:r>
      <w:proofErr w:type="spellEnd"/>
      <w:r w:rsidRPr="00C74F91">
        <w:rPr>
          <w:rFonts w:ascii="Arial" w:hAnsi="Arial" w:cs="Arial"/>
          <w:sz w:val="24"/>
          <w:szCs w:val="24"/>
        </w:rPr>
        <w:t xml:space="preserve">, M., &amp; Abebe, F. (2024). </w:t>
      </w:r>
      <w:r w:rsidRPr="00C74F91">
        <w:rPr>
          <w:rFonts w:ascii="Arial" w:hAnsi="Arial" w:cs="Arial"/>
          <w:i/>
          <w:iCs/>
          <w:sz w:val="24"/>
          <w:szCs w:val="24"/>
        </w:rPr>
        <w:t xml:space="preserve">Resilience after adversity: An umbrella review of </w:t>
      </w:r>
      <w:r w:rsidRPr="00C74F91">
        <w:rPr>
          <w:rFonts w:ascii="Arial" w:hAnsi="Arial" w:cs="Arial"/>
          <w:i/>
          <w:iCs/>
          <w:sz w:val="24"/>
          <w:szCs w:val="24"/>
        </w:rPr>
        <w:lastRenderedPageBreak/>
        <w:t>adversity protective factors and resilience-promoting interventions</w:t>
      </w:r>
      <w:r w:rsidRPr="00C74F91">
        <w:rPr>
          <w:rFonts w:ascii="Arial" w:hAnsi="Arial" w:cs="Arial"/>
          <w:sz w:val="24"/>
          <w:szCs w:val="24"/>
        </w:rPr>
        <w:t xml:space="preserve">. </w:t>
      </w:r>
      <w:r w:rsidRPr="00C74F91">
        <w:rPr>
          <w:rFonts w:ascii="Arial" w:hAnsi="Arial" w:cs="Arial"/>
          <w:i/>
          <w:iCs/>
          <w:sz w:val="24"/>
          <w:szCs w:val="24"/>
        </w:rPr>
        <w:t>Frontiers in Psychology</w:t>
      </w:r>
      <w:r w:rsidRPr="00C74F91">
        <w:rPr>
          <w:rFonts w:ascii="Arial" w:hAnsi="Arial" w:cs="Arial"/>
          <w:sz w:val="24"/>
          <w:szCs w:val="24"/>
        </w:rPr>
        <w:t>.</w:t>
      </w:r>
    </w:p>
    <w:p w14:paraId="6B8B3BAD"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Ainsworth, M. D. S., </w:t>
      </w:r>
      <w:proofErr w:type="spellStart"/>
      <w:r w:rsidRPr="00C74F91">
        <w:rPr>
          <w:rFonts w:ascii="Arial" w:eastAsia="Times New Roman" w:hAnsi="Arial" w:cs="Arial"/>
          <w:kern w:val="0"/>
          <w:sz w:val="24"/>
          <w:szCs w:val="24"/>
          <w:lang w:eastAsia="en-GB"/>
          <w14:ligatures w14:val="none"/>
        </w:rPr>
        <w:t>Blehar</w:t>
      </w:r>
      <w:proofErr w:type="spellEnd"/>
      <w:r w:rsidRPr="00C74F91">
        <w:rPr>
          <w:rFonts w:ascii="Arial" w:eastAsia="Times New Roman" w:hAnsi="Arial" w:cs="Arial"/>
          <w:kern w:val="0"/>
          <w:sz w:val="24"/>
          <w:szCs w:val="24"/>
          <w:lang w:eastAsia="en-GB"/>
          <w14:ligatures w14:val="none"/>
        </w:rPr>
        <w:t xml:space="preserve">, M. C., Waters, E., &amp; Wall, S. (1978). </w:t>
      </w:r>
      <w:r w:rsidRPr="00C74F91">
        <w:rPr>
          <w:rFonts w:ascii="Arial" w:eastAsiaTheme="majorEastAsia" w:hAnsi="Arial" w:cs="Arial"/>
          <w:i/>
          <w:iCs/>
          <w:kern w:val="0"/>
          <w:sz w:val="24"/>
          <w:szCs w:val="24"/>
          <w:lang w:eastAsia="en-GB"/>
          <w14:ligatures w14:val="none"/>
        </w:rPr>
        <w:t>Patterns of attachment: A psychological study of the strange situation</w:t>
      </w:r>
      <w:r w:rsidRPr="00C74F91">
        <w:rPr>
          <w:rFonts w:ascii="Arial" w:eastAsia="Times New Roman" w:hAnsi="Arial" w:cs="Arial"/>
          <w:kern w:val="0"/>
          <w:sz w:val="24"/>
          <w:szCs w:val="24"/>
          <w:lang w:eastAsia="en-GB"/>
          <w14:ligatures w14:val="none"/>
        </w:rPr>
        <w:t>. Lawrence Erlbaum.</w:t>
      </w:r>
    </w:p>
    <w:p w14:paraId="577D41FA"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Asmussen, K., Fischer, F., Drayton, E., &amp; McBride, T. (2024). Adverse childhood experiences: What we know, what we don’t know, and what should happen next. Foundations.</w:t>
      </w:r>
    </w:p>
    <w:p w14:paraId="7B58F466"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Beddoe, L., &amp; McNeill, T. (2021). Reflective supervision in social work: A critical review of current evidence. </w:t>
      </w:r>
      <w:r w:rsidRPr="00C74F91">
        <w:rPr>
          <w:rFonts w:ascii="Arial" w:eastAsiaTheme="majorEastAsia" w:hAnsi="Arial" w:cs="Arial"/>
          <w:i/>
          <w:iCs/>
          <w:kern w:val="0"/>
          <w:sz w:val="24"/>
          <w:szCs w:val="24"/>
          <w:lang w:eastAsia="en-GB"/>
          <w14:ligatures w14:val="none"/>
        </w:rPr>
        <w:t>British Journal of Social Work, 51</w:t>
      </w:r>
      <w:r w:rsidRPr="00C74F91">
        <w:rPr>
          <w:rFonts w:ascii="Arial" w:eastAsia="Times New Roman" w:hAnsi="Arial" w:cs="Arial"/>
          <w:kern w:val="0"/>
          <w:sz w:val="24"/>
          <w:szCs w:val="24"/>
          <w:lang w:eastAsia="en-GB"/>
          <w14:ligatures w14:val="none"/>
        </w:rPr>
        <w:t xml:space="preserve">(3), 1024–1041. </w:t>
      </w:r>
    </w:p>
    <w:p w14:paraId="1EA4F26E"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 xml:space="preserve">Berástegui, A., &amp; </w:t>
      </w:r>
      <w:proofErr w:type="spellStart"/>
      <w:r w:rsidRPr="00C74F91">
        <w:rPr>
          <w:rFonts w:ascii="Arial" w:hAnsi="Arial" w:cs="Arial"/>
          <w:sz w:val="24"/>
          <w:szCs w:val="24"/>
        </w:rPr>
        <w:t>Pitillas</w:t>
      </w:r>
      <w:proofErr w:type="spellEnd"/>
      <w:r w:rsidRPr="00C74F91">
        <w:rPr>
          <w:rFonts w:ascii="Arial" w:hAnsi="Arial" w:cs="Arial"/>
          <w:sz w:val="24"/>
          <w:szCs w:val="24"/>
        </w:rPr>
        <w:t>, C. (2021). What does it take for early relationships to remain secure in the face of adversity? Attachment as a unit of resilience. In M. Ungar (Ed.), Multisystemic Resilience (pp. 255–272). Oxford University Press.</w:t>
      </w:r>
    </w:p>
    <w:p w14:paraId="38F525BA"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Bratton, S. C., Ray, D., &amp; Rhine, T. (2021). </w:t>
      </w:r>
      <w:r w:rsidRPr="00C74F91">
        <w:rPr>
          <w:rFonts w:ascii="Arial" w:eastAsiaTheme="majorEastAsia" w:hAnsi="Arial" w:cs="Arial"/>
          <w:i/>
          <w:iCs/>
          <w:kern w:val="0"/>
          <w:sz w:val="24"/>
          <w:szCs w:val="24"/>
          <w:lang w:eastAsia="en-GB"/>
          <w14:ligatures w14:val="none"/>
        </w:rPr>
        <w:t>The efficacy of play therapy with children: A meta-analytic review</w:t>
      </w:r>
      <w:r w:rsidRPr="00C74F91">
        <w:rPr>
          <w:rFonts w:ascii="Arial" w:eastAsia="Times New Roman" w:hAnsi="Arial" w:cs="Arial"/>
          <w:kern w:val="0"/>
          <w:sz w:val="24"/>
          <w:szCs w:val="24"/>
          <w:lang w:eastAsia="en-GB"/>
          <w14:ligatures w14:val="none"/>
        </w:rPr>
        <w:t xml:space="preserve">. </w:t>
      </w:r>
      <w:r w:rsidRPr="00C74F91">
        <w:rPr>
          <w:rFonts w:ascii="Arial" w:eastAsiaTheme="majorEastAsia" w:hAnsi="Arial" w:cs="Arial"/>
          <w:i/>
          <w:iCs/>
          <w:kern w:val="0"/>
          <w:sz w:val="24"/>
          <w:szCs w:val="24"/>
          <w:lang w:eastAsia="en-GB"/>
          <w14:ligatures w14:val="none"/>
        </w:rPr>
        <w:t>International Journal of Play Therapy, 30</w:t>
      </w:r>
      <w:r w:rsidRPr="00C74F91">
        <w:rPr>
          <w:rFonts w:ascii="Arial" w:eastAsia="Times New Roman" w:hAnsi="Arial" w:cs="Arial"/>
          <w:kern w:val="0"/>
          <w:sz w:val="24"/>
          <w:szCs w:val="24"/>
          <w:lang w:eastAsia="en-GB"/>
          <w14:ligatures w14:val="none"/>
        </w:rPr>
        <w:t xml:space="preserve">(2), 85–101. </w:t>
      </w:r>
    </w:p>
    <w:p w14:paraId="2FB51A27"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proofErr w:type="spellStart"/>
      <w:r w:rsidRPr="00C74F91">
        <w:rPr>
          <w:rFonts w:ascii="Arial" w:eastAsia="Times New Roman" w:hAnsi="Arial" w:cs="Arial"/>
          <w:kern w:val="0"/>
          <w:sz w:val="24"/>
          <w:szCs w:val="24"/>
          <w:lang w:eastAsia="en-GB"/>
          <w14:ligatures w14:val="none"/>
        </w:rPr>
        <w:t>Brumariu</w:t>
      </w:r>
      <w:proofErr w:type="spellEnd"/>
      <w:r w:rsidRPr="00C74F91">
        <w:rPr>
          <w:rFonts w:ascii="Arial" w:eastAsia="Times New Roman" w:hAnsi="Arial" w:cs="Arial"/>
          <w:kern w:val="0"/>
          <w:sz w:val="24"/>
          <w:szCs w:val="24"/>
          <w:lang w:eastAsia="en-GB"/>
          <w14:ligatures w14:val="none"/>
        </w:rPr>
        <w:t xml:space="preserve">, L. E., &amp; Kerns, K. A. (2021). Mother–child attachment and peer relationships: A review of developmental pathways. </w:t>
      </w:r>
      <w:r w:rsidRPr="00C74F91">
        <w:rPr>
          <w:rFonts w:ascii="Arial" w:eastAsiaTheme="majorEastAsia" w:hAnsi="Arial" w:cs="Arial"/>
          <w:i/>
          <w:iCs/>
          <w:kern w:val="0"/>
          <w:sz w:val="24"/>
          <w:szCs w:val="24"/>
          <w:lang w:eastAsia="en-GB"/>
          <w14:ligatures w14:val="none"/>
        </w:rPr>
        <w:t>Attachment &amp; Human Development, 23</w:t>
      </w:r>
      <w:r w:rsidRPr="00C74F91">
        <w:rPr>
          <w:rFonts w:ascii="Arial" w:eastAsia="Times New Roman" w:hAnsi="Arial" w:cs="Arial"/>
          <w:kern w:val="0"/>
          <w:sz w:val="24"/>
          <w:szCs w:val="24"/>
          <w:lang w:eastAsia="en-GB"/>
          <w14:ligatures w14:val="none"/>
        </w:rPr>
        <w:t xml:space="preserve">(3), 257–276. </w:t>
      </w:r>
    </w:p>
    <w:p w14:paraId="51B90BE1"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Cameron, G., Goyette, M., &amp; McKay, S. (2021). Training foster carers in trauma-informed care: Impacts on child behaviour and carer self-efficacy. </w:t>
      </w:r>
      <w:r w:rsidRPr="00C74F91">
        <w:rPr>
          <w:rFonts w:ascii="Arial" w:eastAsiaTheme="majorEastAsia" w:hAnsi="Arial" w:cs="Arial"/>
          <w:i/>
          <w:iCs/>
          <w:kern w:val="0"/>
          <w:sz w:val="24"/>
          <w:szCs w:val="24"/>
          <w:lang w:eastAsia="en-GB"/>
          <w14:ligatures w14:val="none"/>
        </w:rPr>
        <w:t>Child &amp; Family Social Work, 26</w:t>
      </w:r>
      <w:r w:rsidRPr="00C74F91">
        <w:rPr>
          <w:rFonts w:ascii="Arial" w:eastAsia="Times New Roman" w:hAnsi="Arial" w:cs="Arial"/>
          <w:kern w:val="0"/>
          <w:sz w:val="24"/>
          <w:szCs w:val="24"/>
          <w:lang w:eastAsia="en-GB"/>
          <w14:ligatures w14:val="none"/>
        </w:rPr>
        <w:t xml:space="preserve">(2), 265–275. </w:t>
      </w:r>
    </w:p>
    <w:p w14:paraId="43099C0B"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lastRenderedPageBreak/>
        <w:t xml:space="preserve">Cole, S. F., Eisner, A., Gregory, M., &amp; Ristuccia, J. (2020). </w:t>
      </w:r>
      <w:r w:rsidRPr="00C74F91">
        <w:rPr>
          <w:rFonts w:ascii="Arial" w:eastAsiaTheme="majorEastAsia" w:hAnsi="Arial" w:cs="Arial"/>
          <w:i/>
          <w:iCs/>
          <w:kern w:val="0"/>
          <w:sz w:val="24"/>
          <w:szCs w:val="24"/>
          <w:lang w:eastAsia="en-GB"/>
          <w14:ligatures w14:val="none"/>
        </w:rPr>
        <w:t>Helping traumatized children learn: Creating and advocating for trauma-sensitive schools</w:t>
      </w:r>
      <w:r w:rsidRPr="00C74F91">
        <w:rPr>
          <w:rFonts w:ascii="Arial" w:eastAsia="Times New Roman" w:hAnsi="Arial" w:cs="Arial"/>
          <w:kern w:val="0"/>
          <w:sz w:val="24"/>
          <w:szCs w:val="24"/>
          <w:lang w:eastAsia="en-GB"/>
          <w14:ligatures w14:val="none"/>
        </w:rPr>
        <w:t>. Harvard Education Press.</w:t>
      </w:r>
    </w:p>
    <w:p w14:paraId="62B41BA6"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Cossar, J., Neil, E., &amp; Duncalf, Z. (2021). Life story work with children in care: A systematic review. </w:t>
      </w:r>
      <w:r w:rsidRPr="00C74F91">
        <w:rPr>
          <w:rFonts w:ascii="Arial" w:eastAsiaTheme="majorEastAsia" w:hAnsi="Arial" w:cs="Arial"/>
          <w:i/>
          <w:iCs/>
          <w:kern w:val="0"/>
          <w:sz w:val="24"/>
          <w:szCs w:val="24"/>
          <w:lang w:eastAsia="en-GB"/>
          <w14:ligatures w14:val="none"/>
        </w:rPr>
        <w:t>Child &amp; Family Social Work, 26</w:t>
      </w:r>
      <w:r w:rsidRPr="00C74F91">
        <w:rPr>
          <w:rFonts w:ascii="Arial" w:eastAsia="Times New Roman" w:hAnsi="Arial" w:cs="Arial"/>
          <w:kern w:val="0"/>
          <w:sz w:val="24"/>
          <w:szCs w:val="24"/>
          <w:lang w:eastAsia="en-GB"/>
          <w14:ligatures w14:val="none"/>
        </w:rPr>
        <w:t xml:space="preserve">(3), 450–462. </w:t>
      </w:r>
    </w:p>
    <w:p w14:paraId="32959E59" w14:textId="77777777" w:rsidR="00C74F91" w:rsidRPr="00C74F91" w:rsidRDefault="00C74F91" w:rsidP="00F80C61">
      <w:pPr>
        <w:spacing w:line="480" w:lineRule="auto"/>
        <w:rPr>
          <w:rFonts w:ascii="Arial" w:hAnsi="Arial" w:cs="Arial"/>
          <w:i/>
          <w:iCs/>
          <w:sz w:val="24"/>
          <w:szCs w:val="24"/>
        </w:rPr>
      </w:pPr>
      <w:r w:rsidRPr="00C74F91">
        <w:rPr>
          <w:rFonts w:ascii="Arial" w:hAnsi="Arial" w:cs="Arial"/>
          <w:sz w:val="24"/>
          <w:szCs w:val="24"/>
        </w:rPr>
        <w:t xml:space="preserve">Cruz, D. (2022). </w:t>
      </w:r>
      <w:r w:rsidRPr="00C74F91">
        <w:rPr>
          <w:rFonts w:ascii="Arial" w:hAnsi="Arial" w:cs="Arial"/>
          <w:i/>
          <w:iCs/>
          <w:sz w:val="24"/>
          <w:szCs w:val="24"/>
        </w:rPr>
        <w:t>Developmental trauma: Risks, comorbidities, evaluation and treatment</w:t>
      </w:r>
      <w:r w:rsidRPr="00C74F91">
        <w:rPr>
          <w:rFonts w:ascii="Arial" w:hAnsi="Arial" w:cs="Arial"/>
          <w:sz w:val="24"/>
          <w:szCs w:val="24"/>
        </w:rPr>
        <w:t xml:space="preserve">. </w:t>
      </w:r>
      <w:proofErr w:type="spellStart"/>
      <w:r w:rsidRPr="00C74F91">
        <w:rPr>
          <w:rFonts w:ascii="Arial" w:hAnsi="Arial" w:cs="Arial"/>
          <w:i/>
          <w:iCs/>
          <w:sz w:val="24"/>
          <w:szCs w:val="24"/>
        </w:rPr>
        <w:t>Psychotraumatology</w:t>
      </w:r>
      <w:proofErr w:type="spellEnd"/>
      <w:r w:rsidRPr="00C74F91">
        <w:rPr>
          <w:rFonts w:ascii="Arial" w:hAnsi="Arial" w:cs="Arial"/>
          <w:i/>
          <w:iCs/>
          <w:sz w:val="24"/>
          <w:szCs w:val="24"/>
        </w:rPr>
        <w:t>.</w:t>
      </w:r>
    </w:p>
    <w:p w14:paraId="30E89D84"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 xml:space="preserve">Cushing, T., Robertson, S., Mannes, J., Marshall, N., Carey, M. J., Duschinsky, R., &amp; Meiser-Stedman, R. (2024). </w:t>
      </w:r>
      <w:r w:rsidRPr="00C74F91">
        <w:rPr>
          <w:rFonts w:ascii="Arial" w:hAnsi="Arial" w:cs="Arial"/>
          <w:i/>
          <w:iCs/>
          <w:sz w:val="24"/>
          <w:szCs w:val="24"/>
        </w:rPr>
        <w:t>The relationship between attachment and posttraumatic stress in children and adolescents: A meta-analytic review</w:t>
      </w:r>
      <w:r w:rsidRPr="00C74F91">
        <w:rPr>
          <w:rFonts w:ascii="Arial" w:hAnsi="Arial" w:cs="Arial"/>
          <w:sz w:val="24"/>
          <w:szCs w:val="24"/>
        </w:rPr>
        <w:t xml:space="preserve">. </w:t>
      </w:r>
      <w:r w:rsidRPr="00C74F91">
        <w:rPr>
          <w:rFonts w:ascii="Arial" w:hAnsi="Arial" w:cs="Arial"/>
          <w:i/>
          <w:iCs/>
          <w:sz w:val="24"/>
          <w:szCs w:val="24"/>
        </w:rPr>
        <w:t>Development and Psychopathology, 36</w:t>
      </w:r>
      <w:r w:rsidRPr="00C74F91">
        <w:rPr>
          <w:rFonts w:ascii="Arial" w:hAnsi="Arial" w:cs="Arial"/>
          <w:sz w:val="24"/>
          <w:szCs w:val="24"/>
        </w:rPr>
        <w:t>, 1055–1069.</w:t>
      </w:r>
    </w:p>
    <w:p w14:paraId="66EF9AFB"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DePasquale, C. E., Raby, K. L., Hoye, J. R., &amp; Dozier, M. (2022). Parenting predictability and the development of emotion regulation in children exposed to early adversity. </w:t>
      </w:r>
      <w:r w:rsidRPr="00C74F91">
        <w:rPr>
          <w:rFonts w:ascii="Arial" w:eastAsiaTheme="majorEastAsia" w:hAnsi="Arial" w:cs="Arial"/>
          <w:i/>
          <w:iCs/>
          <w:kern w:val="0"/>
          <w:sz w:val="24"/>
          <w:szCs w:val="24"/>
          <w:lang w:eastAsia="en-GB"/>
          <w14:ligatures w14:val="none"/>
        </w:rPr>
        <w:t>Developmental Psychology, 58</w:t>
      </w:r>
      <w:r w:rsidRPr="00C74F91">
        <w:rPr>
          <w:rFonts w:ascii="Arial" w:eastAsia="Times New Roman" w:hAnsi="Arial" w:cs="Arial"/>
          <w:kern w:val="0"/>
          <w:sz w:val="24"/>
          <w:szCs w:val="24"/>
          <w:lang w:eastAsia="en-GB"/>
          <w14:ligatures w14:val="none"/>
        </w:rPr>
        <w:t xml:space="preserve">(6), 1085–1097. </w:t>
      </w:r>
    </w:p>
    <w:p w14:paraId="11197AB5"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Eklund, K., Björk, K., &amp; Boström, L. (2021). Trauma-informed approaches in school settings: Managing challenging behaviour in children with adverse experiences. </w:t>
      </w:r>
      <w:r w:rsidRPr="00C74F91">
        <w:rPr>
          <w:rFonts w:ascii="Arial" w:eastAsiaTheme="majorEastAsia" w:hAnsi="Arial" w:cs="Arial"/>
          <w:i/>
          <w:iCs/>
          <w:kern w:val="0"/>
          <w:sz w:val="24"/>
          <w:szCs w:val="24"/>
          <w:lang w:eastAsia="en-GB"/>
          <w14:ligatures w14:val="none"/>
        </w:rPr>
        <w:t>School Psychology International, 42</w:t>
      </w:r>
      <w:r w:rsidRPr="00C74F91">
        <w:rPr>
          <w:rFonts w:ascii="Arial" w:eastAsia="Times New Roman" w:hAnsi="Arial" w:cs="Arial"/>
          <w:kern w:val="0"/>
          <w:sz w:val="24"/>
          <w:szCs w:val="24"/>
          <w:lang w:eastAsia="en-GB"/>
          <w14:ligatures w14:val="none"/>
        </w:rPr>
        <w:t xml:space="preserve">(5), 487–505. </w:t>
      </w:r>
    </w:p>
    <w:p w14:paraId="19853E55"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Fearon, R. M. P., Groh, A. M., </w:t>
      </w:r>
      <w:proofErr w:type="spellStart"/>
      <w:r w:rsidRPr="00C74F91">
        <w:rPr>
          <w:rFonts w:ascii="Arial" w:eastAsia="Times New Roman" w:hAnsi="Arial" w:cs="Arial"/>
          <w:kern w:val="0"/>
          <w:sz w:val="24"/>
          <w:szCs w:val="24"/>
          <w:lang w:eastAsia="en-GB"/>
          <w14:ligatures w14:val="none"/>
        </w:rPr>
        <w:t>Bakermans</w:t>
      </w:r>
      <w:proofErr w:type="spellEnd"/>
      <w:r w:rsidRPr="00C74F91">
        <w:rPr>
          <w:rFonts w:ascii="Arial" w:eastAsia="Times New Roman" w:hAnsi="Arial" w:cs="Arial"/>
          <w:kern w:val="0"/>
          <w:sz w:val="24"/>
          <w:szCs w:val="24"/>
          <w:lang w:eastAsia="en-GB"/>
          <w14:ligatures w14:val="none"/>
        </w:rPr>
        <w:t xml:space="preserve">-Kranenburg, M. J., van </w:t>
      </w:r>
      <w:proofErr w:type="spellStart"/>
      <w:r w:rsidRPr="00C74F91">
        <w:rPr>
          <w:rFonts w:ascii="Arial" w:eastAsia="Times New Roman" w:hAnsi="Arial" w:cs="Arial"/>
          <w:kern w:val="0"/>
          <w:sz w:val="24"/>
          <w:szCs w:val="24"/>
          <w:lang w:eastAsia="en-GB"/>
          <w14:ligatures w14:val="none"/>
        </w:rPr>
        <w:t>IJzendoorn</w:t>
      </w:r>
      <w:proofErr w:type="spellEnd"/>
      <w:r w:rsidRPr="00C74F91">
        <w:rPr>
          <w:rFonts w:ascii="Arial" w:eastAsia="Times New Roman" w:hAnsi="Arial" w:cs="Arial"/>
          <w:kern w:val="0"/>
          <w:sz w:val="24"/>
          <w:szCs w:val="24"/>
          <w:lang w:eastAsia="en-GB"/>
          <w14:ligatures w14:val="none"/>
        </w:rPr>
        <w:t xml:space="preserve">, M. H., &amp; Roisman, G. I. (2022). Attachment insecurity and the development of externalizing </w:t>
      </w:r>
      <w:proofErr w:type="spellStart"/>
      <w:r w:rsidRPr="00C74F91">
        <w:rPr>
          <w:rFonts w:ascii="Arial" w:eastAsia="Times New Roman" w:hAnsi="Arial" w:cs="Arial"/>
          <w:kern w:val="0"/>
          <w:sz w:val="24"/>
          <w:szCs w:val="24"/>
          <w:lang w:eastAsia="en-GB"/>
          <w14:ligatures w14:val="none"/>
        </w:rPr>
        <w:t>behavior</w:t>
      </w:r>
      <w:proofErr w:type="spellEnd"/>
      <w:r w:rsidRPr="00C74F91">
        <w:rPr>
          <w:rFonts w:ascii="Arial" w:eastAsia="Times New Roman" w:hAnsi="Arial" w:cs="Arial"/>
          <w:kern w:val="0"/>
          <w:sz w:val="24"/>
          <w:szCs w:val="24"/>
          <w:lang w:eastAsia="en-GB"/>
          <w14:ligatures w14:val="none"/>
        </w:rPr>
        <w:t xml:space="preserve">: A meta-analytic review. </w:t>
      </w:r>
      <w:r w:rsidRPr="00C74F91">
        <w:rPr>
          <w:rFonts w:ascii="Arial" w:eastAsiaTheme="majorEastAsia" w:hAnsi="Arial" w:cs="Arial"/>
          <w:i/>
          <w:iCs/>
          <w:kern w:val="0"/>
          <w:sz w:val="24"/>
          <w:szCs w:val="24"/>
          <w:lang w:eastAsia="en-GB"/>
          <w14:ligatures w14:val="none"/>
        </w:rPr>
        <w:t>Child Development, 93</w:t>
      </w:r>
      <w:r w:rsidRPr="00C74F91">
        <w:rPr>
          <w:rFonts w:ascii="Arial" w:eastAsia="Times New Roman" w:hAnsi="Arial" w:cs="Arial"/>
          <w:kern w:val="0"/>
          <w:sz w:val="24"/>
          <w:szCs w:val="24"/>
          <w:lang w:eastAsia="en-GB"/>
          <w14:ligatures w14:val="none"/>
        </w:rPr>
        <w:t>(2), e1–e22.</w:t>
      </w:r>
    </w:p>
    <w:p w14:paraId="27B50EC8"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 xml:space="preserve">Ford, J. D. (2025). </w:t>
      </w:r>
      <w:r w:rsidRPr="00C74F91">
        <w:rPr>
          <w:rFonts w:ascii="Arial" w:hAnsi="Arial" w:cs="Arial"/>
          <w:i/>
          <w:iCs/>
          <w:sz w:val="24"/>
          <w:szCs w:val="24"/>
        </w:rPr>
        <w:t>Conceptualizing attachment trauma: A developmental trauma perspective</w:t>
      </w:r>
      <w:r w:rsidRPr="00C74F91">
        <w:rPr>
          <w:rFonts w:ascii="Arial" w:hAnsi="Arial" w:cs="Arial"/>
          <w:sz w:val="24"/>
          <w:szCs w:val="24"/>
        </w:rPr>
        <w:t xml:space="preserve">. </w:t>
      </w:r>
      <w:r w:rsidRPr="00C74F91">
        <w:rPr>
          <w:rFonts w:ascii="Arial" w:hAnsi="Arial" w:cs="Arial"/>
          <w:i/>
          <w:iCs/>
          <w:sz w:val="24"/>
          <w:szCs w:val="24"/>
        </w:rPr>
        <w:t>Clinical Neuropsychiatry</w:t>
      </w:r>
      <w:r w:rsidRPr="00C74F91">
        <w:rPr>
          <w:rFonts w:ascii="Arial" w:hAnsi="Arial" w:cs="Arial"/>
          <w:sz w:val="24"/>
          <w:szCs w:val="24"/>
        </w:rPr>
        <w:t>, 22(5), 397–399.</w:t>
      </w:r>
    </w:p>
    <w:p w14:paraId="6804E891"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lastRenderedPageBreak/>
        <w:t xml:space="preserve">Ford, T., Simpson, A., &amp; Kelly, P. (2021). Multi-agency approaches to supporting children with complex needs: Lessons from mental health services. </w:t>
      </w:r>
      <w:r w:rsidRPr="00C74F91">
        <w:rPr>
          <w:rFonts w:ascii="Arial" w:eastAsiaTheme="majorEastAsia" w:hAnsi="Arial" w:cs="Arial"/>
          <w:i/>
          <w:iCs/>
          <w:kern w:val="0"/>
          <w:sz w:val="24"/>
          <w:szCs w:val="24"/>
          <w:lang w:eastAsia="en-GB"/>
          <w14:ligatures w14:val="none"/>
        </w:rPr>
        <w:t>Clinical Child Psychology and Psychiatry, 26</w:t>
      </w:r>
      <w:r w:rsidRPr="00C74F91">
        <w:rPr>
          <w:rFonts w:ascii="Arial" w:eastAsia="Times New Roman" w:hAnsi="Arial" w:cs="Arial"/>
          <w:kern w:val="0"/>
          <w:sz w:val="24"/>
          <w:szCs w:val="24"/>
          <w:lang w:eastAsia="en-GB"/>
          <w14:ligatures w14:val="none"/>
        </w:rPr>
        <w:t xml:space="preserve">(1), 65–80. </w:t>
      </w:r>
    </w:p>
    <w:p w14:paraId="1F5B01AE"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Field, C. (2025). The care of children in care – placement &amp; education instability, health inequities and mental health issues: Evidence search report. Sirona Knowledge and Library Service.</w:t>
      </w:r>
    </w:p>
    <w:p w14:paraId="015C457C"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 xml:space="preserve">Finch, K., Lawrence, D., Williams, M. O., Thompson, A. R., &amp; </w:t>
      </w:r>
      <w:proofErr w:type="spellStart"/>
      <w:r w:rsidRPr="00C74F91">
        <w:rPr>
          <w:rFonts w:ascii="Arial" w:hAnsi="Arial" w:cs="Arial"/>
          <w:sz w:val="24"/>
          <w:szCs w:val="24"/>
        </w:rPr>
        <w:t>Hartwright</w:t>
      </w:r>
      <w:proofErr w:type="spellEnd"/>
      <w:r w:rsidRPr="00C74F91">
        <w:rPr>
          <w:rFonts w:ascii="Arial" w:hAnsi="Arial" w:cs="Arial"/>
          <w:sz w:val="24"/>
          <w:szCs w:val="24"/>
        </w:rPr>
        <w:t>, C. (2024). Relationships between adverse childhood experiences, attachment, resilience, psychological distress and trauma among forensic mental health populations. The Journal of Forensic Psychiatry &amp; Psychology, 35(5), 660–684.</w:t>
      </w:r>
    </w:p>
    <w:p w14:paraId="4BE24E48"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Gartland, D., Riggs, E., </w:t>
      </w:r>
      <w:proofErr w:type="spellStart"/>
      <w:r w:rsidRPr="00C74F91">
        <w:rPr>
          <w:rFonts w:ascii="Arial" w:eastAsia="Times New Roman" w:hAnsi="Arial" w:cs="Arial"/>
          <w:kern w:val="0"/>
          <w:sz w:val="24"/>
          <w:szCs w:val="24"/>
          <w:lang w:eastAsia="en-GB"/>
          <w14:ligatures w14:val="none"/>
        </w:rPr>
        <w:t>Muyeen</w:t>
      </w:r>
      <w:proofErr w:type="spellEnd"/>
      <w:r w:rsidRPr="00C74F91">
        <w:rPr>
          <w:rFonts w:ascii="Arial" w:eastAsia="Times New Roman" w:hAnsi="Arial" w:cs="Arial"/>
          <w:kern w:val="0"/>
          <w:sz w:val="24"/>
          <w:szCs w:val="24"/>
          <w:lang w:eastAsia="en-GB"/>
          <w14:ligatures w14:val="none"/>
        </w:rPr>
        <w:t xml:space="preserve">, S., Giallo, R., Afifi, T. O., MacMillan, H., Herrman, H., &amp; Brown, S. J. (2022). What factors are associated with resilient outcomes in children exposed to adversity? </w:t>
      </w:r>
      <w:r w:rsidRPr="00C74F91">
        <w:rPr>
          <w:rFonts w:ascii="Arial" w:eastAsiaTheme="majorEastAsia" w:hAnsi="Arial" w:cs="Arial"/>
          <w:i/>
          <w:iCs/>
          <w:kern w:val="0"/>
          <w:sz w:val="24"/>
          <w:szCs w:val="24"/>
          <w:lang w:eastAsia="en-GB"/>
          <w14:ligatures w14:val="none"/>
        </w:rPr>
        <w:t>Child Abuse &amp; Neglect, 124</w:t>
      </w:r>
      <w:r w:rsidRPr="00C74F91">
        <w:rPr>
          <w:rFonts w:ascii="Arial" w:eastAsia="Times New Roman" w:hAnsi="Arial" w:cs="Arial"/>
          <w:kern w:val="0"/>
          <w:sz w:val="24"/>
          <w:szCs w:val="24"/>
          <w:lang w:eastAsia="en-GB"/>
          <w14:ligatures w14:val="none"/>
        </w:rPr>
        <w:t xml:space="preserve">, 105459. </w:t>
      </w:r>
    </w:p>
    <w:p w14:paraId="43E20EC0"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 xml:space="preserve">Gibbs, J., Coughlan, B., Morgan, T., </w:t>
      </w:r>
      <w:proofErr w:type="spellStart"/>
      <w:r w:rsidRPr="00C74F91">
        <w:rPr>
          <w:rFonts w:ascii="Arial" w:hAnsi="Arial" w:cs="Arial"/>
          <w:sz w:val="24"/>
          <w:szCs w:val="24"/>
        </w:rPr>
        <w:t>Mikushnica</w:t>
      </w:r>
      <w:proofErr w:type="spellEnd"/>
      <w:r w:rsidRPr="00C74F91">
        <w:rPr>
          <w:rFonts w:ascii="Arial" w:hAnsi="Arial" w:cs="Arial"/>
          <w:sz w:val="24"/>
          <w:szCs w:val="24"/>
        </w:rPr>
        <w:t xml:space="preserve">, A., Phippard, S., Crozier-Roche, F., </w:t>
      </w:r>
      <w:proofErr w:type="spellStart"/>
      <w:r w:rsidRPr="00C74F91">
        <w:rPr>
          <w:rFonts w:ascii="Arial" w:hAnsi="Arial" w:cs="Arial"/>
          <w:sz w:val="24"/>
          <w:szCs w:val="24"/>
        </w:rPr>
        <w:t>Drayak</w:t>
      </w:r>
      <w:proofErr w:type="spellEnd"/>
      <w:r w:rsidRPr="00C74F91">
        <w:rPr>
          <w:rFonts w:ascii="Arial" w:hAnsi="Arial" w:cs="Arial"/>
          <w:sz w:val="24"/>
          <w:szCs w:val="24"/>
        </w:rPr>
        <w:t>, T., Graham, D., Smith, J., &amp; Duschinsky, R. (2024). Social workers’ perceptions of the nature of child neglect: A systematic literature review. The British Journal of Social Work, 54(8), 3619–3637.</w:t>
      </w:r>
    </w:p>
    <w:p w14:paraId="525CC4F3"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Granqvist, P., Forslund, T., Fransson, M., &amp; Duschinsky, R. (2023). Attachment theory in clinical work with children exposed to trauma: Current directions and controversies. </w:t>
      </w:r>
      <w:r w:rsidRPr="00C74F91">
        <w:rPr>
          <w:rFonts w:ascii="Arial" w:eastAsiaTheme="majorEastAsia" w:hAnsi="Arial" w:cs="Arial"/>
          <w:i/>
          <w:iCs/>
          <w:kern w:val="0"/>
          <w:sz w:val="24"/>
          <w:szCs w:val="24"/>
          <w:lang w:eastAsia="en-GB"/>
          <w14:ligatures w14:val="none"/>
        </w:rPr>
        <w:t>Attachment &amp; Human Development, 25</w:t>
      </w:r>
      <w:r w:rsidRPr="00C74F91">
        <w:rPr>
          <w:rFonts w:ascii="Arial" w:eastAsia="Times New Roman" w:hAnsi="Arial" w:cs="Arial"/>
          <w:kern w:val="0"/>
          <w:sz w:val="24"/>
          <w:szCs w:val="24"/>
          <w:lang w:eastAsia="en-GB"/>
          <w14:ligatures w14:val="none"/>
        </w:rPr>
        <w:t xml:space="preserve">(3), 305–321. </w:t>
      </w:r>
    </w:p>
    <w:p w14:paraId="4BFC7904"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Healy, K., &amp; Meagher, G. (2020). Peer support and resilience in social work practice. </w:t>
      </w:r>
      <w:r w:rsidRPr="00C74F91">
        <w:rPr>
          <w:rFonts w:ascii="Arial" w:eastAsiaTheme="majorEastAsia" w:hAnsi="Arial" w:cs="Arial"/>
          <w:i/>
          <w:iCs/>
          <w:kern w:val="0"/>
          <w:sz w:val="24"/>
          <w:szCs w:val="24"/>
          <w:lang w:eastAsia="en-GB"/>
          <w14:ligatures w14:val="none"/>
        </w:rPr>
        <w:t>Australian Social Work, 73</w:t>
      </w:r>
      <w:r w:rsidRPr="00C74F91">
        <w:rPr>
          <w:rFonts w:ascii="Arial" w:eastAsia="Times New Roman" w:hAnsi="Arial" w:cs="Arial"/>
          <w:kern w:val="0"/>
          <w:sz w:val="24"/>
          <w:szCs w:val="24"/>
          <w:lang w:eastAsia="en-GB"/>
          <w14:ligatures w14:val="none"/>
        </w:rPr>
        <w:t xml:space="preserve">(2), 123–135. </w:t>
      </w:r>
    </w:p>
    <w:p w14:paraId="2FBB6705"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lastRenderedPageBreak/>
        <w:t xml:space="preserve">Heleniak, C., Jenness, J. L., Stoep, A. V., McCauley, E., &amp; McLaughlin, K. A. (2020). Childhood maltreatment exposure and disruptions in emotion regulation: A transdiagnostic pathway to adolescent psychopathology. </w:t>
      </w:r>
      <w:r w:rsidRPr="00C74F91">
        <w:rPr>
          <w:rFonts w:ascii="Arial" w:eastAsiaTheme="majorEastAsia" w:hAnsi="Arial" w:cs="Arial"/>
          <w:i/>
          <w:iCs/>
          <w:kern w:val="0"/>
          <w:sz w:val="24"/>
          <w:szCs w:val="24"/>
          <w:lang w:eastAsia="en-GB"/>
          <w14:ligatures w14:val="none"/>
        </w:rPr>
        <w:t>American Journal of Psychiatry, 177</w:t>
      </w:r>
      <w:r w:rsidRPr="00C74F91">
        <w:rPr>
          <w:rFonts w:ascii="Arial" w:eastAsia="Times New Roman" w:hAnsi="Arial" w:cs="Arial"/>
          <w:kern w:val="0"/>
          <w:sz w:val="24"/>
          <w:szCs w:val="24"/>
          <w:lang w:eastAsia="en-GB"/>
          <w14:ligatures w14:val="none"/>
        </w:rPr>
        <w:t xml:space="preserve">(5), 411–421. </w:t>
      </w:r>
    </w:p>
    <w:p w14:paraId="436BF91E"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Hood, R., Goldacre, A., Martin, E., Jones, E., Coady, C., Clements, K., &amp; Tempest, H. (2025). What factors are associated with placement instability for children in children’s homes in England? A retrospective cohort analysis using national administrative data. The British Journal of Social Work.</w:t>
      </w:r>
    </w:p>
    <w:p w14:paraId="2040C69F"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Humphreys, K. L., Myint, M. T., &amp; Zeanah, C. H. (2020). Increased risk for family violence exposure and attachment insecurity in children with placement instability. </w:t>
      </w:r>
      <w:r w:rsidRPr="00C74F91">
        <w:rPr>
          <w:rFonts w:ascii="Arial" w:eastAsiaTheme="majorEastAsia" w:hAnsi="Arial" w:cs="Arial"/>
          <w:i/>
          <w:iCs/>
          <w:kern w:val="0"/>
          <w:sz w:val="24"/>
          <w:szCs w:val="24"/>
          <w:lang w:eastAsia="en-GB"/>
          <w14:ligatures w14:val="none"/>
        </w:rPr>
        <w:t>Development and Psychopathology, 32</w:t>
      </w:r>
      <w:r w:rsidRPr="00C74F91">
        <w:rPr>
          <w:rFonts w:ascii="Arial" w:eastAsia="Times New Roman" w:hAnsi="Arial" w:cs="Arial"/>
          <w:kern w:val="0"/>
          <w:sz w:val="24"/>
          <w:szCs w:val="24"/>
          <w:lang w:eastAsia="en-GB"/>
          <w14:ligatures w14:val="none"/>
        </w:rPr>
        <w:t xml:space="preserve">(5), 1815–1827. </w:t>
      </w:r>
    </w:p>
    <w:p w14:paraId="7010899E"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Isobel, S., Goodyear, M., &amp; Foster, K. (2022). Trauma-informed practice and workforce resilience: Implications for social work teams. </w:t>
      </w:r>
      <w:r w:rsidRPr="00C74F91">
        <w:rPr>
          <w:rFonts w:ascii="Arial" w:eastAsiaTheme="majorEastAsia" w:hAnsi="Arial" w:cs="Arial"/>
          <w:i/>
          <w:iCs/>
          <w:kern w:val="0"/>
          <w:sz w:val="24"/>
          <w:szCs w:val="24"/>
          <w:lang w:eastAsia="en-GB"/>
          <w14:ligatures w14:val="none"/>
        </w:rPr>
        <w:t>Journal of Social Work Practice, 36</w:t>
      </w:r>
      <w:r w:rsidRPr="00C74F91">
        <w:rPr>
          <w:rFonts w:ascii="Arial" w:eastAsia="Times New Roman" w:hAnsi="Arial" w:cs="Arial"/>
          <w:kern w:val="0"/>
          <w:sz w:val="24"/>
          <w:szCs w:val="24"/>
          <w:lang w:eastAsia="en-GB"/>
          <w14:ligatures w14:val="none"/>
        </w:rPr>
        <w:t xml:space="preserve">(1), 45–60. </w:t>
      </w:r>
    </w:p>
    <w:p w14:paraId="457C53A8"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Jacobs, P., Mearns, K., Grant, M., &amp; Armstrong, T. (2022). The disruption of adoption and permanent foster placements: A Scottish perspective. Adoption and Fostering Alliance Scotland.</w:t>
      </w:r>
    </w:p>
    <w:p w14:paraId="4DA2252E"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Kaufman, J., Forrest, C., &amp; Grant, S. (2022). Interventions for improving peer relationships among children with histories of maltreatment: A systematic review. </w:t>
      </w:r>
      <w:r w:rsidRPr="00C74F91">
        <w:rPr>
          <w:rFonts w:ascii="Arial" w:eastAsiaTheme="majorEastAsia" w:hAnsi="Arial" w:cs="Arial"/>
          <w:i/>
          <w:iCs/>
          <w:kern w:val="0"/>
          <w:sz w:val="24"/>
          <w:szCs w:val="24"/>
          <w:lang w:eastAsia="en-GB"/>
          <w14:ligatures w14:val="none"/>
        </w:rPr>
        <w:t>Child Abuse &amp; Neglect, 125</w:t>
      </w:r>
      <w:r w:rsidRPr="00C74F91">
        <w:rPr>
          <w:rFonts w:ascii="Arial" w:eastAsia="Times New Roman" w:hAnsi="Arial" w:cs="Arial"/>
          <w:kern w:val="0"/>
          <w:sz w:val="24"/>
          <w:szCs w:val="24"/>
          <w:lang w:eastAsia="en-GB"/>
          <w14:ligatures w14:val="none"/>
        </w:rPr>
        <w:t>, 105496.</w:t>
      </w:r>
    </w:p>
    <w:p w14:paraId="607924AF"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Knight, C. (2021). Vicarious trauma and self-care in child welfare: Implications for social work practice. </w:t>
      </w:r>
      <w:r w:rsidRPr="00C74F91">
        <w:rPr>
          <w:rFonts w:ascii="Arial" w:eastAsiaTheme="majorEastAsia" w:hAnsi="Arial" w:cs="Arial"/>
          <w:i/>
          <w:iCs/>
          <w:kern w:val="0"/>
          <w:sz w:val="24"/>
          <w:szCs w:val="24"/>
          <w:lang w:eastAsia="en-GB"/>
          <w14:ligatures w14:val="none"/>
        </w:rPr>
        <w:t>Child &amp; Family Social Work, 26</w:t>
      </w:r>
      <w:r w:rsidRPr="00C74F91">
        <w:rPr>
          <w:rFonts w:ascii="Arial" w:eastAsia="Times New Roman" w:hAnsi="Arial" w:cs="Arial"/>
          <w:kern w:val="0"/>
          <w:sz w:val="24"/>
          <w:szCs w:val="24"/>
          <w:lang w:eastAsia="en-GB"/>
          <w14:ligatures w14:val="none"/>
        </w:rPr>
        <w:t>(1), 18–26.</w:t>
      </w:r>
    </w:p>
    <w:p w14:paraId="228138A6"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lastRenderedPageBreak/>
        <w:t>Lee, M. (2024, October 28). Child abuse and its lasting effects on trust, relationships, and emotional health. National Child Abuse Coalition International.</w:t>
      </w:r>
    </w:p>
    <w:p w14:paraId="5267016F"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 xml:space="preserve">Leathers, S., </w:t>
      </w:r>
      <w:proofErr w:type="spellStart"/>
      <w:r w:rsidRPr="00C74F91">
        <w:rPr>
          <w:rFonts w:ascii="Arial" w:hAnsi="Arial" w:cs="Arial"/>
          <w:sz w:val="24"/>
          <w:szCs w:val="24"/>
        </w:rPr>
        <w:t>Spielfogel</w:t>
      </w:r>
      <w:proofErr w:type="spellEnd"/>
      <w:r w:rsidRPr="00C74F91">
        <w:rPr>
          <w:rFonts w:ascii="Arial" w:hAnsi="Arial" w:cs="Arial"/>
          <w:sz w:val="24"/>
          <w:szCs w:val="24"/>
        </w:rPr>
        <w:t xml:space="preserve">, J., &amp; Gleeson, J. P. (2022). Relationship-based interventions for foster children: Evidence for enhancing attachment security. Children and Youth Services Review, 138, 106482. </w:t>
      </w:r>
    </w:p>
    <w:p w14:paraId="54AEE3F4"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Livingston, V., Jackson-</w:t>
      </w:r>
      <w:proofErr w:type="spellStart"/>
      <w:r w:rsidRPr="00C74F91">
        <w:rPr>
          <w:rFonts w:ascii="Arial" w:hAnsi="Arial" w:cs="Arial"/>
          <w:sz w:val="24"/>
          <w:szCs w:val="24"/>
        </w:rPr>
        <w:t>Nevels</w:t>
      </w:r>
      <w:proofErr w:type="spellEnd"/>
      <w:r w:rsidRPr="00C74F91">
        <w:rPr>
          <w:rFonts w:ascii="Arial" w:hAnsi="Arial" w:cs="Arial"/>
          <w:sz w:val="24"/>
          <w:szCs w:val="24"/>
        </w:rPr>
        <w:t xml:space="preserve">, B., Mitchell, B. D., &amp; Riddick, P. M. (2025). Resilience, adversity, and social supports in childhood and adolescence. </w:t>
      </w:r>
      <w:proofErr w:type="spellStart"/>
      <w:r w:rsidRPr="00C74F91">
        <w:rPr>
          <w:rFonts w:ascii="Arial" w:hAnsi="Arial" w:cs="Arial"/>
          <w:sz w:val="24"/>
          <w:szCs w:val="24"/>
        </w:rPr>
        <w:t>Encyclopedia</w:t>
      </w:r>
      <w:proofErr w:type="spellEnd"/>
      <w:r w:rsidRPr="00C74F91">
        <w:rPr>
          <w:rFonts w:ascii="Arial" w:hAnsi="Arial" w:cs="Arial"/>
          <w:sz w:val="24"/>
          <w:szCs w:val="24"/>
        </w:rPr>
        <w:t>, 5(3), 108.</w:t>
      </w:r>
    </w:p>
    <w:p w14:paraId="546BDF4E"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 xml:space="preserve">Livingston, V. (2025). </w:t>
      </w:r>
      <w:r w:rsidRPr="00C74F91">
        <w:rPr>
          <w:rFonts w:ascii="Arial" w:hAnsi="Arial" w:cs="Arial"/>
          <w:i/>
          <w:iCs/>
          <w:sz w:val="24"/>
          <w:szCs w:val="24"/>
        </w:rPr>
        <w:t>Resilience, adversity, and social supports in childhood</w:t>
      </w:r>
      <w:r w:rsidRPr="00C74F91">
        <w:rPr>
          <w:rFonts w:ascii="Arial" w:hAnsi="Arial" w:cs="Arial"/>
          <w:sz w:val="24"/>
          <w:szCs w:val="24"/>
        </w:rPr>
        <w:t xml:space="preserve">. </w:t>
      </w:r>
      <w:r w:rsidRPr="00C74F91">
        <w:rPr>
          <w:rFonts w:ascii="Arial" w:hAnsi="Arial" w:cs="Arial"/>
          <w:i/>
          <w:iCs/>
          <w:sz w:val="24"/>
          <w:szCs w:val="24"/>
        </w:rPr>
        <w:t>Children &amp; Adversity Research, 5</w:t>
      </w:r>
      <w:r w:rsidRPr="00C74F91">
        <w:rPr>
          <w:rFonts w:ascii="Arial" w:hAnsi="Arial" w:cs="Arial"/>
          <w:sz w:val="24"/>
          <w:szCs w:val="24"/>
        </w:rPr>
        <w:t>(3), 108–120.</w:t>
      </w:r>
    </w:p>
    <w:p w14:paraId="4962A11B"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Luthar, S. S., Ebbert, A. M., &amp; Kumar, N. L. (2023). Risk and resilience during childhood and adolescence. </w:t>
      </w:r>
      <w:r w:rsidRPr="00C74F91">
        <w:rPr>
          <w:rFonts w:ascii="Arial" w:eastAsiaTheme="majorEastAsia" w:hAnsi="Arial" w:cs="Arial"/>
          <w:i/>
          <w:iCs/>
          <w:kern w:val="0"/>
          <w:sz w:val="24"/>
          <w:szCs w:val="24"/>
          <w:lang w:eastAsia="en-GB"/>
          <w14:ligatures w14:val="none"/>
        </w:rPr>
        <w:t>Annual Review of Clinical Psychology, 19</w:t>
      </w:r>
      <w:r w:rsidRPr="00C74F91">
        <w:rPr>
          <w:rFonts w:ascii="Arial" w:eastAsia="Times New Roman" w:hAnsi="Arial" w:cs="Arial"/>
          <w:kern w:val="0"/>
          <w:sz w:val="24"/>
          <w:szCs w:val="24"/>
          <w:lang w:eastAsia="en-GB"/>
          <w14:ligatures w14:val="none"/>
        </w:rPr>
        <w:t>, 383–411. https://doi.org/10.1146/annurev-clinpsy-080921-020251</w:t>
      </w:r>
    </w:p>
    <w:p w14:paraId="67CB669E"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Maguire, D., May, K., McCormack, D., &amp; </w:t>
      </w:r>
      <w:proofErr w:type="spellStart"/>
      <w:r w:rsidRPr="00C74F91">
        <w:rPr>
          <w:rFonts w:ascii="Arial" w:eastAsia="Times New Roman" w:hAnsi="Arial" w:cs="Arial"/>
          <w:kern w:val="0"/>
          <w:sz w:val="24"/>
          <w:szCs w:val="24"/>
          <w:lang w:eastAsia="en-GB"/>
          <w14:ligatures w14:val="none"/>
        </w:rPr>
        <w:t>Fosker</w:t>
      </w:r>
      <w:proofErr w:type="spellEnd"/>
      <w:r w:rsidRPr="00C74F91">
        <w:rPr>
          <w:rFonts w:ascii="Arial" w:eastAsia="Times New Roman" w:hAnsi="Arial" w:cs="Arial"/>
          <w:kern w:val="0"/>
          <w:sz w:val="24"/>
          <w:szCs w:val="24"/>
          <w:lang w:eastAsia="en-GB"/>
          <w14:ligatures w14:val="none"/>
        </w:rPr>
        <w:t>, T. (2024). A systematic review of the impact of placement instability on emotional and behavioural outcomes among children in foster care. Journal of Child &amp; Adolescent Trauma, 17(4), 641–655.</w:t>
      </w:r>
    </w:p>
    <w:p w14:paraId="012CA520"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Maguire, D., May, K., McCormack, D., &amp; </w:t>
      </w:r>
      <w:proofErr w:type="spellStart"/>
      <w:r w:rsidRPr="00C74F91">
        <w:rPr>
          <w:rFonts w:ascii="Arial" w:eastAsia="Times New Roman" w:hAnsi="Arial" w:cs="Arial"/>
          <w:kern w:val="0"/>
          <w:sz w:val="24"/>
          <w:szCs w:val="24"/>
          <w:lang w:eastAsia="en-GB"/>
          <w14:ligatures w14:val="none"/>
        </w:rPr>
        <w:t>Fosker</w:t>
      </w:r>
      <w:proofErr w:type="spellEnd"/>
      <w:r w:rsidRPr="00C74F91">
        <w:rPr>
          <w:rFonts w:ascii="Arial" w:eastAsia="Times New Roman" w:hAnsi="Arial" w:cs="Arial"/>
          <w:kern w:val="0"/>
          <w:sz w:val="24"/>
          <w:szCs w:val="24"/>
          <w:lang w:eastAsia="en-GB"/>
          <w14:ligatures w14:val="none"/>
        </w:rPr>
        <w:t>, T. (2024). Journal of Child &amp; Adolescent Trauma, 17(4), 641–655.</w:t>
      </w:r>
    </w:p>
    <w:p w14:paraId="28C77B6B"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Mann-Feder, V., Zlotnick, C., &amp; Dembo, R. (2020). Evaluating life story work in foster care: Benefits, risks, and practice guidelines. </w:t>
      </w:r>
      <w:r w:rsidRPr="00C74F91">
        <w:rPr>
          <w:rFonts w:ascii="Arial" w:eastAsiaTheme="majorEastAsia" w:hAnsi="Arial" w:cs="Arial"/>
          <w:i/>
          <w:iCs/>
          <w:kern w:val="0"/>
          <w:sz w:val="24"/>
          <w:szCs w:val="24"/>
          <w:lang w:eastAsia="en-GB"/>
          <w14:ligatures w14:val="none"/>
        </w:rPr>
        <w:t>Child &amp; Adolescent Social Work Journal, 37</w:t>
      </w:r>
      <w:r w:rsidRPr="00C74F91">
        <w:rPr>
          <w:rFonts w:ascii="Arial" w:eastAsia="Times New Roman" w:hAnsi="Arial" w:cs="Arial"/>
          <w:kern w:val="0"/>
          <w:sz w:val="24"/>
          <w:szCs w:val="24"/>
          <w:lang w:eastAsia="en-GB"/>
          <w14:ligatures w14:val="none"/>
        </w:rPr>
        <w:t>(6), 617–630. https://doi.org/10.1007/s10560-020-00680-8</w:t>
      </w:r>
    </w:p>
    <w:p w14:paraId="07D67398"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lastRenderedPageBreak/>
        <w:t xml:space="preserve">Masten, A. S. (2021). </w:t>
      </w:r>
      <w:r w:rsidRPr="00C74F91">
        <w:rPr>
          <w:rFonts w:ascii="Arial" w:eastAsiaTheme="majorEastAsia" w:hAnsi="Arial" w:cs="Arial"/>
          <w:i/>
          <w:iCs/>
          <w:kern w:val="0"/>
          <w:sz w:val="24"/>
          <w:szCs w:val="24"/>
          <w:lang w:eastAsia="en-GB"/>
          <w14:ligatures w14:val="none"/>
        </w:rPr>
        <w:t>Multisystem resilience: Pathways to an integrated framework</w:t>
      </w:r>
      <w:r w:rsidRPr="00C74F91">
        <w:rPr>
          <w:rFonts w:ascii="Arial" w:eastAsia="Times New Roman" w:hAnsi="Arial" w:cs="Arial"/>
          <w:kern w:val="0"/>
          <w:sz w:val="24"/>
          <w:szCs w:val="24"/>
          <w:lang w:eastAsia="en-GB"/>
          <w14:ligatures w14:val="none"/>
        </w:rPr>
        <w:t>. Oxford University Press.</w:t>
      </w:r>
    </w:p>
    <w:p w14:paraId="491D4447"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McLaughlin, K. A., Weissman, D., &amp; </w:t>
      </w:r>
      <w:proofErr w:type="spellStart"/>
      <w:r w:rsidRPr="00C74F91">
        <w:rPr>
          <w:rFonts w:ascii="Arial" w:eastAsia="Times New Roman" w:hAnsi="Arial" w:cs="Arial"/>
          <w:kern w:val="0"/>
          <w:sz w:val="24"/>
          <w:szCs w:val="24"/>
          <w:lang w:eastAsia="en-GB"/>
          <w14:ligatures w14:val="none"/>
        </w:rPr>
        <w:t>Bitrán</w:t>
      </w:r>
      <w:proofErr w:type="spellEnd"/>
      <w:r w:rsidRPr="00C74F91">
        <w:rPr>
          <w:rFonts w:ascii="Arial" w:eastAsia="Times New Roman" w:hAnsi="Arial" w:cs="Arial"/>
          <w:kern w:val="0"/>
          <w:sz w:val="24"/>
          <w:szCs w:val="24"/>
          <w:lang w:eastAsia="en-GB"/>
          <w14:ligatures w14:val="none"/>
        </w:rPr>
        <w:t xml:space="preserve">, D. (2021). Childhood adversity and neural development: A systematic review. </w:t>
      </w:r>
      <w:r w:rsidRPr="00C74F91">
        <w:rPr>
          <w:rFonts w:ascii="Arial" w:eastAsiaTheme="majorEastAsia" w:hAnsi="Arial" w:cs="Arial"/>
          <w:i/>
          <w:iCs/>
          <w:kern w:val="0"/>
          <w:sz w:val="24"/>
          <w:szCs w:val="24"/>
          <w:lang w:eastAsia="en-GB"/>
          <w14:ligatures w14:val="none"/>
        </w:rPr>
        <w:t>Annual Review of Developmental Psychology, 3</w:t>
      </w:r>
      <w:r w:rsidRPr="00C74F91">
        <w:rPr>
          <w:rFonts w:ascii="Arial" w:eastAsia="Times New Roman" w:hAnsi="Arial" w:cs="Arial"/>
          <w:kern w:val="0"/>
          <w:sz w:val="24"/>
          <w:szCs w:val="24"/>
          <w:lang w:eastAsia="en-GB"/>
          <w14:ligatures w14:val="none"/>
        </w:rPr>
        <w:t xml:space="preserve">, 277–312. </w:t>
      </w:r>
    </w:p>
    <w:p w14:paraId="02D146E1"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Morley, C., </w:t>
      </w:r>
      <w:proofErr w:type="spellStart"/>
      <w:r w:rsidRPr="00C74F91">
        <w:rPr>
          <w:rFonts w:ascii="Arial" w:eastAsia="Times New Roman" w:hAnsi="Arial" w:cs="Arial"/>
          <w:kern w:val="0"/>
          <w:sz w:val="24"/>
          <w:szCs w:val="24"/>
          <w:lang w:eastAsia="en-GB"/>
          <w14:ligatures w14:val="none"/>
        </w:rPr>
        <w:t>Buultjens</w:t>
      </w:r>
      <w:proofErr w:type="spellEnd"/>
      <w:r w:rsidRPr="00C74F91">
        <w:rPr>
          <w:rFonts w:ascii="Arial" w:eastAsia="Times New Roman" w:hAnsi="Arial" w:cs="Arial"/>
          <w:kern w:val="0"/>
          <w:sz w:val="24"/>
          <w:szCs w:val="24"/>
          <w:lang w:eastAsia="en-GB"/>
          <w14:ligatures w14:val="none"/>
        </w:rPr>
        <w:t xml:space="preserve">, M., &amp; Gill, M. (2021). Mindfulness and boundary-setting for social work practitioners: Promoting resilience in high-stress environments. </w:t>
      </w:r>
      <w:r w:rsidRPr="00C74F91">
        <w:rPr>
          <w:rFonts w:ascii="Arial" w:eastAsiaTheme="majorEastAsia" w:hAnsi="Arial" w:cs="Arial"/>
          <w:i/>
          <w:iCs/>
          <w:kern w:val="0"/>
          <w:sz w:val="24"/>
          <w:szCs w:val="24"/>
          <w:lang w:eastAsia="en-GB"/>
          <w14:ligatures w14:val="none"/>
        </w:rPr>
        <w:t>Journal of Social Work Education, 57</w:t>
      </w:r>
      <w:r w:rsidRPr="00C74F91">
        <w:rPr>
          <w:rFonts w:ascii="Arial" w:eastAsia="Times New Roman" w:hAnsi="Arial" w:cs="Arial"/>
          <w:kern w:val="0"/>
          <w:sz w:val="24"/>
          <w:szCs w:val="24"/>
          <w:lang w:eastAsia="en-GB"/>
          <w14:ligatures w14:val="none"/>
        </w:rPr>
        <w:t>(4), 678–692.</w:t>
      </w:r>
    </w:p>
    <w:p w14:paraId="3198D0E6"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Nwoke, M., Roberts, M., &amp; Grayson, K. (2022). Play therapy for trauma-exposed children: Evidence and best practice. </w:t>
      </w:r>
      <w:r w:rsidRPr="00C74F91">
        <w:rPr>
          <w:rFonts w:ascii="Arial" w:eastAsiaTheme="majorEastAsia" w:hAnsi="Arial" w:cs="Arial"/>
          <w:i/>
          <w:iCs/>
          <w:kern w:val="0"/>
          <w:sz w:val="24"/>
          <w:szCs w:val="24"/>
          <w:lang w:eastAsia="en-GB"/>
          <w14:ligatures w14:val="none"/>
        </w:rPr>
        <w:t>Journal of Child Psychology and Psychiatry, 63</w:t>
      </w:r>
      <w:r w:rsidRPr="00C74F91">
        <w:rPr>
          <w:rFonts w:ascii="Arial" w:eastAsia="Times New Roman" w:hAnsi="Arial" w:cs="Arial"/>
          <w:kern w:val="0"/>
          <w:sz w:val="24"/>
          <w:szCs w:val="24"/>
          <w:lang w:eastAsia="en-GB"/>
          <w14:ligatures w14:val="none"/>
        </w:rPr>
        <w:t>(7), 817–831</w:t>
      </w:r>
    </w:p>
    <w:p w14:paraId="4E92D302"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Rubin, D. M., O’Reilly, A. L. R., Luan, X., &amp; </w:t>
      </w:r>
      <w:proofErr w:type="spellStart"/>
      <w:r w:rsidRPr="00C74F91">
        <w:rPr>
          <w:rFonts w:ascii="Arial" w:eastAsia="Times New Roman" w:hAnsi="Arial" w:cs="Arial"/>
          <w:kern w:val="0"/>
          <w:sz w:val="24"/>
          <w:szCs w:val="24"/>
          <w:lang w:eastAsia="en-GB"/>
          <w14:ligatures w14:val="none"/>
        </w:rPr>
        <w:t>Localio</w:t>
      </w:r>
      <w:proofErr w:type="spellEnd"/>
      <w:r w:rsidRPr="00C74F91">
        <w:rPr>
          <w:rFonts w:ascii="Arial" w:eastAsia="Times New Roman" w:hAnsi="Arial" w:cs="Arial"/>
          <w:kern w:val="0"/>
          <w:sz w:val="24"/>
          <w:szCs w:val="24"/>
          <w:lang w:eastAsia="en-GB"/>
          <w14:ligatures w14:val="none"/>
        </w:rPr>
        <w:t xml:space="preserve">, A. R. (2020). The impact of placement stability on behavioural well-being for children in foster care. </w:t>
      </w:r>
      <w:proofErr w:type="spellStart"/>
      <w:r w:rsidRPr="00C74F91">
        <w:rPr>
          <w:rFonts w:ascii="Arial" w:eastAsiaTheme="majorEastAsia" w:hAnsi="Arial" w:cs="Arial"/>
          <w:i/>
          <w:iCs/>
          <w:kern w:val="0"/>
          <w:sz w:val="24"/>
          <w:szCs w:val="24"/>
          <w:lang w:eastAsia="en-GB"/>
          <w14:ligatures w14:val="none"/>
        </w:rPr>
        <w:t>Pediatrics</w:t>
      </w:r>
      <w:proofErr w:type="spellEnd"/>
      <w:r w:rsidRPr="00C74F91">
        <w:rPr>
          <w:rFonts w:ascii="Arial" w:eastAsiaTheme="majorEastAsia" w:hAnsi="Arial" w:cs="Arial"/>
          <w:i/>
          <w:iCs/>
          <w:kern w:val="0"/>
          <w:sz w:val="24"/>
          <w:szCs w:val="24"/>
          <w:lang w:eastAsia="en-GB"/>
          <w14:ligatures w14:val="none"/>
        </w:rPr>
        <w:t>, 145</w:t>
      </w:r>
      <w:r w:rsidRPr="00C74F91">
        <w:rPr>
          <w:rFonts w:ascii="Arial" w:eastAsia="Times New Roman" w:hAnsi="Arial" w:cs="Arial"/>
          <w:kern w:val="0"/>
          <w:sz w:val="24"/>
          <w:szCs w:val="24"/>
          <w:lang w:eastAsia="en-GB"/>
          <w14:ligatures w14:val="none"/>
        </w:rPr>
        <w:t xml:space="preserve">(6), </w:t>
      </w:r>
    </w:p>
    <w:p w14:paraId="71B5E132"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proofErr w:type="spellStart"/>
      <w:r w:rsidRPr="00C74F91">
        <w:rPr>
          <w:rFonts w:ascii="Arial" w:eastAsia="Times New Roman" w:hAnsi="Arial" w:cs="Arial"/>
          <w:kern w:val="0"/>
          <w:sz w:val="24"/>
          <w:szCs w:val="24"/>
          <w:lang w:eastAsia="en-GB"/>
          <w14:ligatures w14:val="none"/>
        </w:rPr>
        <w:t>Samalin</w:t>
      </w:r>
      <w:proofErr w:type="spellEnd"/>
      <w:r w:rsidRPr="00C74F91">
        <w:rPr>
          <w:rFonts w:ascii="Arial" w:eastAsia="Times New Roman" w:hAnsi="Arial" w:cs="Arial"/>
          <w:kern w:val="0"/>
          <w:sz w:val="24"/>
          <w:szCs w:val="24"/>
          <w:lang w:eastAsia="en-GB"/>
          <w14:ligatures w14:val="none"/>
        </w:rPr>
        <w:t>, N., &amp; Jablow, M. M. (1998). Loving Your Child Is Not Enough: Positive Discipline That Works. New York: Viking/Penguin</w:t>
      </w:r>
    </w:p>
    <w:p w14:paraId="698D2376"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Simon, E., </w:t>
      </w:r>
      <w:proofErr w:type="spellStart"/>
      <w:r w:rsidRPr="00C74F91">
        <w:rPr>
          <w:rFonts w:ascii="Arial" w:eastAsia="Times New Roman" w:hAnsi="Arial" w:cs="Arial"/>
          <w:kern w:val="0"/>
          <w:sz w:val="24"/>
          <w:szCs w:val="24"/>
          <w:lang w:eastAsia="en-GB"/>
          <w14:ligatures w14:val="none"/>
        </w:rPr>
        <w:t>Raats</w:t>
      </w:r>
      <w:proofErr w:type="spellEnd"/>
      <w:r w:rsidRPr="00C74F91">
        <w:rPr>
          <w:rFonts w:ascii="Arial" w:eastAsia="Times New Roman" w:hAnsi="Arial" w:cs="Arial"/>
          <w:kern w:val="0"/>
          <w:sz w:val="24"/>
          <w:szCs w:val="24"/>
          <w:lang w:eastAsia="en-GB"/>
          <w14:ligatures w14:val="none"/>
        </w:rPr>
        <w:t>, M., &amp; Erens, B. (2024). Child Abuse &amp; Neglect, 153, 106802.</w:t>
      </w:r>
    </w:p>
    <w:p w14:paraId="66966013"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 xml:space="preserve">Simon, E., </w:t>
      </w:r>
      <w:proofErr w:type="spellStart"/>
      <w:r w:rsidRPr="00C74F91">
        <w:rPr>
          <w:rFonts w:ascii="Arial" w:hAnsi="Arial" w:cs="Arial"/>
          <w:sz w:val="24"/>
          <w:szCs w:val="24"/>
        </w:rPr>
        <w:t>Raats</w:t>
      </w:r>
      <w:proofErr w:type="spellEnd"/>
      <w:r w:rsidRPr="00C74F91">
        <w:rPr>
          <w:rFonts w:ascii="Arial" w:hAnsi="Arial" w:cs="Arial"/>
          <w:sz w:val="24"/>
          <w:szCs w:val="24"/>
        </w:rPr>
        <w:t>, M., &amp; Erens, B. (2024). Neglecting the impact of childhood neglect: A scoping review of the relation between child neglect and emotion regulation in adulthood. Child Abuse &amp; Neglect, 153, 106802</w:t>
      </w:r>
    </w:p>
    <w:p w14:paraId="31F09C8F"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lastRenderedPageBreak/>
        <w:t xml:space="preserve">Smith, P., Sharmin, S., Ambry, D., et al. (2025). </w:t>
      </w:r>
      <w:r w:rsidRPr="00C74F91">
        <w:rPr>
          <w:rFonts w:ascii="Arial" w:hAnsi="Arial" w:cs="Arial"/>
          <w:i/>
          <w:iCs/>
          <w:sz w:val="24"/>
          <w:szCs w:val="24"/>
        </w:rPr>
        <w:t>Adversity, trauma symptoms, and the effectiveness of an Australian individualised developmental trauma intervention program</w:t>
      </w:r>
      <w:r w:rsidRPr="00C74F91">
        <w:rPr>
          <w:rFonts w:ascii="Arial" w:hAnsi="Arial" w:cs="Arial"/>
          <w:sz w:val="24"/>
          <w:szCs w:val="24"/>
        </w:rPr>
        <w:t xml:space="preserve">. </w:t>
      </w:r>
      <w:r w:rsidRPr="00C74F91">
        <w:rPr>
          <w:rFonts w:ascii="Arial" w:hAnsi="Arial" w:cs="Arial"/>
          <w:i/>
          <w:iCs/>
          <w:sz w:val="24"/>
          <w:szCs w:val="24"/>
        </w:rPr>
        <w:t>Journal of Child &amp; Adolescent Trauma</w:t>
      </w:r>
      <w:r w:rsidRPr="00C74F91">
        <w:rPr>
          <w:rFonts w:ascii="Arial" w:hAnsi="Arial" w:cs="Arial"/>
          <w:sz w:val="24"/>
          <w:szCs w:val="24"/>
        </w:rPr>
        <w:t>, 18, 481–495.</w:t>
      </w:r>
    </w:p>
    <w:p w14:paraId="76B2E3C0"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Sparks, R. (2024). Examining factors which impact the emotional and behavioural outcomes of care-experienced children and young people (Doctoral thesis, University of Glasgow).</w:t>
      </w:r>
    </w:p>
    <w:p w14:paraId="47D839BB"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Substance Abuse and Mental Health Services Administration. (2014). </w:t>
      </w:r>
      <w:r w:rsidRPr="00C74F91">
        <w:rPr>
          <w:rFonts w:ascii="Arial" w:eastAsiaTheme="majorEastAsia" w:hAnsi="Arial" w:cs="Arial"/>
          <w:i/>
          <w:iCs/>
          <w:kern w:val="0"/>
          <w:sz w:val="24"/>
          <w:szCs w:val="24"/>
          <w:lang w:eastAsia="en-GB"/>
          <w14:ligatures w14:val="none"/>
        </w:rPr>
        <w:t>SAMHSA’s concept of trauma and guidance for a trauma-informed approach</w:t>
      </w:r>
      <w:r w:rsidRPr="00C74F91">
        <w:rPr>
          <w:rFonts w:ascii="Arial" w:eastAsia="Times New Roman" w:hAnsi="Arial" w:cs="Arial"/>
          <w:kern w:val="0"/>
          <w:sz w:val="24"/>
          <w:szCs w:val="24"/>
          <w:lang w:eastAsia="en-GB"/>
          <w14:ligatures w14:val="none"/>
        </w:rPr>
        <w:t xml:space="preserve"> (HHS Publication No. SMA 14-4884). U.S. Department of Health and Human Services.</w:t>
      </w:r>
    </w:p>
    <w:p w14:paraId="4D2B93DF"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 xml:space="preserve">Thomas, F., &amp; Simmonds, J. (2022). Foster carers’ use of emotion coaching to manage challenging behaviours: A systematic review. Journal of Child and Family Studies, 31(5), 1203–1217. </w:t>
      </w:r>
    </w:p>
    <w:p w14:paraId="1BD4C328"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Tillmann, S., Tobin, D., Avison, W., &amp; Gilliland, J. (2021). Mental health benefits of interactions with nature in children and teenagers: A systematic review. </w:t>
      </w:r>
      <w:r w:rsidRPr="00C74F91">
        <w:rPr>
          <w:rFonts w:ascii="Arial" w:eastAsiaTheme="majorEastAsia" w:hAnsi="Arial" w:cs="Arial"/>
          <w:i/>
          <w:iCs/>
          <w:kern w:val="0"/>
          <w:sz w:val="24"/>
          <w:szCs w:val="24"/>
          <w:lang w:eastAsia="en-GB"/>
          <w14:ligatures w14:val="none"/>
        </w:rPr>
        <w:t>Journal of Epidemiology &amp; Community Health, 75</w:t>
      </w:r>
      <w:r w:rsidRPr="00C74F91">
        <w:rPr>
          <w:rFonts w:ascii="Arial" w:eastAsia="Times New Roman" w:hAnsi="Arial" w:cs="Arial"/>
          <w:kern w:val="0"/>
          <w:sz w:val="24"/>
          <w:szCs w:val="24"/>
          <w:lang w:eastAsia="en-GB"/>
          <w14:ligatures w14:val="none"/>
        </w:rPr>
        <w:t>(10), 958–966</w:t>
      </w:r>
    </w:p>
    <w:p w14:paraId="4C4F93A5"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Ungar, M. (2021). Multisystemic resilience: Adaptation and transformation in contexts of change. </w:t>
      </w:r>
      <w:r w:rsidRPr="00C74F91">
        <w:rPr>
          <w:rFonts w:ascii="Arial" w:eastAsiaTheme="majorEastAsia" w:hAnsi="Arial" w:cs="Arial"/>
          <w:i/>
          <w:iCs/>
          <w:kern w:val="0"/>
          <w:sz w:val="24"/>
          <w:szCs w:val="24"/>
          <w:lang w:eastAsia="en-GB"/>
          <w14:ligatures w14:val="none"/>
        </w:rPr>
        <w:t>Oxford Review of Education, 47</w:t>
      </w:r>
      <w:r w:rsidRPr="00C74F91">
        <w:rPr>
          <w:rFonts w:ascii="Arial" w:eastAsia="Times New Roman" w:hAnsi="Arial" w:cs="Arial"/>
          <w:kern w:val="0"/>
          <w:sz w:val="24"/>
          <w:szCs w:val="24"/>
          <w:lang w:eastAsia="en-GB"/>
          <w14:ligatures w14:val="none"/>
        </w:rPr>
        <w:t xml:space="preserve">(1), 1–18. </w:t>
      </w:r>
    </w:p>
    <w:p w14:paraId="23E01109"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Van der Kolk, B. A. (2014). </w:t>
      </w:r>
      <w:r w:rsidRPr="00C74F91">
        <w:rPr>
          <w:rFonts w:ascii="Arial" w:eastAsiaTheme="majorEastAsia" w:hAnsi="Arial" w:cs="Arial"/>
          <w:i/>
          <w:iCs/>
          <w:kern w:val="0"/>
          <w:sz w:val="24"/>
          <w:szCs w:val="24"/>
          <w:lang w:eastAsia="en-GB"/>
          <w14:ligatures w14:val="none"/>
        </w:rPr>
        <w:t>The body keeps the score: Brain, mind, and body in the healing of trauma</w:t>
      </w:r>
      <w:r w:rsidRPr="00C74F91">
        <w:rPr>
          <w:rFonts w:ascii="Arial" w:eastAsia="Times New Roman" w:hAnsi="Arial" w:cs="Arial"/>
          <w:kern w:val="0"/>
          <w:sz w:val="24"/>
          <w:szCs w:val="24"/>
          <w:lang w:eastAsia="en-GB"/>
          <w14:ligatures w14:val="none"/>
        </w:rPr>
        <w:t>. Viking.</w:t>
      </w:r>
    </w:p>
    <w:p w14:paraId="65FA55EB"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 xml:space="preserve">Varnish, C., Phillips, A. R., Laxman, S. T., Maxwell, N., Halligan, S. L., &amp; Button, K. S. (2025). The relationship between placement instability and mental health among </w:t>
      </w:r>
      <w:r w:rsidRPr="00C74F91">
        <w:rPr>
          <w:rFonts w:ascii="Arial" w:hAnsi="Arial" w:cs="Arial"/>
          <w:sz w:val="24"/>
          <w:szCs w:val="24"/>
        </w:rPr>
        <w:lastRenderedPageBreak/>
        <w:t>care-experienced children and young people: UK systematic review and meta-analysis. The British Journal of Psychiatry.</w:t>
      </w:r>
    </w:p>
    <w:p w14:paraId="4FBEF56E"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Villodas, M. T., </w:t>
      </w:r>
      <w:proofErr w:type="spellStart"/>
      <w:r w:rsidRPr="00C74F91">
        <w:rPr>
          <w:rFonts w:ascii="Arial" w:eastAsia="Times New Roman" w:hAnsi="Arial" w:cs="Arial"/>
          <w:kern w:val="0"/>
          <w:sz w:val="24"/>
          <w:szCs w:val="24"/>
          <w:lang w:eastAsia="en-GB"/>
          <w14:ligatures w14:val="none"/>
        </w:rPr>
        <w:t>Litrownik</w:t>
      </w:r>
      <w:proofErr w:type="spellEnd"/>
      <w:r w:rsidRPr="00C74F91">
        <w:rPr>
          <w:rFonts w:ascii="Arial" w:eastAsia="Times New Roman" w:hAnsi="Arial" w:cs="Arial"/>
          <w:kern w:val="0"/>
          <w:sz w:val="24"/>
          <w:szCs w:val="24"/>
          <w:lang w:eastAsia="en-GB"/>
          <w14:ligatures w14:val="none"/>
        </w:rPr>
        <w:t xml:space="preserve">, A. J., Newton, R. R., &amp; Davis, I. P. (2021). Long-term placement instability and externalizing behaviour among children in foster care. </w:t>
      </w:r>
      <w:r w:rsidRPr="00C74F91">
        <w:rPr>
          <w:rFonts w:ascii="Arial" w:eastAsiaTheme="majorEastAsia" w:hAnsi="Arial" w:cs="Arial"/>
          <w:i/>
          <w:iCs/>
          <w:kern w:val="0"/>
          <w:sz w:val="24"/>
          <w:szCs w:val="24"/>
          <w:lang w:eastAsia="en-GB"/>
          <w14:ligatures w14:val="none"/>
        </w:rPr>
        <w:t>Child Abuse &amp; Neglect, 112</w:t>
      </w:r>
      <w:r w:rsidRPr="00C74F91">
        <w:rPr>
          <w:rFonts w:ascii="Arial" w:eastAsia="Times New Roman" w:hAnsi="Arial" w:cs="Arial"/>
          <w:kern w:val="0"/>
          <w:sz w:val="24"/>
          <w:szCs w:val="24"/>
          <w:lang w:eastAsia="en-GB"/>
          <w14:ligatures w14:val="none"/>
        </w:rPr>
        <w:t>, 104892.</w:t>
      </w:r>
    </w:p>
    <w:p w14:paraId="6BDA6DBA"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 xml:space="preserve">Wall, A., Turney, D., &amp; </w:t>
      </w:r>
      <w:proofErr w:type="spellStart"/>
      <w:r w:rsidRPr="00C74F91">
        <w:rPr>
          <w:rFonts w:ascii="Arial" w:hAnsi="Arial" w:cs="Arial"/>
          <w:sz w:val="24"/>
          <w:szCs w:val="24"/>
        </w:rPr>
        <w:t>Biehal</w:t>
      </w:r>
      <w:proofErr w:type="spellEnd"/>
      <w:r w:rsidRPr="00C74F91">
        <w:rPr>
          <w:rFonts w:ascii="Arial" w:hAnsi="Arial" w:cs="Arial"/>
          <w:sz w:val="24"/>
          <w:szCs w:val="24"/>
        </w:rPr>
        <w:t>, N. (2020). Supporting foster carers: Supervision, training, and consultation in high-risk placements. Child &amp; Family Social Work, 25(4), 1012–1021.</w:t>
      </w:r>
    </w:p>
    <w:p w14:paraId="35B06092"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Webb, C., Duffy, B., &amp; Ruch, G. (2020). Effective foster care support: The role of social work supervision and training. </w:t>
      </w:r>
      <w:r w:rsidRPr="00C74F91">
        <w:rPr>
          <w:rFonts w:ascii="Arial" w:eastAsiaTheme="majorEastAsia" w:hAnsi="Arial" w:cs="Arial"/>
          <w:i/>
          <w:iCs/>
          <w:kern w:val="0"/>
          <w:sz w:val="24"/>
          <w:szCs w:val="24"/>
          <w:lang w:eastAsia="en-GB"/>
          <w14:ligatures w14:val="none"/>
        </w:rPr>
        <w:t>Child &amp; Family Social Work, 25</w:t>
      </w:r>
      <w:r w:rsidRPr="00C74F91">
        <w:rPr>
          <w:rFonts w:ascii="Arial" w:eastAsia="Times New Roman" w:hAnsi="Arial" w:cs="Arial"/>
          <w:kern w:val="0"/>
          <w:sz w:val="24"/>
          <w:szCs w:val="24"/>
          <w:lang w:eastAsia="en-GB"/>
          <w14:ligatures w14:val="none"/>
        </w:rPr>
        <w:t>(4), 1000–1011. https://doi.org/10.1111/cfs.12712</w:t>
      </w:r>
    </w:p>
    <w:p w14:paraId="4A759F60"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Whitters, H. G. (2020). Adverse Childhood Experiences, Attachment, and the Early Years Learning Environment: Research and Inclusive Practice. Routledge.</w:t>
      </w:r>
    </w:p>
    <w:p w14:paraId="1D6FF3A7"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Wells, R., Bos, H., &amp; Devaney, J. (2022). Multi-agency collaboration in safeguarding children: A systematic review. </w:t>
      </w:r>
      <w:r w:rsidRPr="00C74F91">
        <w:rPr>
          <w:rFonts w:ascii="Arial" w:eastAsiaTheme="majorEastAsia" w:hAnsi="Arial" w:cs="Arial"/>
          <w:i/>
          <w:iCs/>
          <w:kern w:val="0"/>
          <w:sz w:val="24"/>
          <w:szCs w:val="24"/>
          <w:lang w:eastAsia="en-GB"/>
          <w14:ligatures w14:val="none"/>
        </w:rPr>
        <w:t>Child Abuse &amp; Neglect, 124</w:t>
      </w:r>
      <w:r w:rsidRPr="00C74F91">
        <w:rPr>
          <w:rFonts w:ascii="Arial" w:eastAsia="Times New Roman" w:hAnsi="Arial" w:cs="Arial"/>
          <w:kern w:val="0"/>
          <w:sz w:val="24"/>
          <w:szCs w:val="24"/>
          <w:lang w:eastAsia="en-GB"/>
          <w14:ligatures w14:val="none"/>
        </w:rPr>
        <w:t>, 105547.</w:t>
      </w:r>
    </w:p>
    <w:p w14:paraId="6AE315F9" w14:textId="77777777" w:rsidR="00C74F91" w:rsidRPr="00C74F91" w:rsidRDefault="00C74F91" w:rsidP="00F80C61">
      <w:pPr>
        <w:spacing w:before="100" w:beforeAutospacing="1" w:after="100" w:afterAutospacing="1" w:line="480" w:lineRule="auto"/>
        <w:rPr>
          <w:rFonts w:ascii="Arial" w:eastAsia="Times New Roman" w:hAnsi="Arial" w:cs="Arial"/>
          <w:kern w:val="0"/>
          <w:sz w:val="24"/>
          <w:szCs w:val="24"/>
          <w:lang w:eastAsia="en-GB"/>
          <w14:ligatures w14:val="none"/>
        </w:rPr>
      </w:pPr>
      <w:r w:rsidRPr="00C74F91">
        <w:rPr>
          <w:rFonts w:ascii="Arial" w:eastAsia="Times New Roman" w:hAnsi="Arial" w:cs="Arial"/>
          <w:kern w:val="0"/>
          <w:sz w:val="24"/>
          <w:szCs w:val="24"/>
          <w:lang w:eastAsia="en-GB"/>
          <w14:ligatures w14:val="none"/>
        </w:rPr>
        <w:t xml:space="preserve">Zajac, L., Raby, K. L., &amp; Dozier, M. (2020). Attachment state of mind and emotion regulation in maltreated children placed in foster care. </w:t>
      </w:r>
      <w:r w:rsidRPr="00C74F91">
        <w:rPr>
          <w:rFonts w:ascii="Arial" w:eastAsiaTheme="majorEastAsia" w:hAnsi="Arial" w:cs="Arial"/>
          <w:i/>
          <w:iCs/>
          <w:kern w:val="0"/>
          <w:sz w:val="24"/>
          <w:szCs w:val="24"/>
          <w:lang w:eastAsia="en-GB"/>
          <w14:ligatures w14:val="none"/>
        </w:rPr>
        <w:t>Development and Psychopathology, 32</w:t>
      </w:r>
      <w:r w:rsidRPr="00C74F91">
        <w:rPr>
          <w:rFonts w:ascii="Arial" w:eastAsia="Times New Roman" w:hAnsi="Arial" w:cs="Arial"/>
          <w:kern w:val="0"/>
          <w:sz w:val="24"/>
          <w:szCs w:val="24"/>
          <w:lang w:eastAsia="en-GB"/>
          <w14:ligatures w14:val="none"/>
        </w:rPr>
        <w:t>(3), 895–909.</w:t>
      </w:r>
    </w:p>
    <w:p w14:paraId="24CED62A" w14:textId="77777777" w:rsidR="00C74F91" w:rsidRPr="00C74F91" w:rsidRDefault="00C74F91" w:rsidP="00F80C61">
      <w:pPr>
        <w:spacing w:line="480" w:lineRule="auto"/>
        <w:rPr>
          <w:rFonts w:ascii="Arial" w:hAnsi="Arial" w:cs="Arial"/>
          <w:sz w:val="24"/>
          <w:szCs w:val="24"/>
        </w:rPr>
      </w:pPr>
    </w:p>
    <w:p w14:paraId="2DFAC188" w14:textId="77777777" w:rsidR="00C74F91" w:rsidRPr="00C74F91" w:rsidRDefault="00C74F91" w:rsidP="00F80C61">
      <w:pPr>
        <w:spacing w:line="480" w:lineRule="auto"/>
        <w:rPr>
          <w:rFonts w:ascii="Arial" w:hAnsi="Arial" w:cs="Arial"/>
          <w:sz w:val="24"/>
          <w:szCs w:val="24"/>
        </w:rPr>
      </w:pPr>
    </w:p>
    <w:p w14:paraId="07DF41B2" w14:textId="77777777" w:rsidR="00C74F91" w:rsidRPr="00C74F91" w:rsidRDefault="00C74F91" w:rsidP="00F80C61">
      <w:pPr>
        <w:spacing w:line="480" w:lineRule="auto"/>
        <w:rPr>
          <w:rFonts w:ascii="Arial" w:hAnsi="Arial" w:cs="Arial"/>
          <w:sz w:val="24"/>
          <w:szCs w:val="24"/>
        </w:rPr>
      </w:pPr>
      <w:r w:rsidRPr="00C74F91">
        <w:rPr>
          <w:rFonts w:ascii="Arial" w:hAnsi="Arial" w:cs="Arial"/>
          <w:sz w:val="24"/>
          <w:szCs w:val="24"/>
        </w:rPr>
        <w:t>Websites:</w:t>
      </w:r>
    </w:p>
    <w:p w14:paraId="1AE8017D" w14:textId="77777777" w:rsidR="00C74F91" w:rsidRPr="00C74F91" w:rsidRDefault="00C74F91" w:rsidP="00F80C61">
      <w:pPr>
        <w:spacing w:line="480" w:lineRule="auto"/>
        <w:rPr>
          <w:rFonts w:ascii="Arial" w:hAnsi="Arial" w:cs="Arial"/>
          <w:sz w:val="24"/>
          <w:szCs w:val="24"/>
        </w:rPr>
      </w:pPr>
      <w:hyperlink r:id="rId8" w:history="1">
        <w:r w:rsidRPr="00C74F91">
          <w:rPr>
            <w:rFonts w:ascii="Arial" w:hAnsi="Arial" w:cs="Arial"/>
            <w:color w:val="0000FF"/>
            <w:sz w:val="24"/>
            <w:szCs w:val="24"/>
            <w:u w:val="single"/>
          </w:rPr>
          <w:t>https://www.coect.co.uk/cpdlearningdays/trauma-informed-life-story-work</w:t>
        </w:r>
      </w:hyperlink>
    </w:p>
    <w:p w14:paraId="518DD840" w14:textId="77777777" w:rsidR="00C74F91" w:rsidRPr="00C74F91" w:rsidRDefault="00C74F91" w:rsidP="00F80C61">
      <w:pPr>
        <w:spacing w:line="480" w:lineRule="auto"/>
        <w:rPr>
          <w:rFonts w:ascii="Arial" w:hAnsi="Arial" w:cs="Arial"/>
          <w:sz w:val="24"/>
          <w:szCs w:val="24"/>
        </w:rPr>
      </w:pPr>
      <w:hyperlink r:id="rId9" w:history="1">
        <w:r w:rsidRPr="00C74F91">
          <w:rPr>
            <w:rFonts w:ascii="Arial" w:hAnsi="Arial" w:cs="Arial"/>
            <w:color w:val="0000FF"/>
            <w:sz w:val="24"/>
            <w:szCs w:val="24"/>
            <w:u w:val="single"/>
          </w:rPr>
          <w:t>https://www.littlelives.org.uk/blog/why-is-childrens-mental-health-rising-compared-to-5-years-ago/</w:t>
        </w:r>
      </w:hyperlink>
    </w:p>
    <w:p w14:paraId="49ADDFCC" w14:textId="77777777" w:rsidR="00C74F91" w:rsidRPr="00C74F91" w:rsidRDefault="00C74F91" w:rsidP="00F80C61">
      <w:pPr>
        <w:spacing w:line="480" w:lineRule="auto"/>
        <w:rPr>
          <w:rFonts w:ascii="Arial" w:hAnsi="Arial" w:cs="Arial"/>
          <w:sz w:val="24"/>
          <w:szCs w:val="24"/>
        </w:rPr>
      </w:pPr>
      <w:hyperlink r:id="rId10" w:history="1">
        <w:r w:rsidRPr="00C74F91">
          <w:rPr>
            <w:rFonts w:ascii="Arial" w:hAnsi="Arial" w:cs="Arial"/>
            <w:color w:val="0000FF"/>
            <w:sz w:val="24"/>
            <w:szCs w:val="24"/>
            <w:u w:val="single"/>
          </w:rPr>
          <w:t>Recently published case reviews | NSPCC Learning</w:t>
        </w:r>
      </w:hyperlink>
    </w:p>
    <w:p w14:paraId="2E6F7911" w14:textId="77777777" w:rsidR="00C74F91" w:rsidRPr="00C74F91" w:rsidRDefault="00C74F91" w:rsidP="00F80C61">
      <w:pPr>
        <w:spacing w:line="480" w:lineRule="auto"/>
        <w:rPr>
          <w:rFonts w:ascii="Arial" w:hAnsi="Arial" w:cs="Arial"/>
          <w:sz w:val="24"/>
          <w:szCs w:val="24"/>
        </w:rPr>
      </w:pPr>
      <w:hyperlink r:id="rId11" w:history="1">
        <w:r w:rsidRPr="00C74F91">
          <w:rPr>
            <w:rFonts w:ascii="Arial" w:hAnsi="Arial" w:cs="Arial"/>
            <w:color w:val="0000FF"/>
            <w:sz w:val="24"/>
            <w:szCs w:val="24"/>
            <w:u w:val="single"/>
          </w:rPr>
          <w:t>https://www.thefosteringnetwork.org.uk/news/huge-instability-for-children-and-young-people-in-care-as-foster-carers-report-significant-burnout/</w:t>
        </w:r>
      </w:hyperlink>
    </w:p>
    <w:p w14:paraId="0584407E" w14:textId="77777777" w:rsidR="00C74F91" w:rsidRPr="00C74F91" w:rsidRDefault="00C74F91" w:rsidP="00F80C61">
      <w:pPr>
        <w:spacing w:line="480" w:lineRule="auto"/>
        <w:rPr>
          <w:rFonts w:ascii="Arial" w:hAnsi="Arial" w:cs="Arial"/>
          <w:sz w:val="24"/>
          <w:szCs w:val="24"/>
        </w:rPr>
      </w:pPr>
      <w:hyperlink r:id="rId12" w:history="1">
        <w:r w:rsidRPr="00C74F91">
          <w:rPr>
            <w:rFonts w:ascii="Arial" w:hAnsi="Arial" w:cs="Arial"/>
            <w:color w:val="0000FF"/>
            <w:sz w:val="24"/>
            <w:szCs w:val="24"/>
            <w:u w:val="single"/>
          </w:rPr>
          <w:t>A Systematic Review of the Impact of Placement Instability on Emotional and Behavioural Outcomes Among Children in Foster Care | Journal of Child &amp; Adolescent Trauma</w:t>
        </w:r>
      </w:hyperlink>
    </w:p>
    <w:p w14:paraId="3DAAE7E8" w14:textId="77777777" w:rsidR="00C74F91" w:rsidRPr="00C74F91" w:rsidRDefault="00C74F91" w:rsidP="00F80C61">
      <w:pPr>
        <w:spacing w:line="480" w:lineRule="auto"/>
        <w:rPr>
          <w:rFonts w:ascii="Arial" w:hAnsi="Arial" w:cs="Arial"/>
          <w:sz w:val="24"/>
          <w:szCs w:val="24"/>
        </w:rPr>
      </w:pPr>
      <w:hyperlink r:id="rId13" w:history="1">
        <w:r w:rsidRPr="00C74F91">
          <w:rPr>
            <w:rFonts w:ascii="Arial" w:hAnsi="Arial" w:cs="Arial"/>
            <w:color w:val="0000FF"/>
            <w:sz w:val="24"/>
            <w:szCs w:val="24"/>
            <w:u w:val="single"/>
          </w:rPr>
          <w:t>Mental Health of Children and Young People in England, 2023 - wave 4 follow up to the 2017 survey - NHS England Digital</w:t>
        </w:r>
      </w:hyperlink>
    </w:p>
    <w:p w14:paraId="608F89B8" w14:textId="77777777" w:rsidR="00C74F91" w:rsidRPr="00C74F91" w:rsidRDefault="00C74F91" w:rsidP="00F80C61">
      <w:pPr>
        <w:spacing w:line="480" w:lineRule="auto"/>
        <w:rPr>
          <w:rFonts w:ascii="Arial" w:hAnsi="Arial" w:cs="Arial"/>
          <w:sz w:val="24"/>
          <w:szCs w:val="24"/>
        </w:rPr>
      </w:pPr>
      <w:hyperlink r:id="rId14" w:history="1">
        <w:r w:rsidRPr="00C74F91">
          <w:rPr>
            <w:rFonts w:ascii="Arial" w:hAnsi="Arial" w:cs="Arial"/>
            <w:color w:val="0000FF"/>
            <w:sz w:val="24"/>
            <w:szCs w:val="24"/>
            <w:u w:val="single"/>
          </w:rPr>
          <w:t>The Good Childhood Report 2022 | The Children's Society</w:t>
        </w:r>
      </w:hyperlink>
    </w:p>
    <w:p w14:paraId="7DA33AE5" w14:textId="77777777" w:rsidR="00C74F91" w:rsidRPr="00C74F91" w:rsidRDefault="00C74F91" w:rsidP="00F80C61">
      <w:pPr>
        <w:spacing w:line="480" w:lineRule="auto"/>
        <w:rPr>
          <w:rFonts w:ascii="Arial" w:hAnsi="Arial" w:cs="Arial"/>
          <w:sz w:val="24"/>
          <w:szCs w:val="24"/>
        </w:rPr>
      </w:pPr>
      <w:hyperlink r:id="rId15" w:history="1">
        <w:r w:rsidRPr="00C74F91">
          <w:rPr>
            <w:rFonts w:ascii="Arial" w:hAnsi="Arial" w:cs="Arial"/>
            <w:color w:val="0000FF"/>
            <w:sz w:val="24"/>
            <w:szCs w:val="24"/>
            <w:u w:val="single"/>
          </w:rPr>
          <w:t>Facts and Figures | CYPMHC</w:t>
        </w:r>
      </w:hyperlink>
    </w:p>
    <w:p w14:paraId="7E25B4C4" w14:textId="77777777" w:rsidR="0071452B" w:rsidRPr="008641E8" w:rsidRDefault="0071452B" w:rsidP="00F80C61">
      <w:pPr>
        <w:pStyle w:val="NormalWeb"/>
        <w:spacing w:line="480" w:lineRule="auto"/>
        <w:rPr>
          <w:rFonts w:ascii="Arial" w:hAnsi="Arial" w:cs="Arial"/>
        </w:rPr>
      </w:pPr>
    </w:p>
    <w:p w14:paraId="38E45D44" w14:textId="01AAF2EF" w:rsidR="006A3541" w:rsidRPr="008641E8" w:rsidRDefault="006A3541" w:rsidP="00F80C61">
      <w:pPr>
        <w:spacing w:line="480" w:lineRule="auto"/>
        <w:rPr>
          <w:rFonts w:ascii="Arial" w:hAnsi="Arial" w:cs="Arial"/>
          <w:highlight w:val="yellow"/>
        </w:rPr>
      </w:pPr>
    </w:p>
    <w:p w14:paraId="433D7A1C" w14:textId="77777777" w:rsidR="006A3541" w:rsidRDefault="006A3541" w:rsidP="00F80C61">
      <w:pPr>
        <w:spacing w:line="480" w:lineRule="auto"/>
        <w:rPr>
          <w:highlight w:val="yellow"/>
        </w:rPr>
      </w:pPr>
    </w:p>
    <w:p w14:paraId="2C94084E" w14:textId="77777777" w:rsidR="006A3541" w:rsidRPr="00E82E46" w:rsidRDefault="006A3541" w:rsidP="00F80C61">
      <w:pPr>
        <w:spacing w:line="480" w:lineRule="auto"/>
        <w:rPr>
          <w:highlight w:val="yellow"/>
        </w:rPr>
      </w:pPr>
    </w:p>
    <w:p w14:paraId="61A6F3C7" w14:textId="77777777" w:rsidR="00C77F1B" w:rsidRDefault="00C77F1B" w:rsidP="00F80C61">
      <w:pPr>
        <w:spacing w:line="480" w:lineRule="auto"/>
        <w:rPr>
          <w:rFonts w:ascii="Arial" w:hAnsi="Arial" w:cs="Arial"/>
          <w:sz w:val="24"/>
          <w:szCs w:val="24"/>
          <w:u w:val="single"/>
        </w:rPr>
      </w:pPr>
    </w:p>
    <w:p w14:paraId="0B119FF5" w14:textId="77777777" w:rsidR="00C77F1B" w:rsidRDefault="00C77F1B" w:rsidP="00F80C61">
      <w:pPr>
        <w:spacing w:line="480" w:lineRule="auto"/>
        <w:rPr>
          <w:rFonts w:ascii="Arial" w:hAnsi="Arial" w:cs="Arial"/>
          <w:sz w:val="24"/>
          <w:szCs w:val="24"/>
          <w:u w:val="single"/>
        </w:rPr>
      </w:pPr>
    </w:p>
    <w:p w14:paraId="439A2457" w14:textId="77777777" w:rsidR="00994101" w:rsidRDefault="00994101" w:rsidP="00F80C61">
      <w:pPr>
        <w:spacing w:line="480" w:lineRule="auto"/>
      </w:pPr>
    </w:p>
    <w:sectPr w:rsidR="00994101">
      <w:headerReference w:type="even" r:id="rId16"/>
      <w:headerReference w:type="default" r:id="rId17"/>
      <w:footerReference w:type="default" r:id="rId18"/>
      <w:head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B4221" w14:textId="77777777" w:rsidR="008B4405" w:rsidRDefault="008B4405" w:rsidP="00766A83">
      <w:pPr>
        <w:spacing w:after="0" w:line="240" w:lineRule="auto"/>
      </w:pPr>
      <w:r>
        <w:separator/>
      </w:r>
    </w:p>
  </w:endnote>
  <w:endnote w:type="continuationSeparator" w:id="0">
    <w:p w14:paraId="34D4DE10" w14:textId="77777777" w:rsidR="008B4405" w:rsidRDefault="008B4405" w:rsidP="00766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5045474"/>
      <w:docPartObj>
        <w:docPartGallery w:val="Page Numbers (Bottom of Page)"/>
        <w:docPartUnique/>
      </w:docPartObj>
    </w:sdtPr>
    <w:sdtEndPr>
      <w:rPr>
        <w:noProof/>
      </w:rPr>
    </w:sdtEndPr>
    <w:sdtContent>
      <w:p w14:paraId="4BF5C1B1" w14:textId="215CA0F7" w:rsidR="00C77F1B" w:rsidRDefault="00C77F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5D30CB" w14:textId="77777777" w:rsidR="00C77F1B" w:rsidRDefault="00C77F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A79F5" w14:textId="77777777" w:rsidR="008B4405" w:rsidRDefault="008B4405" w:rsidP="00766A83">
      <w:pPr>
        <w:spacing w:after="0" w:line="240" w:lineRule="auto"/>
      </w:pPr>
      <w:r>
        <w:separator/>
      </w:r>
    </w:p>
  </w:footnote>
  <w:footnote w:type="continuationSeparator" w:id="0">
    <w:p w14:paraId="3BFDA569" w14:textId="77777777" w:rsidR="008B4405" w:rsidRDefault="008B4405" w:rsidP="00766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EA5B20" w14:textId="66DF9538" w:rsidR="002C669A" w:rsidRDefault="002C669A">
    <w:pPr>
      <w:pStyle w:val="Header"/>
    </w:pPr>
    <w:r>
      <w:rPr>
        <w:noProof/>
      </w:rPr>
      <mc:AlternateContent>
        <mc:Choice Requires="wps">
          <w:drawing>
            <wp:anchor distT="0" distB="0" distL="0" distR="0" simplePos="0" relativeHeight="251659264" behindDoc="0" locked="0" layoutInCell="1" allowOverlap="1" wp14:anchorId="2A6C7F1B" wp14:editId="423051A3">
              <wp:simplePos x="635" y="635"/>
              <wp:positionH relativeFrom="page">
                <wp:align>right</wp:align>
              </wp:positionH>
              <wp:positionV relativeFrom="page">
                <wp:align>top</wp:align>
              </wp:positionV>
              <wp:extent cx="1506220" cy="357505"/>
              <wp:effectExtent l="0" t="0" r="0" b="4445"/>
              <wp:wrapNone/>
              <wp:docPr id="1017409356" name="Text Box 2"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57505"/>
                      </a:xfrm>
                      <a:prstGeom prst="rect">
                        <a:avLst/>
                      </a:prstGeom>
                      <a:noFill/>
                      <a:ln>
                        <a:noFill/>
                      </a:ln>
                    </wps:spPr>
                    <wps:txbx>
                      <w:txbxContent>
                        <w:p w14:paraId="796245E5" w14:textId="4A205043" w:rsidR="002C669A" w:rsidRPr="002C669A" w:rsidRDefault="002C669A" w:rsidP="002C669A">
                          <w:pPr>
                            <w:spacing w:after="0"/>
                            <w:rPr>
                              <w:rFonts w:ascii="Aptos" w:eastAsia="Aptos" w:hAnsi="Aptos" w:cs="Aptos"/>
                              <w:noProof/>
                              <w:color w:val="000000"/>
                              <w:sz w:val="20"/>
                              <w:szCs w:val="20"/>
                            </w:rPr>
                          </w:pPr>
                          <w:r w:rsidRPr="002C669A">
                            <w:rPr>
                              <w:rFonts w:ascii="Aptos" w:eastAsia="Aptos" w:hAnsi="Aptos" w:cs="Aptos"/>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2A6C7F1B" id="_x0000_t202" coordsize="21600,21600" o:spt="202" path="m,l,21600r21600,l21600,xe">
              <v:stroke joinstyle="miter"/>
              <v:path gradientshapeok="t" o:connecttype="rect"/>
            </v:shapetype>
            <v:shape id="Text Box 2" o:spid="_x0000_s1026" type="#_x0000_t202" alt="PUBLIC / CYHOEDDUS" style="position:absolute;margin-left:67.4pt;margin-top:0;width:118.6pt;height:28.1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" filled="f" stroked="f">
              <v:fill o:detectmouseclick="t"/>
              <v:textbox style="mso-fit-shape-to-text:t" inset="0,15pt,20pt,0">
                <w:txbxContent>
                  <w:p w14:paraId="796245E5" w14:textId="4A205043" w:rsidR="002C669A" w:rsidRPr="002C669A" w:rsidRDefault="002C669A" w:rsidP="002C669A">
                    <w:pPr>
                      <w:spacing w:after="0"/>
                      <w:rPr>
                        <w:rFonts w:ascii="Aptos" w:eastAsia="Aptos" w:hAnsi="Aptos" w:cs="Aptos"/>
                        <w:noProof/>
                        <w:color w:val="000000"/>
                        <w:sz w:val="20"/>
                        <w:szCs w:val="20"/>
                      </w:rPr>
                    </w:pPr>
                    <w:r w:rsidRPr="002C669A">
                      <w:rPr>
                        <w:rFonts w:ascii="Aptos" w:eastAsia="Aptos" w:hAnsi="Aptos" w:cs="Aptos"/>
                        <w:noProof/>
                        <w:color w:val="000000"/>
                        <w:sz w:val="20"/>
                        <w:szCs w:val="20"/>
                      </w:rPr>
                      <w:t>PUBLIC / CYHOEDDUS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96CECC" w14:textId="12C94FCC" w:rsidR="00766A83" w:rsidRDefault="002C669A">
    <w:pPr>
      <w:pStyle w:val="Header"/>
    </w:pPr>
    <w:r>
      <w:rPr>
        <w:noProof/>
      </w:rPr>
      <mc:AlternateContent>
        <mc:Choice Requires="wps">
          <w:drawing>
            <wp:anchor distT="0" distB="0" distL="0" distR="0" simplePos="0" relativeHeight="251660288" behindDoc="0" locked="0" layoutInCell="1" allowOverlap="1" wp14:anchorId="5006F2BD" wp14:editId="2EE083E2">
              <wp:simplePos x="914400" y="450850"/>
              <wp:positionH relativeFrom="page">
                <wp:align>right</wp:align>
              </wp:positionH>
              <wp:positionV relativeFrom="page">
                <wp:align>top</wp:align>
              </wp:positionV>
              <wp:extent cx="1506220" cy="357505"/>
              <wp:effectExtent l="0" t="0" r="0" b="4445"/>
              <wp:wrapNone/>
              <wp:docPr id="255411028" name="Text Box 3"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57505"/>
                      </a:xfrm>
                      <a:prstGeom prst="rect">
                        <a:avLst/>
                      </a:prstGeom>
                      <a:noFill/>
                      <a:ln>
                        <a:noFill/>
                      </a:ln>
                    </wps:spPr>
                    <wps:txbx>
                      <w:txbxContent>
                        <w:p w14:paraId="42E6D6B7" w14:textId="2CC7FC61" w:rsidR="002C669A" w:rsidRPr="002C669A" w:rsidRDefault="002C669A" w:rsidP="002C669A">
                          <w:pPr>
                            <w:spacing w:after="0"/>
                            <w:rPr>
                              <w:rFonts w:ascii="Aptos" w:eastAsia="Aptos" w:hAnsi="Aptos" w:cs="Aptos"/>
                              <w:noProof/>
                              <w:color w:val="000000"/>
                              <w:sz w:val="20"/>
                              <w:szCs w:val="20"/>
                            </w:rPr>
                          </w:pPr>
                          <w:r w:rsidRPr="002C669A">
                            <w:rPr>
                              <w:rFonts w:ascii="Aptos" w:eastAsia="Aptos" w:hAnsi="Aptos" w:cs="Aptos"/>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5006F2BD" id="_x0000_t202" coordsize="21600,21600" o:spt="202" path="m,l,21600r21600,l21600,xe">
              <v:stroke joinstyle="miter"/>
              <v:path gradientshapeok="t" o:connecttype="rect"/>
            </v:shapetype>
            <v:shape id="Text Box 3" o:spid="_x0000_s1027" type="#_x0000_t202" alt="PUBLIC / CYHOEDDUS" style="position:absolute;margin-left:67.4pt;margin-top:0;width:118.6pt;height:28.15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" filled="f" stroked="f">
              <v:fill o:detectmouseclick="t"/>
              <v:textbox style="mso-fit-shape-to-text:t" inset="0,15pt,20pt,0">
                <w:txbxContent>
                  <w:p w14:paraId="42E6D6B7" w14:textId="2CC7FC61" w:rsidR="002C669A" w:rsidRPr="002C669A" w:rsidRDefault="002C669A" w:rsidP="002C669A">
                    <w:pPr>
                      <w:spacing w:after="0"/>
                      <w:rPr>
                        <w:rFonts w:ascii="Aptos" w:eastAsia="Aptos" w:hAnsi="Aptos" w:cs="Aptos"/>
                        <w:noProof/>
                        <w:color w:val="000000"/>
                        <w:sz w:val="20"/>
                        <w:szCs w:val="20"/>
                      </w:rPr>
                    </w:pPr>
                    <w:r w:rsidRPr="002C669A">
                      <w:rPr>
                        <w:rFonts w:ascii="Aptos" w:eastAsia="Aptos" w:hAnsi="Aptos" w:cs="Aptos"/>
                        <w:noProof/>
                        <w:color w:val="000000"/>
                        <w:sz w:val="20"/>
                        <w:szCs w:val="20"/>
                      </w:rPr>
                      <w:t>PUBLIC / CYHOEDDUS</w:t>
                    </w:r>
                  </w:p>
                </w:txbxContent>
              </v:textbox>
              <w10:wrap anchorx="page" anchory="page"/>
            </v:shape>
          </w:pict>
        </mc:Fallback>
      </mc:AlternateContent>
    </w:r>
    <w:r w:rsidR="00766A83" w:rsidRPr="00766A83">
      <w:t>Carrie Needs</w:t>
    </w:r>
    <w:r w:rsidR="00766A83">
      <w:t xml:space="preserve"> </w:t>
    </w:r>
    <w:r w:rsidR="00766A83" w:rsidRPr="00766A83">
      <w:t>0100928</w:t>
    </w:r>
    <w:r w:rsidR="00766A83">
      <w:t xml:space="preserve"> </w:t>
    </w:r>
    <w:r w:rsidR="00766A83" w:rsidRPr="00766A83">
      <w:t xml:space="preserve">- </w:t>
    </w:r>
    <w:r w:rsidR="00766A83">
      <w:t>Understanding Trauma and the Mental Health Needs of the Child ECCY7007</w:t>
    </w:r>
  </w:p>
  <w:p w14:paraId="3BBEE25E" w14:textId="77777777" w:rsidR="00766A83" w:rsidRDefault="00766A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E1A4F6" w14:textId="6F926AAA" w:rsidR="002C669A" w:rsidRDefault="002C669A">
    <w:pPr>
      <w:pStyle w:val="Header"/>
    </w:pPr>
    <w:r>
      <w:rPr>
        <w:noProof/>
      </w:rPr>
      <mc:AlternateContent>
        <mc:Choice Requires="wps">
          <w:drawing>
            <wp:anchor distT="0" distB="0" distL="0" distR="0" simplePos="0" relativeHeight="251658240" behindDoc="0" locked="0" layoutInCell="1" allowOverlap="1" wp14:anchorId="5F12E914" wp14:editId="665D1766">
              <wp:simplePos x="635" y="635"/>
              <wp:positionH relativeFrom="page">
                <wp:align>right</wp:align>
              </wp:positionH>
              <wp:positionV relativeFrom="page">
                <wp:align>top</wp:align>
              </wp:positionV>
              <wp:extent cx="1506220" cy="357505"/>
              <wp:effectExtent l="0" t="0" r="0" b="4445"/>
              <wp:wrapNone/>
              <wp:docPr id="1870141157" name="Text Box 1"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57505"/>
                      </a:xfrm>
                      <a:prstGeom prst="rect">
                        <a:avLst/>
                      </a:prstGeom>
                      <a:noFill/>
                      <a:ln>
                        <a:noFill/>
                      </a:ln>
                    </wps:spPr>
                    <wps:txbx>
                      <w:txbxContent>
                        <w:p w14:paraId="694DCE59" w14:textId="68F20B7D" w:rsidR="002C669A" w:rsidRPr="002C669A" w:rsidRDefault="002C669A" w:rsidP="002C669A">
                          <w:pPr>
                            <w:spacing w:after="0"/>
                            <w:rPr>
                              <w:rFonts w:ascii="Aptos" w:eastAsia="Aptos" w:hAnsi="Aptos" w:cs="Aptos"/>
                              <w:noProof/>
                              <w:color w:val="000000"/>
                              <w:sz w:val="20"/>
                              <w:szCs w:val="20"/>
                            </w:rPr>
                          </w:pPr>
                          <w:r w:rsidRPr="002C669A">
                            <w:rPr>
                              <w:rFonts w:ascii="Aptos" w:eastAsia="Aptos" w:hAnsi="Aptos" w:cs="Aptos"/>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5F12E914" id="_x0000_t202" coordsize="21600,21600" o:spt="202" path="m,l,21600r21600,l21600,xe">
              <v:stroke joinstyle="miter"/>
              <v:path gradientshapeok="t" o:connecttype="rect"/>
            </v:shapetype>
            <v:shape id="Text Box 1" o:spid="_x0000_s1028" type="#_x0000_t202" alt="PUBLIC / CYHOEDDUS" style="position:absolute;margin-left:67.4pt;margin-top:0;width:118.6pt;height:28.1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" filled="f" stroked="f">
              <v:fill o:detectmouseclick="t"/>
              <v:textbox style="mso-fit-shape-to-text:t" inset="0,15pt,20pt,0">
                <w:txbxContent>
                  <w:p w14:paraId="694DCE59" w14:textId="68F20B7D" w:rsidR="002C669A" w:rsidRPr="002C669A" w:rsidRDefault="002C669A" w:rsidP="002C669A">
                    <w:pPr>
                      <w:spacing w:after="0"/>
                      <w:rPr>
                        <w:rFonts w:ascii="Aptos" w:eastAsia="Aptos" w:hAnsi="Aptos" w:cs="Aptos"/>
                        <w:noProof/>
                        <w:color w:val="000000"/>
                        <w:sz w:val="20"/>
                        <w:szCs w:val="20"/>
                      </w:rPr>
                    </w:pPr>
                    <w:r w:rsidRPr="002C669A">
                      <w:rPr>
                        <w:rFonts w:ascii="Aptos" w:eastAsia="Aptos" w:hAnsi="Aptos" w:cs="Aptos"/>
                        <w:noProof/>
                        <w:color w:val="000000"/>
                        <w:sz w:val="20"/>
                        <w:szCs w:val="20"/>
                      </w:rPr>
                      <w:t>PUBLIC / CYHOEDDUS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D4484"/>
    <w:multiLevelType w:val="hybridMultilevel"/>
    <w:tmpl w:val="6CEE6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1C5123"/>
    <w:multiLevelType w:val="hybridMultilevel"/>
    <w:tmpl w:val="D3DA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44027D"/>
    <w:multiLevelType w:val="hybridMultilevel"/>
    <w:tmpl w:val="E4E4B426"/>
    <w:lvl w:ilvl="0" w:tplc="616A7BA4">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5A5BCE"/>
    <w:multiLevelType w:val="hybridMultilevel"/>
    <w:tmpl w:val="90745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E61093"/>
    <w:multiLevelType w:val="multilevel"/>
    <w:tmpl w:val="22B25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8088085">
    <w:abstractNumId w:val="1"/>
  </w:num>
  <w:num w:numId="2" w16cid:durableId="1079670698">
    <w:abstractNumId w:val="0"/>
  </w:num>
  <w:num w:numId="3" w16cid:durableId="897590112">
    <w:abstractNumId w:val="3"/>
  </w:num>
  <w:num w:numId="4" w16cid:durableId="922569810">
    <w:abstractNumId w:val="2"/>
  </w:num>
  <w:num w:numId="5" w16cid:durableId="601745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A83"/>
    <w:rsid w:val="000041D1"/>
    <w:rsid w:val="00004CE9"/>
    <w:rsid w:val="00037194"/>
    <w:rsid w:val="000C4BA0"/>
    <w:rsid w:val="00230E3A"/>
    <w:rsid w:val="00253DE8"/>
    <w:rsid w:val="002C669A"/>
    <w:rsid w:val="00323A09"/>
    <w:rsid w:val="003F3033"/>
    <w:rsid w:val="00587620"/>
    <w:rsid w:val="00646CA9"/>
    <w:rsid w:val="006A3541"/>
    <w:rsid w:val="006E5B1D"/>
    <w:rsid w:val="00702E62"/>
    <w:rsid w:val="0071452B"/>
    <w:rsid w:val="00766A83"/>
    <w:rsid w:val="008641E8"/>
    <w:rsid w:val="008B4405"/>
    <w:rsid w:val="00994101"/>
    <w:rsid w:val="009C53CA"/>
    <w:rsid w:val="00B154FA"/>
    <w:rsid w:val="00C74F91"/>
    <w:rsid w:val="00C77F1B"/>
    <w:rsid w:val="00DA522B"/>
    <w:rsid w:val="00F80C61"/>
    <w:rsid w:val="00FB7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0E19A"/>
  <w15:chartTrackingRefBased/>
  <w15:docId w15:val="{271D576A-766B-4150-AD03-AE28CFB72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A83"/>
  </w:style>
  <w:style w:type="paragraph" w:styleId="Heading1">
    <w:name w:val="heading 1"/>
    <w:basedOn w:val="Normal"/>
    <w:next w:val="Normal"/>
    <w:link w:val="Heading1Char"/>
    <w:uiPriority w:val="9"/>
    <w:qFormat/>
    <w:rsid w:val="00766A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66A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66A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66A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66A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66A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6A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6A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6A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A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66A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66A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66A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66A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66A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6A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6A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6A83"/>
    <w:rPr>
      <w:rFonts w:eastAsiaTheme="majorEastAsia" w:cstheme="majorBidi"/>
      <w:color w:val="272727" w:themeColor="text1" w:themeTint="D8"/>
    </w:rPr>
  </w:style>
  <w:style w:type="paragraph" w:styleId="Title">
    <w:name w:val="Title"/>
    <w:basedOn w:val="Normal"/>
    <w:next w:val="Normal"/>
    <w:link w:val="TitleChar"/>
    <w:uiPriority w:val="10"/>
    <w:qFormat/>
    <w:rsid w:val="00766A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A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6A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6A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6A83"/>
    <w:pPr>
      <w:spacing w:before="160"/>
      <w:jc w:val="center"/>
    </w:pPr>
    <w:rPr>
      <w:i/>
      <w:iCs/>
      <w:color w:val="404040" w:themeColor="text1" w:themeTint="BF"/>
    </w:rPr>
  </w:style>
  <w:style w:type="character" w:customStyle="1" w:styleId="QuoteChar">
    <w:name w:val="Quote Char"/>
    <w:basedOn w:val="DefaultParagraphFont"/>
    <w:link w:val="Quote"/>
    <w:uiPriority w:val="29"/>
    <w:rsid w:val="00766A83"/>
    <w:rPr>
      <w:i/>
      <w:iCs/>
      <w:color w:val="404040" w:themeColor="text1" w:themeTint="BF"/>
    </w:rPr>
  </w:style>
  <w:style w:type="paragraph" w:styleId="ListParagraph">
    <w:name w:val="List Paragraph"/>
    <w:basedOn w:val="Normal"/>
    <w:uiPriority w:val="34"/>
    <w:qFormat/>
    <w:rsid w:val="00766A83"/>
    <w:pPr>
      <w:ind w:left="720"/>
      <w:contextualSpacing/>
    </w:pPr>
  </w:style>
  <w:style w:type="character" w:styleId="IntenseEmphasis">
    <w:name w:val="Intense Emphasis"/>
    <w:basedOn w:val="DefaultParagraphFont"/>
    <w:uiPriority w:val="21"/>
    <w:qFormat/>
    <w:rsid w:val="00766A83"/>
    <w:rPr>
      <w:i/>
      <w:iCs/>
      <w:color w:val="2F5496" w:themeColor="accent1" w:themeShade="BF"/>
    </w:rPr>
  </w:style>
  <w:style w:type="paragraph" w:styleId="IntenseQuote">
    <w:name w:val="Intense Quote"/>
    <w:basedOn w:val="Normal"/>
    <w:next w:val="Normal"/>
    <w:link w:val="IntenseQuoteChar"/>
    <w:uiPriority w:val="30"/>
    <w:qFormat/>
    <w:rsid w:val="00766A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66A83"/>
    <w:rPr>
      <w:i/>
      <w:iCs/>
      <w:color w:val="2F5496" w:themeColor="accent1" w:themeShade="BF"/>
    </w:rPr>
  </w:style>
  <w:style w:type="character" w:styleId="IntenseReference">
    <w:name w:val="Intense Reference"/>
    <w:basedOn w:val="DefaultParagraphFont"/>
    <w:uiPriority w:val="32"/>
    <w:qFormat/>
    <w:rsid w:val="00766A83"/>
    <w:rPr>
      <w:b/>
      <w:bCs/>
      <w:smallCaps/>
      <w:color w:val="2F5496" w:themeColor="accent1" w:themeShade="BF"/>
      <w:spacing w:val="5"/>
    </w:rPr>
  </w:style>
  <w:style w:type="paragraph" w:styleId="Header">
    <w:name w:val="header"/>
    <w:basedOn w:val="Normal"/>
    <w:link w:val="HeaderChar"/>
    <w:uiPriority w:val="99"/>
    <w:unhideWhenUsed/>
    <w:rsid w:val="00766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A83"/>
  </w:style>
  <w:style w:type="paragraph" w:styleId="Footer">
    <w:name w:val="footer"/>
    <w:basedOn w:val="Normal"/>
    <w:link w:val="FooterChar"/>
    <w:uiPriority w:val="99"/>
    <w:unhideWhenUsed/>
    <w:rsid w:val="00766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A83"/>
  </w:style>
  <w:style w:type="character" w:styleId="Hyperlink">
    <w:name w:val="Hyperlink"/>
    <w:basedOn w:val="DefaultParagraphFont"/>
    <w:uiPriority w:val="99"/>
    <w:unhideWhenUsed/>
    <w:rsid w:val="00766A83"/>
    <w:rPr>
      <w:color w:val="0563C1" w:themeColor="hyperlink"/>
      <w:u w:val="single"/>
    </w:rPr>
  </w:style>
  <w:style w:type="character" w:styleId="Strong">
    <w:name w:val="Strong"/>
    <w:basedOn w:val="DefaultParagraphFont"/>
    <w:uiPriority w:val="22"/>
    <w:qFormat/>
    <w:rsid w:val="00766A83"/>
    <w:rPr>
      <w:b/>
      <w:bCs/>
    </w:rPr>
  </w:style>
  <w:style w:type="character" w:styleId="UnresolvedMention">
    <w:name w:val="Unresolved Mention"/>
    <w:basedOn w:val="DefaultParagraphFont"/>
    <w:uiPriority w:val="99"/>
    <w:semiHidden/>
    <w:unhideWhenUsed/>
    <w:rsid w:val="00766A83"/>
    <w:rPr>
      <w:color w:val="605E5C"/>
      <w:shd w:val="clear" w:color="auto" w:fill="E1DFDD"/>
    </w:rPr>
  </w:style>
  <w:style w:type="character" w:styleId="CommentReference">
    <w:name w:val="annotation reference"/>
    <w:basedOn w:val="DefaultParagraphFont"/>
    <w:uiPriority w:val="99"/>
    <w:semiHidden/>
    <w:unhideWhenUsed/>
    <w:rsid w:val="003F3033"/>
    <w:rPr>
      <w:sz w:val="16"/>
      <w:szCs w:val="16"/>
    </w:rPr>
  </w:style>
  <w:style w:type="paragraph" w:styleId="CommentText">
    <w:name w:val="annotation text"/>
    <w:basedOn w:val="Normal"/>
    <w:link w:val="CommentTextChar"/>
    <w:uiPriority w:val="99"/>
    <w:unhideWhenUsed/>
    <w:rsid w:val="003F3033"/>
    <w:pPr>
      <w:spacing w:line="240" w:lineRule="auto"/>
    </w:pPr>
    <w:rPr>
      <w:sz w:val="20"/>
      <w:szCs w:val="20"/>
    </w:rPr>
  </w:style>
  <w:style w:type="character" w:customStyle="1" w:styleId="CommentTextChar">
    <w:name w:val="Comment Text Char"/>
    <w:basedOn w:val="DefaultParagraphFont"/>
    <w:link w:val="CommentText"/>
    <w:uiPriority w:val="99"/>
    <w:rsid w:val="003F3033"/>
    <w:rPr>
      <w:sz w:val="20"/>
      <w:szCs w:val="20"/>
    </w:rPr>
  </w:style>
  <w:style w:type="paragraph" w:styleId="NormalWeb">
    <w:name w:val="Normal (Web)"/>
    <w:basedOn w:val="Normal"/>
    <w:uiPriority w:val="99"/>
    <w:unhideWhenUsed/>
    <w:rsid w:val="006A35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004CE9"/>
    <w:rPr>
      <w:i/>
      <w:iCs/>
    </w:rPr>
  </w:style>
  <w:style w:type="character" w:customStyle="1" w:styleId="ms-1">
    <w:name w:val="ms-1"/>
    <w:basedOn w:val="DefaultParagraphFont"/>
    <w:rsid w:val="00004CE9"/>
  </w:style>
  <w:style w:type="character" w:customStyle="1" w:styleId="max-w-15ch">
    <w:name w:val="max-w-[15ch]"/>
    <w:basedOn w:val="DefaultParagraphFont"/>
    <w:rsid w:val="00004CE9"/>
  </w:style>
  <w:style w:type="character" w:customStyle="1" w:styleId="-me-1">
    <w:name w:val="-me-1"/>
    <w:basedOn w:val="DefaultParagraphFont"/>
    <w:rsid w:val="00004CE9"/>
  </w:style>
  <w:style w:type="paragraph" w:styleId="CommentSubject">
    <w:name w:val="annotation subject"/>
    <w:basedOn w:val="CommentText"/>
    <w:next w:val="CommentText"/>
    <w:link w:val="CommentSubjectChar"/>
    <w:uiPriority w:val="99"/>
    <w:semiHidden/>
    <w:unhideWhenUsed/>
    <w:rsid w:val="000C4BA0"/>
    <w:rPr>
      <w:b/>
      <w:bCs/>
    </w:rPr>
  </w:style>
  <w:style w:type="character" w:customStyle="1" w:styleId="CommentSubjectChar">
    <w:name w:val="Comment Subject Char"/>
    <w:basedOn w:val="CommentTextChar"/>
    <w:link w:val="CommentSubject"/>
    <w:uiPriority w:val="99"/>
    <w:semiHidden/>
    <w:rsid w:val="000C4BA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ect.co.uk/cpdlearningdays/trauma-informed-life-story-work" TargetMode="External"/><Relationship Id="rId13" Type="http://schemas.openxmlformats.org/officeDocument/2006/relationships/hyperlink" Target="https://digital.nhs.uk/data-and-information/publications/statistical/mental-health-of-children-and-young-people-in-england/2023-wave-4-follow-up"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grammarly.com/)%20%20" TargetMode="External"/><Relationship Id="rId12" Type="http://schemas.openxmlformats.org/officeDocument/2006/relationships/hyperlink" Target="https://link.springer.com/article/10.1007/s40653-023-00606-1"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fosteringnetwork.org.uk/news/huge-instability-for-children-and-young-people-in-care-as-foster-carers-report-significant-burnout/" TargetMode="External"/><Relationship Id="rId5" Type="http://schemas.openxmlformats.org/officeDocument/2006/relationships/footnotes" Target="footnotes.xml"/><Relationship Id="rId15" Type="http://schemas.openxmlformats.org/officeDocument/2006/relationships/hyperlink" Target="https://cypmhc.org.uk/resources/facts-and-figures/" TargetMode="External"/><Relationship Id="rId10" Type="http://schemas.openxmlformats.org/officeDocument/2006/relationships/hyperlink" Target="https://learning.nspcc.org.uk/case-reviews/recently-published-case-reviews"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littlelives.org.uk/blog/why-is-childrens-mental-health-rising-compared-to-5-years-ago/" TargetMode="External"/><Relationship Id="rId14" Type="http://schemas.openxmlformats.org/officeDocument/2006/relationships/hyperlink" Target="https://www.childrenssociety.org.uk/information/professionals/resources/good-childhood-report-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Template>
  <TotalTime>5</TotalTime>
  <Pages>30</Pages>
  <Words>7404</Words>
  <Characters>42207</Characters>
  <Application>Microsoft Office Word</Application>
  <DocSecurity>0</DocSecurity>
  <Lines>351</Lines>
  <Paragraphs>99</Paragraphs>
  <ScaleCrop>false</ScaleCrop>
  <Company/>
  <LinksUpToDate>false</LinksUpToDate>
  <CharactersWithSpaces>49512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Needs</dc:creator>
  <cp:keywords/>
  <dc:description/>
  <cp:lastModifiedBy>Carrie Needs</cp:lastModifiedBy>
  <cp:revision>3</cp:revision>
  <dcterms:created xsi:type="dcterms:W3CDTF">2025-12-16T21:31:00Z</dcterms:created>
  <dcterms:modified xsi:type="dcterms:W3CDTF">2025-12-16T21:32:00Z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d6dfa604-1d44-44cc-81a5-5630a4d5aa65</vt:lpwstr>
  </property>
  <property fmtid="{D5CDD505-2E9C-101B-9397-08002B2CF9AE}" pid="3" name="ClassificationContentMarkingHeaderShapeIds">
    <vt:lpwstr>6f7816e5,3ca46f4c,f394354</vt:lpwstr>
  </property>
  <property fmtid="{D5CDD505-2E9C-101B-9397-08002B2CF9AE}" pid="4" name="ClassificationContentMarkingHeaderFontProps">
    <vt:lpwstr>#000000,10,Aptos</vt:lpwstr>
  </property>
  <property fmtid="{D5CDD505-2E9C-101B-9397-08002B2CF9AE}" pid="5" name="ClassificationContentMarkingHeaderText">
    <vt:lpwstr>PUBLIC / CYHOEDDUS</vt:lpwstr>
  </property>
</Properties>
</file>