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ADB9B" w14:textId="7D94E195" w:rsidR="00CF1F63" w:rsidRDefault="00BC75A9" w:rsidP="00CF1F63">
      <w:pPr>
        <w:rPr>
          <w:rFonts w:cs="Arial"/>
          <w:sz w:val="22"/>
          <w:szCs w:val="22"/>
        </w:rPr>
      </w:pPr>
      <w:r>
        <w:rPr>
          <w:rFonts w:cs="Arial"/>
          <w:sz w:val="22"/>
          <w:szCs w:val="22"/>
        </w:rPr>
        <w:t>Research into the use of body worn video (BWV) being utilised within policing has been based upon both an operational and reflective point of view. Trials were put into place and the system was rolled out to all forces nationwide a</w:t>
      </w:r>
      <w:r w:rsidR="009D2C5D">
        <w:rPr>
          <w:rFonts w:cs="Arial"/>
          <w:sz w:val="22"/>
          <w:szCs w:val="22"/>
        </w:rPr>
        <w:t>long with</w:t>
      </w:r>
      <w:r>
        <w:rPr>
          <w:rFonts w:cs="Arial"/>
          <w:sz w:val="22"/>
          <w:szCs w:val="22"/>
        </w:rPr>
        <w:t xml:space="preserve"> numerous</w:t>
      </w:r>
      <w:r w:rsidR="009D2C5D">
        <w:rPr>
          <w:rFonts w:cs="Arial"/>
          <w:sz w:val="22"/>
          <w:szCs w:val="22"/>
        </w:rPr>
        <w:t xml:space="preserve"> strict</w:t>
      </w:r>
      <w:r>
        <w:rPr>
          <w:rFonts w:cs="Arial"/>
          <w:sz w:val="22"/>
          <w:szCs w:val="22"/>
        </w:rPr>
        <w:t xml:space="preserve"> regulations and guidance </w:t>
      </w:r>
      <w:r w:rsidR="009D2C5D">
        <w:rPr>
          <w:rFonts w:cs="Arial"/>
          <w:sz w:val="22"/>
          <w:szCs w:val="22"/>
        </w:rPr>
        <w:t>surrounding it’s use by officers. E</w:t>
      </w:r>
      <w:r>
        <w:rPr>
          <w:rFonts w:cs="Arial"/>
          <w:sz w:val="22"/>
          <w:szCs w:val="22"/>
        </w:rPr>
        <w:t>ach regulation</w:t>
      </w:r>
      <w:r w:rsidR="00CF1F63">
        <w:rPr>
          <w:rFonts w:cs="Arial"/>
          <w:sz w:val="22"/>
          <w:szCs w:val="22"/>
        </w:rPr>
        <w:t xml:space="preserve"> </w:t>
      </w:r>
      <w:r w:rsidR="009D2C5D">
        <w:rPr>
          <w:rFonts w:cs="Arial"/>
          <w:sz w:val="22"/>
          <w:szCs w:val="22"/>
        </w:rPr>
        <w:t>can</w:t>
      </w:r>
      <w:r w:rsidR="00CF1F63">
        <w:rPr>
          <w:rFonts w:cs="Arial"/>
          <w:sz w:val="22"/>
          <w:szCs w:val="22"/>
        </w:rPr>
        <w:t xml:space="preserve"> be </w:t>
      </w:r>
      <w:r w:rsidR="009D2C5D">
        <w:rPr>
          <w:rFonts w:cs="Arial"/>
          <w:sz w:val="22"/>
          <w:szCs w:val="22"/>
        </w:rPr>
        <w:t>critiqued, not</w:t>
      </w:r>
      <w:r w:rsidR="00CF1F63">
        <w:rPr>
          <w:rFonts w:cs="Arial"/>
          <w:sz w:val="22"/>
          <w:szCs w:val="22"/>
        </w:rPr>
        <w:t xml:space="preserve"> only because the guidance can be unclear </w:t>
      </w:r>
      <w:r w:rsidR="009D2C5D">
        <w:rPr>
          <w:rFonts w:cs="Arial"/>
          <w:sz w:val="22"/>
          <w:szCs w:val="22"/>
        </w:rPr>
        <w:t xml:space="preserve">to follow </w:t>
      </w:r>
      <w:r w:rsidR="00CF1F63">
        <w:rPr>
          <w:rFonts w:cs="Arial"/>
          <w:sz w:val="22"/>
          <w:szCs w:val="22"/>
        </w:rPr>
        <w:t>but</w:t>
      </w:r>
      <w:r>
        <w:rPr>
          <w:rFonts w:cs="Arial"/>
          <w:sz w:val="22"/>
          <w:szCs w:val="22"/>
        </w:rPr>
        <w:t xml:space="preserve"> also because</w:t>
      </w:r>
      <w:r w:rsidR="00CF1F63">
        <w:rPr>
          <w:rFonts w:cs="Arial"/>
          <w:sz w:val="22"/>
          <w:szCs w:val="22"/>
        </w:rPr>
        <w:t xml:space="preserve"> it tends to suggest that a subjective interpretation is </w:t>
      </w:r>
      <w:r>
        <w:rPr>
          <w:rFonts w:cs="Arial"/>
          <w:sz w:val="22"/>
          <w:szCs w:val="22"/>
        </w:rPr>
        <w:t xml:space="preserve">most </w:t>
      </w:r>
      <w:r w:rsidR="00CF1F63">
        <w:rPr>
          <w:rFonts w:cs="Arial"/>
          <w:sz w:val="22"/>
          <w:szCs w:val="22"/>
        </w:rPr>
        <w:t>appropriate in some areas of their use.</w:t>
      </w:r>
      <w:r>
        <w:rPr>
          <w:rFonts w:cs="Arial"/>
          <w:sz w:val="22"/>
          <w:szCs w:val="22"/>
        </w:rPr>
        <w:t xml:space="preserve"> </w:t>
      </w:r>
      <w:r w:rsidR="005A2B01">
        <w:rPr>
          <w:rFonts w:cs="Arial"/>
          <w:sz w:val="22"/>
          <w:szCs w:val="22"/>
        </w:rPr>
        <w:t xml:space="preserve">The </w:t>
      </w:r>
      <w:r>
        <w:rPr>
          <w:rFonts w:cs="Arial"/>
          <w:sz w:val="22"/>
          <w:szCs w:val="22"/>
        </w:rPr>
        <w:t xml:space="preserve">College of Policing (2014) </w:t>
      </w:r>
      <w:r w:rsidR="005A2B01">
        <w:rPr>
          <w:rFonts w:cs="Arial"/>
          <w:sz w:val="22"/>
          <w:szCs w:val="22"/>
        </w:rPr>
        <w:t>formed the</w:t>
      </w:r>
      <w:r w:rsidR="009D2C5D">
        <w:rPr>
          <w:rFonts w:cs="Arial"/>
          <w:sz w:val="22"/>
          <w:szCs w:val="22"/>
        </w:rPr>
        <w:t xml:space="preserve"> strict</w:t>
      </w:r>
      <w:r w:rsidR="005A2B01">
        <w:rPr>
          <w:rFonts w:cs="Arial"/>
          <w:sz w:val="22"/>
          <w:szCs w:val="22"/>
        </w:rPr>
        <w:t xml:space="preserve"> detailed</w:t>
      </w:r>
      <w:r w:rsidR="009D2C5D">
        <w:rPr>
          <w:rFonts w:cs="Arial"/>
          <w:sz w:val="22"/>
          <w:szCs w:val="22"/>
        </w:rPr>
        <w:t xml:space="preserve"> </w:t>
      </w:r>
      <w:r>
        <w:rPr>
          <w:rFonts w:cs="Arial"/>
          <w:sz w:val="22"/>
          <w:szCs w:val="22"/>
        </w:rPr>
        <w:t>criteria that covers the use of BWV</w:t>
      </w:r>
      <w:r w:rsidR="005A2B01">
        <w:rPr>
          <w:rFonts w:cs="Arial"/>
          <w:sz w:val="22"/>
          <w:szCs w:val="22"/>
        </w:rPr>
        <w:t xml:space="preserve"> being utilised by all officers</w:t>
      </w:r>
      <w:r>
        <w:rPr>
          <w:rFonts w:cs="Arial"/>
          <w:sz w:val="22"/>
          <w:szCs w:val="22"/>
        </w:rPr>
        <w:t xml:space="preserve"> within Engl</w:t>
      </w:r>
      <w:r w:rsidR="009D2C5D">
        <w:rPr>
          <w:rFonts w:cs="Arial"/>
          <w:sz w:val="22"/>
          <w:szCs w:val="22"/>
        </w:rPr>
        <w:t>a</w:t>
      </w:r>
      <w:r>
        <w:rPr>
          <w:rFonts w:cs="Arial"/>
          <w:sz w:val="22"/>
          <w:szCs w:val="22"/>
        </w:rPr>
        <w:t>nd and Wales</w:t>
      </w:r>
      <w:r w:rsidR="005A2B01">
        <w:rPr>
          <w:rFonts w:cs="Arial"/>
          <w:sz w:val="22"/>
          <w:szCs w:val="22"/>
        </w:rPr>
        <w:t xml:space="preserve"> and although e</w:t>
      </w:r>
      <w:r w:rsidR="00CF1F63">
        <w:rPr>
          <w:rFonts w:cs="Arial"/>
          <w:sz w:val="22"/>
          <w:szCs w:val="22"/>
        </w:rPr>
        <w:t xml:space="preserve">ach force may have its own policy </w:t>
      </w:r>
      <w:r w:rsidR="005A2B01">
        <w:rPr>
          <w:rFonts w:cs="Arial"/>
          <w:sz w:val="22"/>
          <w:szCs w:val="22"/>
        </w:rPr>
        <w:t xml:space="preserve">surrounding its use within </w:t>
      </w:r>
      <w:r w:rsidR="0000652C">
        <w:rPr>
          <w:rFonts w:cs="Arial"/>
          <w:sz w:val="22"/>
          <w:szCs w:val="22"/>
        </w:rPr>
        <w:t>that particular force</w:t>
      </w:r>
      <w:r w:rsidR="005A2B01">
        <w:rPr>
          <w:rFonts w:cs="Arial"/>
          <w:sz w:val="22"/>
          <w:szCs w:val="22"/>
        </w:rPr>
        <w:t xml:space="preserve"> their policy will be based</w:t>
      </w:r>
      <w:r w:rsidR="00CF1F63">
        <w:rPr>
          <w:rFonts w:cs="Arial"/>
          <w:sz w:val="22"/>
          <w:szCs w:val="22"/>
        </w:rPr>
        <w:t xml:space="preserve"> </w:t>
      </w:r>
      <w:r w:rsidR="005A2B01">
        <w:rPr>
          <w:rFonts w:cs="Arial"/>
          <w:sz w:val="22"/>
          <w:szCs w:val="22"/>
        </w:rPr>
        <w:t>up</w:t>
      </w:r>
      <w:r w:rsidR="00CF1F63">
        <w:rPr>
          <w:rFonts w:cs="Arial"/>
          <w:sz w:val="22"/>
          <w:szCs w:val="22"/>
        </w:rPr>
        <w:t>on th</w:t>
      </w:r>
      <w:r w:rsidR="0000652C">
        <w:rPr>
          <w:rFonts w:cs="Arial"/>
          <w:sz w:val="22"/>
          <w:szCs w:val="22"/>
        </w:rPr>
        <w:t>is</w:t>
      </w:r>
      <w:r w:rsidR="00CF1F63">
        <w:rPr>
          <w:rFonts w:cs="Arial"/>
          <w:sz w:val="22"/>
          <w:szCs w:val="22"/>
        </w:rPr>
        <w:t xml:space="preserve"> guidance. The guidance discusses the legislation that covers their use including </w:t>
      </w:r>
      <w:r w:rsidR="005A2B01">
        <w:rPr>
          <w:rFonts w:cs="Arial"/>
          <w:sz w:val="22"/>
          <w:szCs w:val="22"/>
        </w:rPr>
        <w:t xml:space="preserve">the </w:t>
      </w:r>
      <w:r w:rsidR="00CF1F63">
        <w:rPr>
          <w:rFonts w:cs="Arial"/>
          <w:sz w:val="22"/>
          <w:szCs w:val="22"/>
        </w:rPr>
        <w:t xml:space="preserve">retention of footage. The guidance itself in principle 4 states that </w:t>
      </w:r>
      <w:r w:rsidR="005A2B01">
        <w:rPr>
          <w:rFonts w:cs="Arial"/>
          <w:sz w:val="22"/>
          <w:szCs w:val="22"/>
        </w:rPr>
        <w:t>‘</w:t>
      </w:r>
      <w:r w:rsidR="00CF1F63">
        <w:rPr>
          <w:rFonts w:cs="Arial"/>
          <w:sz w:val="22"/>
          <w:szCs w:val="22"/>
        </w:rPr>
        <w:t>the</w:t>
      </w:r>
      <w:r w:rsidR="005A2B01">
        <w:rPr>
          <w:rFonts w:cs="Arial"/>
          <w:sz w:val="22"/>
          <w:szCs w:val="22"/>
        </w:rPr>
        <w:t xml:space="preserve"> </w:t>
      </w:r>
      <w:r w:rsidR="00CF1F63">
        <w:rPr>
          <w:rFonts w:cs="Arial"/>
          <w:sz w:val="22"/>
          <w:szCs w:val="22"/>
        </w:rPr>
        <w:t>operational use of body-worn video must be proportionate, legitimate and necessary’. Whilst this may seem an easily understandable concept it states that compliance with</w:t>
      </w:r>
      <w:r w:rsidR="005A2B01">
        <w:rPr>
          <w:rFonts w:cs="Arial"/>
          <w:sz w:val="22"/>
          <w:szCs w:val="22"/>
        </w:rPr>
        <w:t>in</w:t>
      </w:r>
      <w:r w:rsidR="00CF1F63">
        <w:rPr>
          <w:rFonts w:cs="Arial"/>
          <w:sz w:val="22"/>
          <w:szCs w:val="22"/>
        </w:rPr>
        <w:t xml:space="preserve"> the Human Rights Act 1998 and the Data Protection Act 1998 will ensure this. It would not be unreasonable to assume that most operational officers will not be familiar with more than</w:t>
      </w:r>
      <w:r w:rsidR="0096165E">
        <w:rPr>
          <w:rFonts w:cs="Arial"/>
          <w:sz w:val="22"/>
          <w:szCs w:val="22"/>
        </w:rPr>
        <w:t xml:space="preserve"> just</w:t>
      </w:r>
      <w:r w:rsidR="00CF1F63">
        <w:rPr>
          <w:rFonts w:cs="Arial"/>
          <w:sz w:val="22"/>
          <w:szCs w:val="22"/>
        </w:rPr>
        <w:t xml:space="preserve"> the basic principles of </w:t>
      </w:r>
      <w:r w:rsidR="0096165E">
        <w:rPr>
          <w:rFonts w:cs="Arial"/>
          <w:sz w:val="22"/>
          <w:szCs w:val="22"/>
        </w:rPr>
        <w:t xml:space="preserve">such </w:t>
      </w:r>
      <w:r w:rsidR="00CF1F63">
        <w:rPr>
          <w:rFonts w:cs="Arial"/>
          <w:sz w:val="22"/>
          <w:szCs w:val="22"/>
        </w:rPr>
        <w:t xml:space="preserve">legislation. Moreover, the guidance continues to state that </w:t>
      </w:r>
      <w:r w:rsidR="005A2B01">
        <w:rPr>
          <w:rFonts w:cs="Arial"/>
          <w:sz w:val="22"/>
          <w:szCs w:val="22"/>
        </w:rPr>
        <w:t xml:space="preserve">each </w:t>
      </w:r>
      <w:r w:rsidR="00CF1F63">
        <w:rPr>
          <w:rFonts w:cs="Arial"/>
          <w:sz w:val="22"/>
          <w:szCs w:val="22"/>
        </w:rPr>
        <w:t xml:space="preserve">officer’s judgement will be used when deciding to record incidents, ‘with a tendency towards capturing audio/visual evidence when deciding whether to record. Nevertheless, there are several limitations.’ This </w:t>
      </w:r>
      <w:r w:rsidR="0096165E">
        <w:rPr>
          <w:rFonts w:cs="Arial"/>
          <w:sz w:val="22"/>
          <w:szCs w:val="22"/>
        </w:rPr>
        <w:t>principal</w:t>
      </w:r>
      <w:r w:rsidR="005526A5">
        <w:rPr>
          <w:rFonts w:cs="Arial"/>
          <w:sz w:val="22"/>
          <w:szCs w:val="22"/>
        </w:rPr>
        <w:t xml:space="preserve"> is</w:t>
      </w:r>
      <w:r w:rsidR="00CF1F63">
        <w:rPr>
          <w:rFonts w:cs="Arial"/>
          <w:sz w:val="22"/>
          <w:szCs w:val="22"/>
        </w:rPr>
        <w:t xml:space="preserve"> at best</w:t>
      </w:r>
      <w:r w:rsidR="00F34C2A">
        <w:rPr>
          <w:rFonts w:cs="Arial"/>
          <w:sz w:val="22"/>
          <w:szCs w:val="22"/>
        </w:rPr>
        <w:t xml:space="preserve"> </w:t>
      </w:r>
      <w:r w:rsidR="00CF1F63">
        <w:rPr>
          <w:rFonts w:cs="Arial"/>
          <w:sz w:val="22"/>
          <w:szCs w:val="22"/>
        </w:rPr>
        <w:t>vague.</w:t>
      </w:r>
      <w:r w:rsidR="005526A5">
        <w:rPr>
          <w:rFonts w:cs="Arial"/>
          <w:sz w:val="22"/>
          <w:szCs w:val="22"/>
        </w:rPr>
        <w:t xml:space="preserve"> </w:t>
      </w:r>
      <w:r w:rsidR="00CF1F63">
        <w:rPr>
          <w:rFonts w:cs="Arial"/>
          <w:sz w:val="22"/>
          <w:szCs w:val="22"/>
        </w:rPr>
        <w:t xml:space="preserve">Principle 2 refers to data processing. The guidance as to </w:t>
      </w:r>
      <w:r w:rsidR="00F34C2A">
        <w:rPr>
          <w:rFonts w:cs="Arial"/>
          <w:sz w:val="22"/>
          <w:szCs w:val="22"/>
        </w:rPr>
        <w:t xml:space="preserve">the </w:t>
      </w:r>
      <w:r w:rsidR="00CF1F63">
        <w:rPr>
          <w:rFonts w:cs="Arial"/>
          <w:sz w:val="22"/>
          <w:szCs w:val="22"/>
        </w:rPr>
        <w:t xml:space="preserve">retention of images and audio </w:t>
      </w:r>
      <w:r w:rsidR="00F34C2A">
        <w:rPr>
          <w:rFonts w:cs="Arial"/>
          <w:sz w:val="22"/>
          <w:szCs w:val="22"/>
        </w:rPr>
        <w:t>being</w:t>
      </w:r>
      <w:r w:rsidR="00CF1F63">
        <w:rPr>
          <w:rFonts w:cs="Arial"/>
          <w:sz w:val="22"/>
          <w:szCs w:val="22"/>
        </w:rPr>
        <w:t xml:space="preserve"> release</w:t>
      </w:r>
      <w:r w:rsidR="00F34C2A">
        <w:rPr>
          <w:rFonts w:cs="Arial"/>
          <w:sz w:val="22"/>
          <w:szCs w:val="22"/>
        </w:rPr>
        <w:t>d</w:t>
      </w:r>
      <w:r w:rsidR="00CF1F63">
        <w:rPr>
          <w:rFonts w:cs="Arial"/>
          <w:sz w:val="22"/>
          <w:szCs w:val="22"/>
        </w:rPr>
        <w:t xml:space="preserve"> to the public is also confirmed to be based </w:t>
      </w:r>
      <w:r w:rsidR="00F34C2A">
        <w:rPr>
          <w:rFonts w:cs="Arial"/>
          <w:sz w:val="22"/>
          <w:szCs w:val="22"/>
        </w:rPr>
        <w:t>up</w:t>
      </w:r>
      <w:r w:rsidR="00CF1F63">
        <w:rPr>
          <w:rFonts w:cs="Arial"/>
          <w:sz w:val="22"/>
          <w:szCs w:val="22"/>
        </w:rPr>
        <w:t>on subjective principles including proportionality and necessity. Such guidance has the potential to leave officers and forces open to litigation</w:t>
      </w:r>
      <w:r w:rsidR="005526A5">
        <w:rPr>
          <w:rFonts w:cs="Arial"/>
          <w:sz w:val="22"/>
          <w:szCs w:val="22"/>
        </w:rPr>
        <w:t xml:space="preserve"> as was the case in </w:t>
      </w:r>
      <w:r w:rsidR="00CF1F63">
        <w:rPr>
          <w:rFonts w:cs="Arial"/>
          <w:i/>
          <w:iCs/>
          <w:sz w:val="22"/>
          <w:szCs w:val="22"/>
        </w:rPr>
        <w:t xml:space="preserve">R (RMC and FJ) v Commissioner of Police of the Metropolis </w:t>
      </w:r>
      <w:r w:rsidR="00CF1F63">
        <w:rPr>
          <w:rFonts w:cs="Arial"/>
          <w:sz w:val="22"/>
          <w:szCs w:val="22"/>
        </w:rPr>
        <w:t>[2012]</w:t>
      </w:r>
      <w:r w:rsidR="005526A5">
        <w:rPr>
          <w:rFonts w:cs="Arial"/>
          <w:sz w:val="22"/>
          <w:szCs w:val="22"/>
        </w:rPr>
        <w:t xml:space="preserve">. This is a case of </w:t>
      </w:r>
      <w:r w:rsidR="00CF1F63">
        <w:rPr>
          <w:rFonts w:cs="Arial"/>
          <w:sz w:val="22"/>
          <w:szCs w:val="22"/>
        </w:rPr>
        <w:t>where</w:t>
      </w:r>
      <w:r w:rsidR="005526A5">
        <w:rPr>
          <w:rFonts w:cs="Arial"/>
          <w:sz w:val="22"/>
          <w:szCs w:val="22"/>
        </w:rPr>
        <w:t>by</w:t>
      </w:r>
      <w:r w:rsidR="00CF1F63">
        <w:rPr>
          <w:rFonts w:cs="Arial"/>
          <w:sz w:val="22"/>
          <w:szCs w:val="22"/>
        </w:rPr>
        <w:t xml:space="preserve"> </w:t>
      </w:r>
      <w:r w:rsidR="005526A5">
        <w:rPr>
          <w:rFonts w:cs="Arial"/>
          <w:sz w:val="22"/>
          <w:szCs w:val="22"/>
        </w:rPr>
        <w:t xml:space="preserve">the </w:t>
      </w:r>
      <w:r w:rsidR="00CF1F63">
        <w:rPr>
          <w:rFonts w:cs="Arial"/>
          <w:sz w:val="22"/>
          <w:szCs w:val="22"/>
        </w:rPr>
        <w:t xml:space="preserve">retention of photographs of a person eventually </w:t>
      </w:r>
      <w:r w:rsidR="005526A5">
        <w:rPr>
          <w:rFonts w:cs="Arial"/>
          <w:sz w:val="22"/>
          <w:szCs w:val="22"/>
        </w:rPr>
        <w:t xml:space="preserve">not being </w:t>
      </w:r>
      <w:r w:rsidR="00CF1F63">
        <w:rPr>
          <w:rFonts w:cs="Arial"/>
          <w:sz w:val="22"/>
          <w:szCs w:val="22"/>
        </w:rPr>
        <w:t>charged</w:t>
      </w:r>
      <w:r w:rsidR="005526A5">
        <w:rPr>
          <w:rFonts w:cs="Arial"/>
          <w:sz w:val="22"/>
          <w:szCs w:val="22"/>
        </w:rPr>
        <w:t xml:space="preserve"> </w:t>
      </w:r>
      <w:r w:rsidR="00D54436">
        <w:rPr>
          <w:rFonts w:cs="Arial"/>
          <w:sz w:val="22"/>
          <w:szCs w:val="22"/>
        </w:rPr>
        <w:t>yet</w:t>
      </w:r>
      <w:r w:rsidR="005526A5">
        <w:rPr>
          <w:rFonts w:cs="Arial"/>
          <w:sz w:val="22"/>
          <w:szCs w:val="22"/>
        </w:rPr>
        <w:t xml:space="preserve"> </w:t>
      </w:r>
      <w:r w:rsidR="00CF1F63">
        <w:rPr>
          <w:rFonts w:cs="Arial"/>
          <w:sz w:val="22"/>
          <w:szCs w:val="22"/>
        </w:rPr>
        <w:t xml:space="preserve">merely arrested, was declared unlawful. Most recently, and since the commencement of </w:t>
      </w:r>
      <w:r w:rsidR="005526A5">
        <w:rPr>
          <w:rFonts w:cs="Arial"/>
          <w:sz w:val="22"/>
          <w:szCs w:val="22"/>
        </w:rPr>
        <w:t xml:space="preserve">my </w:t>
      </w:r>
      <w:r w:rsidR="00CF1F63">
        <w:rPr>
          <w:rFonts w:cs="Arial"/>
          <w:sz w:val="22"/>
          <w:szCs w:val="22"/>
        </w:rPr>
        <w:t xml:space="preserve">research for this </w:t>
      </w:r>
      <w:r w:rsidR="00D54436">
        <w:rPr>
          <w:rFonts w:cs="Arial"/>
          <w:sz w:val="22"/>
          <w:szCs w:val="22"/>
        </w:rPr>
        <w:t>dissertation, The</w:t>
      </w:r>
      <w:r w:rsidR="00CF1F63">
        <w:rPr>
          <w:rFonts w:cs="Arial"/>
          <w:sz w:val="22"/>
          <w:szCs w:val="22"/>
        </w:rPr>
        <w:t xml:space="preserve"> National Police Chief’s council </w:t>
      </w:r>
      <w:r w:rsidR="00D54436">
        <w:rPr>
          <w:rFonts w:cs="Arial"/>
          <w:sz w:val="22"/>
          <w:szCs w:val="22"/>
        </w:rPr>
        <w:t xml:space="preserve">(NPCC) </w:t>
      </w:r>
      <w:r w:rsidR="00CF1F63">
        <w:rPr>
          <w:rFonts w:cs="Arial"/>
          <w:sz w:val="22"/>
          <w:szCs w:val="22"/>
        </w:rPr>
        <w:t>ha</w:t>
      </w:r>
      <w:r w:rsidR="0000652C">
        <w:rPr>
          <w:rFonts w:cs="Arial"/>
          <w:sz w:val="22"/>
          <w:szCs w:val="22"/>
        </w:rPr>
        <w:t>ve</w:t>
      </w:r>
      <w:r w:rsidR="00CF1F63">
        <w:rPr>
          <w:rFonts w:cs="Arial"/>
          <w:sz w:val="22"/>
          <w:szCs w:val="22"/>
        </w:rPr>
        <w:t xml:space="preserve"> produced </w:t>
      </w:r>
      <w:r w:rsidR="00805309">
        <w:rPr>
          <w:rFonts w:cs="Arial"/>
          <w:sz w:val="22"/>
          <w:szCs w:val="22"/>
        </w:rPr>
        <w:t xml:space="preserve">further updated </w:t>
      </w:r>
      <w:r w:rsidR="00CF1F63">
        <w:rPr>
          <w:rFonts w:cs="Arial"/>
          <w:sz w:val="22"/>
          <w:szCs w:val="22"/>
        </w:rPr>
        <w:t xml:space="preserve">guidance </w:t>
      </w:r>
      <w:r w:rsidR="00805309">
        <w:rPr>
          <w:rFonts w:cs="Arial"/>
          <w:sz w:val="22"/>
          <w:szCs w:val="22"/>
        </w:rPr>
        <w:t>surrounding</w:t>
      </w:r>
      <w:r w:rsidR="00CF1F63">
        <w:rPr>
          <w:rFonts w:cs="Arial"/>
          <w:sz w:val="22"/>
          <w:szCs w:val="22"/>
        </w:rPr>
        <w:t xml:space="preserve"> the use of body worn </w:t>
      </w:r>
      <w:r w:rsidR="00D54436">
        <w:rPr>
          <w:rFonts w:cs="Arial"/>
          <w:sz w:val="22"/>
          <w:szCs w:val="22"/>
        </w:rPr>
        <w:t xml:space="preserve">video </w:t>
      </w:r>
      <w:r w:rsidR="00805309">
        <w:rPr>
          <w:rFonts w:cs="Arial"/>
          <w:sz w:val="22"/>
          <w:szCs w:val="22"/>
        </w:rPr>
        <w:t>within policing</w:t>
      </w:r>
      <w:r w:rsidR="00CF1F63">
        <w:rPr>
          <w:rFonts w:cs="Arial"/>
          <w:sz w:val="22"/>
          <w:szCs w:val="22"/>
        </w:rPr>
        <w:t xml:space="preserve"> </w:t>
      </w:r>
      <w:r w:rsidR="005526A5">
        <w:rPr>
          <w:rFonts w:cs="Arial"/>
          <w:sz w:val="22"/>
          <w:szCs w:val="22"/>
        </w:rPr>
        <w:t>(NPCC, 2022)</w:t>
      </w:r>
      <w:r w:rsidR="00805309">
        <w:rPr>
          <w:rFonts w:cs="Arial"/>
          <w:sz w:val="22"/>
          <w:szCs w:val="22"/>
        </w:rPr>
        <w:t xml:space="preserve">. </w:t>
      </w:r>
      <w:r w:rsidR="00CF1F63">
        <w:rPr>
          <w:rFonts w:cs="Arial"/>
          <w:sz w:val="22"/>
          <w:szCs w:val="22"/>
        </w:rPr>
        <w:t>In the foreword for the guidance DCC Jim Colwell, National Policing Lead for Body-Worn Video states ‘</w:t>
      </w:r>
      <w:r w:rsidR="00D54436">
        <w:rPr>
          <w:rFonts w:cs="Arial"/>
          <w:sz w:val="22"/>
          <w:szCs w:val="22"/>
        </w:rPr>
        <w:t>The</w:t>
      </w:r>
      <w:r w:rsidR="00CF1F63">
        <w:rPr>
          <w:rFonts w:cs="Arial"/>
          <w:sz w:val="22"/>
          <w:szCs w:val="22"/>
        </w:rPr>
        <w:t xml:space="preserve"> expectation placed upon policing to use BWV is now so significant that it is right this document is reviewed and revised to reflect lessons learned over the past 15 years since body worn video cameras first arrived within Policing in England and Wales’. Whilst not referring to any </w:t>
      </w:r>
      <w:r w:rsidR="00D54436">
        <w:rPr>
          <w:rFonts w:cs="Arial"/>
          <w:sz w:val="22"/>
          <w:szCs w:val="22"/>
        </w:rPr>
        <w:t>specific</w:t>
      </w:r>
      <w:r w:rsidR="00CF1F63">
        <w:rPr>
          <w:rFonts w:cs="Arial"/>
          <w:sz w:val="22"/>
          <w:szCs w:val="22"/>
        </w:rPr>
        <w:t xml:space="preserve"> case, press coverage or incident it can be inferred that it has been recognised that consistency in</w:t>
      </w:r>
      <w:r w:rsidR="007958E7">
        <w:rPr>
          <w:rFonts w:cs="Arial"/>
          <w:sz w:val="22"/>
          <w:szCs w:val="22"/>
        </w:rPr>
        <w:t xml:space="preserve"> the</w:t>
      </w:r>
      <w:r w:rsidR="00CF1F63">
        <w:rPr>
          <w:rFonts w:cs="Arial"/>
          <w:sz w:val="22"/>
          <w:szCs w:val="22"/>
        </w:rPr>
        <w:t xml:space="preserve"> use of BW</w:t>
      </w:r>
      <w:r w:rsidR="00D54436">
        <w:rPr>
          <w:rFonts w:cs="Arial"/>
          <w:sz w:val="22"/>
          <w:szCs w:val="22"/>
        </w:rPr>
        <w:t>V</w:t>
      </w:r>
      <w:r w:rsidR="00CF1F63">
        <w:rPr>
          <w:rFonts w:cs="Arial"/>
          <w:sz w:val="22"/>
          <w:szCs w:val="22"/>
        </w:rPr>
        <w:t xml:space="preserve"> across forces is required. Moreover, the document (and guidance </w:t>
      </w:r>
      <w:r w:rsidR="00D54436">
        <w:rPr>
          <w:rFonts w:cs="Arial"/>
          <w:sz w:val="22"/>
          <w:szCs w:val="22"/>
        </w:rPr>
        <w:t>within) has</w:t>
      </w:r>
      <w:r w:rsidR="00CF1F63">
        <w:rPr>
          <w:rFonts w:cs="Arial"/>
          <w:sz w:val="22"/>
          <w:szCs w:val="22"/>
        </w:rPr>
        <w:t xml:space="preserve"> been ‘developed in consultation with the Home Office, the Crown Prosecution Service (CPS), the College of Policing</w:t>
      </w:r>
      <w:r w:rsidR="00D54436">
        <w:rPr>
          <w:rFonts w:cs="Arial"/>
          <w:sz w:val="22"/>
          <w:szCs w:val="22"/>
        </w:rPr>
        <w:t xml:space="preserve"> (CoP)</w:t>
      </w:r>
      <w:r w:rsidR="00CF1F63">
        <w:rPr>
          <w:rFonts w:cs="Arial"/>
          <w:sz w:val="22"/>
          <w:szCs w:val="22"/>
        </w:rPr>
        <w:t xml:space="preserve"> and every UK regional and national police force including police forces from UK overseas territories and strategic operational partners.’ Whilst it can be argued that the document should have been updated earlier than the 8 years it has taken, the guidance is clearer than the previous 2014 guidance as it is </w:t>
      </w:r>
      <w:r w:rsidR="007958E7">
        <w:rPr>
          <w:rFonts w:cs="Arial"/>
          <w:sz w:val="22"/>
          <w:szCs w:val="22"/>
        </w:rPr>
        <w:t>concise</w:t>
      </w:r>
      <w:r w:rsidR="00CF1F63">
        <w:rPr>
          <w:rFonts w:cs="Arial"/>
          <w:sz w:val="22"/>
          <w:szCs w:val="22"/>
        </w:rPr>
        <w:t xml:space="preserve"> and refers to and interprets </w:t>
      </w:r>
      <w:r w:rsidR="007958E7">
        <w:rPr>
          <w:rFonts w:cs="Arial"/>
          <w:sz w:val="22"/>
          <w:szCs w:val="22"/>
        </w:rPr>
        <w:t xml:space="preserve">the more </w:t>
      </w:r>
      <w:r w:rsidR="00CF1F63">
        <w:rPr>
          <w:rFonts w:cs="Arial"/>
          <w:sz w:val="22"/>
          <w:szCs w:val="22"/>
        </w:rPr>
        <w:t xml:space="preserve">complex legislation such as the </w:t>
      </w:r>
      <w:r w:rsidR="007958E7">
        <w:rPr>
          <w:rFonts w:cs="Arial"/>
          <w:sz w:val="22"/>
          <w:szCs w:val="22"/>
        </w:rPr>
        <w:t>European Convention on Human Rights (</w:t>
      </w:r>
      <w:r w:rsidR="00CF1F63">
        <w:rPr>
          <w:rFonts w:cs="Arial"/>
          <w:sz w:val="22"/>
          <w:szCs w:val="22"/>
        </w:rPr>
        <w:t>ECHR</w:t>
      </w:r>
      <w:r w:rsidR="007958E7">
        <w:rPr>
          <w:rFonts w:cs="Arial"/>
          <w:sz w:val="22"/>
          <w:szCs w:val="22"/>
        </w:rPr>
        <w:t>)</w:t>
      </w:r>
      <w:r w:rsidR="00CF1F63">
        <w:rPr>
          <w:rFonts w:cs="Arial"/>
          <w:sz w:val="22"/>
          <w:szCs w:val="22"/>
        </w:rPr>
        <w:t xml:space="preserve"> for the user. In addition, the involvement of all English and Welsh forces brings with it a cohesive approach to the use of BW</w:t>
      </w:r>
      <w:r w:rsidR="005C6F1B">
        <w:rPr>
          <w:rFonts w:cs="Arial"/>
          <w:sz w:val="22"/>
          <w:szCs w:val="22"/>
        </w:rPr>
        <w:t>V</w:t>
      </w:r>
      <w:r w:rsidR="00CF1F63">
        <w:rPr>
          <w:rFonts w:cs="Arial"/>
          <w:sz w:val="22"/>
          <w:szCs w:val="22"/>
        </w:rPr>
        <w:t>. The 2022 guidance follows the section and principles of the previous guidance, including some of the language used, which therefore builds on the guidance and understanding already in place, but does clarify some areas. Principle 4 still states that the ’The operational use of body-worn video must be proportionate, legitimate and necessary and incident specific’ but clarifies the situations in which their use is not appropriate, although contains the caveat that the list is not exhaustive which still leaves some subjectivity in place. It can be argued that there is no alternative as no two incidents are the same and will provide officer’s protection when judgement is used. As regards to principle 2 and specifically the release of information to the media, there have been vast improvements on the previous guidance. The 2014 guidance referred to</w:t>
      </w:r>
      <w:r w:rsidR="00267334">
        <w:rPr>
          <w:rFonts w:cs="Arial"/>
          <w:sz w:val="22"/>
          <w:szCs w:val="22"/>
        </w:rPr>
        <w:t xml:space="preserve"> the</w:t>
      </w:r>
      <w:r w:rsidR="00CF1F63">
        <w:rPr>
          <w:rFonts w:cs="Arial"/>
          <w:sz w:val="22"/>
          <w:szCs w:val="22"/>
        </w:rPr>
        <w:t xml:space="preserve"> release of images to the media</w:t>
      </w:r>
      <w:r w:rsidR="00267334">
        <w:rPr>
          <w:rFonts w:cs="Arial"/>
          <w:sz w:val="22"/>
          <w:szCs w:val="22"/>
        </w:rPr>
        <w:t xml:space="preserve"> to</w:t>
      </w:r>
      <w:r w:rsidR="00CF1F63">
        <w:rPr>
          <w:rFonts w:cs="Arial"/>
          <w:sz w:val="22"/>
          <w:szCs w:val="22"/>
        </w:rPr>
        <w:t xml:space="preserve"> ‘be proportionate, necessary and for a legitimate purpose. Forces must make each decision on a case-by-case </w:t>
      </w:r>
      <w:r w:rsidR="00567282">
        <w:rPr>
          <w:rFonts w:cs="Arial"/>
          <w:sz w:val="22"/>
          <w:szCs w:val="22"/>
        </w:rPr>
        <w:t>basis’</w:t>
      </w:r>
      <w:r w:rsidR="00267334">
        <w:rPr>
          <w:rFonts w:cs="Arial"/>
          <w:sz w:val="22"/>
          <w:szCs w:val="22"/>
        </w:rPr>
        <w:t xml:space="preserve"> whereas, t</w:t>
      </w:r>
      <w:r w:rsidR="00CF1F63">
        <w:rPr>
          <w:rFonts w:cs="Arial"/>
          <w:sz w:val="22"/>
          <w:szCs w:val="22"/>
        </w:rPr>
        <w:t>he 2022 guidance clearly places the decision o</w:t>
      </w:r>
      <w:r w:rsidR="00267334">
        <w:rPr>
          <w:rFonts w:cs="Arial"/>
          <w:sz w:val="22"/>
          <w:szCs w:val="22"/>
        </w:rPr>
        <w:t>f</w:t>
      </w:r>
      <w:r w:rsidR="00CF1F63">
        <w:rPr>
          <w:rFonts w:cs="Arial"/>
          <w:sz w:val="22"/>
          <w:szCs w:val="22"/>
        </w:rPr>
        <w:t xml:space="preserve"> release to the senior investigati</w:t>
      </w:r>
      <w:r w:rsidR="00267334">
        <w:rPr>
          <w:rFonts w:cs="Arial"/>
          <w:sz w:val="22"/>
          <w:szCs w:val="22"/>
        </w:rPr>
        <w:t>ng</w:t>
      </w:r>
      <w:r w:rsidR="00CF1F63">
        <w:rPr>
          <w:rFonts w:cs="Arial"/>
          <w:sz w:val="22"/>
          <w:szCs w:val="22"/>
        </w:rPr>
        <w:t xml:space="preserve"> officer, who should record the decision in their decision log. This </w:t>
      </w:r>
      <w:r w:rsidR="00267334">
        <w:rPr>
          <w:rFonts w:cs="Arial"/>
          <w:sz w:val="22"/>
          <w:szCs w:val="22"/>
        </w:rPr>
        <w:t>brings</w:t>
      </w:r>
      <w:r w:rsidR="00CF1F63">
        <w:rPr>
          <w:rFonts w:cs="Arial"/>
          <w:sz w:val="22"/>
          <w:szCs w:val="22"/>
        </w:rPr>
        <w:t xml:space="preserve"> clarity not only </w:t>
      </w:r>
      <w:r w:rsidR="0000652C">
        <w:rPr>
          <w:rFonts w:cs="Arial"/>
          <w:sz w:val="22"/>
          <w:szCs w:val="22"/>
        </w:rPr>
        <w:t>to</w:t>
      </w:r>
      <w:r w:rsidR="00CF1F63">
        <w:rPr>
          <w:rFonts w:cs="Arial"/>
          <w:sz w:val="22"/>
          <w:szCs w:val="22"/>
        </w:rPr>
        <w:t xml:space="preserve"> the individual investigation </w:t>
      </w:r>
      <w:r w:rsidR="00CF1F63">
        <w:rPr>
          <w:rFonts w:cs="Arial"/>
          <w:sz w:val="22"/>
          <w:szCs w:val="22"/>
        </w:rPr>
        <w:lastRenderedPageBreak/>
        <w:t xml:space="preserve">and force but also force wide, therefore adhering to </w:t>
      </w:r>
      <w:r w:rsidR="00267334">
        <w:rPr>
          <w:rFonts w:cs="Arial"/>
          <w:sz w:val="22"/>
          <w:szCs w:val="22"/>
        </w:rPr>
        <w:t xml:space="preserve">the </w:t>
      </w:r>
      <w:r w:rsidR="00CF1F63">
        <w:rPr>
          <w:rFonts w:cs="Arial"/>
          <w:sz w:val="22"/>
          <w:szCs w:val="22"/>
        </w:rPr>
        <w:t>Peel</w:t>
      </w:r>
      <w:r w:rsidR="00267334">
        <w:rPr>
          <w:rFonts w:cs="Arial"/>
          <w:sz w:val="22"/>
          <w:szCs w:val="22"/>
        </w:rPr>
        <w:t>in</w:t>
      </w:r>
      <w:r w:rsidR="00CF1F63">
        <w:rPr>
          <w:rFonts w:cs="Arial"/>
          <w:sz w:val="22"/>
          <w:szCs w:val="22"/>
        </w:rPr>
        <w:t xml:space="preserve"> principles which should still permeate all decisions. </w:t>
      </w:r>
    </w:p>
    <w:p w14:paraId="0FA7A327" w14:textId="77777777" w:rsidR="00CF1F63" w:rsidRDefault="00CF1F63" w:rsidP="00CF1F63">
      <w:pPr>
        <w:rPr>
          <w:rFonts w:cs="Arial"/>
          <w:sz w:val="22"/>
          <w:szCs w:val="22"/>
        </w:rPr>
      </w:pPr>
    </w:p>
    <w:p w14:paraId="2D2ABA7A" w14:textId="77777777" w:rsidR="00CF1F63" w:rsidRDefault="00CF1F63" w:rsidP="00CF1F63">
      <w:pPr>
        <w:rPr>
          <w:rFonts w:cs="Arial"/>
          <w:sz w:val="22"/>
          <w:szCs w:val="22"/>
        </w:rPr>
      </w:pPr>
    </w:p>
    <w:p w14:paraId="5B40B3B5" w14:textId="77777777" w:rsidR="00CF1F63" w:rsidRDefault="00CF1F63" w:rsidP="00CF1F63">
      <w:pPr>
        <w:rPr>
          <w:rFonts w:cs="Arial"/>
          <w:sz w:val="22"/>
          <w:szCs w:val="22"/>
        </w:rPr>
      </w:pPr>
    </w:p>
    <w:p w14:paraId="5C3B1B57" w14:textId="77777777" w:rsidR="00CF1F63" w:rsidRDefault="00CF1F63" w:rsidP="00CF1F63">
      <w:pPr>
        <w:rPr>
          <w:rFonts w:cs="Arial"/>
          <w:b/>
          <w:bCs/>
          <w:sz w:val="22"/>
          <w:szCs w:val="22"/>
        </w:rPr>
      </w:pPr>
    </w:p>
    <w:p w14:paraId="6294CAB8" w14:textId="49AFA695" w:rsidR="00CF1F63" w:rsidRDefault="00267334" w:rsidP="00CF1F63">
      <w:pPr>
        <w:jc w:val="both"/>
        <w:rPr>
          <w:rFonts w:cs="Arial"/>
          <w:sz w:val="22"/>
          <w:szCs w:val="22"/>
        </w:rPr>
      </w:pPr>
      <w:r w:rsidRPr="00267334">
        <w:rPr>
          <w:rFonts w:cs="Arial"/>
          <w:sz w:val="22"/>
          <w:szCs w:val="22"/>
        </w:rPr>
        <w:t>Taylor (2016) stated</w:t>
      </w:r>
      <w:r>
        <w:rPr>
          <w:rFonts w:cs="Arial"/>
          <w:sz w:val="22"/>
          <w:szCs w:val="22"/>
        </w:rPr>
        <w:t xml:space="preserve"> that</w:t>
      </w:r>
      <w:r>
        <w:rPr>
          <w:rFonts w:cs="Arial"/>
          <w:b/>
          <w:bCs/>
          <w:sz w:val="22"/>
          <w:szCs w:val="22"/>
        </w:rPr>
        <w:t xml:space="preserve"> </w:t>
      </w:r>
      <w:r w:rsidR="00CF1F63">
        <w:rPr>
          <w:rFonts w:cs="Arial"/>
          <w:b/>
          <w:bCs/>
          <w:sz w:val="22"/>
          <w:szCs w:val="22"/>
        </w:rPr>
        <w:t>‘</w:t>
      </w:r>
      <w:r w:rsidR="00CF1F63">
        <w:rPr>
          <w:rFonts w:cs="Arial"/>
          <w:sz w:val="22"/>
          <w:szCs w:val="22"/>
        </w:rPr>
        <w:t>Cameras could be considered the equivalent of the police notebook, but only if it is accepted that pages of the notebook can be rewritten, edited, modified; even torn out entirely. That is why redaction, or more specifically, limiting the discretion of police officers to select when to record, is critical to ensuring they bring greater transparency, fairness and accountability.’</w:t>
      </w:r>
      <w:r>
        <w:rPr>
          <w:rFonts w:cs="Arial"/>
          <w:sz w:val="22"/>
          <w:szCs w:val="22"/>
        </w:rPr>
        <w:t xml:space="preserve"> </w:t>
      </w:r>
      <w:r w:rsidR="00CF1F63">
        <w:rPr>
          <w:rFonts w:cs="Arial"/>
          <w:sz w:val="22"/>
          <w:szCs w:val="22"/>
        </w:rPr>
        <w:t>This journal text highlights the issue with the guidance- that the discretion of officers is in itself so vague as to risk the discretion being an abuse of process when in fact, it may be a genuine belief on the officer’s part that they were using their judgement appropriately. Taylor identified that battery life could affect an officer’s decision to record as not all cameras have the battery life to ‘record for the entire duration of an officer’s shift’. In addition, that if all interaction was required it would produce ‘a massive amount of data that requires considerable processing and storage, the sheer volume of which could hamper the ease of retrieval. As such, police officers could legitimately choose not to record an incident, thus negating the claim that police-worn body cameras, for example, increase fairness and reduce use of force.’ There is no</w:t>
      </w:r>
      <w:r w:rsidR="00067BB4">
        <w:rPr>
          <w:rFonts w:cs="Arial"/>
          <w:sz w:val="22"/>
          <w:szCs w:val="22"/>
        </w:rPr>
        <w:t>t</w:t>
      </w:r>
      <w:r w:rsidR="00CF1F63">
        <w:rPr>
          <w:rFonts w:cs="Arial"/>
          <w:sz w:val="22"/>
          <w:szCs w:val="22"/>
        </w:rPr>
        <w:t xml:space="preserve"> one model of BW</w:t>
      </w:r>
      <w:r w:rsidR="00067BB4">
        <w:rPr>
          <w:rFonts w:cs="Arial"/>
          <w:sz w:val="22"/>
          <w:szCs w:val="22"/>
        </w:rPr>
        <w:t>V</w:t>
      </w:r>
      <w:r w:rsidR="00CF1F63">
        <w:rPr>
          <w:rFonts w:cs="Arial"/>
          <w:sz w:val="22"/>
          <w:szCs w:val="22"/>
        </w:rPr>
        <w:t xml:space="preserve"> tha</w:t>
      </w:r>
      <w:r w:rsidR="00067BB4">
        <w:rPr>
          <w:rFonts w:cs="Arial"/>
          <w:sz w:val="22"/>
          <w:szCs w:val="22"/>
        </w:rPr>
        <w:t>t</w:t>
      </w:r>
      <w:r w:rsidR="00CF1F63">
        <w:rPr>
          <w:rFonts w:cs="Arial"/>
          <w:sz w:val="22"/>
          <w:szCs w:val="22"/>
        </w:rPr>
        <w:t xml:space="preserve"> is used across all 43 forces so this may be a legitimate issue.  In addition, even if viewed in the context of the new 2022 guidance, there is a tendency to record if in doubt, meaning that there are real operational difficulties in recording all interactions and any subsequent data storage and retrieval. Despite the issues raised by the author, she believes that the ‘default position should be that police-worn body cameras record continuously. This largely resolves four main issues: officers forgetting to resume recording when interacting with the public, officers being taken by surprise or events unfolding rapidly and so are not recorded, the activation of the camera aggravating the situation, and the wilful switching off to avoid capturing misconduct. If this position were to be accepted, it opens up an avenue for greater interrogation into how cameras are used during police operations. It could be presumed that if a camera is switched off during an altercation, with no reasonable justification, then it represents the deliberate destruction of evidence. It could also be presumed that the images, had they been recorded, would have been unfavourable to the police officer involved’. Essentially, </w:t>
      </w:r>
      <w:r w:rsidR="00067BB4">
        <w:rPr>
          <w:rFonts w:cs="Arial"/>
          <w:sz w:val="22"/>
          <w:szCs w:val="22"/>
        </w:rPr>
        <w:t xml:space="preserve">Taylor </w:t>
      </w:r>
      <w:r w:rsidR="00CF1F63">
        <w:rPr>
          <w:rFonts w:cs="Arial"/>
          <w:sz w:val="22"/>
          <w:szCs w:val="22"/>
        </w:rPr>
        <w:t xml:space="preserve">suggested an approach that may be impracticable. The author based their study in Australia which has a similar police system to England and Wales so is useful for discussion of operational issues but any data or reference to the coincidence of violence between the police and </w:t>
      </w:r>
      <w:r w:rsidR="00067BB4">
        <w:rPr>
          <w:rFonts w:cs="Arial"/>
          <w:sz w:val="22"/>
          <w:szCs w:val="22"/>
        </w:rPr>
        <w:t>public will</w:t>
      </w:r>
      <w:r w:rsidR="00CF1F63">
        <w:rPr>
          <w:rFonts w:cs="Arial"/>
          <w:sz w:val="22"/>
          <w:szCs w:val="22"/>
        </w:rPr>
        <w:t xml:space="preserve"> not be appropriate for use in this dissertation due to slight cultural differences and case law history which impacts on perception.    </w:t>
      </w:r>
    </w:p>
    <w:p w14:paraId="0131E730" w14:textId="77777777" w:rsidR="00CF1F63" w:rsidRDefault="00CF1F63" w:rsidP="00CF1F63">
      <w:pPr>
        <w:rPr>
          <w:rFonts w:cs="Arial"/>
          <w:sz w:val="22"/>
          <w:szCs w:val="22"/>
        </w:rPr>
      </w:pPr>
    </w:p>
    <w:p w14:paraId="727ED6F4" w14:textId="77777777" w:rsidR="00CF1F63" w:rsidRDefault="00CF1F63" w:rsidP="00CF1F63">
      <w:pPr>
        <w:rPr>
          <w:rFonts w:cs="Arial"/>
          <w:sz w:val="22"/>
          <w:szCs w:val="22"/>
        </w:rPr>
      </w:pPr>
    </w:p>
    <w:p w14:paraId="07094987" w14:textId="11C85AF8" w:rsidR="00CF1F63" w:rsidRDefault="004B479C" w:rsidP="00CF1F63">
      <w:pPr>
        <w:rPr>
          <w:rFonts w:cs="Arial"/>
          <w:sz w:val="22"/>
          <w:szCs w:val="22"/>
        </w:rPr>
      </w:pPr>
      <w:r w:rsidRPr="004B479C">
        <w:rPr>
          <w:rFonts w:cs="Arial"/>
          <w:sz w:val="22"/>
          <w:szCs w:val="22"/>
        </w:rPr>
        <w:t>Ariel, B., Sutherland, A., Henstock, D., Young, J. and Sosinski, G. (2017)</w:t>
      </w:r>
      <w:r w:rsidR="00CF1F63" w:rsidRPr="004B479C">
        <w:rPr>
          <w:rFonts w:cs="Arial"/>
          <w:sz w:val="22"/>
          <w:szCs w:val="22"/>
        </w:rPr>
        <w:t xml:space="preserve"> </w:t>
      </w:r>
      <w:r>
        <w:rPr>
          <w:rFonts w:cs="Arial"/>
          <w:sz w:val="22"/>
          <w:szCs w:val="22"/>
        </w:rPr>
        <w:t xml:space="preserve">have </w:t>
      </w:r>
      <w:r w:rsidR="00CF1F63" w:rsidRPr="004B479C">
        <w:rPr>
          <w:rFonts w:cs="Arial"/>
          <w:sz w:val="22"/>
          <w:szCs w:val="22"/>
        </w:rPr>
        <w:t>fo</w:t>
      </w:r>
      <w:r w:rsidR="00CF1F63">
        <w:rPr>
          <w:rFonts w:cs="Arial"/>
          <w:sz w:val="22"/>
          <w:szCs w:val="22"/>
        </w:rPr>
        <w:t>cus</w:t>
      </w:r>
      <w:r>
        <w:rPr>
          <w:rFonts w:cs="Arial"/>
          <w:sz w:val="22"/>
          <w:szCs w:val="22"/>
        </w:rPr>
        <w:t>ed</w:t>
      </w:r>
      <w:r w:rsidR="00CF1F63">
        <w:rPr>
          <w:rFonts w:cs="Arial"/>
          <w:sz w:val="22"/>
          <w:szCs w:val="22"/>
        </w:rPr>
        <w:t xml:space="preserve"> </w:t>
      </w:r>
      <w:r>
        <w:rPr>
          <w:rFonts w:cs="Arial"/>
          <w:sz w:val="22"/>
          <w:szCs w:val="22"/>
        </w:rPr>
        <w:t>up</w:t>
      </w:r>
      <w:r w:rsidR="00CF1F63">
        <w:rPr>
          <w:rFonts w:cs="Arial"/>
          <w:sz w:val="22"/>
          <w:szCs w:val="22"/>
        </w:rPr>
        <w:t>on whether the use of BW</w:t>
      </w:r>
      <w:r>
        <w:rPr>
          <w:rFonts w:cs="Arial"/>
          <w:sz w:val="22"/>
          <w:szCs w:val="22"/>
        </w:rPr>
        <w:t>V</w:t>
      </w:r>
      <w:r w:rsidR="00CF1F63">
        <w:rPr>
          <w:rFonts w:cs="Arial"/>
          <w:sz w:val="22"/>
          <w:szCs w:val="22"/>
        </w:rPr>
        <w:t xml:space="preserve"> has </w:t>
      </w:r>
      <w:r>
        <w:rPr>
          <w:rFonts w:cs="Arial"/>
          <w:sz w:val="22"/>
          <w:szCs w:val="22"/>
        </w:rPr>
        <w:t xml:space="preserve">had </w:t>
      </w:r>
      <w:r w:rsidR="00CF1F63">
        <w:rPr>
          <w:rFonts w:cs="Arial"/>
          <w:sz w:val="22"/>
          <w:szCs w:val="22"/>
        </w:rPr>
        <w:t xml:space="preserve">an effect </w:t>
      </w:r>
      <w:r>
        <w:rPr>
          <w:rFonts w:cs="Arial"/>
          <w:sz w:val="22"/>
          <w:szCs w:val="22"/>
        </w:rPr>
        <w:t>up</w:t>
      </w:r>
      <w:r w:rsidR="00CF1F63">
        <w:rPr>
          <w:rFonts w:cs="Arial"/>
          <w:sz w:val="22"/>
          <w:szCs w:val="22"/>
        </w:rPr>
        <w:t>on incidences of violence between officers and members of the public and the ‘deterrence theory’. There is also a discussion of the rates of complaints with reference to the ‘Rialto Experiment’</w:t>
      </w:r>
      <w:r>
        <w:rPr>
          <w:rFonts w:cs="Arial"/>
          <w:sz w:val="22"/>
          <w:szCs w:val="22"/>
        </w:rPr>
        <w:t xml:space="preserve"> (</w:t>
      </w:r>
      <w:r w:rsidR="00CF1F63">
        <w:rPr>
          <w:rFonts w:cs="Arial"/>
          <w:sz w:val="22"/>
          <w:szCs w:val="22"/>
        </w:rPr>
        <w:t>Ariel, B., Farrar, W.A. &amp; Sutherland, A</w:t>
      </w:r>
      <w:r>
        <w:rPr>
          <w:rFonts w:cs="Arial"/>
          <w:sz w:val="22"/>
          <w:szCs w:val="22"/>
        </w:rPr>
        <w:t xml:space="preserve">, </w:t>
      </w:r>
      <w:r w:rsidR="00CF1F63">
        <w:rPr>
          <w:rFonts w:cs="Arial"/>
          <w:sz w:val="22"/>
          <w:szCs w:val="22"/>
        </w:rPr>
        <w:t>2014</w:t>
      </w:r>
      <w:r>
        <w:rPr>
          <w:rFonts w:cs="Arial"/>
          <w:sz w:val="22"/>
          <w:szCs w:val="22"/>
        </w:rPr>
        <w:t>.</w:t>
      </w:r>
      <w:r w:rsidR="00CF1F63">
        <w:rPr>
          <w:rFonts w:cs="Arial"/>
          <w:sz w:val="22"/>
          <w:szCs w:val="22"/>
        </w:rPr>
        <w:t>)</w:t>
      </w:r>
      <w:r>
        <w:rPr>
          <w:rFonts w:cs="Arial"/>
          <w:sz w:val="22"/>
          <w:szCs w:val="22"/>
        </w:rPr>
        <w:t xml:space="preserve"> A</w:t>
      </w:r>
      <w:r w:rsidR="00CF1F63">
        <w:rPr>
          <w:rFonts w:cs="Arial"/>
          <w:sz w:val="22"/>
          <w:szCs w:val="22"/>
        </w:rPr>
        <w:t xml:space="preserve"> controlled experiment</w:t>
      </w:r>
      <w:r>
        <w:rPr>
          <w:rFonts w:cs="Arial"/>
          <w:sz w:val="22"/>
          <w:szCs w:val="22"/>
        </w:rPr>
        <w:t xml:space="preserve"> was conducted upon</w:t>
      </w:r>
      <w:r w:rsidR="00CF1F63">
        <w:rPr>
          <w:rFonts w:cs="Arial"/>
          <w:sz w:val="22"/>
          <w:szCs w:val="22"/>
        </w:rPr>
        <w:t xml:space="preserve"> a group of officers that had strict instructions</w:t>
      </w:r>
      <w:r>
        <w:rPr>
          <w:rFonts w:cs="Arial"/>
          <w:sz w:val="22"/>
          <w:szCs w:val="22"/>
        </w:rPr>
        <w:t xml:space="preserve"> </w:t>
      </w:r>
      <w:r w:rsidR="00CF1F63">
        <w:rPr>
          <w:rFonts w:cs="Arial"/>
          <w:sz w:val="22"/>
          <w:szCs w:val="22"/>
        </w:rPr>
        <w:t>on how to use BW</w:t>
      </w:r>
      <w:r>
        <w:rPr>
          <w:rFonts w:cs="Arial"/>
          <w:sz w:val="22"/>
          <w:szCs w:val="22"/>
        </w:rPr>
        <w:t xml:space="preserve">V </w:t>
      </w:r>
      <w:r w:rsidR="00CF1F63">
        <w:rPr>
          <w:rFonts w:cs="Arial"/>
          <w:sz w:val="22"/>
          <w:szCs w:val="22"/>
        </w:rPr>
        <w:t xml:space="preserve">and a group that did not have the equipment </w:t>
      </w:r>
      <w:r w:rsidR="00FF0304">
        <w:rPr>
          <w:rFonts w:cs="Arial"/>
          <w:sz w:val="22"/>
          <w:szCs w:val="22"/>
        </w:rPr>
        <w:t>and the</w:t>
      </w:r>
      <w:r w:rsidR="00CF1F63">
        <w:rPr>
          <w:rFonts w:cs="Arial"/>
          <w:sz w:val="22"/>
          <w:szCs w:val="22"/>
        </w:rPr>
        <w:t xml:space="preserve"> subsequent Cambridge University replication study. In both experiments forces did not adhere to the protocol they were given. This means that the empirical data will not be accurate. </w:t>
      </w:r>
      <w:r w:rsidR="00CF1F63" w:rsidRPr="000067E3">
        <w:rPr>
          <w:rFonts w:cs="Arial"/>
          <w:sz w:val="22"/>
          <w:szCs w:val="22"/>
        </w:rPr>
        <w:t>The use of a questionnaire of operational officers within the dissertation is hoped to gain a more subjective response of opinions of officers as to their perception of increase or decrease in violence during their use</w:t>
      </w:r>
      <w:r w:rsidR="000067E3">
        <w:rPr>
          <w:rFonts w:cs="Arial"/>
          <w:sz w:val="22"/>
          <w:szCs w:val="22"/>
        </w:rPr>
        <w:t xml:space="preserve"> of BWV</w:t>
      </w:r>
      <w:r w:rsidR="00CF1F63" w:rsidRPr="000067E3">
        <w:rPr>
          <w:rFonts w:cs="Arial"/>
          <w:sz w:val="22"/>
          <w:szCs w:val="22"/>
        </w:rPr>
        <w:t>.</w:t>
      </w:r>
      <w:r w:rsidR="00CF1F63">
        <w:rPr>
          <w:rFonts w:cs="Arial"/>
          <w:sz w:val="22"/>
          <w:szCs w:val="22"/>
        </w:rPr>
        <w:t xml:space="preserve">  The article alludes to the fact that, as well as protocol not being adhered to in experiments, the policies and guidelines around their use cannot keep up with the speed at which B</w:t>
      </w:r>
      <w:r w:rsidR="000067E3">
        <w:rPr>
          <w:rFonts w:cs="Arial"/>
          <w:sz w:val="22"/>
          <w:szCs w:val="22"/>
        </w:rPr>
        <w:t>WV’s</w:t>
      </w:r>
      <w:r w:rsidR="00CF1F63">
        <w:rPr>
          <w:rFonts w:cs="Arial"/>
          <w:sz w:val="22"/>
          <w:szCs w:val="22"/>
        </w:rPr>
        <w:t xml:space="preserve"> are being used making the control of their use a constant process. It can also be inferred that if protocol is not adhered to when officers are aware that every interaction with the public and use of the technology will be analysed </w:t>
      </w:r>
      <w:r w:rsidR="00CF1F63">
        <w:rPr>
          <w:rFonts w:cs="Arial"/>
          <w:sz w:val="22"/>
          <w:szCs w:val="22"/>
        </w:rPr>
        <w:lastRenderedPageBreak/>
        <w:t xml:space="preserve">that it is even less likely to be followed when officers are unaware that their actions may be reviewed. </w:t>
      </w:r>
    </w:p>
    <w:p w14:paraId="4E5695B7" w14:textId="6ABA5B1B" w:rsidR="00FF0304" w:rsidRDefault="00FF0304" w:rsidP="00CF1F63">
      <w:pPr>
        <w:rPr>
          <w:rFonts w:cs="Arial"/>
          <w:sz w:val="22"/>
          <w:szCs w:val="22"/>
        </w:rPr>
      </w:pPr>
    </w:p>
    <w:p w14:paraId="0A45FB8B" w14:textId="77777777" w:rsidR="00FF0304" w:rsidRDefault="00FF0304" w:rsidP="00CF1F63">
      <w:pPr>
        <w:rPr>
          <w:rFonts w:cs="Arial"/>
          <w:sz w:val="22"/>
          <w:szCs w:val="22"/>
        </w:rPr>
      </w:pPr>
    </w:p>
    <w:p w14:paraId="0A567ADE" w14:textId="335D6614" w:rsidR="00CF1F63" w:rsidRDefault="00CF1F63" w:rsidP="00CF1F63">
      <w:pPr>
        <w:rPr>
          <w:rFonts w:cs="Arial"/>
          <w:sz w:val="22"/>
          <w:szCs w:val="22"/>
        </w:rPr>
      </w:pPr>
      <w:r>
        <w:rPr>
          <w:rFonts w:cs="Arial"/>
          <w:sz w:val="22"/>
          <w:szCs w:val="22"/>
        </w:rPr>
        <w:t>In June 2021 the College of Policing surmised that the use of BW</w:t>
      </w:r>
      <w:r w:rsidR="003045B3">
        <w:rPr>
          <w:rFonts w:cs="Arial"/>
          <w:sz w:val="22"/>
          <w:szCs w:val="22"/>
        </w:rPr>
        <w:t>V</w:t>
      </w:r>
      <w:r>
        <w:rPr>
          <w:rFonts w:cs="Arial"/>
          <w:sz w:val="22"/>
          <w:szCs w:val="22"/>
        </w:rPr>
        <w:t xml:space="preserve"> ‘did not have a significant impact on crime-related </w:t>
      </w:r>
      <w:r w:rsidR="00FF0304">
        <w:rPr>
          <w:rFonts w:cs="Arial"/>
          <w:sz w:val="22"/>
          <w:szCs w:val="22"/>
        </w:rPr>
        <w:t>outcomes’</w:t>
      </w:r>
      <w:r>
        <w:rPr>
          <w:rFonts w:cs="Arial"/>
          <w:sz w:val="22"/>
          <w:szCs w:val="22"/>
        </w:rPr>
        <w:t xml:space="preserve">. But that complaints against officers were reduced by their use. However, this review was based on 30 studies, most of them being undertaken in the USA, which has armed officers, different force structure, </w:t>
      </w:r>
      <w:r w:rsidR="003045B3">
        <w:rPr>
          <w:rFonts w:cs="Arial"/>
          <w:sz w:val="22"/>
          <w:szCs w:val="22"/>
        </w:rPr>
        <w:t>culture,</w:t>
      </w:r>
      <w:r>
        <w:rPr>
          <w:rFonts w:cs="Arial"/>
          <w:sz w:val="22"/>
          <w:szCs w:val="22"/>
        </w:rPr>
        <w:t xml:space="preserve"> and relationship with the community so a comparative analysis may not be reliable. This further confirms that studies on the effectiveness of BW</w:t>
      </w:r>
      <w:r w:rsidR="003045B3">
        <w:rPr>
          <w:rFonts w:cs="Arial"/>
          <w:sz w:val="22"/>
          <w:szCs w:val="22"/>
        </w:rPr>
        <w:t xml:space="preserve">V </w:t>
      </w:r>
      <w:r>
        <w:rPr>
          <w:rFonts w:cs="Arial"/>
          <w:sz w:val="22"/>
          <w:szCs w:val="22"/>
        </w:rPr>
        <w:t>on reduction in police/ public violence need</w:t>
      </w:r>
      <w:r w:rsidR="003045B3">
        <w:rPr>
          <w:rFonts w:cs="Arial"/>
          <w:sz w:val="22"/>
          <w:szCs w:val="22"/>
        </w:rPr>
        <w:t>s</w:t>
      </w:r>
      <w:r>
        <w:rPr>
          <w:rFonts w:cs="Arial"/>
          <w:sz w:val="22"/>
          <w:szCs w:val="22"/>
        </w:rPr>
        <w:t xml:space="preserve"> to be increased before their effectiveness in relation to this potential benefit of use.</w:t>
      </w:r>
    </w:p>
    <w:p w14:paraId="32B43A51" w14:textId="77777777" w:rsidR="00CF1F63" w:rsidRDefault="00CF1F63" w:rsidP="00CF1F63">
      <w:pPr>
        <w:rPr>
          <w:rFonts w:cs="Arial"/>
          <w:sz w:val="22"/>
          <w:szCs w:val="22"/>
        </w:rPr>
      </w:pPr>
    </w:p>
    <w:p w14:paraId="472DFA96" w14:textId="2121DAAC" w:rsidR="004C175F" w:rsidRDefault="00CF1F63" w:rsidP="004C175F">
      <w:pPr>
        <w:jc w:val="both"/>
        <w:rPr>
          <w:rFonts w:cs="Arial"/>
          <w:sz w:val="22"/>
          <w:szCs w:val="22"/>
        </w:rPr>
      </w:pPr>
      <w:r>
        <w:rPr>
          <w:rFonts w:cs="Arial"/>
          <w:sz w:val="22"/>
          <w:szCs w:val="22"/>
        </w:rPr>
        <w:t>Following the Home Secretary’s Speech to the Police Federation in 2015 (GOV.UK</w:t>
      </w:r>
      <w:r w:rsidR="004C175F">
        <w:rPr>
          <w:rFonts w:cs="Arial"/>
          <w:sz w:val="22"/>
          <w:szCs w:val="22"/>
        </w:rPr>
        <w:t>)</w:t>
      </w:r>
      <w:r w:rsidR="00EB6C79">
        <w:rPr>
          <w:rFonts w:cs="Arial"/>
          <w:sz w:val="22"/>
          <w:szCs w:val="22"/>
        </w:rPr>
        <w:t xml:space="preserve"> </w:t>
      </w:r>
      <w:r>
        <w:rPr>
          <w:rFonts w:cs="Arial"/>
          <w:sz w:val="22"/>
          <w:szCs w:val="22"/>
        </w:rPr>
        <w:t xml:space="preserve"> the Parliamentary Office of Science and Technology discussed the implementation of BW</w:t>
      </w:r>
      <w:r w:rsidR="00EB6C79">
        <w:rPr>
          <w:rFonts w:cs="Arial"/>
          <w:sz w:val="22"/>
          <w:szCs w:val="22"/>
        </w:rPr>
        <w:t>V</w:t>
      </w:r>
      <w:r>
        <w:rPr>
          <w:rFonts w:cs="Arial"/>
          <w:sz w:val="22"/>
          <w:szCs w:val="22"/>
        </w:rPr>
        <w:t xml:space="preserve"> and Theresa May’s belief that they would improve working practices and time management (Jameel, L. and Bunn, S. (2013</w:t>
      </w:r>
      <w:r w:rsidR="004C175F">
        <w:rPr>
          <w:rFonts w:cs="Arial"/>
          <w:sz w:val="22"/>
          <w:szCs w:val="22"/>
        </w:rPr>
        <w:t>)</w:t>
      </w:r>
      <w:r w:rsidR="00FF0304">
        <w:rPr>
          <w:rFonts w:cs="Arial"/>
          <w:sz w:val="22"/>
          <w:szCs w:val="22"/>
        </w:rPr>
        <w:t>)</w:t>
      </w:r>
      <w:r w:rsidR="004C175F">
        <w:rPr>
          <w:rFonts w:cs="Arial"/>
          <w:sz w:val="22"/>
          <w:szCs w:val="22"/>
        </w:rPr>
        <w:t>.</w:t>
      </w:r>
    </w:p>
    <w:p w14:paraId="76356A1A" w14:textId="0881C7AD" w:rsidR="004C175F" w:rsidRDefault="00CF1F63" w:rsidP="00CF1F63">
      <w:pPr>
        <w:jc w:val="both"/>
        <w:rPr>
          <w:rFonts w:cs="Arial"/>
          <w:sz w:val="22"/>
          <w:szCs w:val="22"/>
        </w:rPr>
      </w:pPr>
      <w:r>
        <w:rPr>
          <w:rFonts w:cs="Arial"/>
          <w:sz w:val="22"/>
          <w:szCs w:val="22"/>
        </w:rPr>
        <w:t>The brief confirmed that there was evidence to show that there was an increase in prosecution of domestic abuse case</w:t>
      </w:r>
      <w:r w:rsidR="00FF0304">
        <w:rPr>
          <w:rFonts w:cs="Arial"/>
          <w:sz w:val="22"/>
          <w:szCs w:val="22"/>
        </w:rPr>
        <w:t>s</w:t>
      </w:r>
      <w:r>
        <w:rPr>
          <w:rFonts w:cs="Arial"/>
          <w:sz w:val="22"/>
          <w:szCs w:val="22"/>
        </w:rPr>
        <w:t xml:space="preserve"> but again alluded to that many of the trials of BW</w:t>
      </w:r>
      <w:r w:rsidR="00FF0304">
        <w:rPr>
          <w:rFonts w:cs="Arial"/>
          <w:sz w:val="22"/>
          <w:szCs w:val="22"/>
        </w:rPr>
        <w:t>V</w:t>
      </w:r>
      <w:r>
        <w:rPr>
          <w:rFonts w:cs="Arial"/>
          <w:sz w:val="22"/>
          <w:szCs w:val="22"/>
        </w:rPr>
        <w:t xml:space="preserve"> that were undertaken in forces varied in ‘robustness’ force to force and that using randomised controlled trials in justice and social policies is complex both in administration, explanation, and ethical considerations. Again, the Rialto Randomised Control Trial was used a reference point for success in reducing use of police force, with no reference to the difference in police culture and social issues such as gun use.  Indeed, the increase in prosecution of domestic abuse cases was limited to data collected during the Essex Police Domestic Violence RCT</w:t>
      </w:r>
      <w:r w:rsidR="004C175F">
        <w:rPr>
          <w:rFonts w:cs="Arial"/>
          <w:sz w:val="22"/>
          <w:szCs w:val="22"/>
        </w:rPr>
        <w:t xml:space="preserve"> as stated </w:t>
      </w:r>
      <w:r w:rsidR="004C175F" w:rsidRPr="000650D9">
        <w:t>Owens, C., Mann, D. and Mckenna, R. (2014)</w:t>
      </w:r>
      <w:r w:rsidR="00FF0304">
        <w:t xml:space="preserve"> reported</w:t>
      </w:r>
      <w:r w:rsidR="004C175F">
        <w:t xml:space="preserve">. </w:t>
      </w:r>
      <w:r>
        <w:rPr>
          <w:rFonts w:cs="Arial"/>
          <w:sz w:val="22"/>
          <w:szCs w:val="22"/>
        </w:rPr>
        <w:t>This again shows that there is a lack of reliable and valid empirical evidence to identify the positive and negative effects of B</w:t>
      </w:r>
      <w:r w:rsidR="004C175F">
        <w:rPr>
          <w:rFonts w:cs="Arial"/>
          <w:sz w:val="22"/>
          <w:szCs w:val="22"/>
        </w:rPr>
        <w:t>WV</w:t>
      </w:r>
      <w:r>
        <w:rPr>
          <w:rFonts w:cs="Arial"/>
          <w:sz w:val="22"/>
          <w:szCs w:val="22"/>
        </w:rPr>
        <w:t xml:space="preserve"> in relation to a small area of their use</w:t>
      </w:r>
      <w:r w:rsidR="004C175F">
        <w:rPr>
          <w:rFonts w:cs="Arial"/>
          <w:sz w:val="22"/>
          <w:szCs w:val="22"/>
        </w:rPr>
        <w:t>.</w:t>
      </w:r>
    </w:p>
    <w:p w14:paraId="0E159372" w14:textId="77777777" w:rsidR="00CF1F63" w:rsidRDefault="00CF1F63" w:rsidP="00CF1F63">
      <w:pPr>
        <w:rPr>
          <w:rFonts w:cs="Arial"/>
          <w:sz w:val="22"/>
          <w:szCs w:val="22"/>
        </w:rPr>
      </w:pPr>
    </w:p>
    <w:p w14:paraId="6CC62FF6" w14:textId="3453158D" w:rsidR="00CF1F63" w:rsidRDefault="00CF1F63" w:rsidP="00CF1F63">
      <w:pPr>
        <w:rPr>
          <w:rFonts w:cs="Arial"/>
          <w:b/>
          <w:bCs/>
          <w:sz w:val="22"/>
          <w:szCs w:val="22"/>
        </w:rPr>
      </w:pPr>
      <w:r>
        <w:rPr>
          <w:rFonts w:cs="Arial"/>
          <w:sz w:val="22"/>
          <w:szCs w:val="22"/>
        </w:rPr>
        <w:t xml:space="preserve">Harrison, K., L’Hoiry, X., &amp; Santorso, S. </w:t>
      </w:r>
      <w:r>
        <w:rPr>
          <w:rFonts w:cs="Arial"/>
          <w:b/>
          <w:bCs/>
          <w:sz w:val="22"/>
          <w:szCs w:val="22"/>
        </w:rPr>
        <w:t xml:space="preserve"> </w:t>
      </w:r>
      <w:r>
        <w:rPr>
          <w:rFonts w:cs="Arial"/>
          <w:sz w:val="22"/>
          <w:szCs w:val="22"/>
        </w:rPr>
        <w:t>(2021)</w:t>
      </w:r>
      <w:r w:rsidR="004C175F">
        <w:rPr>
          <w:rFonts w:cs="Arial"/>
          <w:sz w:val="22"/>
          <w:szCs w:val="22"/>
        </w:rPr>
        <w:t xml:space="preserve"> </w:t>
      </w:r>
      <w:r>
        <w:rPr>
          <w:rFonts w:cs="Arial"/>
          <w:sz w:val="22"/>
          <w:szCs w:val="22"/>
        </w:rPr>
        <w:t xml:space="preserve">have completed the most up to date survey on </w:t>
      </w:r>
      <w:r w:rsidR="004C175F">
        <w:rPr>
          <w:rFonts w:cs="Arial"/>
          <w:sz w:val="22"/>
          <w:szCs w:val="22"/>
        </w:rPr>
        <w:t>officers’</w:t>
      </w:r>
      <w:r>
        <w:rPr>
          <w:rFonts w:cs="Arial"/>
          <w:sz w:val="22"/>
          <w:szCs w:val="22"/>
        </w:rPr>
        <w:t xml:space="preserve"> perception of usefulness of BW</w:t>
      </w:r>
      <w:r w:rsidR="004C175F">
        <w:rPr>
          <w:rFonts w:cs="Arial"/>
          <w:sz w:val="22"/>
          <w:szCs w:val="22"/>
        </w:rPr>
        <w:t>V with</w:t>
      </w:r>
      <w:r>
        <w:rPr>
          <w:rFonts w:cs="Arial"/>
          <w:sz w:val="22"/>
          <w:szCs w:val="22"/>
        </w:rPr>
        <w:t xml:space="preserve"> regard</w:t>
      </w:r>
      <w:r w:rsidR="004C175F">
        <w:rPr>
          <w:rFonts w:cs="Arial"/>
          <w:sz w:val="22"/>
          <w:szCs w:val="22"/>
        </w:rPr>
        <w:t>s to</w:t>
      </w:r>
      <w:r>
        <w:rPr>
          <w:rFonts w:cs="Arial"/>
          <w:sz w:val="22"/>
          <w:szCs w:val="22"/>
        </w:rPr>
        <w:t xml:space="preserve"> </w:t>
      </w:r>
      <w:r w:rsidR="004C175F">
        <w:rPr>
          <w:rFonts w:cs="Arial"/>
          <w:sz w:val="22"/>
          <w:szCs w:val="22"/>
        </w:rPr>
        <w:t>officers’</w:t>
      </w:r>
      <w:r>
        <w:rPr>
          <w:rFonts w:cs="Arial"/>
          <w:sz w:val="22"/>
          <w:szCs w:val="22"/>
        </w:rPr>
        <w:t xml:space="preserve"> behaviour modification. This research is important as it is based on forces in England and Wales, i</w:t>
      </w:r>
      <w:r w:rsidR="004C175F">
        <w:rPr>
          <w:rFonts w:cs="Arial"/>
          <w:sz w:val="22"/>
          <w:szCs w:val="22"/>
        </w:rPr>
        <w:t>ts</w:t>
      </w:r>
      <w:r>
        <w:rPr>
          <w:rFonts w:cs="Arial"/>
          <w:sz w:val="22"/>
          <w:szCs w:val="22"/>
        </w:rPr>
        <w:t xml:space="preserve"> current and poses similar questions to those to be asked in my survey which will allow a comparison of findings of national versus individual force </w:t>
      </w:r>
      <w:r w:rsidR="004C175F">
        <w:rPr>
          <w:rFonts w:cs="Arial"/>
          <w:sz w:val="22"/>
          <w:szCs w:val="22"/>
        </w:rPr>
        <w:t xml:space="preserve">results. </w:t>
      </w:r>
      <w:r>
        <w:rPr>
          <w:rFonts w:cs="Arial"/>
          <w:sz w:val="22"/>
          <w:szCs w:val="22"/>
        </w:rPr>
        <w:t>The research in the study was funded by the N8 Policing Research Partnership and took place over a prolonged period so data produced by them will be of high validity and of benefit to my own research. Most officers conf</w:t>
      </w:r>
      <w:r w:rsidR="00FF0304">
        <w:rPr>
          <w:rFonts w:cs="Arial"/>
          <w:sz w:val="22"/>
          <w:szCs w:val="22"/>
        </w:rPr>
        <w:t>i</w:t>
      </w:r>
      <w:r>
        <w:rPr>
          <w:rFonts w:cs="Arial"/>
          <w:sz w:val="22"/>
          <w:szCs w:val="22"/>
        </w:rPr>
        <w:t>rmed that they would rather use BW</w:t>
      </w:r>
      <w:r w:rsidR="004C175F">
        <w:rPr>
          <w:rFonts w:cs="Arial"/>
          <w:sz w:val="22"/>
          <w:szCs w:val="22"/>
        </w:rPr>
        <w:t>V</w:t>
      </w:r>
      <w:r>
        <w:rPr>
          <w:rFonts w:cs="Arial"/>
          <w:sz w:val="22"/>
          <w:szCs w:val="22"/>
        </w:rPr>
        <w:t xml:space="preserve"> than not, stating that ‘those officers who captured the footage often found watching it back useful when making their statements, especially when it had been 'a particularly stressful job or something where you can't remember …it's good for significant comments'</w:t>
      </w:r>
      <w:r w:rsidR="00BA1AB2">
        <w:rPr>
          <w:rFonts w:cs="Arial"/>
          <w:sz w:val="22"/>
          <w:szCs w:val="22"/>
        </w:rPr>
        <w:t xml:space="preserve"> </w:t>
      </w:r>
      <w:r>
        <w:rPr>
          <w:rFonts w:cs="Arial"/>
          <w:sz w:val="22"/>
          <w:szCs w:val="22"/>
        </w:rPr>
        <w:t>and data collected indicated that 89.3% of respondents believed that the use BW</w:t>
      </w:r>
      <w:r w:rsidR="00BA1AB2">
        <w:rPr>
          <w:rFonts w:cs="Arial"/>
          <w:sz w:val="22"/>
          <w:szCs w:val="22"/>
        </w:rPr>
        <w:t>V</w:t>
      </w:r>
      <w:r>
        <w:rPr>
          <w:rFonts w:cs="Arial"/>
          <w:sz w:val="22"/>
          <w:szCs w:val="22"/>
        </w:rPr>
        <w:t xml:space="preserve"> improved their ‘ability to gather evidence’.  </w:t>
      </w:r>
      <w:r w:rsidR="00FF0304">
        <w:rPr>
          <w:rFonts w:cs="Arial"/>
          <w:sz w:val="22"/>
          <w:szCs w:val="22"/>
        </w:rPr>
        <w:t>T</w:t>
      </w:r>
      <w:r>
        <w:rPr>
          <w:rFonts w:cs="Arial"/>
          <w:sz w:val="22"/>
          <w:szCs w:val="22"/>
        </w:rPr>
        <w:t>he impact on officers’ behaviour data collated was that the majority of respondents (76.3% (n = 71) felt that ‘When wearing BWV, I speak to people in exactly the same way as before’, indicating that BWV had a neutral to positive impact on the relationship between the police and members of the public’ Researchers commented that although ‘interactions with the public had largely stayed the same, .. some officers did feel that wearing the cameras made them more accountable to the public. Question 10 of the survey asked participants to identify up to three benefits of having BWV and 41.3% (n = 50) identified increased accountability.</w:t>
      </w:r>
    </w:p>
    <w:p w14:paraId="0A2AEF60" w14:textId="77777777" w:rsidR="00CF1F63" w:rsidRDefault="00CF1F63" w:rsidP="00CF1F63">
      <w:pPr>
        <w:rPr>
          <w:rFonts w:cs="Arial"/>
          <w:sz w:val="22"/>
          <w:szCs w:val="22"/>
        </w:rPr>
      </w:pPr>
    </w:p>
    <w:p w14:paraId="2C2DE4DB" w14:textId="77777777" w:rsidR="00CF1F63" w:rsidRDefault="00CF1F63" w:rsidP="00CF1F63">
      <w:pPr>
        <w:rPr>
          <w:rFonts w:cs="Arial"/>
          <w:sz w:val="22"/>
          <w:szCs w:val="22"/>
        </w:rPr>
      </w:pPr>
    </w:p>
    <w:p w14:paraId="77B17B20" w14:textId="28C18339" w:rsidR="00CF1F63" w:rsidRDefault="00CF1F63" w:rsidP="00CF1F63">
      <w:r>
        <w:rPr>
          <w:rFonts w:cs="Arial"/>
          <w:sz w:val="22"/>
          <w:szCs w:val="22"/>
        </w:rPr>
        <w:t>Some limitations on the research is that much of the research into effectiveness of BW</w:t>
      </w:r>
      <w:r w:rsidR="00D02D72">
        <w:rPr>
          <w:rFonts w:cs="Arial"/>
          <w:sz w:val="22"/>
          <w:szCs w:val="22"/>
        </w:rPr>
        <w:t>V</w:t>
      </w:r>
      <w:r>
        <w:rPr>
          <w:rFonts w:cs="Arial"/>
          <w:sz w:val="22"/>
          <w:szCs w:val="22"/>
        </w:rPr>
        <w:t xml:space="preserve"> was undertaken during the trial and roll out period of the equipment. This means that officers were likely to be more aware of their behaviour whilst wearing them than they will be today when they are an accepted piece of the uniform and therefore officers in the studies may have consciously amended their behaviour. Therefore, most of the research will not be reflective of officer’s current perceptions. There is also conflict in findings as to whether </w:t>
      </w:r>
      <w:r>
        <w:rPr>
          <w:rFonts w:cs="Arial"/>
          <w:sz w:val="22"/>
          <w:szCs w:val="22"/>
        </w:rPr>
        <w:lastRenderedPageBreak/>
        <w:t>violence towards police in England and Wales is reduced by the presence of BW</w:t>
      </w:r>
      <w:r w:rsidR="00D02D72">
        <w:rPr>
          <w:rFonts w:cs="Arial"/>
          <w:sz w:val="22"/>
          <w:szCs w:val="22"/>
        </w:rPr>
        <w:t>V</w:t>
      </w:r>
      <w:r>
        <w:rPr>
          <w:rFonts w:cs="Arial"/>
          <w:sz w:val="22"/>
          <w:szCs w:val="22"/>
        </w:rPr>
        <w:t xml:space="preserve"> due to reliance on non-domestic data. This puts the reliability of the data gathering processes in doubt and may allude to different operational practices, including discretion of use of recording between forces and therefore validity of the findings will be compromised. Not only are there cultural differences between countries but different operational procedures and importantly (which has not been discussed in literature using foreign data) differing legislation regarding their use, which has an overwhelming impact on their use. More domestic data and research needs to be completed </w:t>
      </w:r>
      <w:r w:rsidR="00D02D72">
        <w:rPr>
          <w:rFonts w:cs="Arial"/>
          <w:sz w:val="22"/>
          <w:szCs w:val="22"/>
        </w:rPr>
        <w:t>in order to</w:t>
      </w:r>
      <w:r>
        <w:rPr>
          <w:rFonts w:cs="Arial"/>
          <w:sz w:val="22"/>
          <w:szCs w:val="22"/>
        </w:rPr>
        <w:t xml:space="preserve"> assess the usefulness of BW</w:t>
      </w:r>
      <w:r w:rsidR="00D02D72">
        <w:rPr>
          <w:rFonts w:cs="Arial"/>
          <w:sz w:val="22"/>
          <w:szCs w:val="22"/>
        </w:rPr>
        <w:t>V</w:t>
      </w:r>
      <w:r>
        <w:rPr>
          <w:rFonts w:cs="Arial"/>
          <w:sz w:val="22"/>
          <w:szCs w:val="22"/>
        </w:rPr>
        <w:t xml:space="preserve"> with focus on forces within England and Wales.</w:t>
      </w:r>
    </w:p>
    <w:p w14:paraId="6EA3B8EC" w14:textId="77777777" w:rsidR="00CF1F63" w:rsidRDefault="00CF1F63"/>
    <w:p w14:paraId="345595DC" w14:textId="1501CA8B" w:rsidR="00D02D72" w:rsidRDefault="00D02D72">
      <w:r>
        <w:t>Word count: 232</w:t>
      </w:r>
      <w:r w:rsidR="00FF0304">
        <w:t>6</w:t>
      </w:r>
    </w:p>
    <w:p w14:paraId="0766689D" w14:textId="77777777" w:rsidR="00D02D72" w:rsidRDefault="00D02D72"/>
    <w:p w14:paraId="59BC1145" w14:textId="77777777" w:rsidR="00D02D72" w:rsidRDefault="00D02D72"/>
    <w:p w14:paraId="5BB23107" w14:textId="77777777" w:rsidR="00D02D72" w:rsidRPr="00CF377F" w:rsidRDefault="00D02D72" w:rsidP="00D02D72">
      <w:r w:rsidRPr="00CF377F">
        <w:t>Ariel, B., Farrar, W.A. and Sutherland, A. (2015). The Effect of Police Body-Worn Cameras on Use of Force and Citizens’ Complaints Against the Police: A Randomized Controlled Trial. </w:t>
      </w:r>
      <w:r w:rsidRPr="00CF377F">
        <w:rPr>
          <w:i/>
          <w:iCs/>
        </w:rPr>
        <w:t>www.repository.cam.ac.uk</w:t>
      </w:r>
      <w:r w:rsidRPr="00CF377F">
        <w:t>. [online] Available at: https://www.repository.cam.ac.uk/handle/1810/246429 [Accessed 22 Feb. 2023].</w:t>
      </w:r>
    </w:p>
    <w:p w14:paraId="5E0FC07E" w14:textId="77777777" w:rsidR="00D02D72" w:rsidRDefault="00D02D72" w:rsidP="00D02D72">
      <w:pPr>
        <w:rPr>
          <w:rFonts w:cs="Arial"/>
        </w:rPr>
      </w:pPr>
      <w:r w:rsidRPr="00CF377F">
        <w:rPr>
          <w:rFonts w:cs="Arial"/>
        </w:rPr>
        <w:br/>
      </w:r>
      <w:bookmarkStart w:id="0" w:name="_Hlk135155767"/>
      <w:r w:rsidRPr="00CF377F">
        <w:rPr>
          <w:rFonts w:cs="Arial"/>
        </w:rPr>
        <w:t>Ariel, B., Sutherland, A., Henstock, D., Young, J. and Sosinski, G. (2017)</w:t>
      </w:r>
      <w:bookmarkEnd w:id="0"/>
      <w:r w:rsidRPr="00CF377F">
        <w:rPr>
          <w:rFonts w:cs="Arial"/>
        </w:rPr>
        <w:t>. The Deterrence Spectrum: Explaining Why Police Body-Worn Cameras ‘Work’ or ‘Backfire’ in Aggressive Police–Public Encounters. </w:t>
      </w:r>
      <w:r w:rsidRPr="00CF377F">
        <w:rPr>
          <w:rFonts w:cs="Arial"/>
          <w:i/>
          <w:iCs/>
        </w:rPr>
        <w:t>Policing: A Journal of Policy and Practice</w:t>
      </w:r>
      <w:r w:rsidRPr="00CF377F">
        <w:rPr>
          <w:rFonts w:cs="Arial"/>
        </w:rPr>
        <w:t>, 12(1), pp.6–26. doi:https://doi.org/10.1093/police/paw051.</w:t>
      </w:r>
    </w:p>
    <w:p w14:paraId="1D5891A5" w14:textId="77777777" w:rsidR="00D02D72" w:rsidRDefault="00D02D72" w:rsidP="00D02D72">
      <w:pPr>
        <w:rPr>
          <w:rFonts w:cs="Arial"/>
        </w:rPr>
      </w:pPr>
    </w:p>
    <w:p w14:paraId="69D821AF" w14:textId="77777777" w:rsidR="00D02D72" w:rsidRDefault="00D02D72" w:rsidP="00D02D72">
      <w:pPr>
        <w:rPr>
          <w:rFonts w:cs="Arial"/>
        </w:rPr>
      </w:pPr>
      <w:r w:rsidRPr="00B40082">
        <w:rPr>
          <w:rFonts w:cs="Arial"/>
        </w:rPr>
        <w:t>College Of Policing (2021). Crime reduction toolkit. [online] College of Policing. Available at: https://www.college.police.uk/research/crime-reduction-toolkit#:~:text=The%20crime%20reduction%20toolkit%20summarises [Accessed 1 Mar. 2023].</w:t>
      </w:r>
    </w:p>
    <w:p w14:paraId="23912000" w14:textId="77777777" w:rsidR="00D02D72" w:rsidRDefault="00D02D72" w:rsidP="00D02D72">
      <w:pPr>
        <w:rPr>
          <w:rFonts w:cs="Arial"/>
        </w:rPr>
      </w:pPr>
    </w:p>
    <w:p w14:paraId="11856948" w14:textId="77777777" w:rsidR="00D02D72" w:rsidRDefault="00D02D72" w:rsidP="00D02D72">
      <w:r w:rsidRPr="005E2DF7">
        <w:t>College of Policing (2014). </w:t>
      </w:r>
      <w:r w:rsidRPr="005E2DF7">
        <w:rPr>
          <w:i/>
          <w:iCs/>
        </w:rPr>
        <w:t>THE PROFESSIONAL BODY FOR POLICING Body-Worn Video 2014 Pending inclusion into Authorised Professional Practice</w:t>
      </w:r>
      <w:r w:rsidRPr="005E2DF7">
        <w:t>. [online] Available at: https://library.college.police.uk/docs/college-of-policing/Body-worn-video-guidance-2014.pdf [Accessed 10 Mar. 2023].</w:t>
      </w:r>
    </w:p>
    <w:p w14:paraId="4624BB5C" w14:textId="77777777" w:rsidR="00D02D72" w:rsidRDefault="00D02D72" w:rsidP="00D02D72"/>
    <w:p w14:paraId="0A3487D9" w14:textId="77777777" w:rsidR="00D02D72" w:rsidRDefault="00D02D72" w:rsidP="00D02D72">
      <w:pPr>
        <w:rPr>
          <w:rFonts w:cs="Arial"/>
        </w:rPr>
      </w:pPr>
      <w:r>
        <w:rPr>
          <w:rFonts w:cs="Arial"/>
          <w:sz w:val="22"/>
          <w:szCs w:val="22"/>
        </w:rPr>
        <w:t>(GOV.UK. (n.d.). </w:t>
      </w:r>
      <w:r>
        <w:rPr>
          <w:rFonts w:cs="Arial"/>
          <w:i/>
          <w:iCs/>
          <w:sz w:val="22"/>
          <w:szCs w:val="22"/>
        </w:rPr>
        <w:t>Home Secretary’s Police Federation 2015 speech</w:t>
      </w:r>
      <w:r>
        <w:rPr>
          <w:rFonts w:cs="Arial"/>
          <w:sz w:val="22"/>
          <w:szCs w:val="22"/>
        </w:rPr>
        <w:t>. [online] Available at: https://www.gov.uk/government/speeches/home-secretarys-police-federation-2015-speech [Accessed 25 Feb. 2023].)</w:t>
      </w:r>
    </w:p>
    <w:p w14:paraId="1C4C57FE" w14:textId="77777777" w:rsidR="00D02D72" w:rsidRDefault="00D02D72" w:rsidP="00D02D72">
      <w:pPr>
        <w:rPr>
          <w:rFonts w:cs="Arial"/>
        </w:rPr>
      </w:pPr>
    </w:p>
    <w:p w14:paraId="37D85BAE" w14:textId="77777777" w:rsidR="00D02D72" w:rsidRDefault="00D02D72" w:rsidP="00D02D72">
      <w:pPr>
        <w:rPr>
          <w:rFonts w:cs="Arial"/>
        </w:rPr>
      </w:pPr>
      <w:r w:rsidRPr="00B438D3">
        <w:rPr>
          <w:rFonts w:cs="Arial"/>
        </w:rPr>
        <w:t>Harrison, K., L’Hoiry, X. and Santorso, S. (2021). Exploring the impact of body-worn video on the everyday behaviours of police officers. </w:t>
      </w:r>
      <w:r w:rsidRPr="00B438D3">
        <w:rPr>
          <w:rFonts w:cs="Arial"/>
          <w:i/>
          <w:iCs/>
        </w:rPr>
        <w:t>The Police Journal: Theory, Practice and Principles</w:t>
      </w:r>
      <w:r w:rsidRPr="00B438D3">
        <w:rPr>
          <w:rFonts w:cs="Arial"/>
        </w:rPr>
        <w:t>, 95(2), p.0032258X2110008. doi:https://doi.org/10.1177/0032258x211000834</w:t>
      </w:r>
    </w:p>
    <w:p w14:paraId="0241E2BA" w14:textId="77777777" w:rsidR="00D02D72" w:rsidRDefault="00D02D72" w:rsidP="00D02D72">
      <w:pPr>
        <w:rPr>
          <w:rFonts w:cs="Arial"/>
        </w:rPr>
      </w:pPr>
    </w:p>
    <w:p w14:paraId="34A3BC1C" w14:textId="77777777" w:rsidR="00D02D72" w:rsidRDefault="00D02D72" w:rsidP="00D02D72">
      <w:pPr>
        <w:rPr>
          <w:rFonts w:cs="Arial"/>
        </w:rPr>
      </w:pPr>
      <w:bookmarkStart w:id="1" w:name="_Hlk135234718"/>
      <w:r w:rsidRPr="008929AF">
        <w:rPr>
          <w:rFonts w:cs="Arial"/>
        </w:rPr>
        <w:t>Jameel, L. and Bunn, S. (2013)</w:t>
      </w:r>
      <w:bookmarkEnd w:id="1"/>
      <w:r w:rsidRPr="008929AF">
        <w:rPr>
          <w:rFonts w:cs="Arial"/>
        </w:rPr>
        <w:t>. </w:t>
      </w:r>
      <w:r w:rsidRPr="008929AF">
        <w:rPr>
          <w:rFonts w:cs="Arial"/>
          <w:i/>
          <w:iCs/>
        </w:rPr>
        <w:t>Body-Worn Video in UK Policing</w:t>
      </w:r>
      <w:r w:rsidRPr="008929AF">
        <w:rPr>
          <w:rFonts w:cs="Arial"/>
        </w:rPr>
        <w:t>. [online] Parliament.uk. Available at: https://researchbriefings.files.parliament.uk/documents/POST-PB-0014/POST-PB-0014.pdf [Accessed 25 Feb. 2023].</w:t>
      </w:r>
    </w:p>
    <w:p w14:paraId="08743D0B" w14:textId="77777777" w:rsidR="00D02D72" w:rsidRDefault="00D02D72" w:rsidP="00D02D72"/>
    <w:p w14:paraId="6E568252" w14:textId="77777777" w:rsidR="00D02D72" w:rsidRDefault="00D02D72" w:rsidP="00D02D72">
      <w:r w:rsidRPr="00643EEA">
        <w:t>KC, A.P. (2012). </w:t>
      </w:r>
      <w:r w:rsidRPr="00643EEA">
        <w:rPr>
          <w:i/>
          <w:iCs/>
        </w:rPr>
        <w:t>Retention of police custody photographs - not compliant with Article 8</w:t>
      </w:r>
      <w:r w:rsidRPr="00643EEA">
        <w:t>. [online] Panopticon. Available at: https://panopticonblog.com/2012/06/27/retention-of-police-custody-photographs-not-compliant-with-article-</w:t>
      </w:r>
      <w:r w:rsidRPr="00643EEA">
        <w:lastRenderedPageBreak/>
        <w:t>8/#:~:text=Then%20on%2022%20June%202012%2C%20a%20further%20judgment [Accessed 20 Mar. 2023].</w:t>
      </w:r>
    </w:p>
    <w:p w14:paraId="07D26DE4" w14:textId="77777777" w:rsidR="00D02D72" w:rsidRDefault="00D02D72" w:rsidP="00D02D72"/>
    <w:p w14:paraId="2ECE7F19" w14:textId="77777777" w:rsidR="00D02D72" w:rsidRDefault="00D02D72" w:rsidP="00D02D72">
      <w:bookmarkStart w:id="2" w:name="_Hlk135237531"/>
      <w:r w:rsidRPr="000650D9">
        <w:t>Owens, C., Mann, D. and Mckenna, R. (2014)</w:t>
      </w:r>
      <w:bookmarkEnd w:id="2"/>
      <w:r w:rsidRPr="000650D9">
        <w:t>. </w:t>
      </w:r>
      <w:r w:rsidRPr="000650D9">
        <w:rPr>
          <w:i/>
          <w:iCs/>
        </w:rPr>
        <w:t>The Essex Body Worn Video Trial The impact of Body Worn Video on criminal justice outcomes of domestic abuse incidents</w:t>
      </w:r>
      <w:r w:rsidRPr="000650D9">
        <w:t>. [online] Available at: https://bja.ojp.gov/sites/g/files/xyckuh186/files/bwc/pdfs/bwv_reportesstrial.pdf [Accessed 1 Mar. 2023].</w:t>
      </w:r>
    </w:p>
    <w:p w14:paraId="42EEAF8F" w14:textId="77777777" w:rsidR="00D02D72" w:rsidRDefault="00D02D72" w:rsidP="00D02D72"/>
    <w:p w14:paraId="59D1D3BE" w14:textId="77777777" w:rsidR="00D02D72" w:rsidRDefault="00D02D72" w:rsidP="00D02D72">
      <w:r w:rsidRPr="0078070F">
        <w:t>Taylor, E. (2016). Lights, Camera, Redaction… Police Body-Worn Cameras; Autonomy, Discretion and Accountability. </w:t>
      </w:r>
      <w:r w:rsidRPr="0078070F">
        <w:rPr>
          <w:i/>
          <w:iCs/>
        </w:rPr>
        <w:t>Surveillance &amp; Society</w:t>
      </w:r>
      <w:r w:rsidRPr="0078070F">
        <w:t>, 14(1), pp.128–132. doi:https://doi.org/10.24908/ss.v14i1.6285.</w:t>
      </w:r>
    </w:p>
    <w:p w14:paraId="61B51536" w14:textId="77777777" w:rsidR="00D02D72" w:rsidRDefault="00D02D72" w:rsidP="00D02D72"/>
    <w:p w14:paraId="7AFB95C0" w14:textId="77777777" w:rsidR="00D02D72" w:rsidRDefault="00D02D72" w:rsidP="00D02D72">
      <w:r w:rsidRPr="00643EEA">
        <w:t>The National Police Chiefs council (2022). </w:t>
      </w:r>
      <w:r w:rsidRPr="00643EEA">
        <w:rPr>
          <w:i/>
          <w:iCs/>
        </w:rPr>
        <w:t>Body-Worn Video</w:t>
      </w:r>
      <w:r w:rsidRPr="00643EEA">
        <w:t>. [online] Available at: https://library.college.police.uk/docs/NPCC/Body-worn-video-2022.pdf [Accessed 18 Feb. 2023].</w:t>
      </w:r>
    </w:p>
    <w:p w14:paraId="4E382A0E" w14:textId="77777777" w:rsidR="00D02D72" w:rsidRDefault="00D02D72"/>
    <w:sectPr w:rsidR="00D02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1DFBD" w14:textId="77777777" w:rsidR="00805309" w:rsidRDefault="00805309" w:rsidP="00805309">
      <w:r>
        <w:separator/>
      </w:r>
    </w:p>
  </w:endnote>
  <w:endnote w:type="continuationSeparator" w:id="0">
    <w:p w14:paraId="4E4FFA18" w14:textId="77777777" w:rsidR="00805309" w:rsidRDefault="00805309" w:rsidP="008053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00D0C" w14:textId="77777777" w:rsidR="00805309" w:rsidRDefault="00805309" w:rsidP="00805309">
      <w:r>
        <w:separator/>
      </w:r>
    </w:p>
  </w:footnote>
  <w:footnote w:type="continuationSeparator" w:id="0">
    <w:p w14:paraId="41D32504" w14:textId="77777777" w:rsidR="00805309" w:rsidRDefault="00805309" w:rsidP="0080530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F63"/>
    <w:rsid w:val="0000652C"/>
    <w:rsid w:val="000067E3"/>
    <w:rsid w:val="00067BB4"/>
    <w:rsid w:val="00267334"/>
    <w:rsid w:val="003045B3"/>
    <w:rsid w:val="00450ECD"/>
    <w:rsid w:val="004B479C"/>
    <w:rsid w:val="004C175F"/>
    <w:rsid w:val="004F37FA"/>
    <w:rsid w:val="005526A5"/>
    <w:rsid w:val="00567282"/>
    <w:rsid w:val="005A2B01"/>
    <w:rsid w:val="005C6F1B"/>
    <w:rsid w:val="007958E7"/>
    <w:rsid w:val="00805309"/>
    <w:rsid w:val="0096165E"/>
    <w:rsid w:val="009D2C5D"/>
    <w:rsid w:val="00BA1AB2"/>
    <w:rsid w:val="00BC75A9"/>
    <w:rsid w:val="00BE11EA"/>
    <w:rsid w:val="00CF1F63"/>
    <w:rsid w:val="00D02D72"/>
    <w:rsid w:val="00D54436"/>
    <w:rsid w:val="00EB6C79"/>
    <w:rsid w:val="00F34C2A"/>
    <w:rsid w:val="00F61429"/>
    <w:rsid w:val="00FB275B"/>
    <w:rsid w:val="00FF03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EB1ECD6"/>
  <w15:chartTrackingRefBased/>
  <w15:docId w15:val="{F6D533BB-9C75-47DC-A64C-D528D52CB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F63"/>
    <w:pPr>
      <w:spacing w:after="0" w:line="240" w:lineRule="auto"/>
    </w:pPr>
    <w:rPr>
      <w:rFonts w:ascii="Arial" w:eastAsia="Times New Roman" w:hAnsi="Arial"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semiHidden/>
    <w:unhideWhenUsed/>
    <w:rsid w:val="00CF1F63"/>
    <w:rPr>
      <w:rFonts w:ascii="Times New Roman" w:hAnsi="Times New Roman" w:cs="Times New Roman" w:hint="default"/>
      <w:color w:val="0000FF"/>
      <w:u w:val="single"/>
    </w:rPr>
  </w:style>
  <w:style w:type="character" w:styleId="FollowedHyperlink">
    <w:name w:val="FollowedHyperlink"/>
    <w:basedOn w:val="DefaultParagraphFont"/>
    <w:uiPriority w:val="99"/>
    <w:semiHidden/>
    <w:unhideWhenUsed/>
    <w:rsid w:val="008053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706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TotalTime>
  <Pages>5</Pages>
  <Words>2564</Words>
  <Characters>14617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Robson,Sarah swp6857</dc:creator>
  <cp:keywords/>
  <dc:description/>
  <cp:lastModifiedBy>Sarah Robson</cp:lastModifiedBy>
  <cp:revision>8</cp:revision>
  <dcterms:created xsi:type="dcterms:W3CDTF">2023-05-16T15:38:00Z</dcterms:created>
  <dcterms:modified xsi:type="dcterms:W3CDTF">2023-05-18T12:50:00Z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2023-05-18T12:31:11Z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3b0741f8-d4e8-4e70-94c2-c182258c4e9c</vt:lpwstr>
  </property>
  <property fmtid="{D5CDD505-2E9C-101B-9397-08002B2CF9AE}" pid="8" name="MSIP_Label_66cf8fe5-b7b7-4df7-b38d-1c61ac2f6639_ContentBits">
    <vt:lpwstr>0</vt:lpwstr>
  </property>
</Properties>
</file>