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B7E09" w14:textId="77777777" w:rsidR="008343B8" w:rsidRPr="00970209" w:rsidRDefault="008343B8" w:rsidP="008343B8">
      <w:pPr>
        <w:spacing w:line="360" w:lineRule="auto"/>
        <w:jc w:val="right"/>
        <w:rPr>
          <w:rFonts w:ascii="Arial" w:hAnsi="Arial" w:cs="Arial"/>
          <w:b/>
          <w:bCs/>
          <w:sz w:val="28"/>
          <w:szCs w:val="28"/>
        </w:rPr>
      </w:pPr>
      <w:r w:rsidRPr="00970209">
        <w:rPr>
          <w:rFonts w:ascii="Arial" w:hAnsi="Arial" w:cs="Arial"/>
          <w:b/>
          <w:bCs/>
          <w:sz w:val="28"/>
          <w:szCs w:val="28"/>
        </w:rPr>
        <w:t>Financial Management for the Hotel Industry</w:t>
      </w:r>
    </w:p>
    <w:p w14:paraId="070AA673" w14:textId="69E48A29" w:rsidR="008343B8" w:rsidRPr="00970209" w:rsidRDefault="008343B8" w:rsidP="008343B8">
      <w:pPr>
        <w:spacing w:line="360" w:lineRule="auto"/>
        <w:jc w:val="right"/>
        <w:rPr>
          <w:rFonts w:ascii="Arial" w:hAnsi="Arial" w:cs="Arial"/>
          <w:b/>
          <w:bCs/>
          <w:sz w:val="28"/>
          <w:szCs w:val="28"/>
        </w:rPr>
      </w:pPr>
      <w:r w:rsidRPr="00970209">
        <w:rPr>
          <w:rFonts w:ascii="Arial" w:hAnsi="Arial" w:cs="Arial"/>
          <w:b/>
          <w:bCs/>
          <w:sz w:val="28"/>
          <w:szCs w:val="28"/>
        </w:rPr>
        <w:t>BMIH5007</w:t>
      </w:r>
    </w:p>
    <w:p w14:paraId="3EA0475E" w14:textId="77777777" w:rsidR="008343B8" w:rsidRPr="008343B8" w:rsidRDefault="008343B8" w:rsidP="008343B8">
      <w:pPr>
        <w:spacing w:line="360" w:lineRule="auto"/>
        <w:jc w:val="right"/>
        <w:rPr>
          <w:rFonts w:ascii="Arial" w:hAnsi="Arial" w:cs="Arial"/>
          <w:sz w:val="24"/>
          <w:szCs w:val="24"/>
        </w:rPr>
      </w:pPr>
      <w:r w:rsidRPr="008343B8">
        <w:rPr>
          <w:rFonts w:ascii="Arial" w:hAnsi="Arial" w:cs="Arial"/>
          <w:sz w:val="24"/>
          <w:szCs w:val="24"/>
        </w:rPr>
        <w:t>Report</w:t>
      </w:r>
    </w:p>
    <w:p w14:paraId="25DEC6D4" w14:textId="7F952A78" w:rsidR="008343B8" w:rsidRPr="008343B8" w:rsidRDefault="008343B8" w:rsidP="008343B8">
      <w:pPr>
        <w:spacing w:line="360" w:lineRule="auto"/>
        <w:jc w:val="right"/>
        <w:rPr>
          <w:rFonts w:ascii="Arial" w:hAnsi="Arial" w:cs="Arial"/>
          <w:sz w:val="24"/>
          <w:szCs w:val="24"/>
        </w:rPr>
      </w:pPr>
      <w:r w:rsidRPr="008343B8">
        <w:rPr>
          <w:rFonts w:ascii="Arial" w:hAnsi="Arial" w:cs="Arial"/>
          <w:sz w:val="24"/>
          <w:szCs w:val="24"/>
        </w:rPr>
        <w:t>Urban Heights Hotel</w:t>
      </w:r>
    </w:p>
    <w:p w14:paraId="6E7E7925" w14:textId="77777777" w:rsidR="008343B8" w:rsidRPr="008343B8" w:rsidRDefault="008343B8" w:rsidP="008343B8">
      <w:pPr>
        <w:rPr>
          <w:rFonts w:ascii="Arial" w:hAnsi="Arial" w:cs="Arial"/>
          <w:sz w:val="24"/>
          <w:szCs w:val="24"/>
        </w:rPr>
      </w:pPr>
    </w:p>
    <w:p w14:paraId="04FA813F" w14:textId="77777777" w:rsidR="008343B8" w:rsidRPr="008343B8" w:rsidRDefault="008343B8" w:rsidP="008343B8">
      <w:pPr>
        <w:rPr>
          <w:rFonts w:ascii="Arial" w:hAnsi="Arial" w:cs="Arial"/>
          <w:sz w:val="24"/>
          <w:szCs w:val="24"/>
        </w:rPr>
      </w:pPr>
    </w:p>
    <w:p w14:paraId="331BD245" w14:textId="77777777" w:rsidR="008343B8" w:rsidRPr="008343B8" w:rsidRDefault="008343B8" w:rsidP="008343B8">
      <w:pPr>
        <w:rPr>
          <w:rFonts w:ascii="Arial" w:hAnsi="Arial" w:cs="Arial"/>
          <w:sz w:val="24"/>
          <w:szCs w:val="24"/>
        </w:rPr>
      </w:pPr>
    </w:p>
    <w:p w14:paraId="3C6D0A27" w14:textId="77777777" w:rsidR="008343B8" w:rsidRPr="008343B8" w:rsidRDefault="008343B8" w:rsidP="008343B8">
      <w:pPr>
        <w:rPr>
          <w:rFonts w:ascii="Arial" w:hAnsi="Arial" w:cs="Arial"/>
          <w:sz w:val="24"/>
          <w:szCs w:val="24"/>
        </w:rPr>
      </w:pPr>
    </w:p>
    <w:p w14:paraId="193D0AA8" w14:textId="77777777" w:rsidR="008343B8" w:rsidRPr="008343B8" w:rsidRDefault="008343B8" w:rsidP="008343B8">
      <w:pPr>
        <w:rPr>
          <w:rFonts w:ascii="Arial" w:hAnsi="Arial" w:cs="Arial"/>
          <w:sz w:val="24"/>
          <w:szCs w:val="24"/>
        </w:rPr>
      </w:pPr>
    </w:p>
    <w:p w14:paraId="55CE8E6B" w14:textId="77777777" w:rsidR="008343B8" w:rsidRDefault="008343B8" w:rsidP="008343B8">
      <w:pPr>
        <w:rPr>
          <w:rFonts w:ascii="Arial" w:hAnsi="Arial" w:cs="Arial"/>
          <w:sz w:val="24"/>
          <w:szCs w:val="24"/>
        </w:rPr>
      </w:pPr>
    </w:p>
    <w:p w14:paraId="6D945947" w14:textId="77777777" w:rsidR="008343B8" w:rsidRDefault="008343B8" w:rsidP="008343B8">
      <w:pPr>
        <w:rPr>
          <w:rFonts w:ascii="Arial" w:hAnsi="Arial" w:cs="Arial"/>
          <w:sz w:val="24"/>
          <w:szCs w:val="24"/>
        </w:rPr>
      </w:pPr>
    </w:p>
    <w:p w14:paraId="67B4C837" w14:textId="77777777" w:rsidR="008343B8" w:rsidRDefault="008343B8" w:rsidP="008343B8">
      <w:pPr>
        <w:rPr>
          <w:rFonts w:ascii="Arial" w:hAnsi="Arial" w:cs="Arial"/>
          <w:sz w:val="24"/>
          <w:szCs w:val="24"/>
        </w:rPr>
      </w:pPr>
    </w:p>
    <w:p w14:paraId="31541BE4" w14:textId="77777777" w:rsidR="008343B8" w:rsidRDefault="008343B8" w:rsidP="008343B8">
      <w:pPr>
        <w:rPr>
          <w:rFonts w:ascii="Arial" w:hAnsi="Arial" w:cs="Arial"/>
          <w:sz w:val="24"/>
          <w:szCs w:val="24"/>
        </w:rPr>
      </w:pPr>
    </w:p>
    <w:p w14:paraId="6CB16577" w14:textId="77777777" w:rsidR="008343B8" w:rsidRPr="00970209" w:rsidRDefault="008343B8" w:rsidP="008343B8">
      <w:pPr>
        <w:rPr>
          <w:rFonts w:ascii="Arial" w:hAnsi="Arial" w:cs="Arial"/>
          <w:sz w:val="24"/>
          <w:szCs w:val="24"/>
        </w:rPr>
      </w:pPr>
    </w:p>
    <w:p w14:paraId="703A9255" w14:textId="4DE99B19" w:rsidR="008343B8" w:rsidRPr="00970209" w:rsidRDefault="008343B8" w:rsidP="008343B8">
      <w:pPr>
        <w:jc w:val="right"/>
        <w:rPr>
          <w:rFonts w:ascii="Arial" w:hAnsi="Arial" w:cs="Arial"/>
          <w:sz w:val="24"/>
          <w:szCs w:val="24"/>
        </w:rPr>
      </w:pPr>
      <w:r w:rsidRPr="00970209">
        <w:rPr>
          <w:rFonts w:ascii="Arial" w:hAnsi="Arial" w:cs="Arial"/>
          <w:b/>
          <w:bCs/>
          <w:sz w:val="24"/>
          <w:szCs w:val="24"/>
        </w:rPr>
        <w:t>Lecturer:</w:t>
      </w:r>
      <w:r w:rsidR="00970209" w:rsidRPr="00970209">
        <w:rPr>
          <w:rFonts w:ascii="Arial" w:hAnsi="Arial" w:cs="Arial"/>
          <w:kern w:val="0"/>
          <w:sz w:val="24"/>
          <w:szCs w:val="24"/>
          <w14:ligatures w14:val="none"/>
        </w:rPr>
        <w:t xml:space="preserve"> </w:t>
      </w:r>
      <w:r w:rsidR="00970209" w:rsidRPr="00970209">
        <w:rPr>
          <w:rFonts w:ascii="Arial" w:hAnsi="Arial" w:cs="Arial"/>
          <w:kern w:val="0"/>
          <w:sz w:val="24"/>
          <w:szCs w:val="24"/>
          <w14:ligatures w14:val="none"/>
        </w:rPr>
        <w:t xml:space="preserve">Tristan Hawkins, </w:t>
      </w:r>
      <w:proofErr w:type="spellStart"/>
      <w:r w:rsidR="00970209" w:rsidRPr="00970209">
        <w:rPr>
          <w:rFonts w:ascii="Arial" w:hAnsi="Arial" w:cs="Arial"/>
          <w:kern w:val="0"/>
          <w:sz w:val="24"/>
          <w:szCs w:val="24"/>
          <w14:ligatures w14:val="none"/>
        </w:rPr>
        <w:t>Dr.</w:t>
      </w:r>
      <w:proofErr w:type="spellEnd"/>
      <w:r w:rsidR="00970209" w:rsidRPr="00970209">
        <w:rPr>
          <w:rFonts w:ascii="Arial" w:hAnsi="Arial" w:cs="Arial"/>
          <w:kern w:val="0"/>
          <w:sz w:val="24"/>
          <w:szCs w:val="24"/>
          <w14:ligatures w14:val="none"/>
        </w:rPr>
        <w:t xml:space="preserve"> Ernest Wave</w:t>
      </w:r>
    </w:p>
    <w:p w14:paraId="0EB72862" w14:textId="67E350C3" w:rsidR="008343B8" w:rsidRDefault="008343B8" w:rsidP="008343B8">
      <w:pPr>
        <w:jc w:val="right"/>
        <w:rPr>
          <w:rFonts w:ascii="Arial" w:hAnsi="Arial" w:cs="Arial"/>
          <w:sz w:val="24"/>
          <w:szCs w:val="24"/>
        </w:rPr>
      </w:pPr>
      <w:r w:rsidRPr="00BD02AD">
        <w:rPr>
          <w:rFonts w:ascii="Arial" w:hAnsi="Arial" w:cs="Arial"/>
          <w:b/>
          <w:bCs/>
          <w:sz w:val="24"/>
          <w:szCs w:val="24"/>
        </w:rPr>
        <w:t>Student name:</w:t>
      </w:r>
      <w:r w:rsidR="00BD02AD">
        <w:rPr>
          <w:rFonts w:ascii="Arial" w:hAnsi="Arial" w:cs="Arial"/>
          <w:sz w:val="24"/>
          <w:szCs w:val="24"/>
        </w:rPr>
        <w:t xml:space="preserve"> Roxana Mihaela Panainte</w:t>
      </w:r>
    </w:p>
    <w:p w14:paraId="094E765A" w14:textId="1C332260" w:rsidR="00970209" w:rsidRPr="008343B8" w:rsidRDefault="00970209" w:rsidP="00970209">
      <w:pPr>
        <w:jc w:val="right"/>
        <w:rPr>
          <w:rFonts w:ascii="Arial" w:hAnsi="Arial" w:cs="Arial"/>
          <w:sz w:val="24"/>
          <w:szCs w:val="24"/>
        </w:rPr>
      </w:pPr>
      <w:r w:rsidRPr="00970209">
        <w:rPr>
          <w:rFonts w:ascii="Arial" w:hAnsi="Arial" w:cs="Arial"/>
          <w:b/>
          <w:bCs/>
          <w:sz w:val="24"/>
          <w:szCs w:val="24"/>
        </w:rPr>
        <w:t>Student id</w:t>
      </w:r>
      <w:r w:rsidRPr="008343B8">
        <w:rPr>
          <w:rFonts w:ascii="Arial" w:hAnsi="Arial" w:cs="Arial"/>
          <w:sz w:val="24"/>
          <w:szCs w:val="24"/>
        </w:rPr>
        <w:t>:</w:t>
      </w:r>
      <w:r>
        <w:rPr>
          <w:rFonts w:ascii="Arial" w:hAnsi="Arial" w:cs="Arial"/>
          <w:sz w:val="24"/>
          <w:szCs w:val="24"/>
        </w:rPr>
        <w:t>2219073</w:t>
      </w:r>
    </w:p>
    <w:p w14:paraId="2341CD7B" w14:textId="1FDAEE3E" w:rsidR="008343B8" w:rsidRPr="00970209" w:rsidRDefault="008343B8" w:rsidP="008343B8">
      <w:pPr>
        <w:jc w:val="right"/>
        <w:rPr>
          <w:rFonts w:ascii="Arial" w:hAnsi="Arial" w:cs="Arial"/>
          <w:b/>
          <w:bCs/>
          <w:sz w:val="24"/>
          <w:szCs w:val="24"/>
        </w:rPr>
      </w:pPr>
      <w:r w:rsidRPr="00970209">
        <w:rPr>
          <w:rFonts w:ascii="Arial" w:hAnsi="Arial" w:cs="Arial"/>
          <w:b/>
          <w:bCs/>
          <w:sz w:val="24"/>
          <w:szCs w:val="24"/>
        </w:rPr>
        <w:t xml:space="preserve">Word count: </w:t>
      </w:r>
      <w:r w:rsidR="008D3170" w:rsidRPr="008D3170">
        <w:rPr>
          <w:rFonts w:ascii="Arial" w:hAnsi="Arial" w:cs="Arial"/>
          <w:sz w:val="24"/>
          <w:szCs w:val="24"/>
        </w:rPr>
        <w:t>1986</w:t>
      </w:r>
    </w:p>
    <w:p w14:paraId="68867AB7" w14:textId="77777777" w:rsidR="00B151A8" w:rsidRDefault="00B151A8"/>
    <w:p w14:paraId="2FFF5913" w14:textId="77777777" w:rsidR="008343B8" w:rsidRDefault="008343B8"/>
    <w:p w14:paraId="5BFFBDC9" w14:textId="77777777" w:rsidR="008343B8" w:rsidRDefault="008343B8"/>
    <w:p w14:paraId="6997B374" w14:textId="77777777" w:rsidR="008343B8" w:rsidRDefault="008343B8"/>
    <w:p w14:paraId="66BC62A5" w14:textId="77777777" w:rsidR="008343B8" w:rsidRDefault="008343B8"/>
    <w:p w14:paraId="6CB46BF9" w14:textId="77777777" w:rsidR="008343B8" w:rsidRDefault="008343B8"/>
    <w:p w14:paraId="5605775D" w14:textId="77777777" w:rsidR="008343B8" w:rsidRDefault="008343B8"/>
    <w:p w14:paraId="4CE07D02" w14:textId="77777777" w:rsidR="008343B8" w:rsidRDefault="008343B8"/>
    <w:p w14:paraId="3E9F9945" w14:textId="77777777" w:rsidR="008343B8" w:rsidRDefault="008343B8"/>
    <w:p w14:paraId="09A70AF7" w14:textId="77777777" w:rsidR="008343B8" w:rsidRDefault="008343B8"/>
    <w:p w14:paraId="3BABA2D9" w14:textId="77777777" w:rsidR="008343B8" w:rsidRDefault="008343B8"/>
    <w:sdt>
      <w:sdtPr>
        <w:id w:val="-105362331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3BDF10D" w14:textId="1DBC6C75" w:rsidR="008D3170" w:rsidRPr="008D3170" w:rsidRDefault="008D3170">
          <w:pPr>
            <w:pStyle w:val="TOCHeading"/>
            <w:rPr>
              <w:rFonts w:ascii="Arial" w:hAnsi="Arial" w:cs="Arial"/>
            </w:rPr>
          </w:pPr>
          <w:r w:rsidRPr="008D3170">
            <w:rPr>
              <w:rFonts w:ascii="Arial" w:hAnsi="Arial" w:cs="Arial"/>
            </w:rPr>
            <w:t>Table of Contents</w:t>
          </w:r>
        </w:p>
        <w:p w14:paraId="0CF91211" w14:textId="2648DADC" w:rsidR="008D3170" w:rsidRPr="008D3170" w:rsidRDefault="008D3170" w:rsidP="008D3170">
          <w:pPr>
            <w:pStyle w:val="TOC1"/>
            <w:rPr>
              <w:noProof/>
            </w:rPr>
          </w:pPr>
          <w:r w:rsidRPr="008D3170">
            <w:fldChar w:fldCharType="begin"/>
          </w:r>
          <w:r w:rsidRPr="008D3170">
            <w:instrText xml:space="preserve"> TOC \o "1-3" \h \z \u </w:instrText>
          </w:r>
          <w:r w:rsidRPr="008D3170">
            <w:fldChar w:fldCharType="separate"/>
          </w:r>
          <w:hyperlink w:anchor="_Toc168588308" w:history="1">
            <w:r w:rsidRPr="008D3170">
              <w:rPr>
                <w:rStyle w:val="Hyperlink"/>
                <w:rFonts w:ascii="Arial" w:hAnsi="Arial" w:cs="Arial"/>
                <w:noProof/>
              </w:rPr>
              <w:t>Introduction</w:t>
            </w:r>
            <w:r w:rsidRPr="008D3170">
              <w:rPr>
                <w:noProof/>
                <w:webHidden/>
              </w:rPr>
              <w:tab/>
            </w:r>
            <w:r w:rsidRPr="008D3170">
              <w:rPr>
                <w:noProof/>
                <w:webHidden/>
              </w:rPr>
              <w:fldChar w:fldCharType="begin"/>
            </w:r>
            <w:r w:rsidRPr="008D3170">
              <w:rPr>
                <w:noProof/>
                <w:webHidden/>
              </w:rPr>
              <w:instrText xml:space="preserve"> PAGEREF _Toc168588308 \h </w:instrText>
            </w:r>
            <w:r w:rsidRPr="008D3170">
              <w:rPr>
                <w:noProof/>
                <w:webHidden/>
              </w:rPr>
            </w:r>
            <w:r w:rsidRPr="008D3170">
              <w:rPr>
                <w:noProof/>
                <w:webHidden/>
              </w:rPr>
              <w:fldChar w:fldCharType="separate"/>
            </w:r>
            <w:r>
              <w:rPr>
                <w:noProof/>
                <w:webHidden/>
              </w:rPr>
              <w:t>3</w:t>
            </w:r>
            <w:r w:rsidRPr="008D3170">
              <w:rPr>
                <w:noProof/>
                <w:webHidden/>
              </w:rPr>
              <w:fldChar w:fldCharType="end"/>
            </w:r>
          </w:hyperlink>
        </w:p>
        <w:p w14:paraId="4A36D03F" w14:textId="42AFE768" w:rsidR="008D3170" w:rsidRPr="008D3170" w:rsidRDefault="008D3170" w:rsidP="008D3170">
          <w:pPr>
            <w:pStyle w:val="TOC1"/>
            <w:rPr>
              <w:noProof/>
            </w:rPr>
          </w:pPr>
          <w:hyperlink w:anchor="_Toc168588309" w:history="1">
            <w:r w:rsidRPr="008D3170">
              <w:rPr>
                <w:rStyle w:val="Hyperlink"/>
                <w:rFonts w:ascii="Arial" w:hAnsi="Arial" w:cs="Arial"/>
                <w:noProof/>
              </w:rPr>
              <w:t>Trends and patterns in the financial performance of the hotel</w:t>
            </w:r>
            <w:r w:rsidRPr="008D3170">
              <w:rPr>
                <w:noProof/>
                <w:webHidden/>
              </w:rPr>
              <w:tab/>
            </w:r>
            <w:r w:rsidRPr="008D3170">
              <w:rPr>
                <w:noProof/>
                <w:webHidden/>
              </w:rPr>
              <w:fldChar w:fldCharType="begin"/>
            </w:r>
            <w:r w:rsidRPr="008D3170">
              <w:rPr>
                <w:noProof/>
                <w:webHidden/>
              </w:rPr>
              <w:instrText xml:space="preserve"> PAGEREF _Toc168588309 \h </w:instrText>
            </w:r>
            <w:r w:rsidRPr="008D3170">
              <w:rPr>
                <w:noProof/>
                <w:webHidden/>
              </w:rPr>
            </w:r>
            <w:r w:rsidRPr="008D3170">
              <w:rPr>
                <w:noProof/>
                <w:webHidden/>
              </w:rPr>
              <w:fldChar w:fldCharType="separate"/>
            </w:r>
            <w:r>
              <w:rPr>
                <w:noProof/>
                <w:webHidden/>
              </w:rPr>
              <w:t>3</w:t>
            </w:r>
            <w:r w:rsidRPr="008D3170">
              <w:rPr>
                <w:noProof/>
                <w:webHidden/>
              </w:rPr>
              <w:fldChar w:fldCharType="end"/>
            </w:r>
          </w:hyperlink>
        </w:p>
        <w:p w14:paraId="33DFD1F6" w14:textId="3C83DB00" w:rsidR="008D3170" w:rsidRPr="008D3170" w:rsidRDefault="008D3170" w:rsidP="008D3170">
          <w:pPr>
            <w:pStyle w:val="TOC1"/>
            <w:rPr>
              <w:noProof/>
            </w:rPr>
          </w:pPr>
          <w:hyperlink w:anchor="_Toc168588310" w:history="1">
            <w:r w:rsidRPr="008D3170">
              <w:rPr>
                <w:rStyle w:val="Hyperlink"/>
                <w:rFonts w:ascii="Arial" w:eastAsia="Times New Roman" w:hAnsi="Arial" w:cs="Arial"/>
                <w:noProof/>
              </w:rPr>
              <w:t>Reasons for the decline in profitability</w:t>
            </w:r>
            <w:r w:rsidRPr="008D3170">
              <w:rPr>
                <w:noProof/>
                <w:webHidden/>
              </w:rPr>
              <w:tab/>
            </w:r>
            <w:r w:rsidRPr="008D3170">
              <w:rPr>
                <w:noProof/>
                <w:webHidden/>
              </w:rPr>
              <w:fldChar w:fldCharType="begin"/>
            </w:r>
            <w:r w:rsidRPr="008D3170">
              <w:rPr>
                <w:noProof/>
                <w:webHidden/>
              </w:rPr>
              <w:instrText xml:space="preserve"> PAGEREF _Toc168588310 \h </w:instrText>
            </w:r>
            <w:r w:rsidRPr="008D3170">
              <w:rPr>
                <w:noProof/>
                <w:webHidden/>
              </w:rPr>
            </w:r>
            <w:r w:rsidRPr="008D3170">
              <w:rPr>
                <w:noProof/>
                <w:webHidden/>
              </w:rPr>
              <w:fldChar w:fldCharType="separate"/>
            </w:r>
            <w:r>
              <w:rPr>
                <w:noProof/>
                <w:webHidden/>
              </w:rPr>
              <w:t>5</w:t>
            </w:r>
            <w:r w:rsidRPr="008D3170">
              <w:rPr>
                <w:noProof/>
                <w:webHidden/>
              </w:rPr>
              <w:fldChar w:fldCharType="end"/>
            </w:r>
          </w:hyperlink>
        </w:p>
        <w:p w14:paraId="2C869260" w14:textId="1591F0D2" w:rsidR="008D3170" w:rsidRPr="008D3170" w:rsidRDefault="008D3170" w:rsidP="008D3170">
          <w:pPr>
            <w:pStyle w:val="TOC1"/>
            <w:rPr>
              <w:noProof/>
            </w:rPr>
          </w:pPr>
          <w:hyperlink w:anchor="_Toc168588311" w:history="1">
            <w:r w:rsidRPr="008D3170">
              <w:rPr>
                <w:rStyle w:val="Hyperlink"/>
                <w:rFonts w:ascii="Arial" w:hAnsi="Arial" w:cs="Arial"/>
                <w:noProof/>
              </w:rPr>
              <w:t>Conclusion</w:t>
            </w:r>
            <w:r w:rsidRPr="008D3170">
              <w:rPr>
                <w:noProof/>
                <w:webHidden/>
              </w:rPr>
              <w:tab/>
            </w:r>
            <w:r w:rsidRPr="008D3170">
              <w:rPr>
                <w:noProof/>
                <w:webHidden/>
              </w:rPr>
              <w:fldChar w:fldCharType="begin"/>
            </w:r>
            <w:r w:rsidRPr="008D3170">
              <w:rPr>
                <w:noProof/>
                <w:webHidden/>
              </w:rPr>
              <w:instrText xml:space="preserve"> PAGEREF _Toc168588311 \h </w:instrText>
            </w:r>
            <w:r w:rsidRPr="008D3170">
              <w:rPr>
                <w:noProof/>
                <w:webHidden/>
              </w:rPr>
            </w:r>
            <w:r w:rsidRPr="008D3170">
              <w:rPr>
                <w:noProof/>
                <w:webHidden/>
              </w:rPr>
              <w:fldChar w:fldCharType="separate"/>
            </w:r>
            <w:r>
              <w:rPr>
                <w:noProof/>
                <w:webHidden/>
              </w:rPr>
              <w:t>6</w:t>
            </w:r>
            <w:r w:rsidRPr="008D3170">
              <w:rPr>
                <w:noProof/>
                <w:webHidden/>
              </w:rPr>
              <w:fldChar w:fldCharType="end"/>
            </w:r>
          </w:hyperlink>
        </w:p>
        <w:p w14:paraId="41AA35B5" w14:textId="450A0F23" w:rsidR="008D3170" w:rsidRPr="008D3170" w:rsidRDefault="008D3170" w:rsidP="008D3170">
          <w:pPr>
            <w:pStyle w:val="TOC1"/>
            <w:rPr>
              <w:noProof/>
            </w:rPr>
          </w:pPr>
          <w:hyperlink w:anchor="_Toc168588312" w:history="1">
            <w:r w:rsidRPr="008D3170">
              <w:rPr>
                <w:rStyle w:val="Hyperlink"/>
                <w:rFonts w:ascii="Arial" w:eastAsia="Times New Roman" w:hAnsi="Arial" w:cs="Arial"/>
                <w:noProof/>
              </w:rPr>
              <w:t>Recommendations</w:t>
            </w:r>
            <w:r w:rsidRPr="008D3170">
              <w:rPr>
                <w:noProof/>
                <w:webHidden/>
              </w:rPr>
              <w:tab/>
            </w:r>
            <w:r w:rsidRPr="008D3170">
              <w:rPr>
                <w:noProof/>
                <w:webHidden/>
              </w:rPr>
              <w:fldChar w:fldCharType="begin"/>
            </w:r>
            <w:r w:rsidRPr="008D3170">
              <w:rPr>
                <w:noProof/>
                <w:webHidden/>
              </w:rPr>
              <w:instrText xml:space="preserve"> PAGEREF _Toc168588312 \h </w:instrText>
            </w:r>
            <w:r w:rsidRPr="008D3170">
              <w:rPr>
                <w:noProof/>
                <w:webHidden/>
              </w:rPr>
            </w:r>
            <w:r w:rsidRPr="008D3170">
              <w:rPr>
                <w:noProof/>
                <w:webHidden/>
              </w:rPr>
              <w:fldChar w:fldCharType="separate"/>
            </w:r>
            <w:r>
              <w:rPr>
                <w:noProof/>
                <w:webHidden/>
              </w:rPr>
              <w:t>7</w:t>
            </w:r>
            <w:r w:rsidRPr="008D3170">
              <w:rPr>
                <w:noProof/>
                <w:webHidden/>
              </w:rPr>
              <w:fldChar w:fldCharType="end"/>
            </w:r>
          </w:hyperlink>
        </w:p>
        <w:p w14:paraId="39DB2983" w14:textId="714F2E80" w:rsidR="008D3170" w:rsidRPr="008D3170" w:rsidRDefault="008D3170" w:rsidP="008D3170">
          <w:pPr>
            <w:pStyle w:val="TOC1"/>
            <w:rPr>
              <w:noProof/>
            </w:rPr>
          </w:pPr>
          <w:hyperlink w:anchor="_Toc168588313" w:history="1">
            <w:r w:rsidRPr="008D3170">
              <w:rPr>
                <w:rStyle w:val="Hyperlink"/>
                <w:rFonts w:ascii="Arial" w:eastAsia="Times New Roman" w:hAnsi="Arial" w:cs="Arial"/>
                <w:noProof/>
              </w:rPr>
              <w:t>References</w:t>
            </w:r>
            <w:r w:rsidRPr="008D3170">
              <w:rPr>
                <w:noProof/>
                <w:webHidden/>
              </w:rPr>
              <w:tab/>
            </w:r>
            <w:r w:rsidRPr="008D3170">
              <w:rPr>
                <w:noProof/>
                <w:webHidden/>
              </w:rPr>
              <w:fldChar w:fldCharType="begin"/>
            </w:r>
            <w:r w:rsidRPr="008D3170">
              <w:rPr>
                <w:noProof/>
                <w:webHidden/>
              </w:rPr>
              <w:instrText xml:space="preserve"> PAGEREF _Toc168588313 \h </w:instrText>
            </w:r>
            <w:r w:rsidRPr="008D3170">
              <w:rPr>
                <w:noProof/>
                <w:webHidden/>
              </w:rPr>
            </w:r>
            <w:r w:rsidRPr="008D3170">
              <w:rPr>
                <w:noProof/>
                <w:webHidden/>
              </w:rPr>
              <w:fldChar w:fldCharType="separate"/>
            </w:r>
            <w:r>
              <w:rPr>
                <w:noProof/>
                <w:webHidden/>
              </w:rPr>
              <w:t>8</w:t>
            </w:r>
            <w:r w:rsidRPr="008D3170">
              <w:rPr>
                <w:noProof/>
                <w:webHidden/>
              </w:rPr>
              <w:fldChar w:fldCharType="end"/>
            </w:r>
          </w:hyperlink>
        </w:p>
        <w:p w14:paraId="27D44861" w14:textId="77BA0292" w:rsidR="008D3170" w:rsidRPr="008D3170" w:rsidRDefault="008D3170" w:rsidP="008D3170">
          <w:pPr>
            <w:pStyle w:val="TOC1"/>
            <w:rPr>
              <w:noProof/>
            </w:rPr>
          </w:pPr>
          <w:hyperlink w:anchor="_Toc168588314" w:history="1">
            <w:r w:rsidRPr="008D3170">
              <w:rPr>
                <w:rStyle w:val="Hyperlink"/>
                <w:rFonts w:ascii="Arial" w:hAnsi="Arial" w:cs="Arial"/>
                <w:noProof/>
              </w:rPr>
              <w:t>Appendix</w:t>
            </w:r>
            <w:r w:rsidRPr="008D3170">
              <w:rPr>
                <w:noProof/>
                <w:webHidden/>
              </w:rPr>
              <w:tab/>
            </w:r>
            <w:r w:rsidRPr="008D3170">
              <w:rPr>
                <w:noProof/>
                <w:webHidden/>
              </w:rPr>
              <w:fldChar w:fldCharType="begin"/>
            </w:r>
            <w:r w:rsidRPr="008D3170">
              <w:rPr>
                <w:noProof/>
                <w:webHidden/>
              </w:rPr>
              <w:instrText xml:space="preserve"> PAGEREF _Toc168588314 \h </w:instrText>
            </w:r>
            <w:r w:rsidRPr="008D3170">
              <w:rPr>
                <w:noProof/>
                <w:webHidden/>
              </w:rPr>
            </w:r>
            <w:r w:rsidRPr="008D3170">
              <w:rPr>
                <w:noProof/>
                <w:webHidden/>
              </w:rPr>
              <w:fldChar w:fldCharType="separate"/>
            </w:r>
            <w:r>
              <w:rPr>
                <w:noProof/>
                <w:webHidden/>
              </w:rPr>
              <w:t>10</w:t>
            </w:r>
            <w:r w:rsidRPr="008D3170">
              <w:rPr>
                <w:noProof/>
                <w:webHidden/>
              </w:rPr>
              <w:fldChar w:fldCharType="end"/>
            </w:r>
          </w:hyperlink>
        </w:p>
        <w:p w14:paraId="68D556DD" w14:textId="4E43E531" w:rsidR="008D3170" w:rsidRDefault="008D3170">
          <w:r w:rsidRPr="008D3170">
            <w:rPr>
              <w:rFonts w:ascii="Arial" w:hAnsi="Arial" w:cs="Arial"/>
              <w:b/>
              <w:bCs/>
              <w:noProof/>
            </w:rPr>
            <w:fldChar w:fldCharType="end"/>
          </w:r>
        </w:p>
      </w:sdtContent>
    </w:sdt>
    <w:p w14:paraId="21F272B0" w14:textId="77777777" w:rsidR="008343B8" w:rsidRDefault="008343B8" w:rsidP="00D8170E">
      <w:pPr>
        <w:spacing w:line="360" w:lineRule="auto"/>
        <w:jc w:val="both"/>
        <w:rPr>
          <w:rFonts w:ascii="Arial" w:hAnsi="Arial" w:cs="Arial"/>
          <w:sz w:val="24"/>
          <w:szCs w:val="24"/>
        </w:rPr>
      </w:pPr>
    </w:p>
    <w:p w14:paraId="1673585A" w14:textId="77777777" w:rsidR="008D3170" w:rsidRDefault="008D3170" w:rsidP="00D8170E">
      <w:pPr>
        <w:spacing w:line="360" w:lineRule="auto"/>
        <w:jc w:val="both"/>
        <w:rPr>
          <w:rFonts w:ascii="Arial" w:hAnsi="Arial" w:cs="Arial"/>
          <w:sz w:val="24"/>
          <w:szCs w:val="24"/>
        </w:rPr>
      </w:pPr>
    </w:p>
    <w:p w14:paraId="47DFEA6A" w14:textId="77777777" w:rsidR="008D3170" w:rsidRDefault="008D3170" w:rsidP="00D8170E">
      <w:pPr>
        <w:spacing w:line="360" w:lineRule="auto"/>
        <w:jc w:val="both"/>
        <w:rPr>
          <w:rFonts w:ascii="Arial" w:hAnsi="Arial" w:cs="Arial"/>
          <w:sz w:val="24"/>
          <w:szCs w:val="24"/>
        </w:rPr>
      </w:pPr>
    </w:p>
    <w:p w14:paraId="0B89BD32" w14:textId="77777777" w:rsidR="008D3170" w:rsidRDefault="008D3170" w:rsidP="00D8170E">
      <w:pPr>
        <w:spacing w:line="360" w:lineRule="auto"/>
        <w:jc w:val="both"/>
        <w:rPr>
          <w:rFonts w:ascii="Arial" w:hAnsi="Arial" w:cs="Arial"/>
          <w:sz w:val="24"/>
          <w:szCs w:val="24"/>
        </w:rPr>
      </w:pPr>
    </w:p>
    <w:p w14:paraId="267DEF7B" w14:textId="77777777" w:rsidR="008D3170" w:rsidRDefault="008D3170" w:rsidP="00D8170E">
      <w:pPr>
        <w:spacing w:line="360" w:lineRule="auto"/>
        <w:jc w:val="both"/>
        <w:rPr>
          <w:rFonts w:ascii="Arial" w:hAnsi="Arial" w:cs="Arial"/>
          <w:sz w:val="24"/>
          <w:szCs w:val="24"/>
        </w:rPr>
      </w:pPr>
    </w:p>
    <w:p w14:paraId="4FF12943" w14:textId="77777777" w:rsidR="008D3170" w:rsidRDefault="008D3170" w:rsidP="00D8170E">
      <w:pPr>
        <w:spacing w:line="360" w:lineRule="auto"/>
        <w:jc w:val="both"/>
        <w:rPr>
          <w:rFonts w:ascii="Arial" w:hAnsi="Arial" w:cs="Arial"/>
          <w:sz w:val="24"/>
          <w:szCs w:val="24"/>
        </w:rPr>
      </w:pPr>
    </w:p>
    <w:p w14:paraId="504A1BEA" w14:textId="77777777" w:rsidR="008D3170" w:rsidRDefault="008D3170" w:rsidP="00D8170E">
      <w:pPr>
        <w:spacing w:line="360" w:lineRule="auto"/>
        <w:jc w:val="both"/>
        <w:rPr>
          <w:rFonts w:ascii="Arial" w:hAnsi="Arial" w:cs="Arial"/>
          <w:sz w:val="24"/>
          <w:szCs w:val="24"/>
        </w:rPr>
      </w:pPr>
    </w:p>
    <w:p w14:paraId="48CDAD1C" w14:textId="77777777" w:rsidR="008D3170" w:rsidRDefault="008D3170" w:rsidP="00D8170E">
      <w:pPr>
        <w:spacing w:line="360" w:lineRule="auto"/>
        <w:jc w:val="both"/>
        <w:rPr>
          <w:rFonts w:ascii="Arial" w:hAnsi="Arial" w:cs="Arial"/>
          <w:sz w:val="24"/>
          <w:szCs w:val="24"/>
        </w:rPr>
      </w:pPr>
    </w:p>
    <w:p w14:paraId="448A53E6" w14:textId="77777777" w:rsidR="008D3170" w:rsidRDefault="008D3170" w:rsidP="00D8170E">
      <w:pPr>
        <w:spacing w:line="360" w:lineRule="auto"/>
        <w:jc w:val="both"/>
        <w:rPr>
          <w:rFonts w:ascii="Arial" w:hAnsi="Arial" w:cs="Arial"/>
          <w:sz w:val="24"/>
          <w:szCs w:val="24"/>
        </w:rPr>
      </w:pPr>
    </w:p>
    <w:p w14:paraId="5ADEF71B" w14:textId="77777777" w:rsidR="008D3170" w:rsidRDefault="008D3170" w:rsidP="00D8170E">
      <w:pPr>
        <w:spacing w:line="360" w:lineRule="auto"/>
        <w:jc w:val="both"/>
        <w:rPr>
          <w:rFonts w:ascii="Arial" w:hAnsi="Arial" w:cs="Arial"/>
          <w:sz w:val="24"/>
          <w:szCs w:val="24"/>
        </w:rPr>
      </w:pPr>
    </w:p>
    <w:p w14:paraId="650779CB" w14:textId="77777777" w:rsidR="008D3170" w:rsidRDefault="008D3170" w:rsidP="00D8170E">
      <w:pPr>
        <w:spacing w:line="360" w:lineRule="auto"/>
        <w:jc w:val="both"/>
        <w:rPr>
          <w:rFonts w:ascii="Arial" w:hAnsi="Arial" w:cs="Arial"/>
          <w:sz w:val="24"/>
          <w:szCs w:val="24"/>
        </w:rPr>
      </w:pPr>
    </w:p>
    <w:p w14:paraId="13841CEE" w14:textId="77777777" w:rsidR="008D3170" w:rsidRDefault="008D3170" w:rsidP="00D8170E">
      <w:pPr>
        <w:spacing w:line="360" w:lineRule="auto"/>
        <w:jc w:val="both"/>
        <w:rPr>
          <w:rFonts w:ascii="Arial" w:hAnsi="Arial" w:cs="Arial"/>
          <w:sz w:val="24"/>
          <w:szCs w:val="24"/>
        </w:rPr>
      </w:pPr>
    </w:p>
    <w:p w14:paraId="57674C0B" w14:textId="77777777" w:rsidR="008D3170" w:rsidRDefault="008D3170" w:rsidP="00D8170E">
      <w:pPr>
        <w:spacing w:line="360" w:lineRule="auto"/>
        <w:jc w:val="both"/>
        <w:rPr>
          <w:rFonts w:ascii="Arial" w:hAnsi="Arial" w:cs="Arial"/>
          <w:sz w:val="24"/>
          <w:szCs w:val="24"/>
        </w:rPr>
      </w:pPr>
    </w:p>
    <w:p w14:paraId="681A470C" w14:textId="77777777" w:rsidR="008D3170" w:rsidRDefault="008D3170" w:rsidP="00D8170E">
      <w:pPr>
        <w:spacing w:line="360" w:lineRule="auto"/>
        <w:jc w:val="both"/>
        <w:rPr>
          <w:rFonts w:ascii="Arial" w:hAnsi="Arial" w:cs="Arial"/>
          <w:sz w:val="24"/>
          <w:szCs w:val="24"/>
        </w:rPr>
      </w:pPr>
    </w:p>
    <w:p w14:paraId="10C25CBB" w14:textId="77777777" w:rsidR="008D3170" w:rsidRPr="00D8170E" w:rsidRDefault="008D3170" w:rsidP="00D8170E">
      <w:pPr>
        <w:spacing w:line="360" w:lineRule="auto"/>
        <w:jc w:val="both"/>
        <w:rPr>
          <w:rFonts w:ascii="Arial" w:hAnsi="Arial" w:cs="Arial"/>
          <w:sz w:val="24"/>
          <w:szCs w:val="24"/>
        </w:rPr>
      </w:pPr>
    </w:p>
    <w:p w14:paraId="7C8010D1" w14:textId="73992AC9" w:rsidR="008343B8" w:rsidRPr="008D3170" w:rsidRDefault="008343B8" w:rsidP="008D3170">
      <w:pPr>
        <w:pStyle w:val="EU"/>
        <w:spacing w:line="360" w:lineRule="auto"/>
        <w:rPr>
          <w:color w:val="auto"/>
        </w:rPr>
      </w:pPr>
      <w:bookmarkStart w:id="0" w:name="_Toc168588308"/>
      <w:r w:rsidRPr="008D3170">
        <w:rPr>
          <w:color w:val="auto"/>
        </w:rPr>
        <w:t>Introduction</w:t>
      </w:r>
      <w:bookmarkEnd w:id="0"/>
      <w:r w:rsidRPr="008D3170">
        <w:rPr>
          <w:color w:val="auto"/>
        </w:rPr>
        <w:t xml:space="preserve"> </w:t>
      </w:r>
    </w:p>
    <w:p w14:paraId="50B17F9B" w14:textId="5490586A" w:rsidR="008343B8" w:rsidRPr="008343B8" w:rsidRDefault="008343B8" w:rsidP="008D3170">
      <w:pPr>
        <w:spacing w:after="0" w:line="360" w:lineRule="auto"/>
        <w:jc w:val="both"/>
        <w:rPr>
          <w:rFonts w:ascii="Arial" w:eastAsia="Times New Roman" w:hAnsi="Arial" w:cs="Arial"/>
          <w:kern w:val="0"/>
          <w:sz w:val="24"/>
          <w:szCs w:val="24"/>
          <w:lang w:eastAsia="en-GB"/>
          <w14:ligatures w14:val="none"/>
        </w:rPr>
      </w:pPr>
      <w:r w:rsidRPr="008343B8">
        <w:rPr>
          <w:rFonts w:ascii="Arial" w:eastAsia="Times New Roman" w:hAnsi="Arial" w:cs="Arial"/>
          <w:kern w:val="0"/>
          <w:sz w:val="24"/>
          <w:szCs w:val="24"/>
          <w:lang w:eastAsia="en-GB"/>
          <w14:ligatures w14:val="none"/>
        </w:rPr>
        <w:t>Organisations can efficiently allocate resources, maximise profits, ensure long-term sustainability, and quickly adjust to market changes through the implementation of effective financial management (</w:t>
      </w:r>
      <w:r w:rsidR="0037452E" w:rsidRPr="008D3170">
        <w:rPr>
          <w:rFonts w:ascii="Arial" w:eastAsia="Times New Roman" w:hAnsi="Arial" w:cs="Arial"/>
          <w:kern w:val="0"/>
          <w:sz w:val="24"/>
          <w:szCs w:val="24"/>
          <w:lang w:eastAsia="en-GB"/>
          <w14:ligatures w14:val="none"/>
        </w:rPr>
        <w:t>Chandra, 2013</w:t>
      </w:r>
      <w:r w:rsidRPr="008343B8">
        <w:rPr>
          <w:rFonts w:ascii="Arial" w:eastAsia="Times New Roman" w:hAnsi="Arial" w:cs="Arial"/>
          <w:kern w:val="0"/>
          <w:sz w:val="24"/>
          <w:szCs w:val="24"/>
          <w:lang w:eastAsia="en-GB"/>
          <w14:ligatures w14:val="none"/>
        </w:rPr>
        <w:t>). It enhances operational efficacy by providing the requisite framework for decision-making, risk management, and the balance of short-term and long-term objectives.</w:t>
      </w:r>
      <w:r w:rsidRPr="008D3170">
        <w:rPr>
          <w:rFonts w:ascii="Arial" w:eastAsia="Times New Roman" w:hAnsi="Arial" w:cs="Arial"/>
          <w:kern w:val="0"/>
          <w:sz w:val="24"/>
          <w:szCs w:val="24"/>
          <w:lang w:eastAsia="en-GB"/>
          <w14:ligatures w14:val="none"/>
        </w:rPr>
        <w:t xml:space="preserve"> </w:t>
      </w:r>
      <w:r w:rsidRPr="008343B8">
        <w:rPr>
          <w:rFonts w:ascii="Arial" w:eastAsia="Times New Roman" w:hAnsi="Arial" w:cs="Arial"/>
          <w:kern w:val="0"/>
          <w:sz w:val="24"/>
          <w:szCs w:val="24"/>
          <w:lang w:eastAsia="en-GB"/>
          <w14:ligatures w14:val="none"/>
        </w:rPr>
        <w:t>Financial management is significantly influenced by the balance sheet and income statement, which are fundamental financial statements</w:t>
      </w:r>
      <w:r w:rsidR="0037452E" w:rsidRPr="008D3170">
        <w:rPr>
          <w:rFonts w:ascii="Arial" w:eastAsia="Times New Roman" w:hAnsi="Arial" w:cs="Arial"/>
          <w:kern w:val="0"/>
          <w:sz w:val="24"/>
          <w:szCs w:val="24"/>
          <w:lang w:eastAsia="en-GB"/>
          <w14:ligatures w14:val="none"/>
        </w:rPr>
        <w:t xml:space="preserve"> (</w:t>
      </w:r>
      <w:proofErr w:type="spellStart"/>
      <w:r w:rsidR="0037452E" w:rsidRPr="008D3170">
        <w:rPr>
          <w:rFonts w:ascii="Arial" w:eastAsia="Times New Roman" w:hAnsi="Arial" w:cs="Arial"/>
          <w:kern w:val="0"/>
          <w:sz w:val="24"/>
          <w:szCs w:val="24"/>
          <w:lang w:eastAsia="en-GB"/>
          <w14:ligatures w14:val="none"/>
        </w:rPr>
        <w:t>Atrill</w:t>
      </w:r>
      <w:proofErr w:type="spellEnd"/>
      <w:r w:rsidR="0037452E" w:rsidRPr="008D3170">
        <w:rPr>
          <w:rFonts w:ascii="Arial" w:eastAsia="Times New Roman" w:hAnsi="Arial" w:cs="Arial"/>
          <w:kern w:val="0"/>
          <w:sz w:val="24"/>
          <w:szCs w:val="24"/>
          <w:lang w:eastAsia="en-GB"/>
          <w14:ligatures w14:val="none"/>
        </w:rPr>
        <w:t xml:space="preserve"> and McLaney, 2021).</w:t>
      </w:r>
      <w:r w:rsidRPr="008343B8">
        <w:rPr>
          <w:rFonts w:ascii="Arial" w:eastAsia="Times New Roman" w:hAnsi="Arial" w:cs="Arial"/>
          <w:kern w:val="0"/>
          <w:sz w:val="24"/>
          <w:szCs w:val="24"/>
          <w:lang w:eastAsia="en-GB"/>
          <w14:ligatures w14:val="none"/>
        </w:rPr>
        <w:t xml:space="preserve"> The statement of financial position, or balance sheet, is a concise representation of a company's assets, liabilities, and shareholders' equity at a particular juncture. It is indispensable for the evaluation of a company's liquidity, solvency, and capital structure (Fraser</w:t>
      </w:r>
      <w:r w:rsidR="0037452E" w:rsidRPr="008D3170">
        <w:rPr>
          <w:rFonts w:ascii="Arial" w:eastAsia="Times New Roman" w:hAnsi="Arial" w:cs="Arial"/>
          <w:kern w:val="0"/>
          <w:sz w:val="24"/>
          <w:szCs w:val="24"/>
          <w:lang w:eastAsia="en-GB"/>
          <w14:ligatures w14:val="none"/>
        </w:rPr>
        <w:t xml:space="preserve">, </w:t>
      </w:r>
      <w:proofErr w:type="spellStart"/>
      <w:r w:rsidRPr="008343B8">
        <w:rPr>
          <w:rFonts w:ascii="Arial" w:eastAsia="Times New Roman" w:hAnsi="Arial" w:cs="Arial"/>
          <w:kern w:val="0"/>
          <w:sz w:val="24"/>
          <w:szCs w:val="24"/>
          <w:lang w:eastAsia="en-GB"/>
          <w14:ligatures w14:val="none"/>
        </w:rPr>
        <w:t>Ormiston,</w:t>
      </w:r>
      <w:r w:rsidR="0037452E" w:rsidRPr="008D3170">
        <w:rPr>
          <w:rFonts w:ascii="Arial" w:eastAsia="Times New Roman" w:hAnsi="Arial" w:cs="Arial"/>
          <w:kern w:val="0"/>
          <w:sz w:val="24"/>
          <w:szCs w:val="24"/>
          <w:lang w:eastAsia="en-GB"/>
          <w14:ligatures w14:val="none"/>
        </w:rPr>
        <w:t>and</w:t>
      </w:r>
      <w:proofErr w:type="spellEnd"/>
      <w:r w:rsidR="0037452E" w:rsidRPr="008D3170">
        <w:rPr>
          <w:rFonts w:ascii="Arial" w:eastAsia="Times New Roman" w:hAnsi="Arial" w:cs="Arial"/>
          <w:kern w:val="0"/>
          <w:sz w:val="24"/>
          <w:szCs w:val="24"/>
          <w:lang w:eastAsia="en-GB"/>
          <w14:ligatures w14:val="none"/>
        </w:rPr>
        <w:t xml:space="preserve"> Mukherjee,</w:t>
      </w:r>
      <w:r w:rsidRPr="008343B8">
        <w:rPr>
          <w:rFonts w:ascii="Arial" w:eastAsia="Times New Roman" w:hAnsi="Arial" w:cs="Arial"/>
          <w:kern w:val="0"/>
          <w:sz w:val="24"/>
          <w:szCs w:val="24"/>
          <w:lang w:eastAsia="en-GB"/>
          <w14:ligatures w14:val="none"/>
        </w:rPr>
        <w:t xml:space="preserve"> 2016). Conversely, the income statement, or profit and loss statement, illustrates the company's revenues, expenses, and profits over a specified time frame. It is essential for the assessment of the organization's profitability, operational efficiency, and cost management (Weygandt, Kimmel, </w:t>
      </w:r>
      <w:r w:rsidR="0037452E" w:rsidRPr="008D3170">
        <w:rPr>
          <w:rFonts w:ascii="Arial" w:eastAsia="Times New Roman" w:hAnsi="Arial" w:cs="Arial"/>
          <w:kern w:val="0"/>
          <w:sz w:val="24"/>
          <w:szCs w:val="24"/>
          <w:lang w:eastAsia="en-GB"/>
          <w14:ligatures w14:val="none"/>
        </w:rPr>
        <w:t>and</w:t>
      </w:r>
      <w:r w:rsidRPr="008343B8">
        <w:rPr>
          <w:rFonts w:ascii="Arial" w:eastAsia="Times New Roman" w:hAnsi="Arial" w:cs="Arial"/>
          <w:kern w:val="0"/>
          <w:sz w:val="24"/>
          <w:szCs w:val="24"/>
          <w:lang w:eastAsia="en-GB"/>
          <w14:ligatures w14:val="none"/>
        </w:rPr>
        <w:t xml:space="preserve"> </w:t>
      </w:r>
      <w:proofErr w:type="spellStart"/>
      <w:r w:rsidRPr="008343B8">
        <w:rPr>
          <w:rFonts w:ascii="Arial" w:eastAsia="Times New Roman" w:hAnsi="Arial" w:cs="Arial"/>
          <w:kern w:val="0"/>
          <w:sz w:val="24"/>
          <w:szCs w:val="24"/>
          <w:lang w:eastAsia="en-GB"/>
          <w14:ligatures w14:val="none"/>
        </w:rPr>
        <w:t>Kieso</w:t>
      </w:r>
      <w:proofErr w:type="spellEnd"/>
      <w:r w:rsidRPr="008343B8">
        <w:rPr>
          <w:rFonts w:ascii="Arial" w:eastAsia="Times New Roman" w:hAnsi="Arial" w:cs="Arial"/>
          <w:kern w:val="0"/>
          <w:sz w:val="24"/>
          <w:szCs w:val="24"/>
          <w:lang w:eastAsia="en-GB"/>
          <w14:ligatures w14:val="none"/>
        </w:rPr>
        <w:t>, 2018).</w:t>
      </w:r>
      <w:r w:rsidRPr="008D3170">
        <w:rPr>
          <w:rFonts w:ascii="Arial" w:eastAsia="Times New Roman" w:hAnsi="Arial" w:cs="Arial"/>
          <w:kern w:val="0"/>
          <w:sz w:val="24"/>
          <w:szCs w:val="24"/>
          <w:lang w:eastAsia="en-GB"/>
          <w14:ligatures w14:val="none"/>
        </w:rPr>
        <w:t xml:space="preserve"> </w:t>
      </w:r>
      <w:r w:rsidRPr="008343B8">
        <w:rPr>
          <w:rFonts w:ascii="Arial" w:eastAsia="Times New Roman" w:hAnsi="Arial" w:cs="Arial"/>
          <w:kern w:val="0"/>
          <w:sz w:val="24"/>
          <w:szCs w:val="24"/>
          <w:lang w:eastAsia="en-GB"/>
          <w14:ligatures w14:val="none"/>
        </w:rPr>
        <w:t xml:space="preserve">The objective of this report is to offer a thorough examination of the financial performance of Urban Heights Hotel over the past three years. </w:t>
      </w:r>
    </w:p>
    <w:p w14:paraId="0A9E1BEA" w14:textId="77777777" w:rsidR="008343B8" w:rsidRPr="008D3170" w:rsidRDefault="008343B8" w:rsidP="008D3170">
      <w:pPr>
        <w:spacing w:line="360" w:lineRule="auto"/>
        <w:jc w:val="both"/>
        <w:rPr>
          <w:rFonts w:ascii="Arial" w:hAnsi="Arial" w:cs="Arial"/>
          <w:sz w:val="24"/>
          <w:szCs w:val="24"/>
        </w:rPr>
      </w:pPr>
    </w:p>
    <w:p w14:paraId="45BE0393" w14:textId="573DF3AC" w:rsidR="008343B8" w:rsidRPr="008D3170" w:rsidRDefault="002C66C9" w:rsidP="008D3170">
      <w:pPr>
        <w:pStyle w:val="EU"/>
        <w:spacing w:line="360" w:lineRule="auto"/>
        <w:rPr>
          <w:color w:val="auto"/>
        </w:rPr>
      </w:pPr>
      <w:bookmarkStart w:id="1" w:name="_Toc168588309"/>
      <w:r w:rsidRPr="008D3170">
        <w:rPr>
          <w:color w:val="auto"/>
        </w:rPr>
        <w:t>Trends and patterns in the financial performance of the hotel</w:t>
      </w:r>
      <w:bookmarkEnd w:id="1"/>
    </w:p>
    <w:p w14:paraId="462AC6E7" w14:textId="3810C9F2" w:rsidR="00B22927" w:rsidRPr="008D3170" w:rsidRDefault="00B17BC3" w:rsidP="008D3170">
      <w:pPr>
        <w:spacing w:line="360" w:lineRule="auto"/>
        <w:jc w:val="both"/>
        <w:rPr>
          <w:rFonts w:ascii="Arial" w:eastAsia="Times New Roman" w:hAnsi="Arial" w:cs="Arial"/>
          <w:kern w:val="0"/>
          <w:sz w:val="24"/>
          <w:szCs w:val="24"/>
          <w:lang w:eastAsia="en-GB"/>
          <w14:ligatures w14:val="none"/>
        </w:rPr>
      </w:pPr>
      <w:r w:rsidRPr="00B17BC3">
        <w:rPr>
          <w:rFonts w:ascii="Arial" w:eastAsia="Times New Roman" w:hAnsi="Arial" w:cs="Arial"/>
          <w:kern w:val="0"/>
          <w:sz w:val="24"/>
          <w:szCs w:val="24"/>
          <w:lang w:eastAsia="en-GB"/>
          <w14:ligatures w14:val="none"/>
        </w:rPr>
        <w:t>The current ratio quantifies a company's capacity to satisfy its immediate obligations by utilising its immediate assets. It is determined by dividing current assets by current liabilities</w:t>
      </w:r>
      <w:r w:rsidR="0037452E" w:rsidRPr="008D3170">
        <w:rPr>
          <w:rFonts w:ascii="Arial" w:eastAsia="Times New Roman" w:hAnsi="Arial" w:cs="Arial"/>
          <w:kern w:val="0"/>
          <w:sz w:val="24"/>
          <w:szCs w:val="24"/>
          <w:lang w:eastAsia="en-GB"/>
          <w14:ligatures w14:val="none"/>
        </w:rPr>
        <w:t xml:space="preserve"> (Jagels, 2007). </w:t>
      </w:r>
      <w:r w:rsidRPr="00B17BC3">
        <w:rPr>
          <w:rFonts w:ascii="Arial" w:eastAsia="Times New Roman" w:hAnsi="Arial" w:cs="Arial"/>
          <w:kern w:val="0"/>
          <w:sz w:val="24"/>
          <w:szCs w:val="24"/>
          <w:lang w:eastAsia="en-GB"/>
          <w14:ligatures w14:val="none"/>
        </w:rPr>
        <w:t>A higher ratio suggests that the company has the capacity to cover its short-term liabilities with its assets, indicating improved liquidity. Nevertheless, its constraints include the absence of consideration for the character of assets and the timing of financial flows. For instance, the ratio may be inflated by high inventory levels, which may not be readily converted to cash (</w:t>
      </w:r>
      <w:proofErr w:type="spellStart"/>
      <w:r w:rsidR="0037452E" w:rsidRPr="008D3170">
        <w:rPr>
          <w:rFonts w:ascii="Arial" w:eastAsia="Times New Roman" w:hAnsi="Arial" w:cs="Arial"/>
          <w:kern w:val="0"/>
          <w:sz w:val="24"/>
          <w:szCs w:val="24"/>
          <w:lang w:eastAsia="en-GB"/>
          <w14:ligatures w14:val="none"/>
        </w:rPr>
        <w:t>Atrill</w:t>
      </w:r>
      <w:proofErr w:type="spellEnd"/>
      <w:r w:rsidR="0037452E" w:rsidRPr="008D3170">
        <w:rPr>
          <w:rFonts w:ascii="Arial" w:eastAsia="Times New Roman" w:hAnsi="Arial" w:cs="Arial"/>
          <w:kern w:val="0"/>
          <w:sz w:val="24"/>
          <w:szCs w:val="24"/>
          <w:lang w:eastAsia="en-GB"/>
          <w14:ligatures w14:val="none"/>
        </w:rPr>
        <w:t xml:space="preserve"> and McLaney, 2021).</w:t>
      </w:r>
      <w:r w:rsidRPr="008D3170">
        <w:rPr>
          <w:rFonts w:ascii="Arial" w:eastAsia="Times New Roman" w:hAnsi="Arial" w:cs="Arial"/>
          <w:kern w:val="0"/>
          <w:sz w:val="24"/>
          <w:szCs w:val="24"/>
          <w:lang w:eastAsia="en-GB"/>
          <w14:ligatures w14:val="none"/>
        </w:rPr>
        <w:t xml:space="preserve"> Furthermore, t</w:t>
      </w:r>
      <w:r w:rsidRPr="00B17BC3">
        <w:rPr>
          <w:rFonts w:ascii="Arial" w:eastAsia="Times New Roman" w:hAnsi="Arial" w:cs="Arial"/>
          <w:kern w:val="0"/>
          <w:sz w:val="24"/>
          <w:szCs w:val="24"/>
          <w:lang w:eastAsia="en-GB"/>
          <w14:ligatures w14:val="none"/>
        </w:rPr>
        <w:t>he asset turnover ratio evaluates the effectiveness of a company in utilising its assets to generate revenue. It is determined by dividing net sales by the average total assets. A larger ratio suggests that assets are utilised more effectively</w:t>
      </w:r>
      <w:r w:rsidR="0037452E" w:rsidRPr="008D3170">
        <w:rPr>
          <w:rFonts w:ascii="Arial" w:eastAsia="Times New Roman" w:hAnsi="Arial" w:cs="Arial"/>
          <w:kern w:val="0"/>
          <w:sz w:val="24"/>
          <w:szCs w:val="24"/>
          <w:lang w:eastAsia="en-GB"/>
          <w14:ligatures w14:val="none"/>
        </w:rPr>
        <w:t xml:space="preserve"> (Wild, 2018). </w:t>
      </w:r>
      <w:r w:rsidRPr="00B17BC3">
        <w:rPr>
          <w:rFonts w:ascii="Arial" w:eastAsia="Times New Roman" w:hAnsi="Arial" w:cs="Arial"/>
          <w:kern w:val="0"/>
          <w:sz w:val="24"/>
          <w:szCs w:val="24"/>
          <w:lang w:eastAsia="en-GB"/>
          <w14:ligatures w14:val="none"/>
        </w:rPr>
        <w:t>Nevertheless, it has constraints, including the inability to account for asset age and productivity variations, as well as the potential for comparisons to be distorted by variation in asset valuation techniques (</w:t>
      </w:r>
      <w:r w:rsidR="0037452E" w:rsidRPr="008D3170">
        <w:rPr>
          <w:rFonts w:ascii="Arial" w:eastAsia="Times New Roman" w:hAnsi="Arial" w:cs="Arial"/>
          <w:kern w:val="0"/>
          <w:sz w:val="24"/>
          <w:szCs w:val="24"/>
          <w:lang w:eastAsia="en-GB"/>
          <w14:ligatures w14:val="none"/>
        </w:rPr>
        <w:t>Drury, 2021</w:t>
      </w:r>
      <w:r w:rsidRPr="00B17BC3">
        <w:rPr>
          <w:rFonts w:ascii="Arial" w:eastAsia="Times New Roman" w:hAnsi="Arial" w:cs="Arial"/>
          <w:kern w:val="0"/>
          <w:sz w:val="24"/>
          <w:szCs w:val="24"/>
          <w:lang w:eastAsia="en-GB"/>
          <w14:ligatures w14:val="none"/>
        </w:rPr>
        <w:t>).</w:t>
      </w:r>
      <w:r w:rsidRPr="008D3170">
        <w:rPr>
          <w:rFonts w:ascii="Arial" w:eastAsia="Times New Roman" w:hAnsi="Arial" w:cs="Arial"/>
          <w:kern w:val="0"/>
          <w:sz w:val="24"/>
          <w:szCs w:val="24"/>
          <w:lang w:eastAsia="en-GB"/>
          <w14:ligatures w14:val="none"/>
        </w:rPr>
        <w:t xml:space="preserve"> On the other hand, t</w:t>
      </w:r>
      <w:r w:rsidRPr="00B17BC3">
        <w:rPr>
          <w:rFonts w:ascii="Arial" w:eastAsia="Times New Roman" w:hAnsi="Arial" w:cs="Arial"/>
          <w:kern w:val="0"/>
          <w:sz w:val="24"/>
          <w:szCs w:val="24"/>
          <w:lang w:eastAsia="en-GB"/>
          <w14:ligatures w14:val="none"/>
        </w:rPr>
        <w:t>he net profit margin is a metric that quantifies the portion of revenue that remains as profit after all expenses have been subtracted. It is determined by dividing net income by revenue. This ratio is essential for evaluating operational efficiency and profitability</w:t>
      </w:r>
      <w:r w:rsidR="0037452E" w:rsidRPr="008D3170">
        <w:rPr>
          <w:rFonts w:ascii="Arial" w:eastAsia="Times New Roman" w:hAnsi="Arial" w:cs="Arial"/>
          <w:kern w:val="0"/>
          <w:sz w:val="24"/>
          <w:szCs w:val="24"/>
          <w:lang w:eastAsia="en-GB"/>
          <w14:ligatures w14:val="none"/>
        </w:rPr>
        <w:t xml:space="preserve"> (Seal, 2019).</w:t>
      </w:r>
      <w:r w:rsidRPr="00B17BC3">
        <w:rPr>
          <w:rFonts w:ascii="Arial" w:eastAsia="Times New Roman" w:hAnsi="Arial" w:cs="Arial"/>
          <w:kern w:val="0"/>
          <w:sz w:val="24"/>
          <w:szCs w:val="24"/>
          <w:lang w:eastAsia="en-GB"/>
          <w14:ligatures w14:val="none"/>
        </w:rPr>
        <w:t xml:space="preserve"> Nevertheless, its constraints include the potential for distortion by one-time expenses or extraordinary items, as well as the absence of consideration for the scope of revenue or capital structure (</w:t>
      </w:r>
      <w:r w:rsidR="005F23E7" w:rsidRPr="008D3170">
        <w:rPr>
          <w:rFonts w:ascii="Arial" w:eastAsia="Times New Roman" w:hAnsi="Arial" w:cs="Arial"/>
          <w:kern w:val="0"/>
          <w:sz w:val="24"/>
          <w:szCs w:val="24"/>
          <w:lang w:eastAsia="en-GB"/>
          <w14:ligatures w14:val="none"/>
        </w:rPr>
        <w:t>Wild</w:t>
      </w:r>
      <w:r w:rsidRPr="00B17BC3">
        <w:rPr>
          <w:rFonts w:ascii="Arial" w:eastAsia="Times New Roman" w:hAnsi="Arial" w:cs="Arial"/>
          <w:kern w:val="0"/>
          <w:sz w:val="24"/>
          <w:szCs w:val="24"/>
          <w:lang w:eastAsia="en-GB"/>
          <w14:ligatures w14:val="none"/>
        </w:rPr>
        <w:t>, 201</w:t>
      </w:r>
      <w:r w:rsidR="005F23E7" w:rsidRPr="008D3170">
        <w:rPr>
          <w:rFonts w:ascii="Arial" w:eastAsia="Times New Roman" w:hAnsi="Arial" w:cs="Arial"/>
          <w:kern w:val="0"/>
          <w:sz w:val="24"/>
          <w:szCs w:val="24"/>
          <w:lang w:eastAsia="en-GB"/>
          <w14:ligatures w14:val="none"/>
        </w:rPr>
        <w:t>8</w:t>
      </w:r>
      <w:r w:rsidRPr="00B17BC3">
        <w:rPr>
          <w:rFonts w:ascii="Arial" w:eastAsia="Times New Roman" w:hAnsi="Arial" w:cs="Arial"/>
          <w:kern w:val="0"/>
          <w:sz w:val="24"/>
          <w:szCs w:val="24"/>
          <w:lang w:eastAsia="en-GB"/>
          <w14:ligatures w14:val="none"/>
        </w:rPr>
        <w:t>).</w:t>
      </w:r>
      <w:r w:rsidRPr="008D3170">
        <w:rPr>
          <w:rFonts w:ascii="Arial" w:eastAsia="Times New Roman" w:hAnsi="Arial" w:cs="Arial"/>
          <w:kern w:val="0"/>
          <w:sz w:val="24"/>
          <w:szCs w:val="24"/>
          <w:lang w:eastAsia="en-GB"/>
          <w14:ligatures w14:val="none"/>
        </w:rPr>
        <w:t xml:space="preserve"> Additionally, t</w:t>
      </w:r>
      <w:r w:rsidRPr="00B17BC3">
        <w:rPr>
          <w:rFonts w:ascii="Arial" w:eastAsia="Times New Roman" w:hAnsi="Arial" w:cs="Arial"/>
          <w:kern w:val="0"/>
          <w:sz w:val="24"/>
          <w:szCs w:val="24"/>
          <w:lang w:eastAsia="en-GB"/>
          <w14:ligatures w14:val="none"/>
        </w:rPr>
        <w:t xml:space="preserve">he debt-to-equity ratio is a financial leverage metric that compares a company's total liabilities to the shareholder equity. It denotes the ratio of debt to equity in the financing of assets. A greater ratio indicates a larger level of financial risk and leverage. It is restricted in that it does not account for the cost of debt or the timing of debt repayments, which can have a substantial impact on financial stability </w:t>
      </w:r>
      <w:r w:rsidR="005F23E7" w:rsidRPr="008D3170">
        <w:rPr>
          <w:rFonts w:ascii="Arial" w:hAnsi="Arial" w:cs="Arial"/>
          <w:sz w:val="24"/>
          <w:szCs w:val="24"/>
          <w:shd w:val="clear" w:color="auto" w:fill="FFFFFF"/>
        </w:rPr>
        <w:t xml:space="preserve">(Collis, </w:t>
      </w:r>
      <w:r w:rsidR="005F23E7" w:rsidRPr="008D3170">
        <w:rPr>
          <w:rFonts w:ascii="Arial" w:hAnsi="Arial" w:cs="Arial"/>
          <w:sz w:val="24"/>
          <w:szCs w:val="24"/>
          <w:shd w:val="clear" w:color="auto" w:fill="FFFFFF"/>
        </w:rPr>
        <w:t>Holt,</w:t>
      </w:r>
      <w:r w:rsidR="005F23E7" w:rsidRPr="008D3170">
        <w:rPr>
          <w:rFonts w:ascii="Arial" w:hAnsi="Arial" w:cs="Arial"/>
          <w:sz w:val="24"/>
          <w:szCs w:val="24"/>
          <w:shd w:val="clear" w:color="auto" w:fill="FFFFFF"/>
        </w:rPr>
        <w:t xml:space="preserve"> and Hussey, 2017)</w:t>
      </w:r>
      <w:r w:rsidR="005F23E7" w:rsidRPr="008D3170">
        <w:rPr>
          <w:rFonts w:ascii="Arial" w:eastAsia="Times New Roman" w:hAnsi="Arial" w:cs="Arial"/>
          <w:kern w:val="0"/>
          <w:sz w:val="24"/>
          <w:szCs w:val="24"/>
          <w:lang w:eastAsia="en-GB"/>
          <w14:ligatures w14:val="none"/>
        </w:rPr>
        <w:t xml:space="preserve">. </w:t>
      </w:r>
      <w:r w:rsidRPr="008D3170">
        <w:rPr>
          <w:rFonts w:ascii="Arial" w:eastAsia="Times New Roman" w:hAnsi="Arial" w:cs="Arial"/>
          <w:kern w:val="0"/>
          <w:sz w:val="24"/>
          <w:szCs w:val="24"/>
          <w:lang w:eastAsia="en-GB"/>
          <w14:ligatures w14:val="none"/>
        </w:rPr>
        <w:t>Lastly, t</w:t>
      </w:r>
      <w:r w:rsidRPr="00B17BC3">
        <w:rPr>
          <w:rFonts w:ascii="Arial" w:eastAsia="Times New Roman" w:hAnsi="Arial" w:cs="Arial"/>
          <w:kern w:val="0"/>
          <w:sz w:val="24"/>
          <w:szCs w:val="24"/>
          <w:lang w:eastAsia="en-GB"/>
          <w14:ligatures w14:val="none"/>
        </w:rPr>
        <w:t>he debt ratio is a metric that quantifies the percentage of a company's assets that are financed by debt. It is determined by dividing the total assets by the total liabilities. A higher ratio suggests that the financial leverage and risk are greater. Its constraints include the absence of a distinction between short-term and long-term debt and the absence of information regarding the company's capacity to service its debt (</w:t>
      </w:r>
      <w:proofErr w:type="spellStart"/>
      <w:r w:rsidR="005F23E7" w:rsidRPr="008D3170">
        <w:rPr>
          <w:rFonts w:ascii="Arial" w:eastAsia="Times New Roman" w:hAnsi="Arial" w:cs="Arial"/>
          <w:kern w:val="0"/>
          <w:sz w:val="24"/>
          <w:szCs w:val="24"/>
          <w:lang w:eastAsia="en-GB"/>
          <w14:ligatures w14:val="none"/>
        </w:rPr>
        <w:t>Guilding</w:t>
      </w:r>
      <w:proofErr w:type="spellEnd"/>
      <w:r w:rsidRPr="00B17BC3">
        <w:rPr>
          <w:rFonts w:ascii="Arial" w:eastAsia="Times New Roman" w:hAnsi="Arial" w:cs="Arial"/>
          <w:kern w:val="0"/>
          <w:sz w:val="24"/>
          <w:szCs w:val="24"/>
          <w:lang w:eastAsia="en-GB"/>
          <w14:ligatures w14:val="none"/>
        </w:rPr>
        <w:t>, 201</w:t>
      </w:r>
      <w:r w:rsidR="005F23E7" w:rsidRPr="008D3170">
        <w:rPr>
          <w:rFonts w:ascii="Arial" w:eastAsia="Times New Roman" w:hAnsi="Arial" w:cs="Arial"/>
          <w:kern w:val="0"/>
          <w:sz w:val="24"/>
          <w:szCs w:val="24"/>
          <w:lang w:eastAsia="en-GB"/>
          <w14:ligatures w14:val="none"/>
        </w:rPr>
        <w:t>4</w:t>
      </w:r>
      <w:r w:rsidRPr="00B17BC3">
        <w:rPr>
          <w:rFonts w:ascii="Arial" w:eastAsia="Times New Roman" w:hAnsi="Arial" w:cs="Arial"/>
          <w:kern w:val="0"/>
          <w:sz w:val="24"/>
          <w:szCs w:val="24"/>
          <w:lang w:eastAsia="en-GB"/>
          <w14:ligatures w14:val="none"/>
        </w:rPr>
        <w:t>).</w:t>
      </w:r>
      <w:r w:rsidRPr="008D3170">
        <w:rPr>
          <w:rFonts w:ascii="Arial" w:eastAsia="Times New Roman" w:hAnsi="Arial" w:cs="Arial"/>
          <w:kern w:val="0"/>
          <w:sz w:val="24"/>
          <w:szCs w:val="24"/>
          <w:lang w:eastAsia="en-GB"/>
          <w14:ligatures w14:val="none"/>
        </w:rPr>
        <w:t xml:space="preserve"> </w:t>
      </w:r>
      <w:r w:rsidRPr="00B17BC3">
        <w:rPr>
          <w:rFonts w:ascii="Arial" w:eastAsia="Times New Roman" w:hAnsi="Arial" w:cs="Arial"/>
          <w:kern w:val="0"/>
          <w:sz w:val="24"/>
          <w:szCs w:val="24"/>
          <w:lang w:eastAsia="en-GB"/>
          <w14:ligatures w14:val="none"/>
        </w:rPr>
        <w:t xml:space="preserve">Collectively, these ratios offer a comprehensive understanding of a company's operational efficiency, financial health, and risk profile. Nevertheless, each has its own set of constraints that must be </w:t>
      </w:r>
      <w:proofErr w:type="gramStart"/>
      <w:r w:rsidRPr="00B17BC3">
        <w:rPr>
          <w:rFonts w:ascii="Arial" w:eastAsia="Times New Roman" w:hAnsi="Arial" w:cs="Arial"/>
          <w:kern w:val="0"/>
          <w:sz w:val="24"/>
          <w:szCs w:val="24"/>
          <w:lang w:eastAsia="en-GB"/>
          <w14:ligatures w14:val="none"/>
        </w:rPr>
        <w:t>taken into account</w:t>
      </w:r>
      <w:proofErr w:type="gramEnd"/>
      <w:r w:rsidRPr="00B17BC3">
        <w:rPr>
          <w:rFonts w:ascii="Arial" w:eastAsia="Times New Roman" w:hAnsi="Arial" w:cs="Arial"/>
          <w:kern w:val="0"/>
          <w:sz w:val="24"/>
          <w:szCs w:val="24"/>
          <w:lang w:eastAsia="en-GB"/>
          <w14:ligatures w14:val="none"/>
        </w:rPr>
        <w:t xml:space="preserve"> when conducting thorough financial evaluations.</w:t>
      </w:r>
      <w:r w:rsidR="00B22927" w:rsidRPr="008D3170">
        <w:rPr>
          <w:rFonts w:ascii="Arial" w:eastAsia="Times New Roman" w:hAnsi="Arial" w:cs="Arial"/>
          <w:kern w:val="0"/>
          <w:sz w:val="24"/>
          <w:szCs w:val="24"/>
          <w:lang w:eastAsia="en-GB"/>
          <w14:ligatures w14:val="none"/>
        </w:rPr>
        <w:t xml:space="preserve"> When looking at the hotel Urban Heights, o</w:t>
      </w:r>
      <w:r w:rsidR="00B22927" w:rsidRPr="008D3170">
        <w:rPr>
          <w:rFonts w:ascii="Arial" w:eastAsia="Times New Roman" w:hAnsi="Arial" w:cs="Arial"/>
          <w:kern w:val="0"/>
          <w:sz w:val="24"/>
          <w:szCs w:val="24"/>
          <w:lang w:eastAsia="en-GB"/>
          <w14:ligatures w14:val="none"/>
        </w:rPr>
        <w:t xml:space="preserve">ver the course of three years, the current ratio, which serves as an indicator of liquidity, experienced an immense decline. The hotel's current ratio of 1.8 in 2021 suggests that it is in a robust liquidity position, with current assets </w:t>
      </w:r>
      <w:proofErr w:type="gramStart"/>
      <w:r w:rsidR="00B22927" w:rsidRPr="008D3170">
        <w:rPr>
          <w:rFonts w:ascii="Arial" w:eastAsia="Times New Roman" w:hAnsi="Arial" w:cs="Arial"/>
          <w:kern w:val="0"/>
          <w:sz w:val="24"/>
          <w:szCs w:val="24"/>
          <w:lang w:eastAsia="en-GB"/>
          <w14:ligatures w14:val="none"/>
        </w:rPr>
        <w:t>considerably exceeding</w:t>
      </w:r>
      <w:proofErr w:type="gramEnd"/>
      <w:r w:rsidR="00B22927" w:rsidRPr="008D3170">
        <w:rPr>
          <w:rFonts w:ascii="Arial" w:eastAsia="Times New Roman" w:hAnsi="Arial" w:cs="Arial"/>
          <w:kern w:val="0"/>
          <w:sz w:val="24"/>
          <w:szCs w:val="24"/>
          <w:lang w:eastAsia="en-GB"/>
          <w14:ligatures w14:val="none"/>
        </w:rPr>
        <w:t xml:space="preserve"> current liabilities</w:t>
      </w:r>
      <w:r w:rsidR="005F23E7" w:rsidRPr="008D3170">
        <w:rPr>
          <w:rFonts w:ascii="Arial" w:eastAsia="Times New Roman" w:hAnsi="Arial" w:cs="Arial"/>
          <w:kern w:val="0"/>
          <w:sz w:val="24"/>
          <w:szCs w:val="24"/>
          <w:lang w:eastAsia="en-GB"/>
          <w14:ligatures w14:val="none"/>
        </w:rPr>
        <w:t xml:space="preserve"> (</w:t>
      </w:r>
      <w:proofErr w:type="spellStart"/>
      <w:r w:rsidR="005F23E7" w:rsidRPr="008D3170">
        <w:rPr>
          <w:rFonts w:ascii="Arial" w:eastAsia="Times New Roman" w:hAnsi="Arial" w:cs="Arial"/>
          <w:kern w:val="0"/>
          <w:sz w:val="24"/>
          <w:szCs w:val="24"/>
          <w:lang w:eastAsia="en-GB"/>
          <w14:ligatures w14:val="none"/>
        </w:rPr>
        <w:t>Gowthrope</w:t>
      </w:r>
      <w:proofErr w:type="spellEnd"/>
      <w:r w:rsidR="005F23E7" w:rsidRPr="008D3170">
        <w:rPr>
          <w:rFonts w:ascii="Arial" w:eastAsia="Times New Roman" w:hAnsi="Arial" w:cs="Arial"/>
          <w:kern w:val="0"/>
          <w:sz w:val="24"/>
          <w:szCs w:val="24"/>
          <w:lang w:eastAsia="en-GB"/>
          <w14:ligatures w14:val="none"/>
        </w:rPr>
        <w:t>, 2021).</w:t>
      </w:r>
      <w:r w:rsidR="00B22927" w:rsidRPr="008D3170">
        <w:rPr>
          <w:rFonts w:ascii="Arial" w:eastAsia="Times New Roman" w:hAnsi="Arial" w:cs="Arial"/>
          <w:kern w:val="0"/>
          <w:sz w:val="24"/>
          <w:szCs w:val="24"/>
          <w:lang w:eastAsia="en-GB"/>
          <w14:ligatures w14:val="none"/>
        </w:rPr>
        <w:t xml:space="preserve"> Nevertheless, by 2022, this ratio had decreased to 1.11, indicating a more constrained liquidity situation that was still manageable. The hotel is facing severe liquidity issues </w:t>
      </w:r>
      <w:proofErr w:type="gramStart"/>
      <w:r w:rsidR="00B22927" w:rsidRPr="008D3170">
        <w:rPr>
          <w:rFonts w:ascii="Arial" w:eastAsia="Times New Roman" w:hAnsi="Arial" w:cs="Arial"/>
          <w:kern w:val="0"/>
          <w:sz w:val="24"/>
          <w:szCs w:val="24"/>
          <w:lang w:eastAsia="en-GB"/>
          <w14:ligatures w14:val="none"/>
        </w:rPr>
        <w:t>as a result of</w:t>
      </w:r>
      <w:proofErr w:type="gramEnd"/>
      <w:r w:rsidR="00B22927" w:rsidRPr="008D3170">
        <w:rPr>
          <w:rFonts w:ascii="Arial" w:eastAsia="Times New Roman" w:hAnsi="Arial" w:cs="Arial"/>
          <w:kern w:val="0"/>
          <w:sz w:val="24"/>
          <w:szCs w:val="24"/>
          <w:lang w:eastAsia="en-GB"/>
          <w14:ligatures w14:val="none"/>
        </w:rPr>
        <w:t xml:space="preserve"> the precipitous decline to 0.6 in 2023, which is indicative of the inability to cover its short-term liabilities with its short-term assets. This trend </w:t>
      </w:r>
      <w:proofErr w:type="gramStart"/>
      <w:r w:rsidR="005F23E7" w:rsidRPr="008D3170">
        <w:rPr>
          <w:rFonts w:ascii="Arial" w:eastAsia="Times New Roman" w:hAnsi="Arial" w:cs="Arial"/>
          <w:kern w:val="0"/>
          <w:sz w:val="24"/>
          <w:szCs w:val="24"/>
          <w:lang w:eastAsia="en-GB"/>
          <w14:ligatures w14:val="none"/>
        </w:rPr>
        <w:t>highlight</w:t>
      </w:r>
      <w:proofErr w:type="gramEnd"/>
      <w:r w:rsidR="00B22927" w:rsidRPr="008D3170">
        <w:rPr>
          <w:rFonts w:ascii="Arial" w:eastAsia="Times New Roman" w:hAnsi="Arial" w:cs="Arial"/>
          <w:kern w:val="0"/>
          <w:sz w:val="24"/>
          <w:szCs w:val="24"/>
          <w:lang w:eastAsia="en-GB"/>
          <w14:ligatures w14:val="none"/>
        </w:rPr>
        <w:t xml:space="preserve"> the potential challenges of meeting imminent financial obligations and the increasing financial strain</w:t>
      </w:r>
      <w:r w:rsidR="005F23E7" w:rsidRPr="008D3170">
        <w:rPr>
          <w:rFonts w:ascii="Arial" w:eastAsia="Times New Roman" w:hAnsi="Arial" w:cs="Arial"/>
          <w:kern w:val="0"/>
          <w:sz w:val="24"/>
          <w:szCs w:val="24"/>
          <w:lang w:eastAsia="en-GB"/>
          <w14:ligatures w14:val="none"/>
        </w:rPr>
        <w:t xml:space="preserve"> </w:t>
      </w:r>
      <w:r w:rsidR="005F23E7" w:rsidRPr="008D3170">
        <w:rPr>
          <w:rFonts w:ascii="Arial" w:hAnsi="Arial" w:cs="Arial"/>
          <w:sz w:val="24"/>
          <w:szCs w:val="24"/>
          <w:shd w:val="clear" w:color="auto" w:fill="FFFFFF"/>
        </w:rPr>
        <w:t>(Williams et al., 2018)</w:t>
      </w:r>
      <w:r w:rsidR="005F23E7" w:rsidRPr="008D3170">
        <w:rPr>
          <w:rFonts w:ascii="Arial" w:hAnsi="Arial" w:cs="Arial"/>
          <w:sz w:val="24"/>
          <w:szCs w:val="24"/>
          <w:shd w:val="clear" w:color="auto" w:fill="FFFFFF"/>
        </w:rPr>
        <w:t>.</w:t>
      </w:r>
      <w:r w:rsidR="00B22927" w:rsidRPr="008D3170">
        <w:rPr>
          <w:rFonts w:ascii="Arial" w:eastAsia="Times New Roman" w:hAnsi="Arial" w:cs="Arial"/>
          <w:kern w:val="0"/>
          <w:sz w:val="24"/>
          <w:szCs w:val="24"/>
          <w:lang w:eastAsia="en-GB"/>
          <w14:ligatures w14:val="none"/>
        </w:rPr>
        <w:t xml:space="preserve"> </w:t>
      </w:r>
      <w:r w:rsidR="00B22927" w:rsidRPr="008D3170">
        <w:rPr>
          <w:rFonts w:ascii="Arial" w:eastAsia="Times New Roman" w:hAnsi="Arial" w:cs="Arial"/>
          <w:kern w:val="0"/>
          <w:sz w:val="24"/>
          <w:szCs w:val="24"/>
          <w:lang w:eastAsia="en-GB"/>
          <w14:ligatures w14:val="none"/>
        </w:rPr>
        <w:t>The asset turnover ratio, which evaluates the hotel's ability to generate revenue by utilising its assets, also demonstrated a downward trend. The ratio was 0.45 in 2021, marginally decreased to 0.43 in 2022, and further decreased to 0.38 in 2023. This consistent decline suggests that the efficiency of utilising assets to generate sales is decreasing. Reduced ratios indicate that the hotel is not optimising its asset utilisation, which may be attributed to declining demand or underutilization of facilities</w:t>
      </w:r>
      <w:r w:rsidR="005F23E7" w:rsidRPr="008D3170">
        <w:rPr>
          <w:rFonts w:ascii="Arial" w:eastAsia="Times New Roman" w:hAnsi="Arial" w:cs="Arial"/>
          <w:kern w:val="0"/>
          <w:sz w:val="24"/>
          <w:szCs w:val="24"/>
          <w:lang w:eastAsia="en-GB"/>
          <w14:ligatures w14:val="none"/>
        </w:rPr>
        <w:t xml:space="preserve"> (</w:t>
      </w:r>
      <w:proofErr w:type="spellStart"/>
      <w:r w:rsidR="005F23E7" w:rsidRPr="008D3170">
        <w:rPr>
          <w:rFonts w:ascii="Arial" w:eastAsia="Times New Roman" w:hAnsi="Arial" w:cs="Arial"/>
          <w:kern w:val="0"/>
          <w:sz w:val="24"/>
          <w:szCs w:val="24"/>
          <w:lang w:eastAsia="en-GB"/>
          <w14:ligatures w14:val="none"/>
        </w:rPr>
        <w:t>Atrill</w:t>
      </w:r>
      <w:proofErr w:type="spellEnd"/>
      <w:r w:rsidR="005F23E7" w:rsidRPr="008D3170">
        <w:rPr>
          <w:rFonts w:ascii="Arial" w:eastAsia="Times New Roman" w:hAnsi="Arial" w:cs="Arial"/>
          <w:kern w:val="0"/>
          <w:sz w:val="24"/>
          <w:szCs w:val="24"/>
          <w:lang w:eastAsia="en-GB"/>
          <w14:ligatures w14:val="none"/>
        </w:rPr>
        <w:t xml:space="preserve"> and McLaney, 2021). </w:t>
      </w:r>
      <w:r w:rsidR="00B22927" w:rsidRPr="008D3170">
        <w:rPr>
          <w:rFonts w:ascii="Arial" w:eastAsia="Times New Roman" w:hAnsi="Arial" w:cs="Arial"/>
          <w:kern w:val="0"/>
          <w:sz w:val="24"/>
          <w:szCs w:val="24"/>
          <w:lang w:eastAsia="en-GB"/>
          <w14:ligatures w14:val="none"/>
        </w:rPr>
        <w:t xml:space="preserve">The net profit margin is a critical indicator of profitability. The hotel's profitability was evident in 2021, as evidenced by its robust 28% margin. Nevertheless, this margin experienced a significant decline in 2022, falling to 9.09%, which suggests that profitability has </w:t>
      </w:r>
      <w:proofErr w:type="gramStart"/>
      <w:r w:rsidR="00B22927" w:rsidRPr="008D3170">
        <w:rPr>
          <w:rFonts w:ascii="Arial" w:eastAsia="Times New Roman" w:hAnsi="Arial" w:cs="Arial"/>
          <w:kern w:val="0"/>
          <w:sz w:val="24"/>
          <w:szCs w:val="24"/>
          <w:lang w:eastAsia="en-GB"/>
          <w14:ligatures w14:val="none"/>
        </w:rPr>
        <w:t>declined</w:t>
      </w:r>
      <w:proofErr w:type="gramEnd"/>
      <w:r w:rsidR="00B22927" w:rsidRPr="008D3170">
        <w:rPr>
          <w:rFonts w:ascii="Arial" w:eastAsia="Times New Roman" w:hAnsi="Arial" w:cs="Arial"/>
          <w:kern w:val="0"/>
          <w:sz w:val="24"/>
          <w:szCs w:val="24"/>
          <w:lang w:eastAsia="en-GB"/>
          <w14:ligatures w14:val="none"/>
        </w:rPr>
        <w:t xml:space="preserve"> and costs are on the rise. The hotel operated at a loss, as evidenced by a net profit margin of -27.78% in 2023</w:t>
      </w:r>
      <w:r w:rsidR="005F23E7" w:rsidRPr="008D3170">
        <w:rPr>
          <w:rFonts w:ascii="Arial" w:eastAsia="Times New Roman" w:hAnsi="Arial" w:cs="Arial"/>
          <w:kern w:val="0"/>
          <w:sz w:val="24"/>
          <w:szCs w:val="24"/>
          <w:lang w:eastAsia="en-GB"/>
          <w14:ligatures w14:val="none"/>
        </w:rPr>
        <w:t xml:space="preserve"> (Drury, 2021). </w:t>
      </w:r>
      <w:r w:rsidR="00B22927" w:rsidRPr="008D3170">
        <w:rPr>
          <w:rFonts w:ascii="Arial" w:eastAsia="Times New Roman" w:hAnsi="Arial" w:cs="Arial"/>
          <w:kern w:val="0"/>
          <w:sz w:val="24"/>
          <w:szCs w:val="24"/>
          <w:lang w:eastAsia="en-GB"/>
          <w14:ligatures w14:val="none"/>
        </w:rPr>
        <w:t xml:space="preserve"> This substantial decline implies that there are severe issues with revenue generation and cost management, as expenses exceeded revenue in 2023.</w:t>
      </w:r>
      <w:r w:rsidR="00B22927" w:rsidRPr="008D3170">
        <w:rPr>
          <w:rFonts w:ascii="Arial" w:eastAsia="Times New Roman" w:hAnsi="Arial" w:cs="Arial"/>
          <w:kern w:val="0"/>
          <w:sz w:val="24"/>
          <w:szCs w:val="24"/>
          <w:lang w:eastAsia="en-GB"/>
          <w14:ligatures w14:val="none"/>
        </w:rPr>
        <w:t xml:space="preserve"> </w:t>
      </w:r>
      <w:r w:rsidR="00B22927" w:rsidRPr="008D3170">
        <w:rPr>
          <w:rFonts w:ascii="Arial" w:eastAsia="Times New Roman" w:hAnsi="Arial" w:cs="Arial"/>
          <w:kern w:val="0"/>
          <w:sz w:val="24"/>
          <w:szCs w:val="24"/>
          <w:lang w:eastAsia="en-GB"/>
          <w14:ligatures w14:val="none"/>
        </w:rPr>
        <w:t>In 2021, the debt-to-equity ratio was 1.47. It increased to 1.78 in 2022 and to 2.39 in 2023, reflecting financial leverage. This increasing trend suggests that the hotel is increasingly dependent on debt financing, which in turn elevates its financial vulnerability</w:t>
      </w:r>
      <w:r w:rsidR="000B4B7D" w:rsidRPr="008D3170">
        <w:rPr>
          <w:rFonts w:ascii="Arial" w:eastAsia="Times New Roman" w:hAnsi="Arial" w:cs="Arial"/>
          <w:kern w:val="0"/>
          <w:sz w:val="24"/>
          <w:szCs w:val="24"/>
          <w:lang w:eastAsia="en-GB"/>
          <w14:ligatures w14:val="none"/>
        </w:rPr>
        <w:t xml:space="preserve"> (Seal, 2019).</w:t>
      </w:r>
      <w:r w:rsidR="00B22927" w:rsidRPr="008D3170">
        <w:rPr>
          <w:rFonts w:ascii="Arial" w:eastAsia="Times New Roman" w:hAnsi="Arial" w:cs="Arial"/>
          <w:kern w:val="0"/>
          <w:sz w:val="24"/>
          <w:szCs w:val="24"/>
          <w:lang w:eastAsia="en-GB"/>
          <w14:ligatures w14:val="none"/>
        </w:rPr>
        <w:t xml:space="preserve"> A higher ratio indicates that the hotel is increasingly relying on debt for funding, rather than equity. This can be hazardous if not managed effectively, particularly in the event of economic downturns or rising interest rates.</w:t>
      </w:r>
      <w:r w:rsidR="00B22927" w:rsidRPr="008D3170">
        <w:rPr>
          <w:rFonts w:ascii="Arial" w:eastAsia="Times New Roman" w:hAnsi="Arial" w:cs="Arial"/>
          <w:kern w:val="0"/>
          <w:sz w:val="24"/>
          <w:szCs w:val="24"/>
          <w:lang w:eastAsia="en-GB"/>
          <w14:ligatures w14:val="none"/>
        </w:rPr>
        <w:t xml:space="preserve"> </w:t>
      </w:r>
      <w:r w:rsidR="00B22927" w:rsidRPr="008D3170">
        <w:rPr>
          <w:rFonts w:ascii="Arial" w:eastAsia="Times New Roman" w:hAnsi="Arial" w:cs="Arial"/>
          <w:kern w:val="0"/>
          <w:sz w:val="24"/>
          <w:szCs w:val="24"/>
          <w:lang w:eastAsia="en-GB"/>
          <w14:ligatures w14:val="none"/>
        </w:rPr>
        <w:t>The debt ratio, which quantifies the percentage of assets that are financed by debt, also increased from 0.59 in 2021 to 0.64 in 2022 and to 0.70 in 2023. This upward trend suggests that financial risk and leverage are on the rise. A higher debt ratio indicates that a greater proportion of the hotel's assets are financed through debt, which can limit financial flexibility and increase susceptibility to economic fluctuations</w:t>
      </w:r>
      <w:r w:rsidR="000B4B7D" w:rsidRPr="008D3170">
        <w:rPr>
          <w:rFonts w:ascii="Arial" w:eastAsia="Times New Roman" w:hAnsi="Arial" w:cs="Arial"/>
          <w:kern w:val="0"/>
          <w:sz w:val="24"/>
          <w:szCs w:val="24"/>
          <w:lang w:eastAsia="en-GB"/>
          <w14:ligatures w14:val="none"/>
        </w:rPr>
        <w:t xml:space="preserve"> </w:t>
      </w:r>
      <w:r w:rsidR="000B4B7D" w:rsidRPr="008D3170">
        <w:rPr>
          <w:rFonts w:ascii="Arial" w:hAnsi="Arial" w:cs="Arial"/>
          <w:sz w:val="24"/>
          <w:szCs w:val="24"/>
          <w:shd w:val="clear" w:color="auto" w:fill="FFFFFF"/>
        </w:rPr>
        <w:t>(Williams et al., 2018)</w:t>
      </w:r>
      <w:r w:rsidR="000B4B7D" w:rsidRPr="008D3170">
        <w:rPr>
          <w:rFonts w:ascii="Arial" w:hAnsi="Arial" w:cs="Arial"/>
          <w:sz w:val="24"/>
          <w:szCs w:val="24"/>
          <w:shd w:val="clear" w:color="auto" w:fill="FFFFFF"/>
        </w:rPr>
        <w:t>.</w:t>
      </w:r>
    </w:p>
    <w:p w14:paraId="3D95C532" w14:textId="548F1484" w:rsidR="002C66C9" w:rsidRPr="008D3170" w:rsidRDefault="002C66C9" w:rsidP="008D3170">
      <w:pPr>
        <w:spacing w:line="360" w:lineRule="auto"/>
        <w:jc w:val="both"/>
        <w:rPr>
          <w:rFonts w:ascii="Arial" w:eastAsia="Times New Roman" w:hAnsi="Arial" w:cs="Arial"/>
          <w:kern w:val="0"/>
          <w:sz w:val="24"/>
          <w:szCs w:val="24"/>
          <w:lang w:eastAsia="en-GB"/>
          <w14:ligatures w14:val="none"/>
        </w:rPr>
      </w:pPr>
    </w:p>
    <w:p w14:paraId="40682A05" w14:textId="24C727E7" w:rsidR="00B22927" w:rsidRPr="008D3170" w:rsidRDefault="00B22927" w:rsidP="008D3170">
      <w:pPr>
        <w:pStyle w:val="EU"/>
        <w:spacing w:line="360" w:lineRule="auto"/>
        <w:rPr>
          <w:color w:val="auto"/>
        </w:rPr>
      </w:pPr>
      <w:bookmarkStart w:id="2" w:name="_Toc168588310"/>
      <w:r w:rsidRPr="008D3170">
        <w:rPr>
          <w:rFonts w:eastAsia="Times New Roman"/>
          <w:color w:val="auto"/>
        </w:rPr>
        <w:t>Reasons for the decline in profitability</w:t>
      </w:r>
      <w:bookmarkEnd w:id="2"/>
    </w:p>
    <w:p w14:paraId="4B925B34" w14:textId="0763A807" w:rsidR="00B22927" w:rsidRPr="00B22927" w:rsidRDefault="00B22927" w:rsidP="008D3170">
      <w:pPr>
        <w:spacing w:after="0" w:line="360" w:lineRule="auto"/>
        <w:jc w:val="both"/>
        <w:rPr>
          <w:rFonts w:ascii="Arial" w:eastAsia="Times New Roman" w:hAnsi="Arial" w:cs="Arial"/>
          <w:kern w:val="0"/>
          <w:sz w:val="24"/>
          <w:szCs w:val="24"/>
          <w:lang w:eastAsia="en-GB"/>
          <w14:ligatures w14:val="none"/>
        </w:rPr>
      </w:pPr>
      <w:r w:rsidRPr="00B22927">
        <w:rPr>
          <w:rFonts w:ascii="Arial" w:eastAsia="Times New Roman" w:hAnsi="Arial" w:cs="Arial"/>
          <w:kern w:val="0"/>
          <w:sz w:val="24"/>
          <w:szCs w:val="24"/>
          <w:lang w:eastAsia="en-GB"/>
          <w14:ligatures w14:val="none"/>
        </w:rPr>
        <w:t xml:space="preserve">The reduction in profitability of Urban Heights Hotel can be attributed to a combination of internal inefficiencies and external economic pressures. The UK hospitality industry has been </w:t>
      </w:r>
      <w:proofErr w:type="gramStart"/>
      <w:r w:rsidRPr="00B22927">
        <w:rPr>
          <w:rFonts w:ascii="Arial" w:eastAsia="Times New Roman" w:hAnsi="Arial" w:cs="Arial"/>
          <w:kern w:val="0"/>
          <w:sz w:val="24"/>
          <w:szCs w:val="24"/>
          <w:lang w:eastAsia="en-GB"/>
          <w14:ligatures w14:val="none"/>
        </w:rPr>
        <w:t>substantially impacted</w:t>
      </w:r>
      <w:proofErr w:type="gramEnd"/>
      <w:r w:rsidRPr="00B22927">
        <w:rPr>
          <w:rFonts w:ascii="Arial" w:eastAsia="Times New Roman" w:hAnsi="Arial" w:cs="Arial"/>
          <w:kern w:val="0"/>
          <w:sz w:val="24"/>
          <w:szCs w:val="24"/>
          <w:lang w:eastAsia="en-GB"/>
          <w14:ligatures w14:val="none"/>
        </w:rPr>
        <w:t xml:space="preserve"> by broader economic challenges, such as inflation and economic uncertainty. Energy bills have tripled from 2021 levels </w:t>
      </w:r>
      <w:proofErr w:type="gramStart"/>
      <w:r w:rsidRPr="00B22927">
        <w:rPr>
          <w:rFonts w:ascii="Arial" w:eastAsia="Times New Roman" w:hAnsi="Arial" w:cs="Arial"/>
          <w:kern w:val="0"/>
          <w:sz w:val="24"/>
          <w:szCs w:val="24"/>
          <w:lang w:eastAsia="en-GB"/>
          <w14:ligatures w14:val="none"/>
        </w:rPr>
        <w:t>as a result of</w:t>
      </w:r>
      <w:proofErr w:type="gramEnd"/>
      <w:r w:rsidRPr="00B22927">
        <w:rPr>
          <w:rFonts w:ascii="Arial" w:eastAsia="Times New Roman" w:hAnsi="Arial" w:cs="Arial"/>
          <w:kern w:val="0"/>
          <w:sz w:val="24"/>
          <w:szCs w:val="24"/>
          <w:lang w:eastAsia="en-GB"/>
          <w14:ligatures w14:val="none"/>
        </w:rPr>
        <w:t xml:space="preserve"> inflationary pressures, which have also led to an increase in operational costs. This has resulted in a significant increase in expenses without a corresponding increase in revenue for numerous hospitality businesses, including Urban Heights Hotel (ONS, 202</w:t>
      </w:r>
      <w:r w:rsidR="000B4B7D" w:rsidRPr="008D3170">
        <w:rPr>
          <w:rFonts w:ascii="Arial" w:eastAsia="Times New Roman" w:hAnsi="Arial" w:cs="Arial"/>
          <w:kern w:val="0"/>
          <w:sz w:val="24"/>
          <w:szCs w:val="24"/>
          <w:lang w:eastAsia="en-GB"/>
          <w14:ligatures w14:val="none"/>
        </w:rPr>
        <w:t>1</w:t>
      </w:r>
      <w:r w:rsidRPr="00B22927">
        <w:rPr>
          <w:rFonts w:ascii="Arial" w:eastAsia="Times New Roman" w:hAnsi="Arial" w:cs="Arial"/>
          <w:kern w:val="0"/>
          <w:sz w:val="24"/>
          <w:szCs w:val="24"/>
          <w:lang w:eastAsia="en-GB"/>
          <w14:ligatures w14:val="none"/>
        </w:rPr>
        <w:t xml:space="preserve">). The hospitality sector was significantly impacted by the COVID-19 pandemic, as lockdowns and travel restrictions resulted in a significant decrease in occupancy rates and revenue. </w:t>
      </w:r>
      <w:proofErr w:type="gramStart"/>
      <w:r w:rsidRPr="00B22927">
        <w:rPr>
          <w:rFonts w:ascii="Arial" w:eastAsia="Times New Roman" w:hAnsi="Arial" w:cs="Arial"/>
          <w:kern w:val="0"/>
          <w:sz w:val="24"/>
          <w:szCs w:val="24"/>
          <w:lang w:eastAsia="en-GB"/>
          <w14:ligatures w14:val="none"/>
        </w:rPr>
        <w:t>Despite the fact that</w:t>
      </w:r>
      <w:proofErr w:type="gramEnd"/>
      <w:r w:rsidRPr="00B22927">
        <w:rPr>
          <w:rFonts w:ascii="Arial" w:eastAsia="Times New Roman" w:hAnsi="Arial" w:cs="Arial"/>
          <w:kern w:val="0"/>
          <w:sz w:val="24"/>
          <w:szCs w:val="24"/>
          <w:lang w:eastAsia="en-GB"/>
          <w14:ligatures w14:val="none"/>
        </w:rPr>
        <w:t xml:space="preserve"> the sector has demonstrated some recovery in the wake of the pandemic, the residual effects, including ongoing health concerns and changes in consumer behaviour, continue to present challenges</w:t>
      </w:r>
      <w:r w:rsidR="000B4B7D" w:rsidRPr="008D3170">
        <w:rPr>
          <w:rFonts w:ascii="Arial" w:eastAsia="Times New Roman" w:hAnsi="Arial" w:cs="Arial"/>
          <w:kern w:val="0"/>
          <w:sz w:val="24"/>
          <w:szCs w:val="24"/>
          <w:lang w:eastAsia="en-GB"/>
          <w14:ligatures w14:val="none"/>
        </w:rPr>
        <w:t xml:space="preserve"> (Baum and Hai, 2020).</w:t>
      </w:r>
      <w:r w:rsidRPr="00B22927">
        <w:rPr>
          <w:rFonts w:ascii="Arial" w:eastAsia="Times New Roman" w:hAnsi="Arial" w:cs="Arial"/>
          <w:kern w:val="0"/>
          <w:sz w:val="24"/>
          <w:szCs w:val="24"/>
          <w:lang w:eastAsia="en-GB"/>
          <w14:ligatures w14:val="none"/>
        </w:rPr>
        <w:t xml:space="preserve"> The pandemic also exacerbated labour shortages, which further strained operations</w:t>
      </w:r>
      <w:r w:rsidR="000B4B7D" w:rsidRPr="008D3170">
        <w:rPr>
          <w:rFonts w:ascii="Arial" w:eastAsia="Times New Roman" w:hAnsi="Arial" w:cs="Arial"/>
          <w:kern w:val="0"/>
          <w:sz w:val="24"/>
          <w:szCs w:val="24"/>
          <w:lang w:eastAsia="en-GB"/>
          <w14:ligatures w14:val="none"/>
        </w:rPr>
        <w:t xml:space="preserve">. </w:t>
      </w:r>
      <w:r w:rsidRPr="00B22927">
        <w:rPr>
          <w:rFonts w:ascii="Arial" w:eastAsia="Times New Roman" w:hAnsi="Arial" w:cs="Arial"/>
          <w:kern w:val="0"/>
          <w:sz w:val="24"/>
          <w:szCs w:val="24"/>
          <w:lang w:eastAsia="en-GB"/>
          <w14:ligatures w14:val="none"/>
        </w:rPr>
        <w:t>Similarly,  the UK hospitality industry has encountered substantial labour shortages, which are partially attributable to the pandemic and Brexit. Recruitment challenges, elevated labour expenses, and diminished operational efficiency have resulted from the decrease in EU labour. The UK experienced a substantial decrease in the number of EU nationals employed in 2021, which exacerbated employment issues and had a negative impact on customer satisfaction and service quality (ONS, 202</w:t>
      </w:r>
      <w:r w:rsidR="000B4B7D" w:rsidRPr="008D3170">
        <w:rPr>
          <w:rFonts w:ascii="Arial" w:eastAsia="Times New Roman" w:hAnsi="Arial" w:cs="Arial"/>
          <w:kern w:val="0"/>
          <w:sz w:val="24"/>
          <w:szCs w:val="24"/>
          <w:lang w:eastAsia="en-GB"/>
          <w14:ligatures w14:val="none"/>
        </w:rPr>
        <w:t>1</w:t>
      </w:r>
      <w:r w:rsidRPr="00B22927">
        <w:rPr>
          <w:rFonts w:ascii="Arial" w:eastAsia="Times New Roman" w:hAnsi="Arial" w:cs="Arial"/>
          <w:kern w:val="0"/>
          <w:sz w:val="24"/>
          <w:szCs w:val="24"/>
          <w:lang w:eastAsia="en-GB"/>
          <w14:ligatures w14:val="none"/>
        </w:rPr>
        <w:t>). The hotel industry in urban areas is highly competitive, with a substantial portion of the market being attracted by alternative accommodations. This heightened competition has compelled conventional hotels to reduce prices and provide additional amenities, thereby reducing profit margins. Consistent innovation and effective marketing strategies are essential for maintaining competitiveness (</w:t>
      </w:r>
      <w:r w:rsidR="000B4B7D" w:rsidRPr="008D3170">
        <w:rPr>
          <w:rFonts w:ascii="Arial" w:eastAsia="Times New Roman" w:hAnsi="Arial" w:cs="Arial"/>
          <w:kern w:val="0"/>
          <w:sz w:val="24"/>
          <w:szCs w:val="24"/>
          <w:lang w:eastAsia="en-GB"/>
          <w14:ligatures w14:val="none"/>
        </w:rPr>
        <w:t>PwC</w:t>
      </w:r>
      <w:r w:rsidRPr="00B22927">
        <w:rPr>
          <w:rFonts w:ascii="Arial" w:eastAsia="Times New Roman" w:hAnsi="Arial" w:cs="Arial"/>
          <w:kern w:val="0"/>
          <w:sz w:val="24"/>
          <w:szCs w:val="24"/>
          <w:lang w:eastAsia="en-GB"/>
          <w14:ligatures w14:val="none"/>
        </w:rPr>
        <w:t xml:space="preserve">, 2023). On the other hand,  numerous hospitality enterprises have reported energy expenses that are three times higher than they were in previous years, which has been a substantial burden. This rise in operational expenses has had a direct impact on profitability, as it has not been accompanied by a corresponding increase in revenue. Many businesses are </w:t>
      </w:r>
      <w:proofErr w:type="gramStart"/>
      <w:r w:rsidRPr="00B22927">
        <w:rPr>
          <w:rFonts w:ascii="Arial" w:eastAsia="Times New Roman" w:hAnsi="Arial" w:cs="Arial"/>
          <w:kern w:val="0"/>
          <w:sz w:val="24"/>
          <w:szCs w:val="24"/>
          <w:lang w:eastAsia="en-GB"/>
          <w14:ligatures w14:val="none"/>
        </w:rPr>
        <w:t>experiencing difficulty</w:t>
      </w:r>
      <w:proofErr w:type="gramEnd"/>
      <w:r w:rsidRPr="00B22927">
        <w:rPr>
          <w:rFonts w:ascii="Arial" w:eastAsia="Times New Roman" w:hAnsi="Arial" w:cs="Arial"/>
          <w:kern w:val="0"/>
          <w:sz w:val="24"/>
          <w:szCs w:val="24"/>
          <w:lang w:eastAsia="en-GB"/>
          <w14:ligatures w14:val="none"/>
        </w:rPr>
        <w:t xml:space="preserve"> in managing these expenses, particularly those that were obligated to sign long-term fixed-rate contracts during the energy crisis (</w:t>
      </w:r>
      <w:r w:rsidR="000B4B7D" w:rsidRPr="008D3170">
        <w:rPr>
          <w:rFonts w:ascii="Arial" w:eastAsia="Times New Roman" w:hAnsi="Arial" w:cs="Arial"/>
          <w:kern w:val="0"/>
          <w:sz w:val="24"/>
          <w:szCs w:val="24"/>
          <w:lang w:eastAsia="en-GB"/>
          <w14:ligatures w14:val="none"/>
        </w:rPr>
        <w:t>ONS</w:t>
      </w:r>
      <w:r w:rsidRPr="00B22927">
        <w:rPr>
          <w:rFonts w:ascii="Arial" w:eastAsia="Times New Roman" w:hAnsi="Arial" w:cs="Arial"/>
          <w:kern w:val="0"/>
          <w:sz w:val="24"/>
          <w:szCs w:val="24"/>
          <w:lang w:eastAsia="en-GB"/>
          <w14:ligatures w14:val="none"/>
        </w:rPr>
        <w:t>, 202</w:t>
      </w:r>
      <w:r w:rsidR="000B4B7D" w:rsidRPr="008D3170">
        <w:rPr>
          <w:rFonts w:ascii="Arial" w:eastAsia="Times New Roman" w:hAnsi="Arial" w:cs="Arial"/>
          <w:kern w:val="0"/>
          <w:sz w:val="24"/>
          <w:szCs w:val="24"/>
          <w:lang w:eastAsia="en-GB"/>
          <w14:ligatures w14:val="none"/>
        </w:rPr>
        <w:t>2</w:t>
      </w:r>
      <w:r w:rsidRPr="00B22927">
        <w:rPr>
          <w:rFonts w:ascii="Arial" w:eastAsia="Times New Roman" w:hAnsi="Arial" w:cs="Arial"/>
          <w:kern w:val="0"/>
          <w:sz w:val="24"/>
          <w:szCs w:val="24"/>
          <w:lang w:eastAsia="en-GB"/>
          <w14:ligatures w14:val="none"/>
        </w:rPr>
        <w:t>).</w:t>
      </w:r>
    </w:p>
    <w:p w14:paraId="6C63EA9F" w14:textId="77777777" w:rsidR="008343B8" w:rsidRPr="008D3170" w:rsidRDefault="008343B8" w:rsidP="008D3170">
      <w:pPr>
        <w:spacing w:line="360" w:lineRule="auto"/>
        <w:jc w:val="both"/>
        <w:rPr>
          <w:rFonts w:ascii="Arial" w:hAnsi="Arial" w:cs="Arial"/>
          <w:sz w:val="24"/>
          <w:szCs w:val="24"/>
        </w:rPr>
      </w:pPr>
    </w:p>
    <w:p w14:paraId="6352B3E4" w14:textId="42C6340B" w:rsidR="008343B8" w:rsidRPr="008D3170" w:rsidRDefault="00B22927" w:rsidP="008D3170">
      <w:pPr>
        <w:pStyle w:val="EU"/>
        <w:spacing w:line="360" w:lineRule="auto"/>
        <w:rPr>
          <w:color w:val="auto"/>
        </w:rPr>
      </w:pPr>
      <w:bookmarkStart w:id="3" w:name="_Toc168588311"/>
      <w:r w:rsidRPr="008D3170">
        <w:rPr>
          <w:color w:val="auto"/>
        </w:rPr>
        <w:t>Conclusion</w:t>
      </w:r>
      <w:bookmarkEnd w:id="3"/>
      <w:r w:rsidRPr="008D3170">
        <w:rPr>
          <w:color w:val="auto"/>
        </w:rPr>
        <w:t xml:space="preserve"> </w:t>
      </w:r>
    </w:p>
    <w:p w14:paraId="7F798EFA" w14:textId="77777777" w:rsidR="00B22927" w:rsidRPr="008D3170" w:rsidRDefault="00B22927" w:rsidP="008D3170">
      <w:pPr>
        <w:spacing w:after="0" w:line="360" w:lineRule="auto"/>
        <w:jc w:val="both"/>
        <w:rPr>
          <w:rFonts w:ascii="Arial" w:eastAsia="Times New Roman" w:hAnsi="Arial" w:cs="Arial"/>
          <w:kern w:val="0"/>
          <w:sz w:val="24"/>
          <w:szCs w:val="24"/>
          <w:lang w:eastAsia="en-GB"/>
          <w14:ligatures w14:val="none"/>
        </w:rPr>
      </w:pPr>
      <w:r w:rsidRPr="00B22927">
        <w:rPr>
          <w:rFonts w:ascii="Arial" w:eastAsia="Times New Roman" w:hAnsi="Arial" w:cs="Arial"/>
          <w:kern w:val="0"/>
          <w:sz w:val="24"/>
          <w:szCs w:val="24"/>
          <w:lang w:eastAsia="en-GB"/>
          <w14:ligatures w14:val="none"/>
        </w:rPr>
        <w:t xml:space="preserve">In summary, Urban Heights Hotel has encountered substantial financial obstacles over the past three years, as demonstrated by its declining liquidity, efficiency, profitability, and an increase in financial leverage and risk. The asset turnover ratio has consistently declined, suggesting inefficient asset utilisation, while the hotel's current ratio has experienced a significant decline, suggesting severe liquidity issues. The company's profitability has experienced a significant decline, as evidenced by the negative net profit margins that emerged in 2023. This underscores the importance of cost management and revenue generation. The increasing debt-to-equity and debt ratios indicate a heightened dependence on debt financing, which in turn increases financial vulnerability. These trends emphasise the necessity of strategic interventions to mitigate external economic pressures and resolve internal inefficiencies </w:t>
      </w:r>
      <w:proofErr w:type="gramStart"/>
      <w:r w:rsidRPr="00B22927">
        <w:rPr>
          <w:rFonts w:ascii="Arial" w:eastAsia="Times New Roman" w:hAnsi="Arial" w:cs="Arial"/>
          <w:kern w:val="0"/>
          <w:sz w:val="24"/>
          <w:szCs w:val="24"/>
          <w:lang w:eastAsia="en-GB"/>
          <w14:ligatures w14:val="none"/>
        </w:rPr>
        <w:t>in order to</w:t>
      </w:r>
      <w:proofErr w:type="gramEnd"/>
      <w:r w:rsidRPr="00B22927">
        <w:rPr>
          <w:rFonts w:ascii="Arial" w:eastAsia="Times New Roman" w:hAnsi="Arial" w:cs="Arial"/>
          <w:kern w:val="0"/>
          <w:sz w:val="24"/>
          <w:szCs w:val="24"/>
          <w:lang w:eastAsia="en-GB"/>
          <w14:ligatures w14:val="none"/>
        </w:rPr>
        <w:t xml:space="preserve"> reestablish the hotel's operational effectiveness and financial health.</w:t>
      </w:r>
    </w:p>
    <w:p w14:paraId="557B2539" w14:textId="77777777" w:rsidR="00B22927" w:rsidRPr="008D3170" w:rsidRDefault="00B22927" w:rsidP="008D3170">
      <w:pPr>
        <w:spacing w:after="0" w:line="360" w:lineRule="auto"/>
        <w:jc w:val="both"/>
        <w:rPr>
          <w:rFonts w:ascii="Arial" w:eastAsia="Times New Roman" w:hAnsi="Arial" w:cs="Arial"/>
          <w:kern w:val="0"/>
          <w:sz w:val="24"/>
          <w:szCs w:val="24"/>
          <w:lang w:eastAsia="en-GB"/>
          <w14:ligatures w14:val="none"/>
        </w:rPr>
      </w:pPr>
    </w:p>
    <w:p w14:paraId="4158B230" w14:textId="7C0F46DB" w:rsidR="00B22927" w:rsidRPr="008D3170" w:rsidRDefault="00B22927" w:rsidP="008D3170">
      <w:pPr>
        <w:pStyle w:val="EU"/>
        <w:spacing w:line="360" w:lineRule="auto"/>
        <w:rPr>
          <w:rFonts w:eastAsia="Times New Roman"/>
          <w:color w:val="auto"/>
        </w:rPr>
      </w:pPr>
      <w:bookmarkStart w:id="4" w:name="_Toc168588312"/>
      <w:r w:rsidRPr="008D3170">
        <w:rPr>
          <w:rFonts w:eastAsia="Times New Roman"/>
          <w:color w:val="auto"/>
        </w:rPr>
        <w:t>Recommendations</w:t>
      </w:r>
      <w:bookmarkEnd w:id="4"/>
      <w:r w:rsidRPr="008D3170">
        <w:rPr>
          <w:rFonts w:eastAsia="Times New Roman"/>
          <w:color w:val="auto"/>
        </w:rPr>
        <w:t xml:space="preserve"> </w:t>
      </w:r>
    </w:p>
    <w:p w14:paraId="11796744" w14:textId="6CBE16B4" w:rsidR="00D8170E" w:rsidRPr="00D8170E" w:rsidRDefault="00D8170E" w:rsidP="008D3170">
      <w:pPr>
        <w:spacing w:after="0" w:line="360" w:lineRule="auto"/>
        <w:jc w:val="both"/>
        <w:rPr>
          <w:rFonts w:ascii="Arial" w:eastAsia="Times New Roman" w:hAnsi="Arial" w:cs="Arial"/>
          <w:kern w:val="0"/>
          <w:sz w:val="24"/>
          <w:szCs w:val="24"/>
          <w:lang w:eastAsia="en-GB"/>
          <w14:ligatures w14:val="none"/>
        </w:rPr>
      </w:pPr>
      <w:proofErr w:type="gramStart"/>
      <w:r w:rsidRPr="00D8170E">
        <w:rPr>
          <w:rFonts w:ascii="Arial" w:eastAsia="Times New Roman" w:hAnsi="Arial" w:cs="Arial"/>
          <w:kern w:val="0"/>
          <w:sz w:val="24"/>
          <w:szCs w:val="24"/>
          <w:lang w:eastAsia="en-GB"/>
          <w14:ligatures w14:val="none"/>
        </w:rPr>
        <w:t>In order to</w:t>
      </w:r>
      <w:proofErr w:type="gramEnd"/>
      <w:r w:rsidRPr="00D8170E">
        <w:rPr>
          <w:rFonts w:ascii="Arial" w:eastAsia="Times New Roman" w:hAnsi="Arial" w:cs="Arial"/>
          <w:kern w:val="0"/>
          <w:sz w:val="24"/>
          <w:szCs w:val="24"/>
          <w:lang w:eastAsia="en-GB"/>
          <w14:ligatures w14:val="none"/>
        </w:rPr>
        <w:t xml:space="preserve"> reestablish the financial health and operational effectiveness of Urban Heights Hotel, a comprehensive turnaround strategy must be implemented. The immediate priority is the conduct of a thorough review and reduction of operational costs. Strict cost controls can be implemented to mitigate superfluous expenditures. This encompasses the implementation of energy-efficient solutions to mitigate utility expenses, the optimisation of personnel levels to align with demand, and the negotiation of more favourable terms with suppliers. PwC proposes that profitability can be </w:t>
      </w:r>
      <w:proofErr w:type="gramStart"/>
      <w:r w:rsidRPr="00D8170E">
        <w:rPr>
          <w:rFonts w:ascii="Arial" w:eastAsia="Times New Roman" w:hAnsi="Arial" w:cs="Arial"/>
          <w:kern w:val="0"/>
          <w:sz w:val="24"/>
          <w:szCs w:val="24"/>
          <w:lang w:eastAsia="en-GB"/>
          <w14:ligatures w14:val="none"/>
        </w:rPr>
        <w:t>substantially enhanced</w:t>
      </w:r>
      <w:proofErr w:type="gramEnd"/>
      <w:r w:rsidRPr="00D8170E">
        <w:rPr>
          <w:rFonts w:ascii="Arial" w:eastAsia="Times New Roman" w:hAnsi="Arial" w:cs="Arial"/>
          <w:kern w:val="0"/>
          <w:sz w:val="24"/>
          <w:szCs w:val="24"/>
          <w:lang w:eastAsia="en-GB"/>
          <w14:ligatures w14:val="none"/>
        </w:rPr>
        <w:t xml:space="preserve"> through scenario planning and rapid assessments of operational cost reduction options (PwC, 2023). Furthermore, the optimisation of working capital management through improved inventory and receivables management will allocate cash flow to other critical requirements. It is imperative to increase revenue streams. This can be accomplished by implementing sophisticated revenue management systems and dynamic pricing strategies that optimise room rates in accordance with market trends, competition, and demand. Deloitte highlights the significance of diversifying revenue streams through the provision of integrated products, the upselling of services, and the improvement of food and beverage offerings (Deloitte, 2022). The operational efficiency and customer satisfaction can also be enhanced by investing in advanced booking and reservation systems. </w:t>
      </w:r>
      <w:proofErr w:type="gramStart"/>
      <w:r w:rsidRPr="00D8170E">
        <w:rPr>
          <w:rFonts w:ascii="Arial" w:eastAsia="Times New Roman" w:hAnsi="Arial" w:cs="Arial"/>
          <w:kern w:val="0"/>
          <w:sz w:val="24"/>
          <w:szCs w:val="24"/>
          <w:lang w:eastAsia="en-GB"/>
          <w14:ligatures w14:val="none"/>
        </w:rPr>
        <w:t>In order to</w:t>
      </w:r>
      <w:proofErr w:type="gramEnd"/>
      <w:r w:rsidRPr="00D8170E">
        <w:rPr>
          <w:rFonts w:ascii="Arial" w:eastAsia="Times New Roman" w:hAnsi="Arial" w:cs="Arial"/>
          <w:kern w:val="0"/>
          <w:sz w:val="24"/>
          <w:szCs w:val="24"/>
          <w:lang w:eastAsia="en-GB"/>
          <w14:ligatures w14:val="none"/>
        </w:rPr>
        <w:t xml:space="preserve"> attract and retain visitors, it is essential to implement a comprehensive marketing strategy. This encompasses the optimisation of the hotel's online presence through search engine optimisation (SEO), the utilisation of online travel agencies (OTAs), and social media engagement. Repeat business can be stimulated by personalised marketing campaigns that are directed at previous visitors. Additionally, customer satisfaction and loyalty can be enhanced by enhancing the overall customer experience through personalised visitor experiences, timely maintenance, and high-quality service (PwC, 2023).  To remain competitive, it is imperative to modernise the hotel's facilities. This entails the integration of new technologies, the upgrading of amenities, and the refurbishment of rooms to improve the visitor experience</w:t>
      </w:r>
      <w:r w:rsidR="008D3170" w:rsidRPr="008D3170">
        <w:rPr>
          <w:rFonts w:ascii="Arial" w:eastAsia="Times New Roman" w:hAnsi="Arial" w:cs="Arial"/>
          <w:kern w:val="0"/>
          <w:sz w:val="24"/>
          <w:szCs w:val="24"/>
          <w:lang w:eastAsia="en-GB"/>
          <w14:ligatures w14:val="none"/>
        </w:rPr>
        <w:t xml:space="preserve"> (Walker, 2022). </w:t>
      </w:r>
      <w:r w:rsidRPr="00D8170E">
        <w:rPr>
          <w:rFonts w:ascii="Arial" w:eastAsia="Times New Roman" w:hAnsi="Arial" w:cs="Arial"/>
          <w:kern w:val="0"/>
          <w:sz w:val="24"/>
          <w:szCs w:val="24"/>
          <w:lang w:eastAsia="en-GB"/>
          <w14:ligatures w14:val="none"/>
        </w:rPr>
        <w:t>Investments in digital transformation, such as the implementation of cloud-based management systems and sophisticated analytics, can increase operational efficiency and offer valuable insights into consumer preferences and behaviour. Deloitte emphasises that these technological investments can result in substantial enhancements in operational efficiency and customer satisfaction (Deloitte, 2022). Investing in staff training guarantees that employees are adequately prepared to deliver exceptional service. The overall quality of service can be enhanced through training programmes that emphasise operational efficiency, customer service, and management skills. Additionally, the retention of skilled employees, the reduction of attrition, and the preservation of high service standards can be achieved by establishing a positive work environment and providing career development opportunities (PwC,</w:t>
      </w:r>
      <w:r w:rsidR="008D3170" w:rsidRPr="008D3170">
        <w:rPr>
          <w:rFonts w:ascii="Arial" w:eastAsia="Times New Roman" w:hAnsi="Arial" w:cs="Arial"/>
          <w:kern w:val="0"/>
          <w:sz w:val="24"/>
          <w:szCs w:val="24"/>
          <w:lang w:eastAsia="en-GB"/>
          <w14:ligatures w14:val="none"/>
        </w:rPr>
        <w:t xml:space="preserve"> </w:t>
      </w:r>
      <w:r w:rsidRPr="00D8170E">
        <w:rPr>
          <w:rFonts w:ascii="Arial" w:eastAsia="Times New Roman" w:hAnsi="Arial" w:cs="Arial"/>
          <w:kern w:val="0"/>
          <w:sz w:val="24"/>
          <w:szCs w:val="24"/>
          <w:lang w:eastAsia="en-GB"/>
          <w14:ligatures w14:val="none"/>
        </w:rPr>
        <w:t>2023).</w:t>
      </w:r>
    </w:p>
    <w:p w14:paraId="313045A0" w14:textId="77777777" w:rsidR="00B22927" w:rsidRPr="008D3170" w:rsidRDefault="00B22927" w:rsidP="008D3170">
      <w:pPr>
        <w:spacing w:after="0" w:line="360" w:lineRule="auto"/>
        <w:jc w:val="both"/>
        <w:rPr>
          <w:rFonts w:ascii="Arial" w:eastAsia="Times New Roman" w:hAnsi="Arial" w:cs="Arial"/>
          <w:kern w:val="0"/>
          <w:sz w:val="24"/>
          <w:szCs w:val="24"/>
          <w:lang w:eastAsia="en-GB"/>
          <w14:ligatures w14:val="none"/>
        </w:rPr>
      </w:pPr>
    </w:p>
    <w:p w14:paraId="5ABAB3ED"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4D954B96"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4D57118B"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241F1A6B"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74F830FF"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76D4B1F9"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563B76AD" w14:textId="77777777" w:rsidR="00D8170E" w:rsidRPr="008D3170" w:rsidRDefault="00D8170E" w:rsidP="008D3170">
      <w:pPr>
        <w:spacing w:after="0" w:line="360" w:lineRule="auto"/>
        <w:jc w:val="both"/>
        <w:rPr>
          <w:rFonts w:ascii="Arial" w:eastAsia="Times New Roman" w:hAnsi="Arial" w:cs="Arial"/>
          <w:kern w:val="0"/>
          <w:sz w:val="24"/>
          <w:szCs w:val="24"/>
          <w:lang w:eastAsia="en-GB"/>
          <w14:ligatures w14:val="none"/>
        </w:rPr>
      </w:pPr>
    </w:p>
    <w:p w14:paraId="5FED1468"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75E39E01"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5C9A6E7F"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7F88D69D"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342C79D8"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42D12FFC"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77786F3A"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32CC42A9"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0E3DABAC"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7A6134CD"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1C2874F1"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449DAC85"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6EC14C38"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2B149C7A" w14:textId="77777777" w:rsidR="00D8170E" w:rsidRDefault="00D8170E" w:rsidP="00B22927">
      <w:pPr>
        <w:spacing w:after="0" w:line="360" w:lineRule="auto"/>
        <w:jc w:val="both"/>
        <w:rPr>
          <w:rFonts w:ascii="Arial" w:eastAsia="Times New Roman" w:hAnsi="Arial" w:cs="Arial"/>
          <w:kern w:val="0"/>
          <w:sz w:val="24"/>
          <w:szCs w:val="24"/>
          <w:lang w:eastAsia="en-GB"/>
          <w14:ligatures w14:val="none"/>
        </w:rPr>
      </w:pPr>
    </w:p>
    <w:p w14:paraId="6D392B95" w14:textId="77777777" w:rsidR="008D3170" w:rsidRDefault="008D3170" w:rsidP="00B22927">
      <w:pPr>
        <w:spacing w:after="0" w:line="360" w:lineRule="auto"/>
        <w:jc w:val="both"/>
        <w:rPr>
          <w:rFonts w:ascii="Arial" w:eastAsia="Times New Roman" w:hAnsi="Arial" w:cs="Arial"/>
          <w:kern w:val="0"/>
          <w:sz w:val="24"/>
          <w:szCs w:val="24"/>
          <w:lang w:eastAsia="en-GB"/>
          <w14:ligatures w14:val="none"/>
        </w:rPr>
      </w:pPr>
    </w:p>
    <w:p w14:paraId="7FB53000" w14:textId="575B4EFA" w:rsidR="00D8170E" w:rsidRPr="008D3170" w:rsidRDefault="00D8170E" w:rsidP="008D3170">
      <w:pPr>
        <w:pStyle w:val="EU"/>
        <w:spacing w:line="360" w:lineRule="auto"/>
        <w:rPr>
          <w:rFonts w:eastAsia="Times New Roman"/>
          <w:color w:val="auto"/>
        </w:rPr>
      </w:pPr>
      <w:bookmarkStart w:id="5" w:name="_Toc168588313"/>
      <w:r w:rsidRPr="008D3170">
        <w:rPr>
          <w:rFonts w:eastAsia="Times New Roman"/>
          <w:color w:val="auto"/>
        </w:rPr>
        <w:t>References</w:t>
      </w:r>
      <w:bookmarkEnd w:id="5"/>
      <w:r w:rsidRPr="008D3170">
        <w:rPr>
          <w:rFonts w:eastAsia="Times New Roman"/>
          <w:color w:val="auto"/>
        </w:rPr>
        <w:t xml:space="preserve"> </w:t>
      </w:r>
    </w:p>
    <w:p w14:paraId="0D080F60" w14:textId="77777777" w:rsidR="008343B8" w:rsidRPr="008D3170" w:rsidRDefault="008343B8" w:rsidP="008D3170">
      <w:pPr>
        <w:spacing w:line="360" w:lineRule="auto"/>
        <w:jc w:val="both"/>
        <w:rPr>
          <w:rFonts w:ascii="Arial" w:hAnsi="Arial" w:cs="Arial"/>
          <w:sz w:val="24"/>
          <w:szCs w:val="24"/>
        </w:rPr>
      </w:pPr>
    </w:p>
    <w:p w14:paraId="6C596E5F" w14:textId="77777777" w:rsidR="0037452E" w:rsidRPr="008D3170" w:rsidRDefault="0037452E" w:rsidP="008D3170">
      <w:pPr>
        <w:pStyle w:val="NormalWeb"/>
        <w:spacing w:before="0" w:beforeAutospacing="0" w:after="0" w:afterAutospacing="0" w:line="360" w:lineRule="auto"/>
        <w:jc w:val="both"/>
        <w:rPr>
          <w:rFonts w:ascii="Arial" w:hAnsi="Arial" w:cs="Arial"/>
        </w:rPr>
      </w:pPr>
      <w:proofErr w:type="spellStart"/>
      <w:r w:rsidRPr="008D3170">
        <w:rPr>
          <w:rFonts w:ascii="Arial" w:hAnsi="Arial" w:cs="Arial"/>
        </w:rPr>
        <w:t>Atrill</w:t>
      </w:r>
      <w:proofErr w:type="spellEnd"/>
      <w:r w:rsidRPr="008D3170">
        <w:rPr>
          <w:rFonts w:ascii="Arial" w:hAnsi="Arial" w:cs="Arial"/>
        </w:rPr>
        <w:t xml:space="preserve"> P, McLaney E (2021) Management Accounting for Decision Makers, FT Prentice Hall </w:t>
      </w:r>
    </w:p>
    <w:p w14:paraId="095A20DE" w14:textId="3D96D9B0" w:rsidR="000B4B7D" w:rsidRPr="008D3170" w:rsidRDefault="000B4B7D" w:rsidP="008D3170">
      <w:pPr>
        <w:pStyle w:val="NormalWeb"/>
        <w:spacing w:before="0" w:beforeAutospacing="0" w:after="0" w:afterAutospacing="0" w:line="360" w:lineRule="auto"/>
        <w:jc w:val="both"/>
        <w:rPr>
          <w:rFonts w:ascii="Arial" w:hAnsi="Arial" w:cs="Arial"/>
        </w:rPr>
      </w:pPr>
      <w:r w:rsidRPr="008D3170">
        <w:rPr>
          <w:rFonts w:ascii="Arial" w:hAnsi="Arial" w:cs="Arial"/>
          <w:shd w:val="clear" w:color="auto" w:fill="FFFFFF"/>
        </w:rPr>
        <w:t xml:space="preserve">Baum, </w:t>
      </w:r>
      <w:proofErr w:type="gramStart"/>
      <w:r w:rsidRPr="008D3170">
        <w:rPr>
          <w:rFonts w:ascii="Arial" w:hAnsi="Arial" w:cs="Arial"/>
          <w:shd w:val="clear" w:color="auto" w:fill="FFFFFF"/>
        </w:rPr>
        <w:t>T.</w:t>
      </w:r>
      <w:proofErr w:type="gramEnd"/>
      <w:r w:rsidRPr="008D3170">
        <w:rPr>
          <w:rFonts w:ascii="Arial" w:hAnsi="Arial" w:cs="Arial"/>
          <w:shd w:val="clear" w:color="auto" w:fill="FFFFFF"/>
        </w:rPr>
        <w:t xml:space="preserve"> and Hai, N.T.T., 2020. Hospitality, tourism, human </w:t>
      </w:r>
      <w:proofErr w:type="gramStart"/>
      <w:r w:rsidRPr="008D3170">
        <w:rPr>
          <w:rFonts w:ascii="Arial" w:hAnsi="Arial" w:cs="Arial"/>
          <w:shd w:val="clear" w:color="auto" w:fill="FFFFFF"/>
        </w:rPr>
        <w:t>rights</w:t>
      </w:r>
      <w:proofErr w:type="gramEnd"/>
      <w:r w:rsidRPr="008D3170">
        <w:rPr>
          <w:rFonts w:ascii="Arial" w:hAnsi="Arial" w:cs="Arial"/>
          <w:shd w:val="clear" w:color="auto" w:fill="FFFFFF"/>
        </w:rPr>
        <w:t xml:space="preserve"> and the impact of COVID-19. </w:t>
      </w:r>
      <w:r w:rsidRPr="008D3170">
        <w:rPr>
          <w:rFonts w:ascii="Arial" w:hAnsi="Arial" w:cs="Arial"/>
          <w:i/>
          <w:iCs/>
          <w:shd w:val="clear" w:color="auto" w:fill="FFFFFF"/>
        </w:rPr>
        <w:t>International Journal of Contemporary Hospitality Management</w:t>
      </w:r>
      <w:r w:rsidRPr="008D3170">
        <w:rPr>
          <w:rFonts w:ascii="Arial" w:hAnsi="Arial" w:cs="Arial"/>
          <w:shd w:val="clear" w:color="auto" w:fill="FFFFFF"/>
        </w:rPr>
        <w:t>, </w:t>
      </w:r>
      <w:r w:rsidRPr="008D3170">
        <w:rPr>
          <w:rFonts w:ascii="Arial" w:hAnsi="Arial" w:cs="Arial"/>
          <w:i/>
          <w:iCs/>
          <w:shd w:val="clear" w:color="auto" w:fill="FFFFFF"/>
        </w:rPr>
        <w:t>32</w:t>
      </w:r>
      <w:r w:rsidRPr="008D3170">
        <w:rPr>
          <w:rFonts w:ascii="Arial" w:hAnsi="Arial" w:cs="Arial"/>
          <w:shd w:val="clear" w:color="auto" w:fill="FFFFFF"/>
        </w:rPr>
        <w:t>(7), pp.2397-2407.</w:t>
      </w:r>
    </w:p>
    <w:p w14:paraId="35D68856" w14:textId="77777777" w:rsidR="005F23E7" w:rsidRPr="008D3170" w:rsidRDefault="005F23E7" w:rsidP="008D3170">
      <w:pPr>
        <w:pStyle w:val="NormalWeb"/>
        <w:spacing w:before="0" w:beforeAutospacing="0" w:after="0" w:afterAutospacing="0" w:line="360" w:lineRule="auto"/>
        <w:jc w:val="both"/>
        <w:rPr>
          <w:rFonts w:ascii="Arial" w:hAnsi="Arial" w:cs="Arial"/>
        </w:rPr>
      </w:pPr>
    </w:p>
    <w:p w14:paraId="657E663B" w14:textId="7053728B" w:rsidR="005F23E7" w:rsidRPr="008D3170" w:rsidRDefault="005F23E7" w:rsidP="008D3170">
      <w:pPr>
        <w:pStyle w:val="NormalWeb"/>
        <w:spacing w:before="0" w:beforeAutospacing="0" w:after="0" w:afterAutospacing="0" w:line="360" w:lineRule="auto"/>
        <w:jc w:val="both"/>
        <w:rPr>
          <w:rFonts w:ascii="Arial" w:hAnsi="Arial" w:cs="Arial"/>
        </w:rPr>
      </w:pPr>
      <w:r w:rsidRPr="008D3170">
        <w:rPr>
          <w:rFonts w:ascii="Arial" w:hAnsi="Arial" w:cs="Arial"/>
        </w:rPr>
        <w:t>Collis, J., Holt, A. and Hussey, R. (2017). </w:t>
      </w:r>
      <w:r w:rsidRPr="008D3170">
        <w:rPr>
          <w:rFonts w:ascii="Arial" w:hAnsi="Arial" w:cs="Arial"/>
          <w:i/>
          <w:iCs/>
        </w:rPr>
        <w:t>Business Accounting</w:t>
      </w:r>
      <w:r w:rsidRPr="008D3170">
        <w:rPr>
          <w:rFonts w:ascii="Arial" w:hAnsi="Arial" w:cs="Arial"/>
        </w:rPr>
        <w:t>. [online] </w:t>
      </w:r>
      <w:r w:rsidRPr="008D3170">
        <w:rPr>
          <w:rFonts w:ascii="Arial" w:hAnsi="Arial" w:cs="Arial"/>
          <w:i/>
          <w:iCs/>
        </w:rPr>
        <w:t>Google Books</w:t>
      </w:r>
      <w:r w:rsidRPr="008D3170">
        <w:rPr>
          <w:rFonts w:ascii="Arial" w:hAnsi="Arial" w:cs="Arial"/>
        </w:rPr>
        <w:t xml:space="preserve">. Bloomsbury Publishing. Available at: </w:t>
      </w:r>
      <w:hyperlink r:id="rId7" w:history="1">
        <w:r w:rsidR="008D3170" w:rsidRPr="008D3170">
          <w:rPr>
            <w:rStyle w:val="Hyperlink"/>
            <w:rFonts w:ascii="Arial" w:hAnsi="Arial" w:cs="Arial"/>
            <w:color w:val="auto"/>
          </w:rPr>
          <w:t>https://www.google.co.uk/books/edition/Business_Accounting/nxtHEAAAQBAJ?hl=en&amp;gbpv=1&amp;pg=PP1&amp;printsec=frontcover</w:t>
        </w:r>
      </w:hyperlink>
      <w:r w:rsidRPr="008D3170">
        <w:rPr>
          <w:rFonts w:ascii="Arial" w:hAnsi="Arial" w:cs="Arial"/>
        </w:rPr>
        <w:t>.</w:t>
      </w:r>
    </w:p>
    <w:p w14:paraId="386713E8" w14:textId="77777777" w:rsidR="008D3170" w:rsidRPr="008D3170" w:rsidRDefault="008D3170" w:rsidP="008D3170">
      <w:pPr>
        <w:pStyle w:val="NormalWeb"/>
        <w:spacing w:before="0" w:beforeAutospacing="0" w:after="0" w:afterAutospacing="0" w:line="360" w:lineRule="auto"/>
        <w:jc w:val="both"/>
        <w:rPr>
          <w:rFonts w:ascii="Arial" w:hAnsi="Arial" w:cs="Arial"/>
        </w:rPr>
      </w:pPr>
    </w:p>
    <w:p w14:paraId="15A01A1A" w14:textId="4E2966B9" w:rsidR="008D3170" w:rsidRPr="008D3170" w:rsidRDefault="008D3170" w:rsidP="008D3170">
      <w:pPr>
        <w:pStyle w:val="NormalWeb"/>
        <w:spacing w:before="0" w:beforeAutospacing="0" w:after="0" w:afterAutospacing="0" w:line="360" w:lineRule="auto"/>
        <w:jc w:val="both"/>
        <w:rPr>
          <w:rFonts w:ascii="Arial" w:hAnsi="Arial" w:cs="Arial"/>
        </w:rPr>
      </w:pPr>
      <w:r w:rsidRPr="008D3170">
        <w:rPr>
          <w:rFonts w:ascii="Arial" w:hAnsi="Arial" w:cs="Arial"/>
        </w:rPr>
        <w:t>Deloitte</w:t>
      </w:r>
      <w:r w:rsidRPr="008D3170">
        <w:rPr>
          <w:rFonts w:ascii="Arial" w:hAnsi="Arial" w:cs="Arial"/>
        </w:rPr>
        <w:t xml:space="preserve">(2022). </w:t>
      </w:r>
      <w:r w:rsidRPr="008D3170">
        <w:rPr>
          <w:rFonts w:ascii="Arial" w:hAnsi="Arial" w:cs="Arial"/>
        </w:rPr>
        <w:t xml:space="preserve"> </w:t>
      </w:r>
      <w:r w:rsidRPr="008D3170">
        <w:rPr>
          <w:rFonts w:ascii="Arial" w:hAnsi="Arial" w:cs="Arial"/>
        </w:rPr>
        <w:t>T</w:t>
      </w:r>
      <w:r w:rsidRPr="008D3170">
        <w:rPr>
          <w:rFonts w:ascii="Arial" w:hAnsi="Arial" w:cs="Arial"/>
        </w:rPr>
        <w:t>ravel outlook</w:t>
      </w:r>
      <w:r w:rsidRPr="008D3170">
        <w:rPr>
          <w:rFonts w:ascii="Arial" w:hAnsi="Arial" w:cs="Arial"/>
        </w:rPr>
        <w:t>.</w:t>
      </w:r>
      <w:r w:rsidRPr="008D3170">
        <w:rPr>
          <w:rFonts w:ascii="Arial" w:hAnsi="Arial" w:cs="Arial"/>
        </w:rPr>
        <w:t xml:space="preserve"> The winding path to recovery. Available at: https://www2.deloitte.com/content/dam/Deloitte/us/Documents/consumer-business/us-2022-travel-outlook.pdf.</w:t>
      </w:r>
    </w:p>
    <w:p w14:paraId="0547579E" w14:textId="77777777" w:rsidR="0037452E" w:rsidRPr="008D3170" w:rsidRDefault="0037452E" w:rsidP="008D3170">
      <w:pPr>
        <w:pStyle w:val="NormalWeb"/>
        <w:spacing w:before="0" w:beforeAutospacing="0" w:after="0" w:afterAutospacing="0" w:line="360" w:lineRule="auto"/>
        <w:jc w:val="both"/>
        <w:rPr>
          <w:rFonts w:ascii="Arial" w:hAnsi="Arial" w:cs="Arial"/>
        </w:rPr>
      </w:pPr>
    </w:p>
    <w:p w14:paraId="181A0415" w14:textId="33371E77" w:rsidR="0037452E" w:rsidRPr="008D3170" w:rsidRDefault="0037452E" w:rsidP="008D3170">
      <w:pPr>
        <w:pStyle w:val="NormalWeb"/>
        <w:spacing w:before="0" w:beforeAutospacing="0" w:after="0" w:afterAutospacing="0" w:line="360" w:lineRule="auto"/>
        <w:jc w:val="both"/>
        <w:rPr>
          <w:rFonts w:ascii="Arial" w:hAnsi="Arial" w:cs="Arial"/>
        </w:rPr>
      </w:pPr>
      <w:r w:rsidRPr="008D3170">
        <w:rPr>
          <w:rFonts w:ascii="Arial" w:hAnsi="Arial" w:cs="Arial"/>
        </w:rPr>
        <w:t>Drury C (2021) (11th Ed) Management and Cost Accounting, London, Prentice Hall</w:t>
      </w:r>
    </w:p>
    <w:p w14:paraId="27545FD2" w14:textId="77777777" w:rsidR="0037452E" w:rsidRPr="008D3170" w:rsidRDefault="0037452E" w:rsidP="008D3170">
      <w:pPr>
        <w:pStyle w:val="NormalWeb"/>
        <w:spacing w:before="0" w:beforeAutospacing="0" w:after="0" w:afterAutospacing="0" w:line="360" w:lineRule="auto"/>
        <w:jc w:val="both"/>
        <w:rPr>
          <w:rFonts w:ascii="Arial" w:hAnsi="Arial" w:cs="Arial"/>
        </w:rPr>
      </w:pPr>
    </w:p>
    <w:p w14:paraId="5E2C1753" w14:textId="3DEC2501" w:rsidR="0037452E" w:rsidRPr="008D3170" w:rsidRDefault="0037452E" w:rsidP="008D3170">
      <w:pPr>
        <w:pStyle w:val="NormalWeb"/>
        <w:spacing w:before="0" w:beforeAutospacing="0" w:after="0" w:afterAutospacing="0" w:line="360" w:lineRule="auto"/>
        <w:jc w:val="both"/>
        <w:rPr>
          <w:rFonts w:ascii="Arial" w:hAnsi="Arial" w:cs="Arial"/>
        </w:rPr>
      </w:pPr>
      <w:r w:rsidRPr="008D3170">
        <w:rPr>
          <w:rFonts w:ascii="Arial" w:hAnsi="Arial" w:cs="Arial"/>
        </w:rPr>
        <w:t>Chandra, R. (2013). </w:t>
      </w:r>
      <w:r w:rsidRPr="008D3170">
        <w:rPr>
          <w:rFonts w:ascii="Arial" w:hAnsi="Arial" w:cs="Arial"/>
          <w:i/>
          <w:iCs/>
        </w:rPr>
        <w:t>Financial Management</w:t>
      </w:r>
      <w:r w:rsidRPr="008D3170">
        <w:rPr>
          <w:rFonts w:ascii="Arial" w:hAnsi="Arial" w:cs="Arial"/>
        </w:rPr>
        <w:t>. [online] </w:t>
      </w:r>
      <w:r w:rsidRPr="008D3170">
        <w:rPr>
          <w:rFonts w:ascii="Arial" w:hAnsi="Arial" w:cs="Arial"/>
          <w:i/>
          <w:iCs/>
        </w:rPr>
        <w:t>Google Books</w:t>
      </w:r>
      <w:r w:rsidRPr="008D3170">
        <w:rPr>
          <w:rFonts w:ascii="Arial" w:hAnsi="Arial" w:cs="Arial"/>
        </w:rPr>
        <w:t xml:space="preserve">. </w:t>
      </w:r>
      <w:proofErr w:type="spellStart"/>
      <w:r w:rsidRPr="008D3170">
        <w:rPr>
          <w:rFonts w:ascii="Arial" w:hAnsi="Arial" w:cs="Arial"/>
        </w:rPr>
        <w:t>BookRix</w:t>
      </w:r>
      <w:proofErr w:type="spellEnd"/>
      <w:r w:rsidRPr="008D3170">
        <w:rPr>
          <w:rFonts w:ascii="Arial" w:hAnsi="Arial" w:cs="Arial"/>
        </w:rPr>
        <w:t xml:space="preserve">. Available at: https://www.google.co.uk/books/edition/Financial_Management/5QNsAQAAQBAJ?hl=en&amp;gbpv=1&amp;dq=finance+management&amp;pg=PT4&amp;printsec=frontcover </w:t>
      </w:r>
    </w:p>
    <w:p w14:paraId="5782600A" w14:textId="77777777" w:rsidR="008343B8" w:rsidRPr="008D3170" w:rsidRDefault="008343B8" w:rsidP="008D3170">
      <w:pPr>
        <w:spacing w:line="360" w:lineRule="auto"/>
        <w:jc w:val="both"/>
        <w:rPr>
          <w:rFonts w:ascii="Arial" w:hAnsi="Arial" w:cs="Arial"/>
          <w:sz w:val="24"/>
          <w:szCs w:val="24"/>
        </w:rPr>
      </w:pPr>
    </w:p>
    <w:p w14:paraId="29BF867D" w14:textId="0BFF1946" w:rsidR="008343B8" w:rsidRPr="008D3170" w:rsidRDefault="0037452E" w:rsidP="008D3170">
      <w:pPr>
        <w:spacing w:line="360" w:lineRule="auto"/>
        <w:jc w:val="both"/>
        <w:rPr>
          <w:rFonts w:ascii="Arial" w:hAnsi="Arial" w:cs="Arial"/>
          <w:sz w:val="24"/>
          <w:szCs w:val="24"/>
          <w:shd w:val="clear" w:color="auto" w:fill="FFFFFF"/>
        </w:rPr>
      </w:pPr>
      <w:r w:rsidRPr="008D3170">
        <w:rPr>
          <w:rFonts w:ascii="Arial" w:hAnsi="Arial" w:cs="Arial"/>
          <w:sz w:val="24"/>
          <w:szCs w:val="24"/>
          <w:shd w:val="clear" w:color="auto" w:fill="FFFFFF"/>
        </w:rPr>
        <w:t xml:space="preserve">Fraser, L.M., Ormiston, </w:t>
      </w:r>
      <w:proofErr w:type="gramStart"/>
      <w:r w:rsidRPr="008D3170">
        <w:rPr>
          <w:rFonts w:ascii="Arial" w:hAnsi="Arial" w:cs="Arial"/>
          <w:sz w:val="24"/>
          <w:szCs w:val="24"/>
          <w:shd w:val="clear" w:color="auto" w:fill="FFFFFF"/>
        </w:rPr>
        <w:t>A.</w:t>
      </w:r>
      <w:proofErr w:type="gramEnd"/>
      <w:r w:rsidRPr="008D3170">
        <w:rPr>
          <w:rFonts w:ascii="Arial" w:hAnsi="Arial" w:cs="Arial"/>
          <w:sz w:val="24"/>
          <w:szCs w:val="24"/>
          <w:shd w:val="clear" w:color="auto" w:fill="FFFFFF"/>
        </w:rPr>
        <w:t xml:space="preserve"> and Mukherjee, A.K., 2016. </w:t>
      </w:r>
      <w:r w:rsidRPr="008D3170">
        <w:rPr>
          <w:rFonts w:ascii="Arial" w:hAnsi="Arial" w:cs="Arial"/>
          <w:i/>
          <w:iCs/>
          <w:sz w:val="24"/>
          <w:szCs w:val="24"/>
          <w:shd w:val="clear" w:color="auto" w:fill="FFFFFF"/>
        </w:rPr>
        <w:t>Understanding financial statements</w:t>
      </w:r>
      <w:r w:rsidRPr="008D3170">
        <w:rPr>
          <w:rFonts w:ascii="Arial" w:hAnsi="Arial" w:cs="Arial"/>
          <w:sz w:val="24"/>
          <w:szCs w:val="24"/>
          <w:shd w:val="clear" w:color="auto" w:fill="FFFFFF"/>
        </w:rPr>
        <w:t>. New York: Pearson.</w:t>
      </w:r>
    </w:p>
    <w:p w14:paraId="1CD826D7" w14:textId="0A7CEAFA" w:rsidR="005F23E7" w:rsidRPr="008D3170" w:rsidRDefault="005F23E7" w:rsidP="008D3170">
      <w:pPr>
        <w:spacing w:line="360" w:lineRule="auto"/>
        <w:jc w:val="both"/>
        <w:rPr>
          <w:rFonts w:ascii="Arial" w:hAnsi="Arial" w:cs="Arial"/>
          <w:sz w:val="24"/>
          <w:szCs w:val="24"/>
          <w:shd w:val="clear" w:color="auto" w:fill="FFFFFF"/>
        </w:rPr>
      </w:pPr>
      <w:proofErr w:type="spellStart"/>
      <w:r w:rsidRPr="008D3170">
        <w:rPr>
          <w:rFonts w:ascii="Arial" w:hAnsi="Arial" w:cs="Arial"/>
          <w:sz w:val="24"/>
          <w:szCs w:val="24"/>
          <w:shd w:val="clear" w:color="auto" w:fill="FFFFFF"/>
        </w:rPr>
        <w:t>Gowthorpe</w:t>
      </w:r>
      <w:proofErr w:type="spellEnd"/>
      <w:r w:rsidRPr="008D3170">
        <w:rPr>
          <w:rFonts w:ascii="Arial" w:hAnsi="Arial" w:cs="Arial"/>
          <w:sz w:val="24"/>
          <w:szCs w:val="24"/>
          <w:shd w:val="clear" w:color="auto" w:fill="FFFFFF"/>
        </w:rPr>
        <w:t>, C., 2021. </w:t>
      </w:r>
      <w:r w:rsidRPr="008D3170">
        <w:rPr>
          <w:rFonts w:ascii="Arial" w:hAnsi="Arial" w:cs="Arial"/>
          <w:i/>
          <w:iCs/>
          <w:sz w:val="24"/>
          <w:szCs w:val="24"/>
          <w:shd w:val="clear" w:color="auto" w:fill="FFFFFF"/>
        </w:rPr>
        <w:t>Business accounting and finance</w:t>
      </w:r>
      <w:r w:rsidRPr="008D3170">
        <w:rPr>
          <w:rFonts w:ascii="Arial" w:hAnsi="Arial" w:cs="Arial"/>
          <w:sz w:val="24"/>
          <w:szCs w:val="24"/>
          <w:shd w:val="clear" w:color="auto" w:fill="FFFFFF"/>
        </w:rPr>
        <w:t xml:space="preserve">. Catherine </w:t>
      </w:r>
      <w:proofErr w:type="spellStart"/>
      <w:r w:rsidRPr="008D3170">
        <w:rPr>
          <w:rFonts w:ascii="Arial" w:hAnsi="Arial" w:cs="Arial"/>
          <w:sz w:val="24"/>
          <w:szCs w:val="24"/>
          <w:shd w:val="clear" w:color="auto" w:fill="FFFFFF"/>
        </w:rPr>
        <w:t>Gowthorpe</w:t>
      </w:r>
      <w:proofErr w:type="spellEnd"/>
      <w:r w:rsidRPr="008D3170">
        <w:rPr>
          <w:rFonts w:ascii="Arial" w:hAnsi="Arial" w:cs="Arial"/>
          <w:sz w:val="24"/>
          <w:szCs w:val="24"/>
          <w:shd w:val="clear" w:color="auto" w:fill="FFFFFF"/>
        </w:rPr>
        <w:t>.</w:t>
      </w:r>
    </w:p>
    <w:p w14:paraId="1AC45E9D" w14:textId="36C13A44" w:rsidR="005F23E7" w:rsidRPr="008D3170" w:rsidRDefault="005F23E7" w:rsidP="008D3170">
      <w:pPr>
        <w:spacing w:line="360" w:lineRule="auto"/>
        <w:jc w:val="both"/>
        <w:rPr>
          <w:rFonts w:ascii="Arial" w:hAnsi="Arial" w:cs="Arial"/>
          <w:sz w:val="24"/>
          <w:szCs w:val="24"/>
          <w:shd w:val="clear" w:color="auto" w:fill="FFFFFF"/>
        </w:rPr>
      </w:pPr>
      <w:proofErr w:type="spellStart"/>
      <w:r w:rsidRPr="008D3170">
        <w:rPr>
          <w:rFonts w:ascii="Arial" w:hAnsi="Arial" w:cs="Arial"/>
          <w:sz w:val="24"/>
          <w:szCs w:val="24"/>
        </w:rPr>
        <w:t>Guilding,C</w:t>
      </w:r>
      <w:proofErr w:type="spellEnd"/>
      <w:r w:rsidRPr="008D3170">
        <w:rPr>
          <w:rFonts w:ascii="Arial" w:hAnsi="Arial" w:cs="Arial"/>
          <w:sz w:val="24"/>
          <w:szCs w:val="24"/>
        </w:rPr>
        <w:t>.(2014) (3rd Edition) Accounting Essentials for Hospitality Managers, London, Routledge</w:t>
      </w:r>
    </w:p>
    <w:p w14:paraId="774D0FB2" w14:textId="1576B410" w:rsidR="0037452E" w:rsidRPr="008D3170" w:rsidRDefault="0037452E" w:rsidP="008D3170">
      <w:pPr>
        <w:spacing w:line="360" w:lineRule="auto"/>
        <w:jc w:val="both"/>
        <w:rPr>
          <w:rFonts w:ascii="Arial" w:hAnsi="Arial" w:cs="Arial"/>
          <w:sz w:val="24"/>
          <w:szCs w:val="24"/>
        </w:rPr>
      </w:pPr>
      <w:proofErr w:type="spellStart"/>
      <w:r w:rsidRPr="008D3170">
        <w:rPr>
          <w:rFonts w:ascii="Arial" w:hAnsi="Arial" w:cs="Arial"/>
          <w:sz w:val="24"/>
          <w:szCs w:val="24"/>
        </w:rPr>
        <w:t>Jagels,M</w:t>
      </w:r>
      <w:proofErr w:type="spellEnd"/>
      <w:r w:rsidRPr="008D3170">
        <w:rPr>
          <w:rFonts w:ascii="Arial" w:hAnsi="Arial" w:cs="Arial"/>
          <w:sz w:val="24"/>
          <w:szCs w:val="24"/>
        </w:rPr>
        <w:t>. (2007) Hospitality Management Accounting, London, Wiley.</w:t>
      </w:r>
    </w:p>
    <w:p w14:paraId="4C7BA39A" w14:textId="3B07C137" w:rsidR="000B4B7D" w:rsidRPr="008D3170" w:rsidRDefault="000B4B7D" w:rsidP="008D3170">
      <w:pPr>
        <w:pStyle w:val="NormalWeb"/>
        <w:spacing w:before="0" w:beforeAutospacing="0" w:after="0" w:afterAutospacing="0" w:line="360" w:lineRule="auto"/>
        <w:jc w:val="both"/>
        <w:rPr>
          <w:rFonts w:ascii="Arial" w:hAnsi="Arial" w:cs="Arial"/>
        </w:rPr>
      </w:pPr>
      <w:r w:rsidRPr="008D3170">
        <w:rPr>
          <w:rFonts w:ascii="Arial" w:hAnsi="Arial" w:cs="Arial"/>
        </w:rPr>
        <w:t xml:space="preserve">ONS </w:t>
      </w:r>
      <w:r w:rsidRPr="008D3170">
        <w:rPr>
          <w:rFonts w:ascii="Arial" w:hAnsi="Arial" w:cs="Arial"/>
        </w:rPr>
        <w:t>(2021). </w:t>
      </w:r>
      <w:r w:rsidRPr="008D3170">
        <w:rPr>
          <w:rFonts w:ascii="Arial" w:hAnsi="Arial" w:cs="Arial"/>
          <w:i/>
          <w:iCs/>
        </w:rPr>
        <w:t>Coronavirus and its impact on UK hospitality - Office for National Statistics</w:t>
      </w:r>
      <w:r w:rsidRPr="008D3170">
        <w:rPr>
          <w:rFonts w:ascii="Arial" w:hAnsi="Arial" w:cs="Arial"/>
        </w:rPr>
        <w:t xml:space="preserve">. [online] Ons. Available at: </w:t>
      </w:r>
      <w:hyperlink r:id="rId8" w:history="1">
        <w:r w:rsidRPr="008D3170">
          <w:rPr>
            <w:rStyle w:val="Hyperlink"/>
            <w:rFonts w:ascii="Arial" w:hAnsi="Arial" w:cs="Arial"/>
            <w:color w:val="auto"/>
          </w:rPr>
          <w:t>https://www.ons.gov.uk/businessindustryandtrade/business/activitysizeandlocation/articles/coronavirusanditsimpactonukhospitality/january2020tojune2021</w:t>
        </w:r>
      </w:hyperlink>
      <w:r w:rsidRPr="008D3170">
        <w:rPr>
          <w:rFonts w:ascii="Arial" w:hAnsi="Arial" w:cs="Arial"/>
        </w:rPr>
        <w:t>.</w:t>
      </w:r>
    </w:p>
    <w:p w14:paraId="32A5100C" w14:textId="77777777" w:rsidR="000B4B7D" w:rsidRPr="008D3170" w:rsidRDefault="000B4B7D" w:rsidP="008D3170">
      <w:pPr>
        <w:pStyle w:val="NormalWeb"/>
        <w:spacing w:before="0" w:beforeAutospacing="0" w:after="0" w:afterAutospacing="0" w:line="360" w:lineRule="auto"/>
        <w:jc w:val="both"/>
        <w:rPr>
          <w:rFonts w:ascii="Arial" w:hAnsi="Arial" w:cs="Arial"/>
        </w:rPr>
      </w:pPr>
    </w:p>
    <w:p w14:paraId="2D4BEA80" w14:textId="6163E870" w:rsidR="000B4B7D" w:rsidRPr="008D3170" w:rsidRDefault="000B4B7D" w:rsidP="008D3170">
      <w:pPr>
        <w:pStyle w:val="NormalWeb"/>
        <w:spacing w:before="0" w:beforeAutospacing="0" w:after="0" w:afterAutospacing="0" w:line="360" w:lineRule="auto"/>
        <w:jc w:val="both"/>
        <w:rPr>
          <w:rFonts w:ascii="Arial" w:hAnsi="Arial" w:cs="Arial"/>
        </w:rPr>
      </w:pPr>
      <w:r w:rsidRPr="008D3170">
        <w:rPr>
          <w:rFonts w:ascii="Arial" w:hAnsi="Arial" w:cs="Arial"/>
        </w:rPr>
        <w:t>ONS (2022). </w:t>
      </w:r>
      <w:r w:rsidRPr="008D3170">
        <w:rPr>
          <w:rFonts w:ascii="Arial" w:hAnsi="Arial" w:cs="Arial"/>
          <w:i/>
          <w:iCs/>
        </w:rPr>
        <w:t>Food and drink service firms are most likely to cut trading to tackle energy costs - Office for National Statistics</w:t>
      </w:r>
      <w:r w:rsidRPr="008D3170">
        <w:rPr>
          <w:rFonts w:ascii="Arial" w:hAnsi="Arial" w:cs="Arial"/>
        </w:rPr>
        <w:t>. [online] www.ons.gov.uk. Available at: https://www.ons.gov.uk/businessindustryandtrade/business/businessservices/articles/foodanddrinkservicefirmsaremostlikelytocuttradingtotackleenergycosts/2022-11-14.</w:t>
      </w:r>
    </w:p>
    <w:p w14:paraId="24EC9C26" w14:textId="77777777" w:rsidR="000B4B7D" w:rsidRPr="008D3170" w:rsidRDefault="000B4B7D" w:rsidP="008D3170">
      <w:pPr>
        <w:pStyle w:val="NormalWeb"/>
        <w:spacing w:before="0" w:beforeAutospacing="0" w:after="0" w:afterAutospacing="0" w:line="360" w:lineRule="auto"/>
        <w:jc w:val="both"/>
        <w:rPr>
          <w:rFonts w:ascii="Arial" w:hAnsi="Arial" w:cs="Arial"/>
        </w:rPr>
      </w:pPr>
    </w:p>
    <w:p w14:paraId="3DFB9A37" w14:textId="14FE5381" w:rsidR="000B4B7D" w:rsidRPr="008D3170" w:rsidRDefault="000B4B7D" w:rsidP="008D3170">
      <w:pPr>
        <w:pStyle w:val="NormalWeb"/>
        <w:spacing w:before="0" w:beforeAutospacing="0" w:after="0" w:afterAutospacing="0" w:line="360" w:lineRule="auto"/>
        <w:jc w:val="both"/>
        <w:rPr>
          <w:rFonts w:ascii="Arial" w:hAnsi="Arial" w:cs="Arial"/>
        </w:rPr>
      </w:pPr>
      <w:r w:rsidRPr="008D3170">
        <w:rPr>
          <w:rFonts w:ascii="Arial" w:hAnsi="Arial" w:cs="Arial"/>
        </w:rPr>
        <w:t>PwC (2023). </w:t>
      </w:r>
      <w:r w:rsidRPr="008D3170">
        <w:rPr>
          <w:rFonts w:ascii="Arial" w:hAnsi="Arial" w:cs="Arial"/>
          <w:i/>
          <w:iCs/>
        </w:rPr>
        <w:t>UK Hotels Forecast 2023-2024 - PwC UK</w:t>
      </w:r>
      <w:r w:rsidRPr="008D3170">
        <w:rPr>
          <w:rFonts w:ascii="Arial" w:hAnsi="Arial" w:cs="Arial"/>
        </w:rPr>
        <w:t>. [online] PwC. Available at: https://www.pwc.co.uk/industries/hospitality-leisure/insights/uk-hotels-forecast.html.</w:t>
      </w:r>
    </w:p>
    <w:p w14:paraId="01E47F0B" w14:textId="77777777" w:rsidR="000B4B7D" w:rsidRPr="008D3170" w:rsidRDefault="000B4B7D" w:rsidP="008D3170">
      <w:pPr>
        <w:pStyle w:val="NormalWeb"/>
        <w:spacing w:before="0" w:beforeAutospacing="0" w:after="0" w:afterAutospacing="0" w:line="360" w:lineRule="auto"/>
        <w:jc w:val="both"/>
        <w:rPr>
          <w:rFonts w:ascii="Arial" w:hAnsi="Arial" w:cs="Arial"/>
        </w:rPr>
      </w:pPr>
    </w:p>
    <w:p w14:paraId="32792380" w14:textId="40220A50" w:rsidR="0037452E" w:rsidRPr="008D3170" w:rsidRDefault="0037452E" w:rsidP="008D3170">
      <w:pPr>
        <w:spacing w:line="360" w:lineRule="auto"/>
        <w:jc w:val="both"/>
        <w:rPr>
          <w:rFonts w:ascii="Arial" w:hAnsi="Arial" w:cs="Arial"/>
          <w:sz w:val="24"/>
          <w:szCs w:val="24"/>
          <w:shd w:val="clear" w:color="auto" w:fill="FFFFFF"/>
        </w:rPr>
      </w:pPr>
      <w:r w:rsidRPr="008D3170">
        <w:rPr>
          <w:rFonts w:ascii="Arial" w:hAnsi="Arial" w:cs="Arial"/>
          <w:sz w:val="24"/>
          <w:szCs w:val="24"/>
        </w:rPr>
        <w:t>Seal W (2019) (6th Ed) Management Accounting, London, McGraw Hill</w:t>
      </w:r>
    </w:p>
    <w:p w14:paraId="04898D60" w14:textId="09BC0010" w:rsidR="0037452E" w:rsidRPr="008D3170" w:rsidRDefault="0037452E" w:rsidP="008D3170">
      <w:pPr>
        <w:spacing w:line="360" w:lineRule="auto"/>
        <w:jc w:val="both"/>
        <w:rPr>
          <w:rFonts w:ascii="Arial" w:hAnsi="Arial" w:cs="Arial"/>
          <w:sz w:val="24"/>
          <w:szCs w:val="24"/>
          <w:shd w:val="clear" w:color="auto" w:fill="FFFFFF"/>
        </w:rPr>
      </w:pPr>
      <w:r w:rsidRPr="008D3170">
        <w:rPr>
          <w:rFonts w:ascii="Arial" w:hAnsi="Arial" w:cs="Arial"/>
          <w:sz w:val="24"/>
          <w:szCs w:val="24"/>
          <w:shd w:val="clear" w:color="auto" w:fill="FFFFFF"/>
        </w:rPr>
        <w:t xml:space="preserve">Weygandt, J.J., Kimmel, P.D. and </w:t>
      </w:r>
      <w:proofErr w:type="spellStart"/>
      <w:r w:rsidRPr="008D3170">
        <w:rPr>
          <w:rFonts w:ascii="Arial" w:hAnsi="Arial" w:cs="Arial"/>
          <w:sz w:val="24"/>
          <w:szCs w:val="24"/>
          <w:shd w:val="clear" w:color="auto" w:fill="FFFFFF"/>
        </w:rPr>
        <w:t>Kieso</w:t>
      </w:r>
      <w:proofErr w:type="spellEnd"/>
      <w:r w:rsidRPr="008D3170">
        <w:rPr>
          <w:rFonts w:ascii="Arial" w:hAnsi="Arial" w:cs="Arial"/>
          <w:sz w:val="24"/>
          <w:szCs w:val="24"/>
          <w:shd w:val="clear" w:color="auto" w:fill="FFFFFF"/>
        </w:rPr>
        <w:t>, D.E., 2018. </w:t>
      </w:r>
      <w:r w:rsidRPr="008D3170">
        <w:rPr>
          <w:rFonts w:ascii="Arial" w:hAnsi="Arial" w:cs="Arial"/>
          <w:i/>
          <w:iCs/>
          <w:sz w:val="24"/>
          <w:szCs w:val="24"/>
          <w:shd w:val="clear" w:color="auto" w:fill="FFFFFF"/>
        </w:rPr>
        <w:t>Financial accounting with international financial reporting standards</w:t>
      </w:r>
      <w:r w:rsidRPr="008D3170">
        <w:rPr>
          <w:rFonts w:ascii="Arial" w:hAnsi="Arial" w:cs="Arial"/>
          <w:sz w:val="24"/>
          <w:szCs w:val="24"/>
          <w:shd w:val="clear" w:color="auto" w:fill="FFFFFF"/>
        </w:rPr>
        <w:t>. John Wiley &amp; Sons.</w:t>
      </w:r>
    </w:p>
    <w:p w14:paraId="08AAE7AC" w14:textId="51586D5B" w:rsidR="0037452E" w:rsidRPr="008D3170" w:rsidRDefault="0037452E" w:rsidP="008D3170">
      <w:pPr>
        <w:spacing w:line="360" w:lineRule="auto"/>
        <w:jc w:val="both"/>
        <w:rPr>
          <w:rFonts w:ascii="Arial" w:hAnsi="Arial" w:cs="Arial"/>
          <w:sz w:val="24"/>
          <w:szCs w:val="24"/>
          <w:shd w:val="clear" w:color="auto" w:fill="FFFFFF"/>
        </w:rPr>
      </w:pPr>
      <w:r w:rsidRPr="008D3170">
        <w:rPr>
          <w:rFonts w:ascii="Arial" w:hAnsi="Arial" w:cs="Arial"/>
          <w:sz w:val="24"/>
          <w:szCs w:val="24"/>
        </w:rPr>
        <w:t>Wild J (2018) Fundamental Accounting Principles, New York, McGraw Hill</w:t>
      </w:r>
    </w:p>
    <w:p w14:paraId="1532BC53" w14:textId="77777777" w:rsidR="005F23E7" w:rsidRPr="008D3170" w:rsidRDefault="005F23E7" w:rsidP="008D3170">
      <w:pPr>
        <w:pStyle w:val="NormalWeb"/>
        <w:spacing w:before="0" w:beforeAutospacing="0" w:after="0" w:afterAutospacing="0" w:line="360" w:lineRule="auto"/>
        <w:jc w:val="both"/>
        <w:rPr>
          <w:rFonts w:ascii="Arial" w:hAnsi="Arial" w:cs="Arial"/>
        </w:rPr>
      </w:pPr>
      <w:r w:rsidRPr="008D3170">
        <w:rPr>
          <w:rFonts w:ascii="Arial" w:hAnsi="Arial" w:cs="Arial"/>
        </w:rPr>
        <w:t xml:space="preserve">Williams, J.R., Haka, S.F., Bettner, M.S. and </w:t>
      </w:r>
      <w:proofErr w:type="spellStart"/>
      <w:r w:rsidRPr="008D3170">
        <w:rPr>
          <w:rFonts w:ascii="Arial" w:hAnsi="Arial" w:cs="Arial"/>
        </w:rPr>
        <w:t>Carcello</w:t>
      </w:r>
      <w:proofErr w:type="spellEnd"/>
      <w:r w:rsidRPr="008D3170">
        <w:rPr>
          <w:rFonts w:ascii="Arial" w:hAnsi="Arial" w:cs="Arial"/>
        </w:rPr>
        <w:t>, J.V. (2018). </w:t>
      </w:r>
      <w:r w:rsidRPr="008D3170">
        <w:rPr>
          <w:rFonts w:ascii="Arial" w:hAnsi="Arial" w:cs="Arial"/>
          <w:i/>
          <w:iCs/>
        </w:rPr>
        <w:t>Financial &amp; managerial accounting : the basis for business decisions</w:t>
      </w:r>
      <w:r w:rsidRPr="008D3170">
        <w:rPr>
          <w:rFonts w:ascii="Arial" w:hAnsi="Arial" w:cs="Arial"/>
        </w:rPr>
        <w:t>. [online] </w:t>
      </w:r>
      <w:r w:rsidRPr="008D3170">
        <w:rPr>
          <w:rFonts w:ascii="Arial" w:hAnsi="Arial" w:cs="Arial"/>
          <w:i/>
          <w:iCs/>
        </w:rPr>
        <w:t>thuvienso.hoasen.edu.vn</w:t>
      </w:r>
      <w:r w:rsidRPr="008D3170">
        <w:rPr>
          <w:rFonts w:ascii="Arial" w:hAnsi="Arial" w:cs="Arial"/>
        </w:rPr>
        <w:t>. McGraw-Hill. Available at: https://thuvienso.hoasen.edu.vn/handle/123456789/12018.</w:t>
      </w:r>
    </w:p>
    <w:p w14:paraId="566F6895" w14:textId="77777777" w:rsidR="005F23E7" w:rsidRPr="008D3170" w:rsidRDefault="005F23E7" w:rsidP="008D3170">
      <w:pPr>
        <w:pStyle w:val="NormalWeb"/>
        <w:spacing w:line="360" w:lineRule="auto"/>
        <w:jc w:val="both"/>
        <w:rPr>
          <w:rFonts w:ascii="Arial" w:hAnsi="Arial" w:cs="Arial"/>
        </w:rPr>
      </w:pPr>
      <w:r w:rsidRPr="008D3170">
        <w:rPr>
          <w:rFonts w:ascii="Arial" w:hAnsi="Arial" w:cs="Arial"/>
        </w:rPr>
        <w:t>‌</w:t>
      </w:r>
    </w:p>
    <w:p w14:paraId="46BE9EDA" w14:textId="77777777" w:rsidR="0037452E" w:rsidRPr="008D3170" w:rsidRDefault="0037452E" w:rsidP="008D3170">
      <w:pPr>
        <w:spacing w:line="360" w:lineRule="auto"/>
        <w:jc w:val="both"/>
        <w:rPr>
          <w:rFonts w:ascii="Arial" w:hAnsi="Arial" w:cs="Arial"/>
          <w:sz w:val="24"/>
          <w:szCs w:val="24"/>
        </w:rPr>
      </w:pPr>
    </w:p>
    <w:p w14:paraId="4AD9987E" w14:textId="77777777" w:rsidR="008343B8" w:rsidRPr="008D3170" w:rsidRDefault="008343B8" w:rsidP="008D3170">
      <w:pPr>
        <w:spacing w:line="360" w:lineRule="auto"/>
        <w:jc w:val="both"/>
        <w:rPr>
          <w:rFonts w:ascii="Arial" w:hAnsi="Arial" w:cs="Arial"/>
          <w:sz w:val="24"/>
          <w:szCs w:val="24"/>
        </w:rPr>
      </w:pPr>
    </w:p>
    <w:p w14:paraId="7FC80552" w14:textId="77777777" w:rsidR="008343B8" w:rsidRDefault="008343B8"/>
    <w:p w14:paraId="6F628F1A" w14:textId="77777777" w:rsidR="008343B8" w:rsidRDefault="008343B8"/>
    <w:p w14:paraId="5BBD8428" w14:textId="77777777" w:rsidR="008343B8" w:rsidRDefault="008343B8"/>
    <w:p w14:paraId="2C273FF8" w14:textId="77777777" w:rsidR="008343B8" w:rsidRDefault="008343B8"/>
    <w:p w14:paraId="0B44317A" w14:textId="77777777" w:rsidR="008343B8" w:rsidRDefault="008343B8"/>
    <w:p w14:paraId="74FE9C01" w14:textId="77777777" w:rsidR="008343B8" w:rsidRDefault="008343B8"/>
    <w:p w14:paraId="37BD4387" w14:textId="77777777" w:rsidR="008343B8" w:rsidRDefault="008343B8"/>
    <w:p w14:paraId="4CC8B3A8" w14:textId="72378BCD" w:rsidR="008343B8" w:rsidRPr="00D8170E" w:rsidRDefault="008343B8" w:rsidP="00D8170E">
      <w:pPr>
        <w:pStyle w:val="EU"/>
        <w:rPr>
          <w:color w:val="auto"/>
        </w:rPr>
      </w:pPr>
      <w:bookmarkStart w:id="6" w:name="_Toc168588314"/>
      <w:r w:rsidRPr="00D8170E">
        <w:rPr>
          <w:color w:val="auto"/>
        </w:rPr>
        <w:t>Appendix</w:t>
      </w:r>
      <w:bookmarkEnd w:id="6"/>
      <w:r w:rsidRPr="00D8170E">
        <w:rPr>
          <w:color w:val="auto"/>
        </w:rPr>
        <w:t xml:space="preserve"> </w:t>
      </w:r>
    </w:p>
    <w:p w14:paraId="183492C4" w14:textId="77777777" w:rsidR="008343B8" w:rsidRPr="00BD02AD" w:rsidRDefault="008343B8" w:rsidP="00BD02AD">
      <w:pPr>
        <w:spacing w:line="360" w:lineRule="auto"/>
        <w:jc w:val="both"/>
        <w:rPr>
          <w:rFonts w:ascii="Arial" w:hAnsi="Arial" w:cs="Arial"/>
          <w:sz w:val="24"/>
          <w:szCs w:val="24"/>
        </w:rPr>
      </w:pPr>
    </w:p>
    <w:p w14:paraId="1B0E5B19" w14:textId="77777777" w:rsidR="008343B8" w:rsidRPr="00BD02AD" w:rsidRDefault="008343B8" w:rsidP="00BD02AD">
      <w:pPr>
        <w:spacing w:line="360" w:lineRule="auto"/>
        <w:jc w:val="both"/>
        <w:rPr>
          <w:rFonts w:ascii="Arial" w:hAnsi="Arial" w:cs="Arial"/>
          <w:b/>
          <w:bCs/>
          <w:sz w:val="24"/>
          <w:szCs w:val="24"/>
        </w:rPr>
      </w:pPr>
      <w:r w:rsidRPr="00BD02AD">
        <w:rPr>
          <w:rFonts w:ascii="Arial" w:hAnsi="Arial" w:cs="Arial"/>
          <w:b/>
          <w:bCs/>
          <w:sz w:val="24"/>
          <w:szCs w:val="24"/>
        </w:rPr>
        <w:t>Current ratio</w:t>
      </w:r>
    </w:p>
    <w:p w14:paraId="10C98947"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 xml:space="preserve">Current ratio (2021)=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£450,000</m:t>
            </m:r>
          </m:num>
          <m:den>
            <m:r>
              <w:rPr>
                <w:rFonts w:ascii="Cambria Math" w:hAnsi="Cambria Math" w:cs="Arial"/>
                <w:sz w:val="24"/>
                <w:szCs w:val="24"/>
              </w:rPr>
              <m:t>£250,000</m:t>
            </m:r>
          </m:den>
        </m:f>
      </m:oMath>
      <w:r w:rsidRPr="00BD02AD">
        <w:rPr>
          <w:rFonts w:ascii="Arial" w:eastAsiaTheme="minorEastAsia" w:hAnsi="Arial" w:cs="Arial"/>
          <w:sz w:val="24"/>
          <w:szCs w:val="24"/>
        </w:rPr>
        <w:t>=1.8</w:t>
      </w:r>
    </w:p>
    <w:p w14:paraId="1EA42F4E"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Current assets (2021)= Cash and equivalents+ Accounts Receivables=£300,000+£150,000= £450,000</w:t>
      </w:r>
    </w:p>
    <w:p w14:paraId="1BB773E4"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 xml:space="preserve">Current ratio (2022)=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£300,000</m:t>
            </m:r>
          </m:num>
          <m:den>
            <m:r>
              <w:rPr>
                <w:rFonts w:ascii="Cambria Math" w:hAnsi="Cambria Math" w:cs="Arial"/>
                <w:sz w:val="24"/>
                <w:szCs w:val="24"/>
              </w:rPr>
              <m:t>£270,000</m:t>
            </m:r>
          </m:den>
        </m:f>
      </m:oMath>
      <w:r w:rsidRPr="00BD02AD">
        <w:rPr>
          <w:rFonts w:ascii="Arial" w:eastAsiaTheme="minorEastAsia" w:hAnsi="Arial" w:cs="Arial"/>
          <w:sz w:val="24"/>
          <w:szCs w:val="24"/>
        </w:rPr>
        <w:t>=1.11</w:t>
      </w:r>
    </w:p>
    <w:p w14:paraId="67E5C047"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Current assets (2022)= £200,000+£100,000= £300,000</w:t>
      </w:r>
    </w:p>
    <w:p w14:paraId="740E4473"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 xml:space="preserve">Current ratio (2023)=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£180,000</m:t>
            </m:r>
          </m:num>
          <m:den>
            <m:r>
              <w:rPr>
                <w:rFonts w:ascii="Cambria Math" w:hAnsi="Cambria Math" w:cs="Arial"/>
                <w:sz w:val="24"/>
                <w:szCs w:val="24"/>
              </w:rPr>
              <m:t>£300,000</m:t>
            </m:r>
          </m:den>
        </m:f>
      </m:oMath>
      <w:r w:rsidRPr="00BD02AD">
        <w:rPr>
          <w:rFonts w:ascii="Arial" w:eastAsiaTheme="minorEastAsia" w:hAnsi="Arial" w:cs="Arial"/>
          <w:sz w:val="24"/>
          <w:szCs w:val="24"/>
        </w:rPr>
        <w:t>=0.6</w:t>
      </w:r>
    </w:p>
    <w:p w14:paraId="23B533E2" w14:textId="2C12254C"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Current assets (2023)=£100,000+£80,000=£180,000</w:t>
      </w:r>
    </w:p>
    <w:p w14:paraId="0EBD2303" w14:textId="77777777" w:rsidR="008343B8" w:rsidRPr="00BD02AD" w:rsidRDefault="008343B8" w:rsidP="00BD02AD">
      <w:pPr>
        <w:spacing w:line="360" w:lineRule="auto"/>
        <w:jc w:val="both"/>
        <w:rPr>
          <w:rFonts w:ascii="Arial" w:hAnsi="Arial" w:cs="Arial"/>
          <w:b/>
          <w:bCs/>
          <w:sz w:val="24"/>
          <w:szCs w:val="24"/>
        </w:rPr>
      </w:pPr>
      <w:r w:rsidRPr="00BD02AD">
        <w:rPr>
          <w:rFonts w:ascii="Arial" w:hAnsi="Arial" w:cs="Arial"/>
          <w:b/>
          <w:bCs/>
          <w:sz w:val="24"/>
          <w:szCs w:val="24"/>
        </w:rPr>
        <w:t>Asset turnover ratio</w:t>
      </w:r>
    </w:p>
    <w:p w14:paraId="08F4ED28" w14:textId="77777777" w:rsidR="008343B8" w:rsidRPr="00BD02AD" w:rsidRDefault="008343B8" w:rsidP="00BD02AD">
      <w:pPr>
        <w:spacing w:line="360" w:lineRule="auto"/>
        <w:jc w:val="both"/>
        <w:rPr>
          <w:rFonts w:ascii="Arial" w:eastAsiaTheme="minorEastAsia" w:hAnsi="Arial" w:cs="Arial"/>
          <w:sz w:val="24"/>
          <w:szCs w:val="24"/>
        </w:rPr>
      </w:pPr>
      <w:r w:rsidRPr="00BD02AD">
        <w:rPr>
          <w:rFonts w:ascii="Arial" w:hAnsi="Arial" w:cs="Arial"/>
          <w:sz w:val="24"/>
          <w:szCs w:val="24"/>
        </w:rPr>
        <w:t>Asset turnover ratio(2021)=</w:t>
      </w:r>
      <m:oMath>
        <m:f>
          <m:fPr>
            <m:ctrlPr>
              <w:rPr>
                <w:rFonts w:ascii="Cambria Math" w:hAnsi="Cambria Math" w:cs="Arial"/>
                <w:i/>
                <w:sz w:val="24"/>
                <w:szCs w:val="24"/>
              </w:rPr>
            </m:ctrlPr>
          </m:fPr>
          <m:num>
            <m:r>
              <w:rPr>
                <w:rFonts w:ascii="Cambria Math" w:hAnsi="Cambria Math" w:cs="Arial"/>
                <w:sz w:val="24"/>
                <w:szCs w:val="24"/>
              </w:rPr>
              <m:t xml:space="preserve">Revenue </m:t>
            </m:r>
          </m:num>
          <m:den>
            <m:r>
              <w:rPr>
                <w:rFonts w:ascii="Cambria Math" w:hAnsi="Cambria Math" w:cs="Arial"/>
                <w:sz w:val="24"/>
                <w:szCs w:val="24"/>
              </w:rPr>
              <m:t>Total assets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 xml:space="preserve">£2,500,000 </m:t>
            </m:r>
          </m:num>
          <m:den>
            <m:r>
              <w:rPr>
                <w:rFonts w:ascii="Cambria Math" w:hAnsi="Cambria Math" w:cs="Arial"/>
                <w:sz w:val="24"/>
                <w:szCs w:val="24"/>
              </w:rPr>
              <m:t>£5,450,000</m:t>
            </m:r>
          </m:den>
        </m:f>
      </m:oMath>
      <w:r w:rsidRPr="00BD02AD">
        <w:rPr>
          <w:rFonts w:ascii="Arial" w:eastAsiaTheme="minorEastAsia" w:hAnsi="Arial" w:cs="Arial"/>
          <w:sz w:val="24"/>
          <w:szCs w:val="24"/>
        </w:rPr>
        <w:t>=0.45</w:t>
      </w:r>
    </w:p>
    <w:p w14:paraId="373ABA73"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Asset turnover ratio(2022)=</w:t>
      </w:r>
      <m:oMath>
        <m:f>
          <m:fPr>
            <m:ctrlPr>
              <w:rPr>
                <w:rFonts w:ascii="Cambria Math" w:hAnsi="Cambria Math" w:cs="Arial"/>
                <w:i/>
                <w:sz w:val="24"/>
                <w:szCs w:val="24"/>
              </w:rPr>
            </m:ctrlPr>
          </m:fPr>
          <m:num>
            <m:r>
              <w:rPr>
                <w:rFonts w:ascii="Cambria Math" w:hAnsi="Cambria Math" w:cs="Arial"/>
                <w:sz w:val="24"/>
                <w:szCs w:val="24"/>
              </w:rPr>
              <m:t xml:space="preserve">Revenue </m:t>
            </m:r>
          </m:num>
          <m:den>
            <m:r>
              <w:rPr>
                <w:rFonts w:ascii="Cambria Math" w:hAnsi="Cambria Math" w:cs="Arial"/>
                <w:sz w:val="24"/>
                <w:szCs w:val="24"/>
              </w:rPr>
              <m:t>Total assets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 xml:space="preserve">£2,200,000 </m:t>
            </m:r>
          </m:num>
          <m:den>
            <m:r>
              <w:rPr>
                <w:rFonts w:ascii="Cambria Math" w:hAnsi="Cambria Math" w:cs="Arial"/>
                <w:sz w:val="24"/>
                <w:szCs w:val="24"/>
              </w:rPr>
              <m:t>£5,100,000</m:t>
            </m:r>
          </m:den>
        </m:f>
      </m:oMath>
      <w:r w:rsidRPr="00BD02AD">
        <w:rPr>
          <w:rFonts w:ascii="Arial" w:eastAsiaTheme="minorEastAsia" w:hAnsi="Arial" w:cs="Arial"/>
          <w:sz w:val="24"/>
          <w:szCs w:val="24"/>
        </w:rPr>
        <w:t>=0.43</w:t>
      </w:r>
    </w:p>
    <w:p w14:paraId="630F99FA"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Asset turnover ratio(2023)=</w:t>
      </w:r>
      <m:oMath>
        <m:f>
          <m:fPr>
            <m:ctrlPr>
              <w:rPr>
                <w:rFonts w:ascii="Cambria Math" w:hAnsi="Cambria Math" w:cs="Arial"/>
                <w:i/>
                <w:sz w:val="24"/>
                <w:szCs w:val="24"/>
              </w:rPr>
            </m:ctrlPr>
          </m:fPr>
          <m:num>
            <m:r>
              <w:rPr>
                <w:rFonts w:ascii="Cambria Math" w:hAnsi="Cambria Math" w:cs="Arial"/>
                <w:sz w:val="24"/>
                <w:szCs w:val="24"/>
              </w:rPr>
              <m:t xml:space="preserve">Revenue </m:t>
            </m:r>
          </m:num>
          <m:den>
            <m:r>
              <w:rPr>
                <w:rFonts w:ascii="Cambria Math" w:hAnsi="Cambria Math" w:cs="Arial"/>
                <w:sz w:val="24"/>
                <w:szCs w:val="24"/>
              </w:rPr>
              <m:t>Total assets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 xml:space="preserve">£1,800,000 </m:t>
            </m:r>
          </m:num>
          <m:den>
            <m:r>
              <w:rPr>
                <w:rFonts w:ascii="Cambria Math" w:hAnsi="Cambria Math" w:cs="Arial"/>
                <w:sz w:val="24"/>
                <w:szCs w:val="24"/>
              </w:rPr>
              <m:t>£4,680,000</m:t>
            </m:r>
          </m:den>
        </m:f>
      </m:oMath>
      <w:r w:rsidRPr="00BD02AD">
        <w:rPr>
          <w:rFonts w:ascii="Arial" w:eastAsiaTheme="minorEastAsia" w:hAnsi="Arial" w:cs="Arial"/>
          <w:sz w:val="24"/>
          <w:szCs w:val="24"/>
        </w:rPr>
        <w:t>=0.38</w:t>
      </w:r>
    </w:p>
    <w:p w14:paraId="45064ED4" w14:textId="2DADA599" w:rsidR="008343B8" w:rsidRPr="00BD02AD" w:rsidRDefault="008343B8" w:rsidP="00BD02AD">
      <w:pPr>
        <w:spacing w:line="360" w:lineRule="auto"/>
        <w:jc w:val="both"/>
        <w:rPr>
          <w:rFonts w:ascii="Arial" w:hAnsi="Arial" w:cs="Arial"/>
          <w:b/>
          <w:bCs/>
          <w:sz w:val="24"/>
          <w:szCs w:val="24"/>
        </w:rPr>
      </w:pPr>
      <w:r w:rsidRPr="00BD02AD">
        <w:rPr>
          <w:rFonts w:ascii="Arial" w:hAnsi="Arial" w:cs="Arial"/>
          <w:b/>
          <w:bCs/>
          <w:sz w:val="24"/>
          <w:szCs w:val="24"/>
        </w:rPr>
        <w:t>Net profit margin</w:t>
      </w:r>
    </w:p>
    <w:p w14:paraId="6BB22663"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Net Profit margin (2021)=</w:t>
      </w:r>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Revenue</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£700,000</m:t>
            </m:r>
          </m:num>
          <m:den>
            <m:r>
              <w:rPr>
                <w:rFonts w:ascii="Cambria Math" w:hAnsi="Cambria Math" w:cs="Arial"/>
                <w:sz w:val="24"/>
                <w:szCs w:val="24"/>
              </w:rPr>
              <m:t>£2,500,000</m:t>
            </m:r>
          </m:den>
        </m:f>
      </m:oMath>
      <w:r w:rsidRPr="00BD02AD">
        <w:rPr>
          <w:rFonts w:ascii="Arial" w:eastAsiaTheme="minorEastAsia" w:hAnsi="Arial" w:cs="Arial"/>
          <w:sz w:val="24"/>
          <w:szCs w:val="24"/>
        </w:rPr>
        <w:t>=0.28</w:t>
      </w:r>
    </w:p>
    <w:p w14:paraId="2C778765"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Net Profit margin (2022)=</w:t>
      </w:r>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Revenue</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£200,000</m:t>
            </m:r>
          </m:num>
          <m:den>
            <m:r>
              <w:rPr>
                <w:rFonts w:ascii="Cambria Math" w:hAnsi="Cambria Math" w:cs="Arial"/>
                <w:sz w:val="24"/>
                <w:szCs w:val="24"/>
              </w:rPr>
              <m:t>£2,200,000</m:t>
            </m:r>
          </m:den>
        </m:f>
      </m:oMath>
      <w:r w:rsidRPr="00BD02AD">
        <w:rPr>
          <w:rFonts w:ascii="Arial" w:eastAsiaTheme="minorEastAsia" w:hAnsi="Arial" w:cs="Arial"/>
          <w:sz w:val="24"/>
          <w:szCs w:val="24"/>
        </w:rPr>
        <w:t>=0.09</w:t>
      </w:r>
    </w:p>
    <w:p w14:paraId="00920908"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Net Profit margin (2022)=</w:t>
      </w:r>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Revenue</m:t>
            </m:r>
          </m:den>
        </m:f>
      </m:oMath>
      <w:r w:rsidRPr="00BD02AD">
        <w:rPr>
          <w:rFonts w:ascii="Arial" w:eastAsiaTheme="minorEastAsia" w:hAnsi="Arial" w:cs="Arial"/>
          <w:sz w:val="24"/>
          <w:szCs w:val="24"/>
        </w:rPr>
        <w:t>=</w:t>
      </w:r>
      <w:r w:rsidRPr="00BD02AD">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-£500,000</m:t>
            </m:r>
          </m:num>
          <m:den>
            <m:r>
              <w:rPr>
                <w:rFonts w:ascii="Cambria Math" w:hAnsi="Cambria Math" w:cs="Arial"/>
                <w:sz w:val="24"/>
                <w:szCs w:val="24"/>
              </w:rPr>
              <m:t>£1,800,000</m:t>
            </m:r>
          </m:den>
        </m:f>
      </m:oMath>
      <w:r w:rsidRPr="00BD02AD">
        <w:rPr>
          <w:rFonts w:ascii="Arial" w:eastAsiaTheme="minorEastAsia" w:hAnsi="Arial" w:cs="Arial"/>
          <w:sz w:val="24"/>
          <w:szCs w:val="24"/>
        </w:rPr>
        <w:t>=-0.27</w:t>
      </w:r>
    </w:p>
    <w:p w14:paraId="0B101009" w14:textId="77777777" w:rsidR="008343B8" w:rsidRPr="00BD02AD" w:rsidRDefault="008343B8" w:rsidP="00BD02AD">
      <w:pPr>
        <w:spacing w:line="360" w:lineRule="auto"/>
        <w:jc w:val="both"/>
        <w:rPr>
          <w:rFonts w:ascii="Arial" w:hAnsi="Arial" w:cs="Arial"/>
          <w:b/>
          <w:bCs/>
          <w:sz w:val="24"/>
          <w:szCs w:val="24"/>
        </w:rPr>
      </w:pPr>
      <w:r w:rsidRPr="00BD02AD">
        <w:rPr>
          <w:rFonts w:ascii="Arial" w:hAnsi="Arial" w:cs="Arial"/>
          <w:b/>
          <w:bCs/>
          <w:sz w:val="24"/>
          <w:szCs w:val="24"/>
        </w:rPr>
        <w:t>Debt to equity ratio</w:t>
      </w:r>
    </w:p>
    <w:p w14:paraId="0243E7D7"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Debt to equity ratio (2021)=</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£3,250,000</m:t>
            </m:r>
          </m:num>
          <m:den>
            <m:r>
              <w:rPr>
                <w:rFonts w:ascii="Cambria Math" w:hAnsi="Cambria Math" w:cs="Arial"/>
                <w:sz w:val="24"/>
                <w:szCs w:val="24"/>
              </w:rPr>
              <m:t>£2,200,000</m:t>
            </m:r>
          </m:den>
        </m:f>
      </m:oMath>
      <w:r w:rsidRPr="00BD02AD">
        <w:rPr>
          <w:rFonts w:ascii="Arial" w:eastAsiaTheme="minorEastAsia" w:hAnsi="Arial" w:cs="Arial"/>
          <w:sz w:val="24"/>
          <w:szCs w:val="24"/>
        </w:rPr>
        <w:t>=1.47</w:t>
      </w:r>
    </w:p>
    <w:p w14:paraId="0221C9EC" w14:textId="77777777" w:rsidR="008343B8" w:rsidRPr="00BD02AD" w:rsidRDefault="008343B8" w:rsidP="00BD02AD">
      <w:pPr>
        <w:spacing w:line="360" w:lineRule="auto"/>
        <w:jc w:val="both"/>
        <w:rPr>
          <w:rFonts w:ascii="Arial" w:hAnsi="Arial" w:cs="Arial"/>
          <w:sz w:val="24"/>
          <w:szCs w:val="24"/>
        </w:rPr>
      </w:pPr>
      <w:r w:rsidRPr="00BD02AD">
        <w:rPr>
          <w:rFonts w:ascii="Arial" w:hAnsi="Arial" w:cs="Arial"/>
          <w:sz w:val="24"/>
          <w:szCs w:val="24"/>
        </w:rPr>
        <w:t>Debt to equity ratio (2022)=</w:t>
      </w:r>
      <w:r w:rsidRPr="00BD02AD">
        <w:rPr>
          <w:rFonts w:ascii="Arial" w:hAnsi="Arial" w:cs="Arial"/>
          <w:i/>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£3,270,000</m:t>
            </m:r>
          </m:num>
          <m:den>
            <m:r>
              <w:rPr>
                <w:rFonts w:ascii="Cambria Math" w:hAnsi="Cambria Math" w:cs="Arial"/>
                <w:sz w:val="24"/>
                <w:szCs w:val="24"/>
              </w:rPr>
              <m:t>£1,830,000</m:t>
            </m:r>
          </m:den>
        </m:f>
      </m:oMath>
      <w:r w:rsidRPr="00BD02AD">
        <w:rPr>
          <w:rFonts w:ascii="Arial" w:eastAsiaTheme="minorEastAsia" w:hAnsi="Arial" w:cs="Arial"/>
          <w:sz w:val="24"/>
          <w:szCs w:val="24"/>
        </w:rPr>
        <w:t>=1.78</w:t>
      </w:r>
    </w:p>
    <w:p w14:paraId="7942B8D3" w14:textId="03E9669C" w:rsidR="008343B8" w:rsidRPr="00BD02AD" w:rsidRDefault="008343B8" w:rsidP="00BD02AD">
      <w:pPr>
        <w:spacing w:line="360" w:lineRule="auto"/>
        <w:jc w:val="both"/>
        <w:rPr>
          <w:rFonts w:ascii="Arial" w:eastAsiaTheme="minorEastAsia" w:hAnsi="Arial" w:cs="Arial"/>
          <w:sz w:val="24"/>
          <w:szCs w:val="24"/>
        </w:rPr>
      </w:pPr>
      <w:r w:rsidRPr="00BD02AD">
        <w:rPr>
          <w:rFonts w:ascii="Arial" w:hAnsi="Arial" w:cs="Arial"/>
          <w:sz w:val="24"/>
          <w:szCs w:val="24"/>
        </w:rPr>
        <w:t>Debt to equity ratio (2023)=</w:t>
      </w:r>
      <w:r w:rsidRPr="00BD02AD">
        <w:rPr>
          <w:rFonts w:ascii="Arial" w:hAnsi="Arial" w:cs="Arial"/>
          <w:i/>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£3,300,000</m:t>
            </m:r>
          </m:num>
          <m:den>
            <m:r>
              <w:rPr>
                <w:rFonts w:ascii="Cambria Math" w:hAnsi="Cambria Math" w:cs="Arial"/>
                <w:sz w:val="24"/>
                <w:szCs w:val="24"/>
              </w:rPr>
              <m:t>£1,380,000</m:t>
            </m:r>
          </m:den>
        </m:f>
      </m:oMath>
      <w:r w:rsidRPr="00BD02AD">
        <w:rPr>
          <w:rFonts w:ascii="Arial" w:eastAsiaTheme="minorEastAsia" w:hAnsi="Arial" w:cs="Arial"/>
          <w:sz w:val="24"/>
          <w:szCs w:val="24"/>
        </w:rPr>
        <w:t>=</w:t>
      </w:r>
      <w:r w:rsidRPr="00BD02AD">
        <w:rPr>
          <w:rFonts w:ascii="Arial" w:eastAsiaTheme="minorEastAsia" w:hAnsi="Arial" w:cs="Arial"/>
          <w:sz w:val="24"/>
          <w:szCs w:val="24"/>
        </w:rPr>
        <w:t>2.39</w:t>
      </w:r>
    </w:p>
    <w:p w14:paraId="13525D54" w14:textId="3213056E" w:rsidR="00BD02AD" w:rsidRPr="00BD02AD" w:rsidRDefault="00BD02AD" w:rsidP="00BD02AD">
      <w:pPr>
        <w:spacing w:line="360" w:lineRule="auto"/>
        <w:jc w:val="both"/>
        <w:rPr>
          <w:rFonts w:ascii="Arial" w:eastAsiaTheme="minorEastAsia" w:hAnsi="Arial" w:cs="Arial"/>
          <w:b/>
          <w:bCs/>
          <w:sz w:val="24"/>
          <w:szCs w:val="24"/>
        </w:rPr>
      </w:pPr>
      <w:r w:rsidRPr="00BD02AD">
        <w:rPr>
          <w:rFonts w:ascii="Arial" w:eastAsiaTheme="minorEastAsia" w:hAnsi="Arial" w:cs="Arial"/>
          <w:b/>
          <w:bCs/>
          <w:sz w:val="24"/>
          <w:szCs w:val="24"/>
        </w:rPr>
        <w:t>Debt ratio</w:t>
      </w:r>
    </w:p>
    <w:p w14:paraId="68841BC1" w14:textId="5E2207C3" w:rsidR="00BD02AD" w:rsidRPr="00BD02AD" w:rsidRDefault="00BD02AD" w:rsidP="00BD02AD">
      <w:pPr>
        <w:spacing w:line="360" w:lineRule="auto"/>
        <w:jc w:val="both"/>
        <w:rPr>
          <w:rFonts w:ascii="Arial" w:eastAsiaTheme="minorEastAsia" w:hAnsi="Arial" w:cs="Arial"/>
          <w:sz w:val="24"/>
          <w:szCs w:val="24"/>
        </w:rPr>
      </w:pPr>
      <w:r w:rsidRPr="00BD02AD">
        <w:rPr>
          <w:rFonts w:ascii="Arial" w:hAnsi="Arial" w:cs="Arial"/>
          <w:sz w:val="24"/>
          <w:szCs w:val="24"/>
        </w:rPr>
        <w:t xml:space="preserve">Debt ratio </w:t>
      </w:r>
      <w:r w:rsidRPr="00BD02AD">
        <w:rPr>
          <w:rFonts w:ascii="Arial" w:hAnsi="Arial" w:cs="Arial"/>
          <w:sz w:val="24"/>
          <w:szCs w:val="24"/>
        </w:rPr>
        <w:t>(</w:t>
      </w:r>
      <w:r w:rsidRPr="00BD02AD">
        <w:rPr>
          <w:rFonts w:ascii="Arial" w:hAnsi="Arial" w:cs="Arial"/>
          <w:sz w:val="24"/>
          <w:szCs w:val="24"/>
        </w:rPr>
        <w:t>2021</w:t>
      </w:r>
      <w:r w:rsidRPr="00BD02AD">
        <w:rPr>
          <w:rFonts w:ascii="Arial" w:hAnsi="Arial" w:cs="Arial"/>
          <w:sz w:val="24"/>
          <w:szCs w:val="24"/>
        </w:rPr>
        <w:t>)</w:t>
      </w:r>
      <w:r w:rsidRPr="00BD02AD">
        <w:rPr>
          <w:rFonts w:ascii="Arial"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Total assests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£3,250,000</m:t>
            </m:r>
          </m:num>
          <m:den>
            <m:r>
              <w:rPr>
                <w:rFonts w:ascii="Cambria Math" w:hAnsi="Cambria Math" w:cs="Arial"/>
                <w:sz w:val="24"/>
                <w:szCs w:val="24"/>
              </w:rPr>
              <m:t>£5,450,000</m:t>
            </m:r>
          </m:den>
        </m:f>
      </m:oMath>
      <w:r w:rsidRPr="00BD02AD">
        <w:rPr>
          <w:rFonts w:ascii="Arial" w:eastAsiaTheme="minorEastAsia" w:hAnsi="Arial" w:cs="Arial"/>
          <w:sz w:val="24"/>
          <w:szCs w:val="24"/>
        </w:rPr>
        <w:t>=0.59</w:t>
      </w:r>
    </w:p>
    <w:p w14:paraId="2F299D6C" w14:textId="73EF8E2B" w:rsidR="00BD02AD" w:rsidRPr="00BD02AD" w:rsidRDefault="00BD02AD" w:rsidP="00BD02AD">
      <w:pPr>
        <w:spacing w:line="360" w:lineRule="auto"/>
        <w:jc w:val="both"/>
        <w:rPr>
          <w:rFonts w:ascii="Arial" w:hAnsi="Arial" w:cs="Arial"/>
          <w:sz w:val="24"/>
          <w:szCs w:val="24"/>
        </w:rPr>
      </w:pPr>
      <w:r w:rsidRPr="00BD02AD">
        <w:rPr>
          <w:rFonts w:ascii="Arial" w:hAnsi="Arial" w:cs="Arial"/>
          <w:sz w:val="24"/>
          <w:szCs w:val="24"/>
        </w:rPr>
        <w:t xml:space="preserve">Debt ratio </w:t>
      </w:r>
      <w:r w:rsidRPr="00BD02AD">
        <w:rPr>
          <w:rFonts w:ascii="Arial" w:hAnsi="Arial" w:cs="Arial"/>
          <w:sz w:val="24"/>
          <w:szCs w:val="24"/>
        </w:rPr>
        <w:t>(</w:t>
      </w:r>
      <w:r w:rsidRPr="00BD02AD">
        <w:rPr>
          <w:rFonts w:ascii="Arial" w:hAnsi="Arial" w:cs="Arial"/>
          <w:sz w:val="24"/>
          <w:szCs w:val="24"/>
        </w:rPr>
        <w:t>2022</w:t>
      </w:r>
      <w:r w:rsidRPr="00BD02AD">
        <w:rPr>
          <w:rFonts w:ascii="Arial" w:hAnsi="Arial" w:cs="Arial"/>
          <w:sz w:val="24"/>
          <w:szCs w:val="24"/>
        </w:rPr>
        <w:t>)</w:t>
      </w:r>
      <w:r w:rsidRPr="00BD02AD">
        <w:rPr>
          <w:rFonts w:ascii="Arial"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Total assests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£3,270,000</m:t>
            </m:r>
          </m:num>
          <m:den>
            <m:r>
              <w:rPr>
                <w:rFonts w:ascii="Cambria Math" w:hAnsi="Cambria Math" w:cs="Arial"/>
                <w:sz w:val="24"/>
                <w:szCs w:val="24"/>
              </w:rPr>
              <m:t>£5,100,000</m:t>
            </m:r>
          </m:den>
        </m:f>
      </m:oMath>
      <w:r w:rsidRPr="00BD02AD">
        <w:rPr>
          <w:rFonts w:ascii="Arial" w:eastAsiaTheme="minorEastAsia" w:hAnsi="Arial" w:cs="Arial"/>
          <w:sz w:val="24"/>
          <w:szCs w:val="24"/>
        </w:rPr>
        <w:t>=0.64</w:t>
      </w:r>
    </w:p>
    <w:p w14:paraId="6A88F7B2" w14:textId="6BC52054" w:rsidR="00BD02AD" w:rsidRPr="00BD02AD" w:rsidRDefault="00BD02AD" w:rsidP="00BD02AD">
      <w:pPr>
        <w:spacing w:line="360" w:lineRule="auto"/>
        <w:jc w:val="both"/>
        <w:rPr>
          <w:rFonts w:ascii="Arial" w:hAnsi="Arial" w:cs="Arial"/>
          <w:sz w:val="24"/>
          <w:szCs w:val="24"/>
        </w:rPr>
      </w:pPr>
      <w:r w:rsidRPr="00BD02AD">
        <w:rPr>
          <w:rFonts w:ascii="Arial" w:hAnsi="Arial" w:cs="Arial"/>
          <w:sz w:val="24"/>
          <w:szCs w:val="24"/>
        </w:rPr>
        <w:t xml:space="preserve">Debt ratio </w:t>
      </w:r>
      <w:r w:rsidRPr="00BD02AD">
        <w:rPr>
          <w:rFonts w:ascii="Arial" w:hAnsi="Arial" w:cs="Arial"/>
          <w:sz w:val="24"/>
          <w:szCs w:val="24"/>
        </w:rPr>
        <w:t>(</w:t>
      </w:r>
      <w:r w:rsidRPr="00BD02AD">
        <w:rPr>
          <w:rFonts w:ascii="Arial" w:hAnsi="Arial" w:cs="Arial"/>
          <w:sz w:val="24"/>
          <w:szCs w:val="24"/>
        </w:rPr>
        <w:t>2023</w:t>
      </w:r>
      <w:r w:rsidRPr="00BD02AD">
        <w:rPr>
          <w:rFonts w:ascii="Arial" w:hAnsi="Arial" w:cs="Arial"/>
          <w:sz w:val="24"/>
          <w:szCs w:val="24"/>
        </w:rPr>
        <w:t>)</w:t>
      </w:r>
      <w:r w:rsidRPr="00BD02AD">
        <w:rPr>
          <w:rFonts w:ascii="Arial"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Total assests</m:t>
            </m:r>
          </m:den>
        </m:f>
      </m:oMath>
      <w:r w:rsidRPr="00BD02AD">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£3,300,000</m:t>
            </m:r>
          </m:num>
          <m:den>
            <m:r>
              <w:rPr>
                <w:rFonts w:ascii="Cambria Math" w:hAnsi="Cambria Math" w:cs="Arial"/>
                <w:sz w:val="24"/>
                <w:szCs w:val="24"/>
              </w:rPr>
              <m:t>£4,680,000</m:t>
            </m:r>
          </m:den>
        </m:f>
      </m:oMath>
      <w:r w:rsidRPr="00BD02AD">
        <w:rPr>
          <w:rFonts w:ascii="Arial" w:eastAsiaTheme="minorEastAsia" w:hAnsi="Arial" w:cs="Arial"/>
          <w:sz w:val="24"/>
          <w:szCs w:val="24"/>
        </w:rPr>
        <w:t>=0.70</w:t>
      </w:r>
    </w:p>
    <w:p w14:paraId="6212062F" w14:textId="77777777" w:rsidR="00BD02AD" w:rsidRPr="008343B8" w:rsidRDefault="00BD02AD" w:rsidP="008343B8">
      <w:pPr>
        <w:rPr>
          <w:rFonts w:ascii="Arial" w:hAnsi="Arial" w:cs="Arial"/>
          <w:sz w:val="24"/>
          <w:szCs w:val="24"/>
        </w:rPr>
      </w:pPr>
    </w:p>
    <w:sectPr w:rsidR="00BD02AD" w:rsidRPr="008343B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7F2F9" w14:textId="77777777" w:rsidR="00775BCF" w:rsidRDefault="00775BCF" w:rsidP="00B35FAD">
      <w:pPr>
        <w:spacing w:after="0" w:line="240" w:lineRule="auto"/>
      </w:pPr>
      <w:r>
        <w:separator/>
      </w:r>
    </w:p>
  </w:endnote>
  <w:endnote w:type="continuationSeparator" w:id="0">
    <w:p w14:paraId="5EDA7F7D" w14:textId="77777777" w:rsidR="00775BCF" w:rsidRDefault="00775BCF" w:rsidP="00B35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000861"/>
      <w:docPartObj>
        <w:docPartGallery w:val="Page Numbers (Bottom of Page)"/>
        <w:docPartUnique/>
      </w:docPartObj>
    </w:sdtPr>
    <w:sdtEndPr>
      <w:rPr>
        <w:noProof/>
      </w:rPr>
    </w:sdtEndPr>
    <w:sdtContent>
      <w:p w14:paraId="33A3FA15" w14:textId="6FB82A2C" w:rsidR="00B35FAD" w:rsidRDefault="00B35F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6CC4D" w14:textId="77777777" w:rsidR="00B35FAD" w:rsidRDefault="00B35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06D29" w14:textId="77777777" w:rsidR="00775BCF" w:rsidRDefault="00775BCF" w:rsidP="00B35FAD">
      <w:pPr>
        <w:spacing w:after="0" w:line="240" w:lineRule="auto"/>
      </w:pPr>
      <w:r>
        <w:separator/>
      </w:r>
    </w:p>
  </w:footnote>
  <w:footnote w:type="continuationSeparator" w:id="0">
    <w:p w14:paraId="0F806E3D" w14:textId="77777777" w:rsidR="00775BCF" w:rsidRDefault="00775BCF" w:rsidP="00B35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52181"/>
    <w:multiLevelType w:val="hybridMultilevel"/>
    <w:tmpl w:val="0810C8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82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FAD"/>
    <w:rsid w:val="000B4B7D"/>
    <w:rsid w:val="002C66C9"/>
    <w:rsid w:val="0037452E"/>
    <w:rsid w:val="00450DE1"/>
    <w:rsid w:val="005F23E7"/>
    <w:rsid w:val="00775BCF"/>
    <w:rsid w:val="007B0CC3"/>
    <w:rsid w:val="008343B8"/>
    <w:rsid w:val="008D3170"/>
    <w:rsid w:val="00970209"/>
    <w:rsid w:val="00B151A8"/>
    <w:rsid w:val="00B17BC3"/>
    <w:rsid w:val="00B22927"/>
    <w:rsid w:val="00B35FAD"/>
    <w:rsid w:val="00BD02AD"/>
    <w:rsid w:val="00C82D1F"/>
    <w:rsid w:val="00D81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16389"/>
  <w15:chartTrackingRefBased/>
  <w15:docId w15:val="{483F0DD7-3EA5-4031-9E73-15671AE3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3B8"/>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B35F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F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F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F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F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F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F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F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B35F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F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F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F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F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F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F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FAD"/>
    <w:rPr>
      <w:rFonts w:eastAsiaTheme="majorEastAsia" w:cstheme="majorBidi"/>
      <w:color w:val="272727" w:themeColor="text1" w:themeTint="D8"/>
    </w:rPr>
  </w:style>
  <w:style w:type="paragraph" w:styleId="Title">
    <w:name w:val="Title"/>
    <w:basedOn w:val="Normal"/>
    <w:next w:val="Normal"/>
    <w:link w:val="TitleChar"/>
    <w:uiPriority w:val="10"/>
    <w:qFormat/>
    <w:rsid w:val="00B35F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F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F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F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FAD"/>
    <w:pPr>
      <w:spacing w:before="160"/>
      <w:jc w:val="center"/>
    </w:pPr>
    <w:rPr>
      <w:i/>
      <w:iCs/>
      <w:color w:val="404040" w:themeColor="text1" w:themeTint="BF"/>
    </w:rPr>
  </w:style>
  <w:style w:type="character" w:customStyle="1" w:styleId="QuoteChar">
    <w:name w:val="Quote Char"/>
    <w:basedOn w:val="DefaultParagraphFont"/>
    <w:link w:val="Quote"/>
    <w:uiPriority w:val="29"/>
    <w:rsid w:val="00B35FAD"/>
    <w:rPr>
      <w:i/>
      <w:iCs/>
      <w:color w:val="404040" w:themeColor="text1" w:themeTint="BF"/>
    </w:rPr>
  </w:style>
  <w:style w:type="paragraph" w:styleId="ListParagraph">
    <w:name w:val="List Paragraph"/>
    <w:basedOn w:val="Normal"/>
    <w:uiPriority w:val="34"/>
    <w:qFormat/>
    <w:rsid w:val="00B35FAD"/>
    <w:pPr>
      <w:ind w:left="720"/>
      <w:contextualSpacing/>
    </w:pPr>
  </w:style>
  <w:style w:type="character" w:styleId="IntenseEmphasis">
    <w:name w:val="Intense Emphasis"/>
    <w:basedOn w:val="DefaultParagraphFont"/>
    <w:uiPriority w:val="21"/>
    <w:qFormat/>
    <w:rsid w:val="00B35FAD"/>
    <w:rPr>
      <w:i/>
      <w:iCs/>
      <w:color w:val="0F4761" w:themeColor="accent1" w:themeShade="BF"/>
    </w:rPr>
  </w:style>
  <w:style w:type="paragraph" w:styleId="IntenseQuote">
    <w:name w:val="Intense Quote"/>
    <w:basedOn w:val="Normal"/>
    <w:next w:val="Normal"/>
    <w:link w:val="IntenseQuoteChar"/>
    <w:uiPriority w:val="30"/>
    <w:qFormat/>
    <w:rsid w:val="00B35F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FAD"/>
    <w:rPr>
      <w:i/>
      <w:iCs/>
      <w:color w:val="0F4761" w:themeColor="accent1" w:themeShade="BF"/>
    </w:rPr>
  </w:style>
  <w:style w:type="character" w:styleId="IntenseReference">
    <w:name w:val="Intense Reference"/>
    <w:basedOn w:val="DefaultParagraphFont"/>
    <w:uiPriority w:val="32"/>
    <w:qFormat/>
    <w:rsid w:val="00B35FAD"/>
    <w:rPr>
      <w:b/>
      <w:bCs/>
      <w:smallCaps/>
      <w:color w:val="0F4761" w:themeColor="accent1" w:themeShade="BF"/>
      <w:spacing w:val="5"/>
    </w:rPr>
  </w:style>
  <w:style w:type="paragraph" w:styleId="Header">
    <w:name w:val="header"/>
    <w:basedOn w:val="Normal"/>
    <w:link w:val="HeaderChar"/>
    <w:uiPriority w:val="99"/>
    <w:unhideWhenUsed/>
    <w:rsid w:val="00B35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FAD"/>
  </w:style>
  <w:style w:type="paragraph" w:styleId="Footer">
    <w:name w:val="footer"/>
    <w:basedOn w:val="Normal"/>
    <w:link w:val="FooterChar"/>
    <w:uiPriority w:val="99"/>
    <w:unhideWhenUsed/>
    <w:rsid w:val="00B35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FAD"/>
  </w:style>
  <w:style w:type="paragraph" w:styleId="NormalWeb">
    <w:name w:val="Normal (Web)"/>
    <w:basedOn w:val="Normal"/>
    <w:uiPriority w:val="99"/>
    <w:unhideWhenUsed/>
    <w:rsid w:val="003745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B4B7D"/>
    <w:rPr>
      <w:color w:val="467886" w:themeColor="hyperlink"/>
      <w:u w:val="single"/>
    </w:rPr>
  </w:style>
  <w:style w:type="character" w:styleId="UnresolvedMention">
    <w:name w:val="Unresolved Mention"/>
    <w:basedOn w:val="DefaultParagraphFont"/>
    <w:uiPriority w:val="99"/>
    <w:semiHidden/>
    <w:unhideWhenUsed/>
    <w:rsid w:val="000B4B7D"/>
    <w:rPr>
      <w:color w:val="605E5C"/>
      <w:shd w:val="clear" w:color="auto" w:fill="E1DFDD"/>
    </w:rPr>
  </w:style>
  <w:style w:type="paragraph" w:styleId="TOCHeading">
    <w:name w:val="TOC Heading"/>
    <w:basedOn w:val="Heading1"/>
    <w:next w:val="Normal"/>
    <w:uiPriority w:val="39"/>
    <w:unhideWhenUsed/>
    <w:qFormat/>
    <w:rsid w:val="008D3170"/>
    <w:pPr>
      <w:outlineLvl w:val="9"/>
    </w:pPr>
    <w:rPr>
      <w:kern w:val="0"/>
      <w:lang w:val="en-US"/>
      <w14:ligatures w14:val="none"/>
    </w:rPr>
  </w:style>
  <w:style w:type="paragraph" w:styleId="TOC1">
    <w:name w:val="toc 1"/>
    <w:basedOn w:val="Normal"/>
    <w:next w:val="Normal"/>
    <w:autoRedefine/>
    <w:uiPriority w:val="39"/>
    <w:unhideWhenUsed/>
    <w:rsid w:val="008D3170"/>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71738">
      <w:bodyDiv w:val="1"/>
      <w:marLeft w:val="0"/>
      <w:marRight w:val="0"/>
      <w:marTop w:val="0"/>
      <w:marBottom w:val="0"/>
      <w:divBdr>
        <w:top w:val="none" w:sz="0" w:space="0" w:color="auto"/>
        <w:left w:val="none" w:sz="0" w:space="0" w:color="auto"/>
        <w:bottom w:val="none" w:sz="0" w:space="0" w:color="auto"/>
        <w:right w:val="none" w:sz="0" w:space="0" w:color="auto"/>
      </w:divBdr>
    </w:div>
    <w:div w:id="145512764">
      <w:bodyDiv w:val="1"/>
      <w:marLeft w:val="0"/>
      <w:marRight w:val="0"/>
      <w:marTop w:val="0"/>
      <w:marBottom w:val="0"/>
      <w:divBdr>
        <w:top w:val="none" w:sz="0" w:space="0" w:color="auto"/>
        <w:left w:val="none" w:sz="0" w:space="0" w:color="auto"/>
        <w:bottom w:val="none" w:sz="0" w:space="0" w:color="auto"/>
        <w:right w:val="none" w:sz="0" w:space="0" w:color="auto"/>
      </w:divBdr>
    </w:div>
    <w:div w:id="179315207">
      <w:bodyDiv w:val="1"/>
      <w:marLeft w:val="0"/>
      <w:marRight w:val="0"/>
      <w:marTop w:val="0"/>
      <w:marBottom w:val="0"/>
      <w:divBdr>
        <w:top w:val="none" w:sz="0" w:space="0" w:color="auto"/>
        <w:left w:val="none" w:sz="0" w:space="0" w:color="auto"/>
        <w:bottom w:val="none" w:sz="0" w:space="0" w:color="auto"/>
        <w:right w:val="none" w:sz="0" w:space="0" w:color="auto"/>
      </w:divBdr>
    </w:div>
    <w:div w:id="347367862">
      <w:bodyDiv w:val="1"/>
      <w:marLeft w:val="0"/>
      <w:marRight w:val="0"/>
      <w:marTop w:val="0"/>
      <w:marBottom w:val="0"/>
      <w:divBdr>
        <w:top w:val="none" w:sz="0" w:space="0" w:color="auto"/>
        <w:left w:val="none" w:sz="0" w:space="0" w:color="auto"/>
        <w:bottom w:val="none" w:sz="0" w:space="0" w:color="auto"/>
        <w:right w:val="none" w:sz="0" w:space="0" w:color="auto"/>
      </w:divBdr>
    </w:div>
    <w:div w:id="562063449">
      <w:bodyDiv w:val="1"/>
      <w:marLeft w:val="0"/>
      <w:marRight w:val="0"/>
      <w:marTop w:val="0"/>
      <w:marBottom w:val="0"/>
      <w:divBdr>
        <w:top w:val="none" w:sz="0" w:space="0" w:color="auto"/>
        <w:left w:val="none" w:sz="0" w:space="0" w:color="auto"/>
        <w:bottom w:val="none" w:sz="0" w:space="0" w:color="auto"/>
        <w:right w:val="none" w:sz="0" w:space="0" w:color="auto"/>
      </w:divBdr>
    </w:div>
    <w:div w:id="571961846">
      <w:bodyDiv w:val="1"/>
      <w:marLeft w:val="0"/>
      <w:marRight w:val="0"/>
      <w:marTop w:val="0"/>
      <w:marBottom w:val="0"/>
      <w:divBdr>
        <w:top w:val="none" w:sz="0" w:space="0" w:color="auto"/>
        <w:left w:val="none" w:sz="0" w:space="0" w:color="auto"/>
        <w:bottom w:val="none" w:sz="0" w:space="0" w:color="auto"/>
        <w:right w:val="none" w:sz="0" w:space="0" w:color="auto"/>
      </w:divBdr>
    </w:div>
    <w:div w:id="829442545">
      <w:bodyDiv w:val="1"/>
      <w:marLeft w:val="0"/>
      <w:marRight w:val="0"/>
      <w:marTop w:val="0"/>
      <w:marBottom w:val="0"/>
      <w:divBdr>
        <w:top w:val="none" w:sz="0" w:space="0" w:color="auto"/>
        <w:left w:val="none" w:sz="0" w:space="0" w:color="auto"/>
        <w:bottom w:val="none" w:sz="0" w:space="0" w:color="auto"/>
        <w:right w:val="none" w:sz="0" w:space="0" w:color="auto"/>
      </w:divBdr>
    </w:div>
    <w:div w:id="1352684109">
      <w:bodyDiv w:val="1"/>
      <w:marLeft w:val="0"/>
      <w:marRight w:val="0"/>
      <w:marTop w:val="0"/>
      <w:marBottom w:val="0"/>
      <w:divBdr>
        <w:top w:val="none" w:sz="0" w:space="0" w:color="auto"/>
        <w:left w:val="none" w:sz="0" w:space="0" w:color="auto"/>
        <w:bottom w:val="none" w:sz="0" w:space="0" w:color="auto"/>
        <w:right w:val="none" w:sz="0" w:space="0" w:color="auto"/>
      </w:divBdr>
    </w:div>
    <w:div w:id="1705472856">
      <w:bodyDiv w:val="1"/>
      <w:marLeft w:val="0"/>
      <w:marRight w:val="0"/>
      <w:marTop w:val="0"/>
      <w:marBottom w:val="0"/>
      <w:divBdr>
        <w:top w:val="none" w:sz="0" w:space="0" w:color="auto"/>
        <w:left w:val="none" w:sz="0" w:space="0" w:color="auto"/>
        <w:bottom w:val="none" w:sz="0" w:space="0" w:color="auto"/>
        <w:right w:val="none" w:sz="0" w:space="0" w:color="auto"/>
      </w:divBdr>
    </w:div>
    <w:div w:id="1829053997">
      <w:bodyDiv w:val="1"/>
      <w:marLeft w:val="0"/>
      <w:marRight w:val="0"/>
      <w:marTop w:val="0"/>
      <w:marBottom w:val="0"/>
      <w:divBdr>
        <w:top w:val="none" w:sz="0" w:space="0" w:color="auto"/>
        <w:left w:val="none" w:sz="0" w:space="0" w:color="auto"/>
        <w:bottom w:val="none" w:sz="0" w:space="0" w:color="auto"/>
        <w:right w:val="none" w:sz="0" w:space="0" w:color="auto"/>
      </w:divBdr>
    </w:div>
    <w:div w:id="1940916231">
      <w:bodyDiv w:val="1"/>
      <w:marLeft w:val="0"/>
      <w:marRight w:val="0"/>
      <w:marTop w:val="0"/>
      <w:marBottom w:val="0"/>
      <w:divBdr>
        <w:top w:val="none" w:sz="0" w:space="0" w:color="auto"/>
        <w:left w:val="none" w:sz="0" w:space="0" w:color="auto"/>
        <w:bottom w:val="none" w:sz="0" w:space="0" w:color="auto"/>
        <w:right w:val="none" w:sz="0" w:space="0" w:color="auto"/>
      </w:divBdr>
    </w:div>
    <w:div w:id="1964339525">
      <w:bodyDiv w:val="1"/>
      <w:marLeft w:val="0"/>
      <w:marRight w:val="0"/>
      <w:marTop w:val="0"/>
      <w:marBottom w:val="0"/>
      <w:divBdr>
        <w:top w:val="none" w:sz="0" w:space="0" w:color="auto"/>
        <w:left w:val="none" w:sz="0" w:space="0" w:color="auto"/>
        <w:bottom w:val="none" w:sz="0" w:space="0" w:color="auto"/>
        <w:right w:val="none" w:sz="0" w:space="0" w:color="auto"/>
      </w:divBdr>
    </w:div>
    <w:div w:id="203464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businessindustryandtrade/business/activitysizeandlocation/articles/coronavirusanditsimpactonukhospitality/january2020tojune2021" TargetMode="External"/><Relationship Id="rId3" Type="http://schemas.openxmlformats.org/officeDocument/2006/relationships/settings" Target="settings.xml"/><Relationship Id="rId7" Type="http://schemas.openxmlformats.org/officeDocument/2006/relationships/hyperlink" Target="https://www.google.co.uk/books/edition/Business_Accounting/nxtHEAAAQBAJ?hl=en&amp;gbpv=1&amp;pg=PP1&amp;printsec=frontco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12</Pages>
  <Words>2938</Words>
  <Characters>16747</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Trends and patterns in the financial performance of the hotel</vt:lpstr>
      <vt:lpstr>Reasons for the decline in profitability</vt:lpstr>
      <vt:lpstr>Conclusion </vt:lpstr>
      <vt:lpstr>Recommendations </vt:lpstr>
      <vt:lpstr>References </vt:lpstr>
      <vt:lpstr>Appendix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dcterms:created xsi:type="dcterms:W3CDTF">2024-06-06T15:27:00Z</dcterms:created>
  <dcterms:modified xsi:type="dcterms:W3CDTF">2024-06-06T16:45:00Z</dcterms:modified>
</cp:coreProperties>
</file>