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92FEC3" w14:textId="3D18B186" w:rsidR="00FD138C" w:rsidRDefault="00466798" w:rsidP="00FB5B92">
      <w:pPr>
        <w:jc w:val="center"/>
      </w:pPr>
      <w:r>
        <w:t>Anthropological Analysis of Dr Marten’s</w:t>
      </w:r>
    </w:p>
    <w:p w14:paraId="5696F034" w14:textId="7789CDC2" w:rsidR="00FB5B92" w:rsidRDefault="00FB5B92"/>
    <w:p w14:paraId="7CA787A1" w14:textId="7A2638CB" w:rsidR="00FB5B92" w:rsidRDefault="00FB5B92">
      <w:r>
        <w:t xml:space="preserve">In this essay I will be using two different approaches to material world’s, macdonaldisation and social hierarchies, to analyse a pair of Dr Marten’s boots. These boots, whilst coming from a worldwide brand and </w:t>
      </w:r>
      <w:r w:rsidR="00466798">
        <w:t>instantly</w:t>
      </w:r>
      <w:r>
        <w:t xml:space="preserve"> </w:t>
      </w:r>
      <w:r w:rsidR="00466798">
        <w:t>recognisable</w:t>
      </w:r>
      <w:r>
        <w:t xml:space="preserve"> have become a symbol of counter culture beginning in the UK and spreading worldwide. Starting as a work boot </w:t>
      </w:r>
      <w:r w:rsidR="007E6A38">
        <w:t>worn by</w:t>
      </w:r>
      <w:r>
        <w:t xml:space="preserve"> the working class, the appearance of them on Pete Townshend of </w:t>
      </w:r>
      <w:r w:rsidR="00466798">
        <w:t>British</w:t>
      </w:r>
      <w:r>
        <w:t xml:space="preserve"> rock band The Who ultimately changed the meaning of these objects in the future. Whilst still mass produced in factories across the UK, their status as a symbol of working class </w:t>
      </w:r>
      <w:r w:rsidR="00466798">
        <w:t>British</w:t>
      </w:r>
      <w:r>
        <w:t xml:space="preserve"> </w:t>
      </w:r>
      <w:r w:rsidR="00466798">
        <w:t>counter</w:t>
      </w:r>
      <w:r>
        <w:t xml:space="preserve"> cultures was solidified in the coming decades. From Punk to Glam, groups of people were adopting the shoe as a symbol not only of their rebellion against the status quo but of</w:t>
      </w:r>
      <w:r w:rsidR="007E6A38">
        <w:t xml:space="preserve"> their</w:t>
      </w:r>
      <w:r>
        <w:t xml:space="preserve"> shared</w:t>
      </w:r>
      <w:r w:rsidR="007E6A38">
        <w:t xml:space="preserve"> political and social</w:t>
      </w:r>
      <w:r>
        <w:t xml:space="preserve"> ideals</w:t>
      </w:r>
      <w:r w:rsidR="007E6A38">
        <w:t xml:space="preserve"> and views</w:t>
      </w:r>
      <w:r>
        <w:t xml:space="preserve">. </w:t>
      </w:r>
      <w:r w:rsidR="00466798">
        <w:t>These</w:t>
      </w:r>
      <w:r>
        <w:t xml:space="preserve"> groups whilst completely separate often wanted to go against the popular culture, fighting for change both political and social. In this essay I hope to explore the diverse nature of the Dr Marten’s boot as both a mass produced commodity and as </w:t>
      </w:r>
      <w:r w:rsidR="00466798">
        <w:t>something</w:t>
      </w:r>
      <w:r w:rsidR="007E6A38">
        <w:t xml:space="preserve"> </w:t>
      </w:r>
      <w:r>
        <w:t>more, a political statement.</w:t>
      </w:r>
    </w:p>
    <w:p w14:paraId="608487CF" w14:textId="193B0C11" w:rsidR="007E6A38" w:rsidRDefault="007E6A38">
      <w:r>
        <w:t>The first way in which I want to approach this object is through the theory of MacDonaldisation. MacDonaldisation was a term first coined by Ritzer in his book “The MacDonaldization of Society”. According to Ritzer, M</w:t>
      </w:r>
      <w:r w:rsidR="00466798">
        <w:t>a</w:t>
      </w:r>
      <w:r>
        <w:t xml:space="preserve">cDonaldisation is the process by which a society adopts a global brand, such as McDonald’s into its own culture. The brand is no longer seen as a giant </w:t>
      </w:r>
      <w:r w:rsidR="00466798">
        <w:t>cooperation</w:t>
      </w:r>
      <w:r>
        <w:t xml:space="preserve"> but instead as</w:t>
      </w:r>
      <w:r w:rsidR="000F4FAB">
        <w:t xml:space="preserve"> a</w:t>
      </w:r>
      <w:r>
        <w:t xml:space="preserve"> part of everyday life. It is indicative of the larger </w:t>
      </w:r>
      <w:r w:rsidR="00033E2E">
        <w:t>trend of globalisation whereby there is increased interaction between global citizens</w:t>
      </w:r>
      <w:r w:rsidR="000F4FAB">
        <w:t xml:space="preserve"> allowing different cultures to adopt traditions and ideas from one another</w:t>
      </w:r>
      <w:r w:rsidR="00033E2E">
        <w:t xml:space="preserve">. McDonald’s is no longer simply an American fast food restaurant but a globally recognisable brand whose Logo, the golden arches, is instantly recognisable. Much like </w:t>
      </w:r>
      <w:r w:rsidR="00466798">
        <w:t>McDonalds</w:t>
      </w:r>
      <w:r w:rsidR="00033E2E">
        <w:t xml:space="preserve">, the Dr Marten’s brand has grown into a worldwide brand over the last century since it’s </w:t>
      </w:r>
      <w:r w:rsidR="00466798">
        <w:t>origins</w:t>
      </w:r>
      <w:r w:rsidR="00033E2E">
        <w:t xml:space="preserve"> in England at the beginning of the 20</w:t>
      </w:r>
      <w:r w:rsidR="00033E2E" w:rsidRPr="00033E2E">
        <w:rPr>
          <w:vertAlign w:val="superscript"/>
        </w:rPr>
        <w:t>th</w:t>
      </w:r>
      <w:r w:rsidR="00033E2E">
        <w:t xml:space="preserve"> century. Much like </w:t>
      </w:r>
      <w:r w:rsidR="00466798">
        <w:t>McDonalds</w:t>
      </w:r>
      <w:r w:rsidR="00033E2E">
        <w:t xml:space="preserve"> golden arches, the signature </w:t>
      </w:r>
      <w:r w:rsidR="00466798">
        <w:t>looks</w:t>
      </w:r>
      <w:r w:rsidR="00033E2E">
        <w:t xml:space="preserve"> of Dr </w:t>
      </w:r>
      <w:r w:rsidR="00466798">
        <w:t>M</w:t>
      </w:r>
      <w:r w:rsidR="00033E2E">
        <w:t xml:space="preserve">arten’s, whether they be the same boots as those worn by Pete Townshend that catapulted them to </w:t>
      </w:r>
      <w:r w:rsidR="00466798">
        <w:t>notoriety</w:t>
      </w:r>
      <w:r w:rsidR="00033E2E">
        <w:t xml:space="preserve"> or their more diverse range developed in the decades since, are instantly identifiable. In her work </w:t>
      </w:r>
      <w:r w:rsidR="00033E2E">
        <w:rPr>
          <w:i/>
        </w:rPr>
        <w:t>Domesticating the French Fry</w:t>
      </w:r>
      <w:r w:rsidR="00033E2E">
        <w:t>, Caldwell says</w:t>
      </w:r>
      <w:r w:rsidR="002E5AE5">
        <w:t xml:space="preserve"> that </w:t>
      </w:r>
      <w:r w:rsidR="00466798">
        <w:t>McDonalds</w:t>
      </w:r>
      <w:r w:rsidR="00F32FED">
        <w:t>, which was initially unliked by many Russians is now “fully domesticated, it has lost its distinctiveness as something alien and visible and has instead become part of everyday life”</w:t>
      </w:r>
      <w:r w:rsidR="00F32FED">
        <w:rPr>
          <w:rStyle w:val="FootnoteReference"/>
        </w:rPr>
        <w:footnoteReference w:id="1"/>
      </w:r>
      <w:r w:rsidR="00F32FED">
        <w:t>. This is a</w:t>
      </w:r>
      <w:r w:rsidR="000F4FAB">
        <w:t xml:space="preserve">n important note in the idea of MacDonaldisation, as it not simply the idea that a brand becomes global and is found around the world but instead the way in which it is adopt by people across the globe. </w:t>
      </w:r>
      <w:r w:rsidR="00C6727D">
        <w:t xml:space="preserve">For the Russians in Caldwell’s essay, </w:t>
      </w:r>
      <w:r w:rsidR="00466798">
        <w:t>McDonalds</w:t>
      </w:r>
      <w:r w:rsidR="00C6727D">
        <w:t xml:space="preserve"> was a part of their day to day lives, not just invisible to them but important in the ways in which they interacted with each other. Caldwell describes the ways in which McDonalds was used as a signpost during large gatherings such as protests and a place to meets and enjoy time with friends in intimate settings such as birthday parties. </w:t>
      </w:r>
      <w:r w:rsidR="00466798">
        <w:t>McDonalds</w:t>
      </w:r>
      <w:r w:rsidR="00C6727D">
        <w:t xml:space="preserve"> to </w:t>
      </w:r>
      <w:r w:rsidR="00466798">
        <w:t>those</w:t>
      </w:r>
      <w:r w:rsidR="00C6727D">
        <w:t xml:space="preserve"> in Russia who had accepted it had become something more than </w:t>
      </w:r>
      <w:r w:rsidR="00466798">
        <w:t>simply</w:t>
      </w:r>
      <w:r w:rsidR="00C6727D">
        <w:t xml:space="preserve"> a fast food restaurant but instead become important to the, as Caldwell says they, “embraced </w:t>
      </w:r>
      <w:r w:rsidR="00466798">
        <w:t>McDonalds</w:t>
      </w:r>
      <w:r w:rsidR="00C6727D">
        <w:t xml:space="preserve"> and its products as significant and meaningful elements in their social worlds”</w:t>
      </w:r>
      <w:r w:rsidR="00C6727D">
        <w:rPr>
          <w:rStyle w:val="FootnoteReference"/>
        </w:rPr>
        <w:footnoteReference w:id="2"/>
      </w:r>
      <w:r w:rsidR="00C6727D">
        <w:t xml:space="preserve">. This same principle can be applied to the development of Dr Marten’s as a symbol of political and social ideals. They were initially simply a working shoe for the working class labourer. However, over time the shoe became engrained into many different counter cultures and became a symbol of the wearers ideas and aspirations. The wearer of Dr </w:t>
      </w:r>
      <w:r w:rsidR="00466798">
        <w:t>Marten’s</w:t>
      </w:r>
      <w:r w:rsidR="00C6727D">
        <w:t xml:space="preserve"> became in doing so became a part of a much larger group. This allowed </w:t>
      </w:r>
      <w:r w:rsidR="00C6727D">
        <w:lastRenderedPageBreak/>
        <w:t>people to identify people who thought like them. They were embraced not because they were forced upon them as a “fashion” but because they represented the places from which they came.</w:t>
      </w:r>
      <w:r w:rsidR="007956D7">
        <w:t xml:space="preserve"> They allowed the wearer to </w:t>
      </w:r>
      <w:r w:rsidR="00981317">
        <w:t xml:space="preserve">identify those who held the same kinds of ideas as them and so they were able to form bonds and too became an important element in their social world. </w:t>
      </w:r>
    </w:p>
    <w:p w14:paraId="57121224" w14:textId="10FF87CA" w:rsidR="00981317" w:rsidRDefault="00981317">
      <w:r>
        <w:t>Caldwell also states at the beginning of her work that the “Russians blur the boundaries between the personal and the public, the local and the foreign”</w:t>
      </w:r>
      <w:r>
        <w:rPr>
          <w:rStyle w:val="FootnoteReference"/>
        </w:rPr>
        <w:footnoteReference w:id="3"/>
      </w:r>
      <w:r>
        <w:t xml:space="preserve">. This explains that there are no longer distinctions when it comes to </w:t>
      </w:r>
      <w:r w:rsidR="00466798">
        <w:t>McDonalds</w:t>
      </w:r>
      <w:r>
        <w:t xml:space="preserve"> between these ideas of personal and public. A similar idea can be applied to Dr Marten’s as whilst the wearing of such a shoe represents a certain ideal and belonging to one of a number of different counter cultures, they are also a public statement. They are an extremely visible indicator worn on the body of the person. They are a public showing of a much more personal stance. </w:t>
      </w:r>
    </w:p>
    <w:p w14:paraId="79763374" w14:textId="39EC0BFA" w:rsidR="00CB4C9A" w:rsidRDefault="00232A46">
      <w:r>
        <w:t>Overall, MacDonaldisation is a very telling way of analysing Dr Martens. Through the lense of Macdonal</w:t>
      </w:r>
      <w:r w:rsidR="00466798">
        <w:t>d</w:t>
      </w:r>
      <w:r>
        <w:t xml:space="preserve">isation </w:t>
      </w:r>
      <w:r w:rsidR="00CB4C9A">
        <w:t xml:space="preserve">we can see how the brand is adopted and used by people to form social bonds and becomes an ingrained part of intimacies between people. Caldwell’s writing shows how a worldwide brand can become “invisible” and simply become part of the landscape of </w:t>
      </w:r>
      <w:r w:rsidR="00466798">
        <w:t>the</w:t>
      </w:r>
      <w:r w:rsidR="00CB4C9A">
        <w:t xml:space="preserve"> country in which it is found and </w:t>
      </w:r>
      <w:r w:rsidR="00466798">
        <w:t>the</w:t>
      </w:r>
      <w:r w:rsidR="00CB4C9A">
        <w:t xml:space="preserve"> social circles surrounding it. Macdonaldisation is </w:t>
      </w:r>
      <w:r w:rsidR="00466798">
        <w:t>indicator</w:t>
      </w:r>
      <w:r w:rsidR="00CB4C9A">
        <w:t xml:space="preserve"> of much larger trends and the growing sense of closeness between cultures and </w:t>
      </w:r>
      <w:r w:rsidR="00466798">
        <w:t>individuals</w:t>
      </w:r>
      <w:r w:rsidR="00CB4C9A">
        <w:t xml:space="preserve"> across the world who all take part in similar activities, whether it be eating </w:t>
      </w:r>
      <w:r w:rsidR="00466798">
        <w:t>McDonalds</w:t>
      </w:r>
      <w:r w:rsidR="00CB4C9A">
        <w:t xml:space="preserve"> or wearing Dr </w:t>
      </w:r>
      <w:r w:rsidR="00466798">
        <w:t>Marten’s</w:t>
      </w:r>
      <w:r w:rsidR="00CB4C9A">
        <w:t xml:space="preserve">, and all gain the same sense of a social cohesion with those around them engaging in the same </w:t>
      </w:r>
      <w:r w:rsidR="00466798">
        <w:t>activities</w:t>
      </w:r>
      <w:r w:rsidR="00CB4C9A">
        <w:t xml:space="preserve">. </w:t>
      </w:r>
    </w:p>
    <w:p w14:paraId="69FAAE7E" w14:textId="5AEA8B03" w:rsidR="00CB4C9A" w:rsidRDefault="00CB4C9A">
      <w:r>
        <w:t xml:space="preserve">Secondly, I will look </w:t>
      </w:r>
      <w:r w:rsidR="00466798">
        <w:t>at</w:t>
      </w:r>
      <w:r>
        <w:t xml:space="preserve"> the Dr </w:t>
      </w:r>
      <w:r w:rsidR="00466798">
        <w:t>Ma</w:t>
      </w:r>
      <w:r>
        <w:t>rten’s through the idea of social hierarchies</w:t>
      </w:r>
      <w:r w:rsidR="00E84538">
        <w:t xml:space="preserve">. This is to mean that objects and the way that they move between people and the way in which they are consumed is all indicative of the individual that does so. The </w:t>
      </w:r>
      <w:r w:rsidR="00466798">
        <w:t>object</w:t>
      </w:r>
      <w:r w:rsidR="00E84538">
        <w:t xml:space="preserve"> becomes an outward sign of all kinds of </w:t>
      </w:r>
      <w:r w:rsidR="00466798">
        <w:t>social</w:t>
      </w:r>
      <w:r w:rsidR="00E84538">
        <w:t xml:space="preserve"> statuses and is a </w:t>
      </w:r>
      <w:r w:rsidR="00466798">
        <w:t>quick</w:t>
      </w:r>
      <w:r w:rsidR="00E84538">
        <w:t xml:space="preserve"> indicator the rest of the world of such a thing. </w:t>
      </w:r>
    </w:p>
    <w:p w14:paraId="45F1C75E" w14:textId="2F387B7E" w:rsidR="002F2C45" w:rsidRDefault="00466798">
      <w:r>
        <w:t>Bourdieu</w:t>
      </w:r>
      <w:r w:rsidR="00E84538">
        <w:t xml:space="preserve"> explores this concept in his work </w:t>
      </w:r>
      <w:r w:rsidR="00E84538">
        <w:rPr>
          <w:i/>
        </w:rPr>
        <w:t>Distinction: A Social Critique of the Judgment of Taste</w:t>
      </w:r>
      <w:r w:rsidR="00E84538">
        <w:t xml:space="preserve"> where he states that “taste classifies”</w:t>
      </w:r>
      <w:r w:rsidR="00E84538">
        <w:rPr>
          <w:rStyle w:val="FootnoteReference"/>
        </w:rPr>
        <w:footnoteReference w:id="4"/>
      </w:r>
      <w:r w:rsidR="00BE4195">
        <w:t xml:space="preserve">. This is to mean that taste is an immediate indicator of a </w:t>
      </w:r>
      <w:r>
        <w:t>person’s</w:t>
      </w:r>
      <w:r w:rsidR="00BE4195">
        <w:t xml:space="preserve"> class, views and background. However, he does disagree with the idea that “taste in legitimate culture as a gift of nature”</w:t>
      </w:r>
      <w:r w:rsidR="00BE4195">
        <w:rPr>
          <w:rStyle w:val="FootnoteReference"/>
        </w:rPr>
        <w:footnoteReference w:id="5"/>
      </w:r>
      <w:r w:rsidR="00BE4195">
        <w:t xml:space="preserve"> as some have proposed and that instead it is taught by both primary and secondary </w:t>
      </w:r>
      <w:r w:rsidR="00EF1E3A">
        <w:t>socialisation. He says, “Even in the classroom, the dominant definition of legitimate way of appropriating culture and works of art favours those who have had early access to legitimate culture in a cultured household.”</w:t>
      </w:r>
      <w:r w:rsidR="00EF1E3A">
        <w:rPr>
          <w:rStyle w:val="FootnoteReference"/>
        </w:rPr>
        <w:footnoteReference w:id="6"/>
      </w:r>
      <w:r w:rsidR="00EF1E3A">
        <w:t xml:space="preserve"> This means that </w:t>
      </w:r>
      <w:r>
        <w:t>children</w:t>
      </w:r>
      <w:r w:rsidR="00EF1E3A">
        <w:t xml:space="preserve"> who enter the education system having already experience what society deems </w:t>
      </w:r>
      <w:r>
        <w:t>legitimate</w:t>
      </w:r>
      <w:r w:rsidR="00EF1E3A">
        <w:t xml:space="preserve"> culture are at an advantage to those who have not. These children are </w:t>
      </w:r>
      <w:r>
        <w:t>overwhelmingly</w:t>
      </w:r>
      <w:r w:rsidR="00EF1E3A">
        <w:t xml:space="preserve"> from middle to upper class households rather than working class ones. This is important when discussing taste as it shows how taste in </w:t>
      </w:r>
      <w:r>
        <w:t>legitimate</w:t>
      </w:r>
      <w:r w:rsidR="00EF1E3A">
        <w:t xml:space="preserve"> culture is taught and reinforced and how those who do not experience this will be easily identified even as children. This results in, as </w:t>
      </w:r>
      <w:r>
        <w:t>Bourdieu</w:t>
      </w:r>
      <w:r w:rsidR="00EF1E3A">
        <w:t xml:space="preserve"> explains, </w:t>
      </w:r>
      <w:r>
        <w:t>“‘</w:t>
      </w:r>
      <w:r w:rsidR="00EF1E3A">
        <w:t xml:space="preserve">common’ people </w:t>
      </w:r>
      <w:r w:rsidR="00F47949">
        <w:t>make them their own, especially for aesthetic purposes”</w:t>
      </w:r>
      <w:r w:rsidR="00F47949">
        <w:rPr>
          <w:rStyle w:val="FootnoteReference"/>
        </w:rPr>
        <w:footnoteReference w:id="7"/>
      </w:r>
      <w:r w:rsidR="00F47949">
        <w:t xml:space="preserve">. The common </w:t>
      </w:r>
      <w:r>
        <w:t>working</w:t>
      </w:r>
      <w:r w:rsidR="00F47949">
        <w:t xml:space="preserve"> class people take the common objects that denote them as such and implying onto them an aesth</w:t>
      </w:r>
      <w:r>
        <w:t>et</w:t>
      </w:r>
      <w:r w:rsidR="00F47949">
        <w:t xml:space="preserve">ic choice. This can be seen easily in the idea of Dr Marten’s as the working boot, an indicator of working class labourers became a fashionable statement and symbol. What was </w:t>
      </w:r>
      <w:r>
        <w:t>imposed</w:t>
      </w:r>
      <w:r w:rsidR="00F47949">
        <w:t xml:space="preserve"> on them as not being of legitimate taste </w:t>
      </w:r>
      <w:r w:rsidR="00F47949">
        <w:lastRenderedPageBreak/>
        <w:t xml:space="preserve">and seen as a clear marker of their lower class developed into something that represented their community and allowed them to identify themselves proudly as working class. </w:t>
      </w:r>
      <w:r w:rsidR="009F0527">
        <w:t xml:space="preserve">The movement towards this ca be seen in an important shift in those producing the art and other objects by which class can be identified. </w:t>
      </w:r>
      <w:r>
        <w:t>Bourdieu</w:t>
      </w:r>
      <w:r w:rsidR="009F0527">
        <w:t xml:space="preserve"> states, “The ‘pure’ gaze is a historical invention linked to the emergence </w:t>
      </w:r>
      <w:r w:rsidR="002F2C45">
        <w:t xml:space="preserve">of an </w:t>
      </w:r>
      <w:r>
        <w:t>autonomous field</w:t>
      </w:r>
      <w:r w:rsidR="002F2C45">
        <w:t xml:space="preserve"> of artistic production, that is, a field capable of imposing its own norms on both the production and the </w:t>
      </w:r>
      <w:r>
        <w:t>consumption</w:t>
      </w:r>
      <w:r w:rsidR="002F2C45">
        <w:t xml:space="preserve"> of its products”</w:t>
      </w:r>
      <w:r w:rsidR="002F2C45">
        <w:rPr>
          <w:rStyle w:val="FootnoteReference"/>
        </w:rPr>
        <w:footnoteReference w:id="8"/>
      </w:r>
      <w:r w:rsidR="002F2C45">
        <w:t xml:space="preserve">. This means that the idea of the pure gaze developed as a result of artists no longer needing to be classically trained or needing the money in order to be trained and instead the creating and </w:t>
      </w:r>
      <w:r>
        <w:t>distributing</w:t>
      </w:r>
      <w:r w:rsidR="002F2C45">
        <w:t xml:space="preserve"> of art was </w:t>
      </w:r>
      <w:r>
        <w:t>accessible</w:t>
      </w:r>
      <w:r w:rsidR="002F2C45">
        <w:t xml:space="preserve"> to the working class whereby they are able to represent themselves and control the narrative surrounding themselves. This relates to the Dr </w:t>
      </w:r>
      <w:r>
        <w:t>Ma</w:t>
      </w:r>
      <w:r w:rsidR="002F2C45">
        <w:t xml:space="preserve">rten’s as they were popularised by </w:t>
      </w:r>
      <w:r>
        <w:t>artist</w:t>
      </w:r>
      <w:r w:rsidR="002F2C45">
        <w:t xml:space="preserve"> Pete Townshend, an artist of a working class background who was representing the people like him through his art. The Dr </w:t>
      </w:r>
      <w:r>
        <w:t>Marten’s</w:t>
      </w:r>
      <w:r w:rsidR="002F2C45">
        <w:t xml:space="preserve"> that he wore were something that they </w:t>
      </w:r>
      <w:r>
        <w:t>would</w:t>
      </w:r>
      <w:r w:rsidR="002F2C45">
        <w:t xml:space="preserve"> instantly recognise as part of their culture and everyday lives. </w:t>
      </w:r>
      <w:r>
        <w:t>Bourdieu</w:t>
      </w:r>
      <w:r w:rsidR="002F2C45">
        <w:t xml:space="preserve"> says</w:t>
      </w:r>
      <w:r w:rsidR="00D813A6">
        <w:t>, “That is why art and cultural consumption are predisposed, consciously and deliberately or not, to fulfil a social function of legitimating social differences.”</w:t>
      </w:r>
      <w:r w:rsidR="00D813A6">
        <w:rPr>
          <w:rStyle w:val="FootnoteReference"/>
        </w:rPr>
        <w:footnoteReference w:id="9"/>
      </w:r>
      <w:r w:rsidR="00C84BC1">
        <w:t xml:space="preserve"> This illustrates that all objects are ultimately indicative of social </w:t>
      </w:r>
      <w:r>
        <w:t>hierarchies</w:t>
      </w:r>
      <w:r w:rsidR="00C84BC1">
        <w:t xml:space="preserve">. The working and Upper/Middle Classes will almost always have different and </w:t>
      </w:r>
      <w:r>
        <w:t>separates</w:t>
      </w:r>
      <w:r w:rsidR="00C84BC1">
        <w:t xml:space="preserve"> tastes, legitimising the idea of the other, allowing social </w:t>
      </w:r>
      <w:r>
        <w:t>hierarchies</w:t>
      </w:r>
      <w:r w:rsidR="00C84BC1">
        <w:t xml:space="preserve"> to continue to be rigid and clear.</w:t>
      </w:r>
    </w:p>
    <w:p w14:paraId="18C754A1" w14:textId="57B78F98" w:rsidR="00F93F2D" w:rsidRDefault="00C84BC1">
      <w:r>
        <w:t xml:space="preserve">Another writer who explores the idea of social hierarchies is Appadurai in </w:t>
      </w:r>
      <w:r>
        <w:rPr>
          <w:i/>
        </w:rPr>
        <w:t xml:space="preserve">The Social Life of Things. </w:t>
      </w:r>
      <w:r>
        <w:t xml:space="preserve">In this work he states, “I </w:t>
      </w:r>
      <w:r w:rsidR="00466798">
        <w:t>propose</w:t>
      </w:r>
      <w:r>
        <w:t xml:space="preserve"> that we regard luxury goods not so much in contrast with necessities (a contrast filled with problems), but as good whose principal use is rhetorical and social.”</w:t>
      </w:r>
      <w:r w:rsidR="00F93F2D">
        <w:rPr>
          <w:rStyle w:val="FootnoteReference"/>
        </w:rPr>
        <w:footnoteReference w:id="10"/>
      </w:r>
      <w:r>
        <w:t xml:space="preserve"> This is to mean that good</w:t>
      </w:r>
      <w:r w:rsidR="00466798">
        <w:t>s</w:t>
      </w:r>
      <w:r>
        <w:t xml:space="preserve"> an</w:t>
      </w:r>
      <w:r w:rsidR="00466798">
        <w:t>d</w:t>
      </w:r>
      <w:r>
        <w:t xml:space="preserve"> objects that are not used as a necessity are in fact still used for other </w:t>
      </w:r>
      <w:r w:rsidR="00466798">
        <w:t>purposes</w:t>
      </w:r>
      <w:r>
        <w:t xml:space="preserve"> such as indicators to others of our taste and therefore our class. This allows us to look at luxury goods as to how they impact they way in which other perceive us. In the instance of Dr </w:t>
      </w:r>
      <w:r w:rsidR="00466798">
        <w:t>Marten’s</w:t>
      </w:r>
      <w:r>
        <w:t xml:space="preserve">, this would be in a few different ways. </w:t>
      </w:r>
      <w:r w:rsidR="00466798">
        <w:t>Firstly</w:t>
      </w:r>
      <w:r>
        <w:t xml:space="preserve">, they would mean to indicate to others a social </w:t>
      </w:r>
      <w:r w:rsidR="00466798">
        <w:t>standing</w:t>
      </w:r>
      <w:r>
        <w:t xml:space="preserve"> and working class </w:t>
      </w:r>
      <w:r w:rsidR="00466798">
        <w:t>background</w:t>
      </w:r>
      <w:r>
        <w:t xml:space="preserve">. Secondly, they are an indication of a persons belonging to a counter culture of some sort </w:t>
      </w:r>
      <w:r w:rsidR="00466798">
        <w:t>whether</w:t>
      </w:r>
      <w:r>
        <w:t xml:space="preserve"> that be Punk, Glam, Emo etc. Thirdly, they indicate a persons social and political views as someone who </w:t>
      </w:r>
      <w:r w:rsidR="00F93F2D">
        <w:t xml:space="preserve">has a particular way of seeing the world. Appadurai also </w:t>
      </w:r>
      <w:r w:rsidR="00466798">
        <w:t>talks</w:t>
      </w:r>
      <w:r w:rsidR="00F93F2D">
        <w:t xml:space="preserve"> about the knowledge of an object being an indicator of a </w:t>
      </w:r>
      <w:r w:rsidR="00466798">
        <w:t>person’s</w:t>
      </w:r>
      <w:r w:rsidR="00F93F2D">
        <w:t xml:space="preserve"> social class. The working classes are likely to possess “technical production of a </w:t>
      </w:r>
      <w:r w:rsidR="00466798">
        <w:t>highly</w:t>
      </w:r>
      <w:r w:rsidR="00F93F2D">
        <w:t xml:space="preserve"> standardised sort”</w:t>
      </w:r>
      <w:r w:rsidR="00F93F2D">
        <w:rPr>
          <w:rStyle w:val="FootnoteReference"/>
        </w:rPr>
        <w:footnoteReference w:id="11"/>
      </w:r>
      <w:r w:rsidR="00F93F2D">
        <w:t xml:space="preserve"> </w:t>
      </w:r>
      <w:r w:rsidR="00466798">
        <w:t>meaning</w:t>
      </w:r>
      <w:r w:rsidR="00F93F2D">
        <w:t xml:space="preserve"> </w:t>
      </w:r>
      <w:r w:rsidR="00466798">
        <w:t>that</w:t>
      </w:r>
      <w:r w:rsidR="00F93F2D">
        <w:t xml:space="preserve"> for the working classes who are producing these objects the knowledge is black and white and there are clear right or wrong answers. However, the upper/middle classes are more likely to </w:t>
      </w:r>
      <w:r w:rsidR="00466798">
        <w:t>possess</w:t>
      </w:r>
      <w:r w:rsidR="00F93F2D">
        <w:t xml:space="preserve"> “knowledge required for secondary or </w:t>
      </w:r>
      <w:r w:rsidR="00466798">
        <w:t>luxury commodities</w:t>
      </w:r>
      <w:r w:rsidR="00F93F2D">
        <w:t>, where taste, judgement and individual experience are likely to create sharp variations in production knowledge.”</w:t>
      </w:r>
      <w:r w:rsidR="00F93F2D">
        <w:rPr>
          <w:rStyle w:val="FootnoteReference"/>
        </w:rPr>
        <w:footnoteReference w:id="12"/>
      </w:r>
      <w:r w:rsidR="00F93F2D">
        <w:t xml:space="preserve"> This means that for those who possess this form of knowledge there are no </w:t>
      </w:r>
      <w:r w:rsidR="00466798">
        <w:t>strict</w:t>
      </w:r>
      <w:r w:rsidR="00F93F2D">
        <w:t xml:space="preserve"> </w:t>
      </w:r>
      <w:r w:rsidR="00466798">
        <w:t>right</w:t>
      </w:r>
      <w:r w:rsidR="00F93F2D">
        <w:t xml:space="preserve"> or </w:t>
      </w:r>
      <w:r w:rsidR="00466798">
        <w:t>wrong</w:t>
      </w:r>
      <w:r w:rsidR="00F93F2D">
        <w:t xml:space="preserve"> answer but varying opinions and taste which is open to interpretation. This causes yet another clear divide between classes, illuminating social </w:t>
      </w:r>
      <w:r w:rsidR="00466798">
        <w:t>hierarchies</w:t>
      </w:r>
      <w:r w:rsidR="00F93F2D">
        <w:t xml:space="preserve"> as those who possess knowledge of</w:t>
      </w:r>
      <w:r w:rsidR="007F526D">
        <w:t xml:space="preserve"> </w:t>
      </w:r>
      <w:r w:rsidR="00F93F2D">
        <w:t xml:space="preserve">luxury goods have developed this over time through exposure to these types of goods. </w:t>
      </w:r>
    </w:p>
    <w:p w14:paraId="56E8B6C1" w14:textId="7E3710AB" w:rsidR="00F93F2D" w:rsidRPr="00C84BC1" w:rsidRDefault="00F93F2D">
      <w:r>
        <w:t xml:space="preserve">In conclusion, both of these approaches to </w:t>
      </w:r>
      <w:r w:rsidR="00146A38">
        <w:t xml:space="preserve">material objects are useful in analysing Dr </w:t>
      </w:r>
      <w:r w:rsidR="007F526D">
        <w:t>Ma</w:t>
      </w:r>
      <w:r w:rsidR="00146A38">
        <w:t>rten’s.</w:t>
      </w:r>
      <w:r w:rsidR="007F526D">
        <w:t xml:space="preserve"> </w:t>
      </w:r>
      <w:r w:rsidR="00146A38">
        <w:t>The use of M</w:t>
      </w:r>
      <w:r w:rsidR="007F526D">
        <w:t>a</w:t>
      </w:r>
      <w:bookmarkStart w:id="3" w:name="_GoBack"/>
      <w:bookmarkEnd w:id="3"/>
      <w:r w:rsidR="00146A38">
        <w:t xml:space="preserve">cDonaldisation highlights how, in </w:t>
      </w:r>
      <w:r w:rsidR="007F526D">
        <w:t>spite</w:t>
      </w:r>
      <w:r w:rsidR="00146A38">
        <w:t xml:space="preserve"> of them being globally recognised, they are in fact an important part of social spaces and intimacies between people that allow people to easily and </w:t>
      </w:r>
      <w:r w:rsidR="007F526D">
        <w:t>quickly</w:t>
      </w:r>
      <w:r w:rsidR="00146A38">
        <w:t xml:space="preserve"> identify with each other and in each other values and viewpoints which they share. They are </w:t>
      </w:r>
      <w:r w:rsidR="00146A38">
        <w:lastRenderedPageBreak/>
        <w:t xml:space="preserve">outward indicator to others of their own </w:t>
      </w:r>
      <w:r w:rsidR="007F526D">
        <w:t>counter</w:t>
      </w:r>
      <w:r w:rsidR="00146A38">
        <w:t xml:space="preserve"> culture and class, which </w:t>
      </w:r>
      <w:r w:rsidR="007F526D">
        <w:t>instead</w:t>
      </w:r>
      <w:r w:rsidR="00146A38">
        <w:t xml:space="preserve"> of being ashamed of, they wear proudly and as a statement. The analysis through the view of social </w:t>
      </w:r>
      <w:r w:rsidR="007F526D">
        <w:t>hierarchies</w:t>
      </w:r>
      <w:r w:rsidR="00146A38">
        <w:t xml:space="preserve"> shows us how the Upper/Middle classes attempt to impose certain ideals onto the working classes and how society views the culture which is not deemed “legitimate”. However, in spite of this the Dr Marten has pushed through and continued to represent those who do not want to conform to the idea of “legitimate” culture and instead want to celebrate their own. Whilst social hierarchies tell the working class that they must conform whilst never legitimising their own culture and not adequately teaching them about what society thinks they should know, the working class took something that indicated the class for which they would otherwise be looked down upon for and transformed it into not just a fashion statement but a political one. In the decades since the Dr Marten changed from work boot to fashion, it has become the symbol of counter culture and the movement against the status quo.</w:t>
      </w:r>
      <w:r w:rsidR="00466798">
        <w:t xml:space="preserve"> It has become not an identifier of class but instead of the collective beliefs of those who wear them.</w:t>
      </w:r>
    </w:p>
    <w:sectPr w:rsidR="00F93F2D" w:rsidRPr="00C84BC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CD8A43" w14:textId="77777777" w:rsidR="00467CE7" w:rsidRDefault="00467CE7" w:rsidP="00F32FED">
      <w:pPr>
        <w:spacing w:after="0" w:line="240" w:lineRule="auto"/>
      </w:pPr>
      <w:r>
        <w:separator/>
      </w:r>
    </w:p>
  </w:endnote>
  <w:endnote w:type="continuationSeparator" w:id="0">
    <w:p w14:paraId="01839DCF" w14:textId="77777777" w:rsidR="00467CE7" w:rsidRDefault="00467CE7" w:rsidP="00F32F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B8C5AD" w14:textId="77777777" w:rsidR="00467CE7" w:rsidRDefault="00467CE7" w:rsidP="00F32FED">
      <w:pPr>
        <w:spacing w:after="0" w:line="240" w:lineRule="auto"/>
      </w:pPr>
      <w:r>
        <w:separator/>
      </w:r>
    </w:p>
  </w:footnote>
  <w:footnote w:type="continuationSeparator" w:id="0">
    <w:p w14:paraId="292B3A64" w14:textId="77777777" w:rsidR="00467CE7" w:rsidRDefault="00467CE7" w:rsidP="00F32FED">
      <w:pPr>
        <w:spacing w:after="0" w:line="240" w:lineRule="auto"/>
      </w:pPr>
      <w:r>
        <w:continuationSeparator/>
      </w:r>
    </w:p>
  </w:footnote>
  <w:footnote w:id="1">
    <w:p w14:paraId="563F6D3B" w14:textId="2A39BABA" w:rsidR="00F32FED" w:rsidRPr="00F32FED" w:rsidRDefault="00F32FED">
      <w:pPr>
        <w:pStyle w:val="FootnoteText"/>
      </w:pPr>
      <w:r>
        <w:rPr>
          <w:rStyle w:val="FootnoteReference"/>
        </w:rPr>
        <w:footnoteRef/>
      </w:r>
      <w:r>
        <w:t xml:space="preserve"> </w:t>
      </w:r>
      <w:bookmarkStart w:id="0" w:name="_Hlk504052075"/>
      <w:r>
        <w:t xml:space="preserve">Caldwell, </w:t>
      </w:r>
      <w:r>
        <w:rPr>
          <w:i/>
        </w:rPr>
        <w:t>Domesticating the French Fry: McDonald’s and Consumerism in Moscow</w:t>
      </w:r>
      <w:r>
        <w:t>, Journal of Consumerism and Culture, 2004</w:t>
      </w:r>
      <w:bookmarkEnd w:id="0"/>
    </w:p>
  </w:footnote>
  <w:footnote w:id="2">
    <w:p w14:paraId="48EE266E" w14:textId="0ED203E7" w:rsidR="00C6727D" w:rsidRDefault="00C6727D">
      <w:pPr>
        <w:pStyle w:val="FootnoteText"/>
      </w:pPr>
      <w:r>
        <w:rPr>
          <w:rStyle w:val="FootnoteReference"/>
        </w:rPr>
        <w:footnoteRef/>
      </w:r>
      <w:r>
        <w:t xml:space="preserve"> </w:t>
      </w:r>
      <w:r>
        <w:t xml:space="preserve">Caldwell, </w:t>
      </w:r>
      <w:r>
        <w:rPr>
          <w:i/>
        </w:rPr>
        <w:t>Domesticating the French Fry: McDonald’s and Consumerism in Moscow</w:t>
      </w:r>
      <w:r>
        <w:t>, Journal of Consumerism and Culture, 2004</w:t>
      </w:r>
    </w:p>
  </w:footnote>
  <w:footnote w:id="3">
    <w:p w14:paraId="00C997FE" w14:textId="51DD866B" w:rsidR="00981317" w:rsidRDefault="00981317">
      <w:pPr>
        <w:pStyle w:val="FootnoteText"/>
      </w:pPr>
      <w:r>
        <w:rPr>
          <w:rStyle w:val="FootnoteReference"/>
        </w:rPr>
        <w:footnoteRef/>
      </w:r>
      <w:r>
        <w:t xml:space="preserve"> </w:t>
      </w:r>
      <w:r>
        <w:t xml:space="preserve">Caldwell, </w:t>
      </w:r>
      <w:r>
        <w:rPr>
          <w:i/>
        </w:rPr>
        <w:t>Domesticating the French Fry: McDonald’s and Consumerism in Moscow</w:t>
      </w:r>
      <w:r>
        <w:t>, Journal of Consumerism and Culture, 2004</w:t>
      </w:r>
    </w:p>
  </w:footnote>
  <w:footnote w:id="4">
    <w:p w14:paraId="6234BAC3" w14:textId="131BA0BA" w:rsidR="00E84538" w:rsidRPr="00BE4195" w:rsidRDefault="00E84538">
      <w:pPr>
        <w:pStyle w:val="FootnoteText"/>
      </w:pPr>
      <w:r>
        <w:rPr>
          <w:rStyle w:val="FootnoteReference"/>
        </w:rPr>
        <w:footnoteRef/>
      </w:r>
      <w:r>
        <w:t xml:space="preserve"> </w:t>
      </w:r>
      <w:bookmarkStart w:id="1" w:name="_Hlk504056784"/>
      <w:r w:rsidR="007F526D">
        <w:t>Bourdieu</w:t>
      </w:r>
      <w:r>
        <w:t xml:space="preserve">, </w:t>
      </w:r>
      <w:r>
        <w:rPr>
          <w:i/>
        </w:rPr>
        <w:t>Distinction: A Social Critique of the Judgement of Taste</w:t>
      </w:r>
      <w:r w:rsidR="00BE4195">
        <w:t xml:space="preserve">, </w:t>
      </w:r>
      <w:r w:rsidR="007F526D">
        <w:t>Harvard</w:t>
      </w:r>
      <w:r w:rsidR="00BE4195">
        <w:t xml:space="preserve"> University Press, 1984</w:t>
      </w:r>
      <w:bookmarkEnd w:id="1"/>
    </w:p>
  </w:footnote>
  <w:footnote w:id="5">
    <w:p w14:paraId="632F846D" w14:textId="74A9A35C" w:rsidR="00BE4195" w:rsidRDefault="00BE4195">
      <w:pPr>
        <w:pStyle w:val="FootnoteText"/>
      </w:pPr>
      <w:r>
        <w:rPr>
          <w:rStyle w:val="FootnoteReference"/>
        </w:rPr>
        <w:footnoteRef/>
      </w:r>
      <w:r>
        <w:t xml:space="preserve"> </w:t>
      </w:r>
      <w:r w:rsidR="007F526D">
        <w:t>Bourdieu</w:t>
      </w:r>
      <w:r>
        <w:t xml:space="preserve">, </w:t>
      </w:r>
      <w:r>
        <w:rPr>
          <w:i/>
        </w:rPr>
        <w:t>Distinction: A Social Critique of the Judgement of Taste</w:t>
      </w:r>
      <w:r>
        <w:t xml:space="preserve">, </w:t>
      </w:r>
      <w:r w:rsidR="007F526D">
        <w:t>Harvard</w:t>
      </w:r>
      <w:r>
        <w:t xml:space="preserve"> University Press, 1984</w:t>
      </w:r>
    </w:p>
  </w:footnote>
  <w:footnote w:id="6">
    <w:p w14:paraId="57B0B1CB" w14:textId="609333DA" w:rsidR="00EF1E3A" w:rsidRDefault="00EF1E3A">
      <w:pPr>
        <w:pStyle w:val="FootnoteText"/>
      </w:pPr>
      <w:r>
        <w:rPr>
          <w:rStyle w:val="FootnoteReference"/>
        </w:rPr>
        <w:footnoteRef/>
      </w:r>
      <w:r>
        <w:t xml:space="preserve"> </w:t>
      </w:r>
      <w:r w:rsidR="007F526D">
        <w:t>Bourdieu</w:t>
      </w:r>
      <w:r>
        <w:t xml:space="preserve">, </w:t>
      </w:r>
      <w:r>
        <w:rPr>
          <w:i/>
        </w:rPr>
        <w:t>Distinction: A Social Critique of the Judgement of Taste</w:t>
      </w:r>
      <w:r>
        <w:t xml:space="preserve">, </w:t>
      </w:r>
      <w:r w:rsidR="007F526D">
        <w:t>Harvard</w:t>
      </w:r>
      <w:r>
        <w:t xml:space="preserve"> University Press, 1984</w:t>
      </w:r>
    </w:p>
  </w:footnote>
  <w:footnote w:id="7">
    <w:p w14:paraId="4763FB2D" w14:textId="41D7B2FE" w:rsidR="00F47949" w:rsidRDefault="00F47949">
      <w:pPr>
        <w:pStyle w:val="FootnoteText"/>
      </w:pPr>
      <w:r>
        <w:rPr>
          <w:rStyle w:val="FootnoteReference"/>
        </w:rPr>
        <w:footnoteRef/>
      </w:r>
      <w:r w:rsidR="007F526D">
        <w:t>Bourdieu</w:t>
      </w:r>
      <w:r>
        <w:t xml:space="preserve">, </w:t>
      </w:r>
      <w:r>
        <w:rPr>
          <w:i/>
        </w:rPr>
        <w:t>Distinction: A Social Critique of the Judgement of Taste</w:t>
      </w:r>
      <w:r>
        <w:t xml:space="preserve">, </w:t>
      </w:r>
      <w:r w:rsidR="007F526D">
        <w:t>Harvard</w:t>
      </w:r>
      <w:r>
        <w:t xml:space="preserve"> University Press, 1984</w:t>
      </w:r>
    </w:p>
  </w:footnote>
  <w:footnote w:id="8">
    <w:p w14:paraId="4A053FEC" w14:textId="4DDC6BF6" w:rsidR="002F2C45" w:rsidRDefault="002F2C45">
      <w:pPr>
        <w:pStyle w:val="FootnoteText"/>
      </w:pPr>
      <w:r>
        <w:rPr>
          <w:rStyle w:val="FootnoteReference"/>
        </w:rPr>
        <w:footnoteRef/>
      </w:r>
      <w:r>
        <w:t xml:space="preserve"> </w:t>
      </w:r>
      <w:r w:rsidR="007F526D">
        <w:t>Bourdieu</w:t>
      </w:r>
      <w:r>
        <w:t xml:space="preserve">, </w:t>
      </w:r>
      <w:r>
        <w:rPr>
          <w:i/>
        </w:rPr>
        <w:t>Distinction: A Social Critique of the Judgement of Taste</w:t>
      </w:r>
      <w:r>
        <w:t xml:space="preserve">, </w:t>
      </w:r>
      <w:r w:rsidR="007F526D">
        <w:t>Harvard</w:t>
      </w:r>
      <w:r>
        <w:t xml:space="preserve"> University Press, 1984</w:t>
      </w:r>
    </w:p>
  </w:footnote>
  <w:footnote w:id="9">
    <w:p w14:paraId="45CFE8EF" w14:textId="06BB95E2" w:rsidR="00D813A6" w:rsidRDefault="00D813A6">
      <w:pPr>
        <w:pStyle w:val="FootnoteText"/>
      </w:pPr>
      <w:r>
        <w:rPr>
          <w:rStyle w:val="FootnoteReference"/>
        </w:rPr>
        <w:footnoteRef/>
      </w:r>
      <w:r>
        <w:t xml:space="preserve"> </w:t>
      </w:r>
      <w:r w:rsidR="007F526D">
        <w:t>Bourdieu</w:t>
      </w:r>
      <w:r>
        <w:t xml:space="preserve">, </w:t>
      </w:r>
      <w:r>
        <w:rPr>
          <w:i/>
        </w:rPr>
        <w:t>Distinction: A Social Critique of the Judgement of Taste</w:t>
      </w:r>
      <w:r>
        <w:t xml:space="preserve">, </w:t>
      </w:r>
      <w:r w:rsidR="00F93F2D">
        <w:t>Harvard</w:t>
      </w:r>
      <w:r>
        <w:t xml:space="preserve"> University Press, 1984</w:t>
      </w:r>
    </w:p>
  </w:footnote>
  <w:footnote w:id="10">
    <w:p w14:paraId="023264E2" w14:textId="1332160F" w:rsidR="00F93F2D" w:rsidRPr="00F93F2D" w:rsidRDefault="00F93F2D">
      <w:pPr>
        <w:pStyle w:val="FootnoteText"/>
      </w:pPr>
      <w:r>
        <w:rPr>
          <w:rStyle w:val="FootnoteReference"/>
        </w:rPr>
        <w:footnoteRef/>
      </w:r>
      <w:r>
        <w:t xml:space="preserve"> </w:t>
      </w:r>
      <w:bookmarkStart w:id="2" w:name="_Hlk504060625"/>
      <w:r>
        <w:t xml:space="preserve">Appadurai, </w:t>
      </w:r>
      <w:r>
        <w:rPr>
          <w:i/>
        </w:rPr>
        <w:t>The Social Life of Things</w:t>
      </w:r>
      <w:r>
        <w:t>, New School University, New York, 1988</w:t>
      </w:r>
      <w:bookmarkEnd w:id="2"/>
    </w:p>
  </w:footnote>
  <w:footnote w:id="11">
    <w:p w14:paraId="03D64BBA" w14:textId="65174E48" w:rsidR="00F93F2D" w:rsidRDefault="00F93F2D">
      <w:pPr>
        <w:pStyle w:val="FootnoteText"/>
      </w:pPr>
      <w:r>
        <w:rPr>
          <w:rStyle w:val="FootnoteReference"/>
        </w:rPr>
        <w:footnoteRef/>
      </w:r>
      <w:r>
        <w:t xml:space="preserve"> </w:t>
      </w:r>
      <w:r>
        <w:t xml:space="preserve">Appadurai, </w:t>
      </w:r>
      <w:r>
        <w:rPr>
          <w:i/>
        </w:rPr>
        <w:t>The Social Life of Things</w:t>
      </w:r>
      <w:r>
        <w:t>, New School University, New York, 1988</w:t>
      </w:r>
    </w:p>
  </w:footnote>
  <w:footnote w:id="12">
    <w:p w14:paraId="65469A8C" w14:textId="036613EB" w:rsidR="00F93F2D" w:rsidRDefault="00F93F2D">
      <w:pPr>
        <w:pStyle w:val="FootnoteText"/>
      </w:pPr>
      <w:r>
        <w:rPr>
          <w:rStyle w:val="FootnoteReference"/>
        </w:rPr>
        <w:footnoteRef/>
      </w:r>
      <w:r>
        <w:t xml:space="preserve"> </w:t>
      </w:r>
      <w:r>
        <w:t xml:space="preserve">Appadurai, </w:t>
      </w:r>
      <w:r>
        <w:rPr>
          <w:i/>
        </w:rPr>
        <w:t>The Social Life of Things</w:t>
      </w:r>
      <w:r>
        <w:t>, New School University, New York, 1988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5B92"/>
    <w:rsid w:val="00033E2E"/>
    <w:rsid w:val="000F4FAB"/>
    <w:rsid w:val="00136599"/>
    <w:rsid w:val="00146A38"/>
    <w:rsid w:val="00232A46"/>
    <w:rsid w:val="002E5AE5"/>
    <w:rsid w:val="002F2C45"/>
    <w:rsid w:val="00321E8C"/>
    <w:rsid w:val="00466798"/>
    <w:rsid w:val="00467CE7"/>
    <w:rsid w:val="007956D7"/>
    <w:rsid w:val="007A7E30"/>
    <w:rsid w:val="007B70ED"/>
    <w:rsid w:val="007E6A38"/>
    <w:rsid w:val="007F526D"/>
    <w:rsid w:val="008B5918"/>
    <w:rsid w:val="00981317"/>
    <w:rsid w:val="009F0527"/>
    <w:rsid w:val="00BE4195"/>
    <w:rsid w:val="00C355F2"/>
    <w:rsid w:val="00C6727D"/>
    <w:rsid w:val="00C84BC1"/>
    <w:rsid w:val="00CB4C9A"/>
    <w:rsid w:val="00CF42CD"/>
    <w:rsid w:val="00D411DA"/>
    <w:rsid w:val="00D813A6"/>
    <w:rsid w:val="00E6540B"/>
    <w:rsid w:val="00E84538"/>
    <w:rsid w:val="00EF1E3A"/>
    <w:rsid w:val="00F32FED"/>
    <w:rsid w:val="00F47949"/>
    <w:rsid w:val="00F93F2D"/>
    <w:rsid w:val="00FB5B92"/>
    <w:rsid w:val="00FD1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29CD93"/>
  <w15:chartTrackingRefBased/>
  <w15:docId w15:val="{B1947A60-6BD8-41A6-908C-F8551D843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F32FE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32FED"/>
    <w:rPr>
      <w:sz w:val="20"/>
      <w:szCs w:val="20"/>
    </w:rPr>
  </w:style>
  <w:style w:type="character" w:styleId="FootnoteReference">
    <w:name w:val="footnote reference"/>
    <w:basedOn w:val="DefaultParagraphFont"/>
    <w:uiPriority w:val="99"/>
    <w:semiHidden/>
    <w:unhideWhenUsed/>
    <w:rsid w:val="00F32F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E08B0F-2E00-4D55-9A09-9D583FE276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4</Pages>
  <Words>1906</Words>
  <Characters>10869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Dunstan (1602189)</dc:creator>
  <cp:keywords/>
  <dc:description/>
  <cp:lastModifiedBy>Alexandra Dunstan (1602189)</cp:lastModifiedBy>
  <cp:revision>2</cp:revision>
  <dcterms:created xsi:type="dcterms:W3CDTF">2018-01-15T17:43:00Z</dcterms:created>
  <dcterms:modified xsi:type="dcterms:W3CDTF">2018-01-18T18:09:00Z</dcterms:modified>
</cp:coreProperties>
</file>