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DA133" w14:textId="12DC7F94" w:rsidR="006614AD" w:rsidRPr="00CB73E5" w:rsidRDefault="009B4E69">
      <w:pPr>
        <w:rPr>
          <w:rFonts w:ascii="Arial" w:hAnsi="Arial" w:cs="Arial"/>
          <w:b/>
          <w:bCs/>
          <w:sz w:val="24"/>
          <w:szCs w:val="24"/>
        </w:rPr>
      </w:pPr>
      <w:r w:rsidRPr="00CB73E5">
        <w:rPr>
          <w:rFonts w:ascii="Arial" w:hAnsi="Arial" w:cs="Arial"/>
          <w:b/>
          <w:bCs/>
          <w:sz w:val="24"/>
          <w:szCs w:val="24"/>
        </w:rPr>
        <w:t>Bibliography (Objectivity in Research)</w:t>
      </w:r>
      <w:r w:rsidR="007A124C">
        <w:rPr>
          <w:rFonts w:ascii="Arial" w:hAnsi="Arial" w:cs="Arial"/>
          <w:b/>
          <w:bCs/>
          <w:sz w:val="24"/>
          <w:szCs w:val="24"/>
        </w:rPr>
        <w:t xml:space="preserve"> Updated 20-04-21</w:t>
      </w:r>
    </w:p>
    <w:p w14:paraId="64C3CBF7" w14:textId="0123EC81" w:rsidR="00AB1812" w:rsidRPr="00CB73E5" w:rsidRDefault="00FE44A8" w:rsidP="00AB1812">
      <w:pPr>
        <w:tabs>
          <w:tab w:val="left" w:pos="1200"/>
        </w:tabs>
        <w:rPr>
          <w:rFonts w:ascii="Arial" w:hAnsi="Arial" w:cs="Arial"/>
          <w:sz w:val="24"/>
          <w:szCs w:val="24"/>
          <w:shd w:val="clear" w:color="auto" w:fill="FFFFFF"/>
        </w:rPr>
      </w:pPr>
      <w:r>
        <w:rPr>
          <w:rFonts w:ascii="Arial" w:hAnsi="Arial" w:cs="Arial"/>
          <w:sz w:val="24"/>
          <w:szCs w:val="24"/>
          <w:shd w:val="clear" w:color="auto" w:fill="FFFFFF"/>
        </w:rPr>
        <w:t>A</w:t>
      </w:r>
      <w:r w:rsidRPr="00CB73E5">
        <w:rPr>
          <w:rFonts w:ascii="Arial" w:hAnsi="Arial" w:cs="Arial"/>
          <w:sz w:val="24"/>
          <w:szCs w:val="24"/>
          <w:shd w:val="clear" w:color="auto" w:fill="FFFFFF"/>
        </w:rPr>
        <w:t xml:space="preserve">khter, </w:t>
      </w:r>
      <w:r w:rsidR="007A124C">
        <w:rPr>
          <w:rFonts w:ascii="Arial" w:hAnsi="Arial" w:cs="Arial"/>
          <w:sz w:val="24"/>
          <w:szCs w:val="24"/>
          <w:shd w:val="clear" w:color="auto" w:fill="FFFFFF"/>
        </w:rPr>
        <w:t>I</w:t>
      </w:r>
      <w:r w:rsidRPr="00CB73E5">
        <w:rPr>
          <w:rFonts w:ascii="Arial" w:hAnsi="Arial" w:cs="Arial"/>
          <w:sz w:val="24"/>
          <w:szCs w:val="24"/>
          <w:shd w:val="clear" w:color="auto" w:fill="FFFFFF"/>
        </w:rPr>
        <w:t xml:space="preserve">., </w:t>
      </w:r>
      <w:r>
        <w:rPr>
          <w:rFonts w:ascii="Arial" w:hAnsi="Arial" w:cs="Arial"/>
          <w:sz w:val="24"/>
          <w:szCs w:val="24"/>
          <w:shd w:val="clear" w:color="auto" w:fill="FFFFFF"/>
        </w:rPr>
        <w:t>I</w:t>
      </w:r>
      <w:r w:rsidRPr="00CB73E5">
        <w:rPr>
          <w:rFonts w:ascii="Arial" w:hAnsi="Arial" w:cs="Arial"/>
          <w:sz w:val="24"/>
          <w:szCs w:val="24"/>
          <w:shd w:val="clear" w:color="auto" w:fill="FFFFFF"/>
        </w:rPr>
        <w:t xml:space="preserve">slam, s. and </w:t>
      </w:r>
      <w:r>
        <w:rPr>
          <w:rFonts w:ascii="Arial" w:hAnsi="Arial" w:cs="Arial"/>
          <w:sz w:val="24"/>
          <w:szCs w:val="24"/>
          <w:shd w:val="clear" w:color="auto" w:fill="FFFFFF"/>
        </w:rPr>
        <w:t>U</w:t>
      </w:r>
      <w:r w:rsidRPr="00CB73E5">
        <w:rPr>
          <w:rFonts w:ascii="Arial" w:hAnsi="Arial" w:cs="Arial"/>
          <w:sz w:val="24"/>
          <w:szCs w:val="24"/>
          <w:shd w:val="clear" w:color="auto" w:fill="FFFFFF"/>
        </w:rPr>
        <w:t>ddin</w:t>
      </w:r>
      <w:r w:rsidR="00AB1812" w:rsidRPr="00CB73E5">
        <w:rPr>
          <w:rFonts w:ascii="Arial" w:hAnsi="Arial" w:cs="Arial"/>
          <w:sz w:val="24"/>
          <w:szCs w:val="24"/>
          <w:shd w:val="clear" w:color="auto" w:fill="FFFFFF"/>
        </w:rPr>
        <w:t>, G.M., 2009. Managerial Ethics: Evidence and Analysis in the Context of Bangladesh's Corporate Sector. </w:t>
      </w:r>
      <w:r w:rsidR="00AB1812" w:rsidRPr="00CB73E5">
        <w:rPr>
          <w:rFonts w:ascii="Arial" w:hAnsi="Arial" w:cs="Arial"/>
          <w:i/>
          <w:iCs/>
          <w:sz w:val="24"/>
          <w:szCs w:val="24"/>
          <w:shd w:val="clear" w:color="auto" w:fill="FFFFFF"/>
        </w:rPr>
        <w:t>South Asian Journal of Management, </w:t>
      </w:r>
      <w:r w:rsidR="00AB1812" w:rsidRPr="00CB73E5">
        <w:rPr>
          <w:rFonts w:ascii="Arial" w:hAnsi="Arial" w:cs="Arial"/>
          <w:b/>
          <w:bCs/>
          <w:sz w:val="24"/>
          <w:szCs w:val="24"/>
          <w:shd w:val="clear" w:color="auto" w:fill="FFFFFF"/>
        </w:rPr>
        <w:t>16</w:t>
      </w:r>
      <w:r w:rsidR="00AB1812" w:rsidRPr="00CB73E5">
        <w:rPr>
          <w:rFonts w:ascii="Arial" w:hAnsi="Arial" w:cs="Arial"/>
          <w:sz w:val="24"/>
          <w:szCs w:val="24"/>
          <w:shd w:val="clear" w:color="auto" w:fill="FFFFFF"/>
        </w:rPr>
        <w:t>(2), pp. 76-90.</w:t>
      </w:r>
    </w:p>
    <w:p w14:paraId="2C17F204" w14:textId="4EFA17AD" w:rsidR="00601B60" w:rsidRPr="00CB73E5" w:rsidRDefault="00601B60" w:rsidP="00CB73E5">
      <w:pPr>
        <w:rPr>
          <w:rFonts w:ascii="Arial" w:hAnsi="Arial" w:cs="Arial"/>
          <w:sz w:val="24"/>
          <w:szCs w:val="24"/>
          <w:shd w:val="clear" w:color="auto" w:fill="FFFFFF"/>
        </w:rPr>
      </w:pPr>
      <w:proofErr w:type="spellStart"/>
      <w:r w:rsidRPr="00CB73E5">
        <w:rPr>
          <w:rFonts w:ascii="Arial" w:hAnsi="Arial" w:cs="Arial"/>
          <w:sz w:val="24"/>
          <w:szCs w:val="24"/>
          <w:shd w:val="clear" w:color="auto" w:fill="FFFFFF"/>
        </w:rPr>
        <w:t>Ankersmit</w:t>
      </w:r>
      <w:proofErr w:type="spellEnd"/>
      <w:r w:rsidRPr="00CB73E5">
        <w:rPr>
          <w:rFonts w:ascii="Arial" w:hAnsi="Arial" w:cs="Arial"/>
          <w:sz w:val="24"/>
          <w:szCs w:val="24"/>
          <w:shd w:val="clear" w:color="auto" w:fill="FFFFFF"/>
        </w:rPr>
        <w:t xml:space="preserve">, F.R. (2005) In praise of subjectivity. in D </w:t>
      </w:r>
      <w:proofErr w:type="spellStart"/>
      <w:r w:rsidRPr="00CB73E5">
        <w:rPr>
          <w:rFonts w:ascii="Arial" w:hAnsi="Arial" w:cs="Arial"/>
          <w:sz w:val="24"/>
          <w:szCs w:val="24"/>
          <w:shd w:val="clear" w:color="auto" w:fill="FFFFFF"/>
        </w:rPr>
        <w:t>Carr</w:t>
      </w:r>
      <w:proofErr w:type="spellEnd"/>
      <w:r w:rsidRPr="00CB73E5">
        <w:rPr>
          <w:rFonts w:ascii="Arial" w:hAnsi="Arial" w:cs="Arial"/>
          <w:sz w:val="24"/>
          <w:szCs w:val="24"/>
          <w:shd w:val="clear" w:color="auto" w:fill="FFFFFF"/>
        </w:rPr>
        <w:t xml:space="preserve">, TR Flynn &amp; RA </w:t>
      </w:r>
      <w:proofErr w:type="spellStart"/>
      <w:r w:rsidRPr="00CB73E5">
        <w:rPr>
          <w:rFonts w:ascii="Arial" w:hAnsi="Arial" w:cs="Arial"/>
          <w:sz w:val="24"/>
          <w:szCs w:val="24"/>
          <w:shd w:val="clear" w:color="auto" w:fill="FFFFFF"/>
        </w:rPr>
        <w:t>Makkreel</w:t>
      </w:r>
      <w:proofErr w:type="spellEnd"/>
      <w:r w:rsidRPr="00CB73E5">
        <w:rPr>
          <w:rFonts w:ascii="Arial" w:hAnsi="Arial" w:cs="Arial"/>
          <w:sz w:val="24"/>
          <w:szCs w:val="24"/>
          <w:shd w:val="clear" w:color="auto" w:fill="FFFFFF"/>
        </w:rPr>
        <w:t xml:space="preserve"> (eds), </w:t>
      </w:r>
      <w:r w:rsidRPr="00CB73E5">
        <w:rPr>
          <w:rStyle w:val="Emphasis"/>
          <w:rFonts w:ascii="Arial" w:hAnsi="Arial" w:cs="Arial"/>
          <w:sz w:val="24"/>
          <w:szCs w:val="24"/>
          <w:shd w:val="clear" w:color="auto" w:fill="FFFFFF"/>
        </w:rPr>
        <w:t>The ethics of history.</w:t>
      </w:r>
      <w:r w:rsidRPr="00CB73E5">
        <w:rPr>
          <w:rFonts w:ascii="Arial" w:hAnsi="Arial" w:cs="Arial"/>
          <w:sz w:val="24"/>
          <w:szCs w:val="24"/>
          <w:shd w:val="clear" w:color="auto" w:fill="FFFFFF"/>
        </w:rPr>
        <w:t> </w:t>
      </w:r>
      <w:proofErr w:type="spellStart"/>
      <w:r w:rsidRPr="00CB73E5">
        <w:rPr>
          <w:rFonts w:ascii="Arial" w:hAnsi="Arial" w:cs="Arial"/>
          <w:sz w:val="24"/>
          <w:szCs w:val="24"/>
          <w:shd w:val="clear" w:color="auto" w:fill="FFFFFF"/>
        </w:rPr>
        <w:t>Northwestern</w:t>
      </w:r>
      <w:proofErr w:type="spellEnd"/>
      <w:r w:rsidRPr="00CB73E5">
        <w:rPr>
          <w:rFonts w:ascii="Arial" w:hAnsi="Arial" w:cs="Arial"/>
          <w:sz w:val="24"/>
          <w:szCs w:val="24"/>
          <w:shd w:val="clear" w:color="auto" w:fill="FFFFFF"/>
        </w:rPr>
        <w:t xml:space="preserve"> University Press, Evanston, pp. 3 - 28.</w:t>
      </w:r>
    </w:p>
    <w:p w14:paraId="5F8AAFEA" w14:textId="1E2F5552" w:rsidR="00226E38" w:rsidRPr="00CB73E5" w:rsidRDefault="00226E38" w:rsidP="00226E38">
      <w:pPr>
        <w:rPr>
          <w:rFonts w:ascii="Arial" w:hAnsi="Arial" w:cs="Arial"/>
          <w:sz w:val="24"/>
          <w:szCs w:val="24"/>
          <w:shd w:val="clear" w:color="auto" w:fill="FFFFFF"/>
        </w:rPr>
      </w:pPr>
      <w:r w:rsidRPr="00CB73E5">
        <w:rPr>
          <w:rFonts w:ascii="Arial" w:hAnsi="Arial" w:cs="Arial"/>
          <w:sz w:val="24"/>
          <w:szCs w:val="24"/>
          <w:shd w:val="clear" w:color="auto" w:fill="FFFFFF"/>
        </w:rPr>
        <w:t>B</w:t>
      </w:r>
      <w:r w:rsidR="00FE44A8">
        <w:rPr>
          <w:rFonts w:ascii="Arial" w:hAnsi="Arial" w:cs="Arial"/>
          <w:sz w:val="24"/>
          <w:szCs w:val="24"/>
          <w:shd w:val="clear" w:color="auto" w:fill="FFFFFF"/>
        </w:rPr>
        <w:t>erg</w:t>
      </w:r>
      <w:r w:rsidRPr="00CB73E5">
        <w:rPr>
          <w:rFonts w:ascii="Arial" w:hAnsi="Arial" w:cs="Arial"/>
          <w:sz w:val="24"/>
          <w:szCs w:val="24"/>
          <w:shd w:val="clear" w:color="auto" w:fill="FFFFFF"/>
        </w:rPr>
        <w:t>, D.N., 1984. Objectivity and Prejudice: U</w:t>
      </w:r>
      <w:r w:rsidR="00AB1812" w:rsidRPr="00CB73E5">
        <w:rPr>
          <w:rFonts w:ascii="Arial" w:hAnsi="Arial" w:cs="Arial"/>
          <w:sz w:val="24"/>
          <w:szCs w:val="24"/>
          <w:shd w:val="clear" w:color="auto" w:fill="FFFFFF"/>
        </w:rPr>
        <w:t xml:space="preserve">nderstanding prejudice an intergroup perspective the origins of knowing about other groups the method of knowing the conditions of knowing the nature of objectivity what about the facts? Everything is not merely a function of the self or group, is it? How can you possibly critique this idea without running the risk of being explained by it? What is this saying about the essence of </w:t>
      </w:r>
      <w:proofErr w:type="spellStart"/>
      <w:r w:rsidR="00AB1812" w:rsidRPr="00CB73E5">
        <w:rPr>
          <w:rFonts w:ascii="Arial" w:hAnsi="Arial" w:cs="Arial"/>
          <w:sz w:val="24"/>
          <w:szCs w:val="24"/>
          <w:shd w:val="clear" w:color="auto" w:fill="FFFFFF"/>
        </w:rPr>
        <w:t>behavioral</w:t>
      </w:r>
      <w:proofErr w:type="spellEnd"/>
      <w:r w:rsidR="00AB1812" w:rsidRPr="00CB73E5">
        <w:rPr>
          <w:rFonts w:ascii="Arial" w:hAnsi="Arial" w:cs="Arial"/>
          <w:sz w:val="24"/>
          <w:szCs w:val="24"/>
          <w:shd w:val="clear" w:color="auto" w:fill="FFFFFF"/>
        </w:rPr>
        <w:t xml:space="preserve"> science? An organizational example conclusion </w:t>
      </w:r>
      <w:proofErr w:type="gramStart"/>
      <w:r w:rsidR="00AB1812" w:rsidRPr="00CB73E5">
        <w:rPr>
          <w:rFonts w:ascii="Arial" w:hAnsi="Arial" w:cs="Arial"/>
          <w:sz w:val="24"/>
          <w:szCs w:val="24"/>
          <w:shd w:val="clear" w:color="auto" w:fill="FFFFFF"/>
        </w:rPr>
        <w:t>note</w:t>
      </w:r>
      <w:proofErr w:type="gramEnd"/>
      <w:r w:rsidR="00AB1812" w:rsidRPr="00CB73E5">
        <w:rPr>
          <w:rFonts w:ascii="Arial" w:hAnsi="Arial" w:cs="Arial"/>
          <w:sz w:val="24"/>
          <w:szCs w:val="24"/>
          <w:shd w:val="clear" w:color="auto" w:fill="FFFFFF"/>
        </w:rPr>
        <w:t xml:space="preserve"> references</w:t>
      </w:r>
      <w:r w:rsidRPr="00CB73E5">
        <w:rPr>
          <w:rFonts w:ascii="Arial" w:hAnsi="Arial" w:cs="Arial"/>
          <w:sz w:val="24"/>
          <w:szCs w:val="24"/>
          <w:shd w:val="clear" w:color="auto" w:fill="FFFFFF"/>
        </w:rPr>
        <w:t>. </w:t>
      </w:r>
      <w:r w:rsidRPr="00CB73E5">
        <w:rPr>
          <w:rFonts w:ascii="Arial" w:hAnsi="Arial" w:cs="Arial"/>
          <w:i/>
          <w:iCs/>
          <w:sz w:val="24"/>
          <w:szCs w:val="24"/>
          <w:shd w:val="clear" w:color="auto" w:fill="FFFFFF"/>
        </w:rPr>
        <w:t xml:space="preserve">The American </w:t>
      </w:r>
      <w:proofErr w:type="spellStart"/>
      <w:r w:rsidRPr="00CB73E5">
        <w:rPr>
          <w:rFonts w:ascii="Arial" w:hAnsi="Arial" w:cs="Arial"/>
          <w:i/>
          <w:iCs/>
          <w:sz w:val="24"/>
          <w:szCs w:val="24"/>
          <w:shd w:val="clear" w:color="auto" w:fill="FFFFFF"/>
        </w:rPr>
        <w:t>Behavioral</w:t>
      </w:r>
      <w:proofErr w:type="spellEnd"/>
      <w:r w:rsidRPr="00CB73E5">
        <w:rPr>
          <w:rFonts w:ascii="Arial" w:hAnsi="Arial" w:cs="Arial"/>
          <w:i/>
          <w:iCs/>
          <w:sz w:val="24"/>
          <w:szCs w:val="24"/>
          <w:shd w:val="clear" w:color="auto" w:fill="FFFFFF"/>
        </w:rPr>
        <w:t xml:space="preserve"> Scientist (pre-1986), </w:t>
      </w:r>
      <w:r w:rsidRPr="00CB73E5">
        <w:rPr>
          <w:rFonts w:ascii="Arial" w:hAnsi="Arial" w:cs="Arial"/>
          <w:b/>
          <w:bCs/>
          <w:sz w:val="24"/>
          <w:szCs w:val="24"/>
          <w:shd w:val="clear" w:color="auto" w:fill="FFFFFF"/>
        </w:rPr>
        <w:t>27</w:t>
      </w:r>
      <w:r w:rsidRPr="00CB73E5">
        <w:rPr>
          <w:rFonts w:ascii="Arial" w:hAnsi="Arial" w:cs="Arial"/>
          <w:sz w:val="24"/>
          <w:szCs w:val="24"/>
          <w:shd w:val="clear" w:color="auto" w:fill="FFFFFF"/>
        </w:rPr>
        <w:t>(3), pp. 387.</w:t>
      </w:r>
    </w:p>
    <w:p w14:paraId="7EE3741E" w14:textId="7F0136C6" w:rsidR="001B603A" w:rsidRPr="00CB73E5" w:rsidRDefault="001B603A" w:rsidP="00226E38">
      <w:pPr>
        <w:rPr>
          <w:rFonts w:ascii="Arial" w:hAnsi="Arial" w:cs="Arial"/>
          <w:sz w:val="24"/>
          <w:szCs w:val="24"/>
        </w:rPr>
      </w:pPr>
      <w:r w:rsidRPr="00CB73E5">
        <w:rPr>
          <w:rFonts w:ascii="Arial" w:hAnsi="Arial" w:cs="Arial"/>
          <w:sz w:val="24"/>
          <w:szCs w:val="24"/>
        </w:rPr>
        <w:t xml:space="preserve">Blaxter, L., Hughes, C. and Tight, M. (2010) </w:t>
      </w:r>
      <w:r w:rsidRPr="00CB73E5">
        <w:rPr>
          <w:rFonts w:ascii="Arial" w:hAnsi="Arial" w:cs="Arial"/>
          <w:i/>
          <w:iCs/>
          <w:sz w:val="24"/>
          <w:szCs w:val="24"/>
        </w:rPr>
        <w:t>How to research,</w:t>
      </w:r>
      <w:r w:rsidRPr="00CB73E5">
        <w:rPr>
          <w:rFonts w:ascii="Arial" w:hAnsi="Arial" w:cs="Arial"/>
          <w:sz w:val="24"/>
          <w:szCs w:val="24"/>
        </w:rPr>
        <w:t xml:space="preserve"> London, McGraw Hill.</w:t>
      </w:r>
    </w:p>
    <w:p w14:paraId="41A5BCBA" w14:textId="3958814C" w:rsidR="00695258" w:rsidRPr="00CB73E5" w:rsidRDefault="00695258" w:rsidP="00226E38">
      <w:pPr>
        <w:rPr>
          <w:rFonts w:ascii="Arial" w:hAnsi="Arial" w:cs="Arial"/>
          <w:sz w:val="24"/>
          <w:szCs w:val="24"/>
          <w:shd w:val="clear" w:color="auto" w:fill="FFFFFF"/>
        </w:rPr>
      </w:pPr>
      <w:r w:rsidRPr="00CB73E5">
        <w:rPr>
          <w:rFonts w:ascii="Arial" w:hAnsi="Arial" w:cs="Arial"/>
          <w:sz w:val="24"/>
          <w:szCs w:val="24"/>
          <w:shd w:val="clear" w:color="auto" w:fill="FFFFFF"/>
        </w:rPr>
        <w:t>B</w:t>
      </w:r>
      <w:r w:rsidR="00FE44A8">
        <w:rPr>
          <w:rFonts w:ascii="Arial" w:hAnsi="Arial" w:cs="Arial"/>
          <w:sz w:val="24"/>
          <w:szCs w:val="24"/>
          <w:shd w:val="clear" w:color="auto" w:fill="FFFFFF"/>
        </w:rPr>
        <w:t>rown</w:t>
      </w:r>
      <w:r w:rsidRPr="00CB73E5">
        <w:rPr>
          <w:rFonts w:ascii="Arial" w:hAnsi="Arial" w:cs="Arial"/>
          <w:sz w:val="24"/>
          <w:szCs w:val="24"/>
          <w:shd w:val="clear" w:color="auto" w:fill="FFFFFF"/>
        </w:rPr>
        <w:t>, S., 2017. Confessions of a radical reactionary: rhetoric and reality. </w:t>
      </w:r>
      <w:r w:rsidRPr="00CB73E5">
        <w:rPr>
          <w:rFonts w:ascii="Arial" w:hAnsi="Arial" w:cs="Arial"/>
          <w:i/>
          <w:iCs/>
          <w:sz w:val="24"/>
          <w:szCs w:val="24"/>
          <w:shd w:val="clear" w:color="auto" w:fill="FFFFFF"/>
        </w:rPr>
        <w:t>Journal of Marketing Management, </w:t>
      </w:r>
      <w:r w:rsidRPr="00CB73E5">
        <w:rPr>
          <w:rFonts w:ascii="Arial" w:hAnsi="Arial" w:cs="Arial"/>
          <w:b/>
          <w:bCs/>
          <w:sz w:val="24"/>
          <w:szCs w:val="24"/>
          <w:shd w:val="clear" w:color="auto" w:fill="FFFFFF"/>
        </w:rPr>
        <w:t>33</w:t>
      </w:r>
      <w:r w:rsidRPr="00CB73E5">
        <w:rPr>
          <w:rFonts w:ascii="Arial" w:hAnsi="Arial" w:cs="Arial"/>
          <w:sz w:val="24"/>
          <w:szCs w:val="24"/>
          <w:shd w:val="clear" w:color="auto" w:fill="FFFFFF"/>
        </w:rPr>
        <w:t>(9-10), pp. 858-872.</w:t>
      </w:r>
    </w:p>
    <w:p w14:paraId="61C9E3D5" w14:textId="08593F88" w:rsidR="00A83970" w:rsidRPr="00CB73E5" w:rsidRDefault="00A83970" w:rsidP="00226E38">
      <w:pPr>
        <w:rPr>
          <w:rFonts w:ascii="Arial" w:hAnsi="Arial" w:cs="Arial"/>
          <w:sz w:val="24"/>
          <w:szCs w:val="24"/>
          <w:shd w:val="clear" w:color="auto" w:fill="FFFFFF"/>
        </w:rPr>
      </w:pPr>
      <w:r w:rsidRPr="00CB73E5">
        <w:rPr>
          <w:rFonts w:ascii="Arial" w:hAnsi="Arial" w:cs="Arial"/>
          <w:sz w:val="24"/>
          <w:szCs w:val="24"/>
          <w:shd w:val="clear" w:color="auto" w:fill="FFFFFF"/>
        </w:rPr>
        <w:t>B</w:t>
      </w:r>
      <w:r w:rsidR="00FE44A8">
        <w:rPr>
          <w:rFonts w:ascii="Arial" w:hAnsi="Arial" w:cs="Arial"/>
          <w:sz w:val="24"/>
          <w:szCs w:val="24"/>
          <w:shd w:val="clear" w:color="auto" w:fill="FFFFFF"/>
        </w:rPr>
        <w:t>rown</w:t>
      </w:r>
      <w:r w:rsidRPr="00CB73E5">
        <w:rPr>
          <w:rFonts w:ascii="Arial" w:hAnsi="Arial" w:cs="Arial"/>
          <w:sz w:val="24"/>
          <w:szCs w:val="24"/>
          <w:shd w:val="clear" w:color="auto" w:fill="FFFFFF"/>
        </w:rPr>
        <w:t>, S., S</w:t>
      </w:r>
      <w:r w:rsidR="00FE44A8">
        <w:rPr>
          <w:rFonts w:ascii="Arial" w:hAnsi="Arial" w:cs="Arial"/>
          <w:sz w:val="24"/>
          <w:szCs w:val="24"/>
          <w:shd w:val="clear" w:color="auto" w:fill="FFFFFF"/>
        </w:rPr>
        <w:t>tevens</w:t>
      </w:r>
      <w:r w:rsidRPr="00CB73E5">
        <w:rPr>
          <w:rFonts w:ascii="Arial" w:hAnsi="Arial" w:cs="Arial"/>
          <w:sz w:val="24"/>
          <w:szCs w:val="24"/>
          <w:shd w:val="clear" w:color="auto" w:fill="FFFFFF"/>
        </w:rPr>
        <w:t xml:space="preserve">, L. and </w:t>
      </w:r>
      <w:proofErr w:type="spellStart"/>
      <w:r w:rsidRPr="00CB73E5">
        <w:rPr>
          <w:rFonts w:ascii="Arial" w:hAnsi="Arial" w:cs="Arial"/>
          <w:sz w:val="24"/>
          <w:szCs w:val="24"/>
          <w:shd w:val="clear" w:color="auto" w:fill="FFFFFF"/>
        </w:rPr>
        <w:t>M</w:t>
      </w:r>
      <w:r w:rsidR="00FE44A8">
        <w:rPr>
          <w:rFonts w:ascii="Arial" w:hAnsi="Arial" w:cs="Arial"/>
          <w:sz w:val="24"/>
          <w:szCs w:val="24"/>
          <w:shd w:val="clear" w:color="auto" w:fill="FFFFFF"/>
        </w:rPr>
        <w:t>acLaren</w:t>
      </w:r>
      <w:proofErr w:type="spellEnd"/>
      <w:r w:rsidRPr="00CB73E5">
        <w:rPr>
          <w:rFonts w:ascii="Arial" w:hAnsi="Arial" w:cs="Arial"/>
          <w:sz w:val="24"/>
          <w:szCs w:val="24"/>
          <w:shd w:val="clear" w:color="auto" w:fill="FFFFFF"/>
        </w:rPr>
        <w:t>, P., 2018. Epic Aspects of Retail Encounters: The Iliad of Hollister. </w:t>
      </w:r>
      <w:r w:rsidRPr="00CB73E5">
        <w:rPr>
          <w:rFonts w:ascii="Arial" w:hAnsi="Arial" w:cs="Arial"/>
          <w:i/>
          <w:iCs/>
          <w:sz w:val="24"/>
          <w:szCs w:val="24"/>
          <w:shd w:val="clear" w:color="auto" w:fill="FFFFFF"/>
        </w:rPr>
        <w:t>Journal of Retailing, </w:t>
      </w:r>
      <w:r w:rsidRPr="00CB73E5">
        <w:rPr>
          <w:rFonts w:ascii="Arial" w:hAnsi="Arial" w:cs="Arial"/>
          <w:b/>
          <w:bCs/>
          <w:sz w:val="24"/>
          <w:szCs w:val="24"/>
          <w:shd w:val="clear" w:color="auto" w:fill="FFFFFF"/>
        </w:rPr>
        <w:t>94</w:t>
      </w:r>
      <w:r w:rsidRPr="00CB73E5">
        <w:rPr>
          <w:rFonts w:ascii="Arial" w:hAnsi="Arial" w:cs="Arial"/>
          <w:sz w:val="24"/>
          <w:szCs w:val="24"/>
          <w:shd w:val="clear" w:color="auto" w:fill="FFFFFF"/>
        </w:rPr>
        <w:t>(1), pp. 58-72.</w:t>
      </w:r>
    </w:p>
    <w:p w14:paraId="48A1D510" w14:textId="6C3C14E1" w:rsidR="00A83970" w:rsidRPr="00CB73E5" w:rsidRDefault="007A124C" w:rsidP="00226E38">
      <w:pPr>
        <w:rPr>
          <w:rFonts w:ascii="Arial" w:hAnsi="Arial" w:cs="Arial"/>
          <w:sz w:val="24"/>
          <w:szCs w:val="24"/>
          <w:shd w:val="clear" w:color="auto" w:fill="FFFFFF"/>
        </w:rPr>
      </w:pPr>
      <w:hyperlink r:id="rId5" w:tooltip="Lorna Stevens" w:history="1">
        <w:r w:rsidR="00A83970" w:rsidRPr="00CB73E5">
          <w:rPr>
            <w:rFonts w:ascii="Arial" w:hAnsi="Arial" w:cs="Arial"/>
            <w:sz w:val="24"/>
            <w:szCs w:val="24"/>
            <w:shd w:val="clear" w:color="auto" w:fill="FFFFFF"/>
          </w:rPr>
          <w:t>Stevens, L.</w:t>
        </w:r>
      </w:hyperlink>
      <w:r w:rsidR="00A83970" w:rsidRPr="00CB73E5">
        <w:rPr>
          <w:rFonts w:ascii="Arial" w:hAnsi="Arial" w:cs="Arial"/>
          <w:sz w:val="24"/>
          <w:szCs w:val="24"/>
          <w:shd w:val="clear" w:color="auto" w:fill="FFFFFF"/>
        </w:rPr>
        <w:t>, </w:t>
      </w:r>
      <w:hyperlink r:id="rId6" w:tooltip="Pauline Maclaran" w:history="1">
        <w:r w:rsidR="00A83970" w:rsidRPr="00CB73E5">
          <w:rPr>
            <w:rFonts w:ascii="Arial" w:hAnsi="Arial" w:cs="Arial"/>
            <w:sz w:val="24"/>
            <w:szCs w:val="24"/>
            <w:bdr w:val="single" w:sz="6" w:space="0" w:color="FFFFFF" w:frame="1"/>
          </w:rPr>
          <w:t>Maclaran, P.</w:t>
        </w:r>
      </w:hyperlink>
      <w:r w:rsidR="00A83970" w:rsidRPr="00CB73E5">
        <w:rPr>
          <w:rFonts w:ascii="Arial" w:hAnsi="Arial" w:cs="Arial"/>
          <w:sz w:val="24"/>
          <w:szCs w:val="24"/>
          <w:shd w:val="clear" w:color="auto" w:fill="FFFFFF"/>
        </w:rPr>
        <w:t> and </w:t>
      </w:r>
      <w:hyperlink r:id="rId7" w:tooltip="Stephen Brown" w:history="1">
        <w:r w:rsidR="00A83970" w:rsidRPr="00CB73E5">
          <w:rPr>
            <w:rFonts w:ascii="Arial" w:hAnsi="Arial" w:cs="Arial"/>
            <w:sz w:val="24"/>
            <w:szCs w:val="24"/>
            <w:shd w:val="clear" w:color="auto" w:fill="FFFFFF"/>
          </w:rPr>
          <w:t>Brown, S.</w:t>
        </w:r>
      </w:hyperlink>
      <w:r w:rsidR="00A83970" w:rsidRPr="00CB73E5">
        <w:rPr>
          <w:rFonts w:ascii="Arial" w:hAnsi="Arial" w:cs="Arial"/>
          <w:sz w:val="24"/>
          <w:szCs w:val="24"/>
          <w:shd w:val="clear" w:color="auto" w:fill="FFFFFF"/>
        </w:rPr>
        <w:t xml:space="preserve"> (2019), "An embodied approach to consumer experiences: the Hollister </w:t>
      </w:r>
      <w:proofErr w:type="spellStart"/>
      <w:r w:rsidR="00A83970" w:rsidRPr="00CB73E5">
        <w:rPr>
          <w:rFonts w:ascii="Arial" w:hAnsi="Arial" w:cs="Arial"/>
          <w:sz w:val="24"/>
          <w:szCs w:val="24"/>
          <w:shd w:val="clear" w:color="auto" w:fill="FFFFFF"/>
        </w:rPr>
        <w:t>brandscape</w:t>
      </w:r>
      <w:proofErr w:type="spellEnd"/>
      <w:r w:rsidR="00A83970" w:rsidRPr="00CB73E5">
        <w:rPr>
          <w:rFonts w:ascii="Arial" w:hAnsi="Arial" w:cs="Arial"/>
          <w:sz w:val="24"/>
          <w:szCs w:val="24"/>
          <w:shd w:val="clear" w:color="auto" w:fill="FFFFFF"/>
        </w:rPr>
        <w:t>", </w:t>
      </w:r>
      <w:hyperlink r:id="rId8" w:history="1">
        <w:r w:rsidR="00A83970" w:rsidRPr="00CB73E5">
          <w:rPr>
            <w:rFonts w:ascii="Arial" w:hAnsi="Arial" w:cs="Arial"/>
            <w:i/>
            <w:iCs/>
            <w:sz w:val="24"/>
            <w:szCs w:val="24"/>
          </w:rPr>
          <w:t>European Journal of Marketing</w:t>
        </w:r>
      </w:hyperlink>
      <w:r w:rsidR="00A83970" w:rsidRPr="00CB73E5">
        <w:rPr>
          <w:rFonts w:ascii="Arial" w:hAnsi="Arial" w:cs="Arial"/>
          <w:sz w:val="24"/>
          <w:szCs w:val="24"/>
          <w:shd w:val="clear" w:color="auto" w:fill="FFFFFF"/>
        </w:rPr>
        <w:t>, Vol. 53 No. 4, pp. 806-828. </w:t>
      </w:r>
      <w:hyperlink r:id="rId9" w:tooltip="DOI: https://doi.org/10.1108/EJM-09-2017-0558" w:history="1">
        <w:r w:rsidR="00A83970" w:rsidRPr="00CB73E5">
          <w:rPr>
            <w:rFonts w:ascii="Arial" w:hAnsi="Arial" w:cs="Arial"/>
            <w:sz w:val="24"/>
            <w:szCs w:val="24"/>
            <w:shd w:val="clear" w:color="auto" w:fill="FFFFFF"/>
          </w:rPr>
          <w:t>https://doi.org/10.1108/EJM-09-2017-0558</w:t>
        </w:r>
      </w:hyperlink>
      <w:r w:rsidR="00133901" w:rsidRPr="00CB73E5">
        <w:rPr>
          <w:rFonts w:ascii="Arial" w:hAnsi="Arial" w:cs="Arial"/>
          <w:sz w:val="24"/>
          <w:szCs w:val="24"/>
        </w:rPr>
        <w:t xml:space="preserve"> </w:t>
      </w:r>
    </w:p>
    <w:p w14:paraId="1ADBCA73" w14:textId="53025C4A" w:rsidR="0032042E" w:rsidRPr="00CB73E5" w:rsidRDefault="0032042E">
      <w:pPr>
        <w:rPr>
          <w:rFonts w:ascii="Arial" w:hAnsi="Arial" w:cs="Arial"/>
          <w:sz w:val="24"/>
          <w:szCs w:val="24"/>
          <w:shd w:val="clear" w:color="auto" w:fill="FFFFFF"/>
        </w:rPr>
      </w:pPr>
      <w:proofErr w:type="spellStart"/>
      <w:r w:rsidRPr="00CB73E5">
        <w:rPr>
          <w:rFonts w:ascii="Arial" w:hAnsi="Arial" w:cs="Arial"/>
          <w:sz w:val="24"/>
          <w:szCs w:val="24"/>
          <w:shd w:val="clear" w:color="auto" w:fill="FFFFFF"/>
        </w:rPr>
        <w:t>C</w:t>
      </w:r>
      <w:r w:rsidR="00FE44A8" w:rsidRPr="00CB73E5">
        <w:rPr>
          <w:rFonts w:ascii="Arial" w:hAnsi="Arial" w:cs="Arial"/>
          <w:sz w:val="24"/>
          <w:szCs w:val="24"/>
          <w:shd w:val="clear" w:color="auto" w:fill="FFFFFF"/>
        </w:rPr>
        <w:t>olepicolo</w:t>
      </w:r>
      <w:proofErr w:type="spellEnd"/>
      <w:r w:rsidRPr="00CB73E5">
        <w:rPr>
          <w:rFonts w:ascii="Arial" w:hAnsi="Arial" w:cs="Arial"/>
          <w:sz w:val="24"/>
          <w:szCs w:val="24"/>
          <w:shd w:val="clear" w:color="auto" w:fill="FFFFFF"/>
        </w:rPr>
        <w:t>, E., 2015. Information reliability for academic research: review and recommendations. </w:t>
      </w:r>
      <w:r w:rsidRPr="00CB73E5">
        <w:rPr>
          <w:rFonts w:ascii="Arial" w:hAnsi="Arial" w:cs="Arial"/>
          <w:i/>
          <w:iCs/>
          <w:sz w:val="24"/>
          <w:szCs w:val="24"/>
          <w:shd w:val="clear" w:color="auto" w:fill="FFFFFF"/>
        </w:rPr>
        <w:t>New Library World, </w:t>
      </w:r>
      <w:r w:rsidRPr="00CB73E5">
        <w:rPr>
          <w:rFonts w:ascii="Arial" w:hAnsi="Arial" w:cs="Arial"/>
          <w:b/>
          <w:bCs/>
          <w:sz w:val="24"/>
          <w:szCs w:val="24"/>
          <w:shd w:val="clear" w:color="auto" w:fill="FFFFFF"/>
        </w:rPr>
        <w:t>116</w:t>
      </w:r>
      <w:r w:rsidRPr="00CB73E5">
        <w:rPr>
          <w:rFonts w:ascii="Arial" w:hAnsi="Arial" w:cs="Arial"/>
          <w:sz w:val="24"/>
          <w:szCs w:val="24"/>
          <w:shd w:val="clear" w:color="auto" w:fill="FFFFFF"/>
        </w:rPr>
        <w:t>(11), pp. 646-660.</w:t>
      </w:r>
    </w:p>
    <w:p w14:paraId="314EFF66" w14:textId="1592AEC1" w:rsidR="00CF2C01" w:rsidRPr="00CB73E5" w:rsidRDefault="00CF2C01">
      <w:pPr>
        <w:rPr>
          <w:rFonts w:ascii="Arial" w:hAnsi="Arial" w:cs="Arial"/>
          <w:sz w:val="24"/>
          <w:szCs w:val="24"/>
          <w:shd w:val="clear" w:color="auto" w:fill="FFFFFF"/>
        </w:rPr>
      </w:pPr>
      <w:r w:rsidRPr="00CB73E5">
        <w:rPr>
          <w:rFonts w:ascii="Arial" w:hAnsi="Arial" w:cs="Arial"/>
          <w:sz w:val="24"/>
          <w:szCs w:val="24"/>
          <w:shd w:val="clear" w:color="auto" w:fill="FFFFFF"/>
        </w:rPr>
        <w:t>C</w:t>
      </w:r>
      <w:r w:rsidR="00FE44A8" w:rsidRPr="00CB73E5">
        <w:rPr>
          <w:rFonts w:ascii="Arial" w:hAnsi="Arial" w:cs="Arial"/>
          <w:sz w:val="24"/>
          <w:szCs w:val="24"/>
          <w:shd w:val="clear" w:color="auto" w:fill="FFFFFF"/>
        </w:rPr>
        <w:t>ornelia</w:t>
      </w:r>
      <w:r w:rsidRPr="00CB73E5">
        <w:rPr>
          <w:rFonts w:ascii="Arial" w:hAnsi="Arial" w:cs="Arial"/>
          <w:sz w:val="24"/>
          <w:szCs w:val="24"/>
          <w:shd w:val="clear" w:color="auto" w:fill="FFFFFF"/>
        </w:rPr>
        <w:t>, M., 2017. Biased Objectivity: An Experiment on Information Preferences of Journalists and Citizens. </w:t>
      </w:r>
      <w:r w:rsidRPr="00CB73E5">
        <w:rPr>
          <w:rFonts w:ascii="Arial" w:hAnsi="Arial" w:cs="Arial"/>
          <w:i/>
          <w:iCs/>
          <w:sz w:val="24"/>
          <w:szCs w:val="24"/>
          <w:shd w:val="clear" w:color="auto" w:fill="FFFFFF"/>
        </w:rPr>
        <w:t>Journalism and Mass Communication Quarterly, </w:t>
      </w:r>
      <w:r w:rsidRPr="00CB73E5">
        <w:rPr>
          <w:rFonts w:ascii="Arial" w:hAnsi="Arial" w:cs="Arial"/>
          <w:b/>
          <w:bCs/>
          <w:sz w:val="24"/>
          <w:szCs w:val="24"/>
          <w:shd w:val="clear" w:color="auto" w:fill="FFFFFF"/>
        </w:rPr>
        <w:t>94</w:t>
      </w:r>
      <w:r w:rsidRPr="00CB73E5">
        <w:rPr>
          <w:rFonts w:ascii="Arial" w:hAnsi="Arial" w:cs="Arial"/>
          <w:sz w:val="24"/>
          <w:szCs w:val="24"/>
          <w:shd w:val="clear" w:color="auto" w:fill="FFFFFF"/>
        </w:rPr>
        <w:t>(4), pp. 1073-1095.</w:t>
      </w:r>
    </w:p>
    <w:p w14:paraId="7C18307F" w14:textId="5BEA17EB" w:rsidR="00662D74" w:rsidRPr="00CB73E5" w:rsidRDefault="00662D74">
      <w:pPr>
        <w:rPr>
          <w:rFonts w:ascii="Arial" w:hAnsi="Arial" w:cs="Arial"/>
          <w:sz w:val="24"/>
          <w:szCs w:val="24"/>
          <w:shd w:val="clear" w:color="auto" w:fill="FFFFFF"/>
        </w:rPr>
      </w:pPr>
      <w:r w:rsidRPr="00CB73E5">
        <w:rPr>
          <w:rFonts w:ascii="Arial" w:hAnsi="Arial" w:cs="Arial"/>
          <w:sz w:val="24"/>
          <w:szCs w:val="24"/>
          <w:shd w:val="clear" w:color="auto" w:fill="FFFFFF"/>
        </w:rPr>
        <w:t>Dawson, C. (2019) Introduction to Research Methods, London, Robinson.</w:t>
      </w:r>
    </w:p>
    <w:p w14:paraId="227C96B9" w14:textId="765B5B74" w:rsidR="009B4E69" w:rsidRPr="00CB73E5" w:rsidRDefault="009B4E69" w:rsidP="009B4E69">
      <w:pPr>
        <w:shd w:val="clear" w:color="auto" w:fill="FFFFFF"/>
        <w:spacing w:before="240" w:after="210" w:line="300" w:lineRule="atLeast"/>
        <w:outlineLvl w:val="0"/>
        <w:rPr>
          <w:rFonts w:ascii="Arial" w:eastAsia="Times New Roman" w:hAnsi="Arial" w:cs="Arial"/>
          <w:kern w:val="36"/>
          <w:sz w:val="24"/>
          <w:szCs w:val="24"/>
          <w:lang w:eastAsia="en-GB"/>
        </w:rPr>
      </w:pPr>
      <w:proofErr w:type="spellStart"/>
      <w:r w:rsidRPr="00CB73E5">
        <w:rPr>
          <w:rFonts w:ascii="Arial" w:eastAsia="Times New Roman" w:hAnsi="Arial" w:cs="Arial"/>
          <w:kern w:val="36"/>
          <w:sz w:val="24"/>
          <w:szCs w:val="24"/>
          <w:lang w:eastAsia="en-GB"/>
        </w:rPr>
        <w:t>Fara</w:t>
      </w:r>
      <w:proofErr w:type="spellEnd"/>
      <w:r w:rsidRPr="00CB73E5">
        <w:rPr>
          <w:rFonts w:ascii="Arial" w:eastAsia="Times New Roman" w:hAnsi="Arial" w:cs="Arial"/>
          <w:kern w:val="36"/>
          <w:sz w:val="24"/>
          <w:szCs w:val="24"/>
          <w:lang w:eastAsia="en-GB"/>
        </w:rPr>
        <w:t>, P. (2021) Life after Gravity, Oxford, Oxford University Press.</w:t>
      </w:r>
    </w:p>
    <w:p w14:paraId="3DAD024D" w14:textId="77777777" w:rsidR="004146FD" w:rsidRPr="00CB73E5" w:rsidRDefault="007A124C" w:rsidP="004146FD">
      <w:pPr>
        <w:shd w:val="clear" w:color="auto" w:fill="FFFFFF"/>
        <w:spacing w:after="100" w:afterAutospacing="1" w:line="240" w:lineRule="auto"/>
        <w:outlineLvl w:val="0"/>
        <w:rPr>
          <w:rFonts w:ascii="Arial" w:eastAsia="Times New Roman" w:hAnsi="Arial" w:cs="Arial"/>
          <w:kern w:val="36"/>
          <w:sz w:val="24"/>
          <w:szCs w:val="24"/>
          <w:lang w:eastAsia="en-GB"/>
        </w:rPr>
      </w:pPr>
      <w:hyperlink r:id="rId10" w:tooltip="Search for more titles by Joe F. Hair Jr." w:history="1">
        <w:r w:rsidR="004146FD" w:rsidRPr="00CB73E5">
          <w:rPr>
            <w:rFonts w:ascii="Arial" w:eastAsia="Times New Roman" w:hAnsi="Arial" w:cs="Arial"/>
            <w:sz w:val="24"/>
            <w:szCs w:val="24"/>
            <w:lang w:eastAsia="en-GB"/>
          </w:rPr>
          <w:t>Hair Jr.</w:t>
        </w:r>
      </w:hyperlink>
      <w:r w:rsidR="004146FD" w:rsidRPr="00CB73E5">
        <w:rPr>
          <w:rFonts w:ascii="Arial" w:eastAsia="Times New Roman" w:hAnsi="Arial" w:cs="Arial"/>
          <w:sz w:val="24"/>
          <w:szCs w:val="24"/>
          <w:lang w:eastAsia="en-GB"/>
        </w:rPr>
        <w:t xml:space="preserve">, J.F., </w:t>
      </w:r>
      <w:hyperlink r:id="rId11" w:tooltip="Search for more titles by Michael Page" w:history="1">
        <w:r w:rsidR="004146FD" w:rsidRPr="00CB73E5">
          <w:rPr>
            <w:rFonts w:ascii="Arial" w:eastAsia="Times New Roman" w:hAnsi="Arial" w:cs="Arial"/>
            <w:sz w:val="24"/>
            <w:szCs w:val="24"/>
            <w:lang w:eastAsia="en-GB"/>
          </w:rPr>
          <w:t>Michael Page</w:t>
        </w:r>
      </w:hyperlink>
      <w:r w:rsidR="004146FD" w:rsidRPr="00CB73E5">
        <w:rPr>
          <w:rFonts w:ascii="Arial" w:eastAsia="Times New Roman" w:hAnsi="Arial" w:cs="Arial"/>
          <w:sz w:val="24"/>
          <w:szCs w:val="24"/>
          <w:lang w:eastAsia="en-GB"/>
        </w:rPr>
        <w:t xml:space="preserve">, M. &amp; , N. </w:t>
      </w:r>
      <w:proofErr w:type="spellStart"/>
      <w:r w:rsidR="004146FD" w:rsidRPr="00CB73E5">
        <w:rPr>
          <w:rFonts w:ascii="Arial" w:eastAsia="Times New Roman" w:hAnsi="Arial" w:cs="Arial"/>
          <w:sz w:val="24"/>
          <w:szCs w:val="24"/>
          <w:lang w:eastAsia="en-GB"/>
        </w:rPr>
        <w:t>Brunsveld</w:t>
      </w:r>
      <w:proofErr w:type="spellEnd"/>
      <w:r w:rsidR="004146FD" w:rsidRPr="00CB73E5">
        <w:rPr>
          <w:rFonts w:ascii="Arial" w:eastAsia="Times New Roman" w:hAnsi="Arial" w:cs="Arial"/>
          <w:sz w:val="24"/>
          <w:szCs w:val="24"/>
          <w:lang w:eastAsia="en-GB"/>
        </w:rPr>
        <w:t xml:space="preserve"> (2020)</w:t>
      </w:r>
      <w:r w:rsidR="004146FD" w:rsidRPr="00CB73E5">
        <w:rPr>
          <w:rFonts w:ascii="Arial" w:eastAsia="Times New Roman" w:hAnsi="Arial" w:cs="Arial"/>
          <w:kern w:val="36"/>
          <w:sz w:val="24"/>
          <w:szCs w:val="24"/>
          <w:lang w:eastAsia="en-GB"/>
        </w:rPr>
        <w:t xml:space="preserve"> </w:t>
      </w:r>
      <w:r w:rsidR="004146FD" w:rsidRPr="00CB73E5">
        <w:rPr>
          <w:rFonts w:ascii="Arial" w:eastAsia="Times New Roman" w:hAnsi="Arial" w:cs="Arial"/>
          <w:i/>
          <w:iCs/>
          <w:kern w:val="36"/>
          <w:sz w:val="24"/>
          <w:szCs w:val="24"/>
          <w:lang w:eastAsia="en-GB"/>
        </w:rPr>
        <w:t>Essentials of Business Research Methods</w:t>
      </w:r>
      <w:r w:rsidR="004146FD" w:rsidRPr="00CB73E5">
        <w:rPr>
          <w:rFonts w:ascii="Arial" w:eastAsia="Times New Roman" w:hAnsi="Arial" w:cs="Arial"/>
          <w:kern w:val="36"/>
          <w:sz w:val="24"/>
          <w:szCs w:val="24"/>
          <w:lang w:eastAsia="en-GB"/>
        </w:rPr>
        <w:t>, London, Routledge.</w:t>
      </w:r>
    </w:p>
    <w:p w14:paraId="29D0788A" w14:textId="1C438061" w:rsidR="004146FD" w:rsidRPr="00CB73E5" w:rsidRDefault="00FA48E2" w:rsidP="00472902">
      <w:pPr>
        <w:pStyle w:val="NormalWeb"/>
        <w:spacing w:before="58" w:beforeAutospacing="0" w:after="0" w:afterAutospacing="0"/>
        <w:rPr>
          <w:rFonts w:ascii="Arial" w:hAnsi="Arial" w:cs="Arial"/>
          <w:kern w:val="24"/>
        </w:rPr>
      </w:pPr>
      <w:proofErr w:type="spellStart"/>
      <w:r w:rsidRPr="00CB73E5">
        <w:rPr>
          <w:rFonts w:ascii="Arial" w:eastAsia="Calibri" w:hAnsi="Arial" w:cs="Arial"/>
          <w:kern w:val="24"/>
        </w:rPr>
        <w:t>Harford</w:t>
      </w:r>
      <w:proofErr w:type="spellEnd"/>
      <w:r w:rsidRPr="00CB73E5">
        <w:rPr>
          <w:rFonts w:ascii="Arial" w:eastAsia="Calibri" w:hAnsi="Arial" w:cs="Arial"/>
          <w:kern w:val="24"/>
        </w:rPr>
        <w:t xml:space="preserve">, T. (2021) The Data Detective: Ten Easy Rules to Make Sense of Statistics, </w:t>
      </w:r>
      <w:r w:rsidRPr="00CB73E5">
        <w:rPr>
          <w:rFonts w:ascii="Arial" w:hAnsi="Arial" w:cs="Arial"/>
          <w:kern w:val="24"/>
        </w:rPr>
        <w:t xml:space="preserve">London, Riverhead Books. </w:t>
      </w:r>
    </w:p>
    <w:p w14:paraId="64A0D67D" w14:textId="77777777" w:rsidR="00472902" w:rsidRPr="00CB73E5" w:rsidRDefault="00472902" w:rsidP="00472902">
      <w:pPr>
        <w:pStyle w:val="NormalWeb"/>
        <w:spacing w:before="58" w:beforeAutospacing="0" w:after="0" w:afterAutospacing="0"/>
        <w:rPr>
          <w:rFonts w:ascii="Arial" w:hAnsi="Arial" w:cs="Arial"/>
        </w:rPr>
      </w:pPr>
    </w:p>
    <w:p w14:paraId="1247F059" w14:textId="77777777" w:rsidR="004146FD" w:rsidRPr="00CB73E5" w:rsidRDefault="004146FD" w:rsidP="004146FD">
      <w:pPr>
        <w:rPr>
          <w:rFonts w:ascii="Arial" w:hAnsi="Arial" w:cs="Arial"/>
          <w:sz w:val="24"/>
          <w:szCs w:val="24"/>
        </w:rPr>
      </w:pPr>
      <w:r w:rsidRPr="00CB73E5">
        <w:rPr>
          <w:rFonts w:ascii="Arial" w:hAnsi="Arial" w:cs="Arial"/>
          <w:sz w:val="24"/>
          <w:szCs w:val="24"/>
        </w:rPr>
        <w:t xml:space="preserve">Hughes-Wilson, J. (2004) </w:t>
      </w:r>
      <w:r w:rsidRPr="00CB73E5">
        <w:rPr>
          <w:rFonts w:ascii="Arial" w:hAnsi="Arial" w:cs="Arial"/>
          <w:i/>
          <w:iCs/>
          <w:sz w:val="24"/>
          <w:szCs w:val="24"/>
        </w:rPr>
        <w:t>Military Intelligence Blunders and Cover-Ups</w:t>
      </w:r>
      <w:r w:rsidRPr="00CB73E5">
        <w:rPr>
          <w:rFonts w:ascii="Arial" w:hAnsi="Arial" w:cs="Arial"/>
          <w:sz w:val="24"/>
          <w:szCs w:val="24"/>
        </w:rPr>
        <w:t>, London, Robinson.</w:t>
      </w:r>
    </w:p>
    <w:p w14:paraId="6CDC541B" w14:textId="77777777" w:rsidR="004146FD" w:rsidRPr="00CB73E5" w:rsidRDefault="004146FD" w:rsidP="004146FD">
      <w:pPr>
        <w:rPr>
          <w:rFonts w:ascii="Arial" w:hAnsi="Arial" w:cs="Arial"/>
          <w:sz w:val="24"/>
          <w:szCs w:val="24"/>
        </w:rPr>
      </w:pPr>
      <w:r w:rsidRPr="00CB73E5">
        <w:rPr>
          <w:rFonts w:ascii="Arial" w:hAnsi="Arial" w:cs="Arial"/>
          <w:sz w:val="24"/>
          <w:szCs w:val="24"/>
        </w:rPr>
        <w:t>Full book</w:t>
      </w:r>
    </w:p>
    <w:p w14:paraId="646170D3" w14:textId="2FF11687" w:rsidR="004146FD" w:rsidRPr="00CB73E5" w:rsidRDefault="007A124C" w:rsidP="00CB73E5">
      <w:pPr>
        <w:rPr>
          <w:rFonts w:ascii="Arial" w:hAnsi="Arial" w:cs="Arial"/>
          <w:sz w:val="24"/>
          <w:szCs w:val="24"/>
        </w:rPr>
      </w:pPr>
      <w:hyperlink r:id="rId12" w:history="1">
        <w:r w:rsidR="004146FD" w:rsidRPr="00CB73E5">
          <w:rPr>
            <w:rStyle w:val="Hyperlink"/>
            <w:rFonts w:ascii="Arial" w:hAnsi="Arial" w:cs="Arial"/>
            <w:color w:val="auto"/>
            <w:sz w:val="24"/>
            <w:szCs w:val="24"/>
          </w:rPr>
          <w:t>http://almanaquemilitar.com/site/wp-content/uploads/2014/02/Military-Intelligence-Blunders.pdf</w:t>
        </w:r>
      </w:hyperlink>
    </w:p>
    <w:p w14:paraId="52EC1C34" w14:textId="373CE855" w:rsidR="00A03982" w:rsidRPr="00CB73E5" w:rsidRDefault="00A03982" w:rsidP="009B4E69">
      <w:pPr>
        <w:shd w:val="clear" w:color="auto" w:fill="FFFFFF"/>
        <w:spacing w:before="240" w:after="210" w:line="300" w:lineRule="atLeast"/>
        <w:outlineLvl w:val="0"/>
        <w:rPr>
          <w:rFonts w:ascii="Arial" w:hAnsi="Arial" w:cs="Arial"/>
          <w:sz w:val="24"/>
          <w:szCs w:val="24"/>
          <w:shd w:val="clear" w:color="auto" w:fill="FFFFFF"/>
        </w:rPr>
      </w:pPr>
      <w:proofErr w:type="spellStart"/>
      <w:r w:rsidRPr="00CB73E5">
        <w:rPr>
          <w:rFonts w:ascii="Arial" w:hAnsi="Arial" w:cs="Arial"/>
          <w:sz w:val="24"/>
          <w:szCs w:val="24"/>
          <w:shd w:val="clear" w:color="auto" w:fill="FFFFFF"/>
        </w:rPr>
        <w:lastRenderedPageBreak/>
        <w:t>I</w:t>
      </w:r>
      <w:r w:rsidR="00FE44A8" w:rsidRPr="00CB73E5">
        <w:rPr>
          <w:rFonts w:ascii="Arial" w:hAnsi="Arial" w:cs="Arial"/>
          <w:sz w:val="24"/>
          <w:szCs w:val="24"/>
          <w:shd w:val="clear" w:color="auto" w:fill="FFFFFF"/>
        </w:rPr>
        <w:t>shaque</w:t>
      </w:r>
      <w:proofErr w:type="spellEnd"/>
      <w:r w:rsidRPr="00CB73E5">
        <w:rPr>
          <w:rFonts w:ascii="Arial" w:hAnsi="Arial" w:cs="Arial"/>
          <w:sz w:val="24"/>
          <w:szCs w:val="24"/>
          <w:shd w:val="clear" w:color="auto" w:fill="FFFFFF"/>
        </w:rPr>
        <w:t>, M., 2021. Managing Conflict of Interests in Professional Accounting Firms: A Research Synthesis: JBE. </w:t>
      </w:r>
      <w:r w:rsidRPr="00CB73E5">
        <w:rPr>
          <w:rFonts w:ascii="Arial" w:hAnsi="Arial" w:cs="Arial"/>
          <w:i/>
          <w:iCs/>
          <w:sz w:val="24"/>
          <w:szCs w:val="24"/>
          <w:shd w:val="clear" w:color="auto" w:fill="FFFFFF"/>
        </w:rPr>
        <w:t>Journal of Business Ethics, </w:t>
      </w:r>
      <w:r w:rsidRPr="00CB73E5">
        <w:rPr>
          <w:rFonts w:ascii="Arial" w:hAnsi="Arial" w:cs="Arial"/>
          <w:b/>
          <w:bCs/>
          <w:sz w:val="24"/>
          <w:szCs w:val="24"/>
          <w:shd w:val="clear" w:color="auto" w:fill="FFFFFF"/>
        </w:rPr>
        <w:t>169</w:t>
      </w:r>
      <w:r w:rsidRPr="00CB73E5">
        <w:rPr>
          <w:rFonts w:ascii="Arial" w:hAnsi="Arial" w:cs="Arial"/>
          <w:sz w:val="24"/>
          <w:szCs w:val="24"/>
          <w:shd w:val="clear" w:color="auto" w:fill="FFFFFF"/>
        </w:rPr>
        <w:t>(3), pp. 537-555.</w:t>
      </w:r>
    </w:p>
    <w:p w14:paraId="1CEC6B74" w14:textId="09515DAB" w:rsidR="00133901" w:rsidRPr="00CB73E5" w:rsidRDefault="00133901" w:rsidP="00472902">
      <w:pPr>
        <w:shd w:val="clear" w:color="auto" w:fill="FFFFFF"/>
        <w:spacing w:after="100" w:afterAutospacing="1" w:line="240" w:lineRule="auto"/>
        <w:outlineLvl w:val="0"/>
        <w:rPr>
          <w:rFonts w:ascii="Arial" w:eastAsia="Times New Roman" w:hAnsi="Arial" w:cs="Arial"/>
          <w:kern w:val="36"/>
          <w:sz w:val="24"/>
          <w:szCs w:val="24"/>
          <w:lang w:eastAsia="en-GB"/>
        </w:rPr>
      </w:pPr>
      <w:r w:rsidRPr="00CB73E5">
        <w:rPr>
          <w:rFonts w:ascii="Arial" w:hAnsi="Arial" w:cs="Arial"/>
          <w:sz w:val="24"/>
          <w:szCs w:val="24"/>
        </w:rPr>
        <w:t xml:space="preserve">James, E.A., Slater, T. and </w:t>
      </w:r>
      <w:proofErr w:type="spellStart"/>
      <w:r w:rsidRPr="00CB73E5">
        <w:rPr>
          <w:rFonts w:ascii="Arial" w:hAnsi="Arial" w:cs="Arial"/>
          <w:sz w:val="24"/>
          <w:szCs w:val="24"/>
        </w:rPr>
        <w:t>Bucknam</w:t>
      </w:r>
      <w:proofErr w:type="spellEnd"/>
      <w:r w:rsidRPr="00CB73E5">
        <w:rPr>
          <w:rFonts w:ascii="Arial" w:hAnsi="Arial" w:cs="Arial"/>
          <w:sz w:val="24"/>
          <w:szCs w:val="24"/>
        </w:rPr>
        <w:t xml:space="preserve">, A. (2015) </w:t>
      </w:r>
      <w:r w:rsidRPr="00CB73E5">
        <w:rPr>
          <w:rFonts w:ascii="Arial" w:eastAsia="Times New Roman" w:hAnsi="Arial" w:cs="Arial"/>
          <w:kern w:val="36"/>
          <w:sz w:val="24"/>
          <w:szCs w:val="24"/>
          <w:lang w:eastAsia="en-GB"/>
        </w:rPr>
        <w:t xml:space="preserve">Action Research for Business, </w:t>
      </w:r>
      <w:proofErr w:type="spellStart"/>
      <w:r w:rsidRPr="00CB73E5">
        <w:rPr>
          <w:rFonts w:ascii="Arial" w:eastAsia="Times New Roman" w:hAnsi="Arial" w:cs="Arial"/>
          <w:kern w:val="36"/>
          <w:sz w:val="24"/>
          <w:szCs w:val="24"/>
          <w:lang w:eastAsia="en-GB"/>
        </w:rPr>
        <w:t>Nonprofit</w:t>
      </w:r>
      <w:proofErr w:type="spellEnd"/>
      <w:r w:rsidRPr="00CB73E5">
        <w:rPr>
          <w:rFonts w:ascii="Arial" w:eastAsia="Times New Roman" w:hAnsi="Arial" w:cs="Arial"/>
          <w:kern w:val="36"/>
          <w:sz w:val="24"/>
          <w:szCs w:val="24"/>
          <w:lang w:eastAsia="en-GB"/>
        </w:rPr>
        <w:t>, and Public Administration: A Tool for Complex Times,</w:t>
      </w:r>
      <w:r w:rsidRPr="00CB73E5">
        <w:rPr>
          <w:rFonts w:ascii="Arial" w:hAnsi="Arial" w:cs="Arial"/>
          <w:sz w:val="24"/>
          <w:szCs w:val="24"/>
        </w:rPr>
        <w:t xml:space="preserve"> New York, Sage.</w:t>
      </w:r>
    </w:p>
    <w:p w14:paraId="13AE6134" w14:textId="2E730346" w:rsidR="00A03982" w:rsidRPr="00CB73E5" w:rsidRDefault="00A03982" w:rsidP="009B4E69">
      <w:pPr>
        <w:shd w:val="clear" w:color="auto" w:fill="FFFFFF"/>
        <w:spacing w:before="240" w:after="210" w:line="300" w:lineRule="atLeast"/>
        <w:outlineLvl w:val="0"/>
        <w:rPr>
          <w:rFonts w:ascii="Arial" w:eastAsia="Times New Roman" w:hAnsi="Arial" w:cs="Arial"/>
          <w:kern w:val="36"/>
          <w:sz w:val="24"/>
          <w:szCs w:val="24"/>
          <w:lang w:eastAsia="en-GB"/>
        </w:rPr>
      </w:pPr>
      <w:proofErr w:type="spellStart"/>
      <w:r w:rsidRPr="00CB73E5">
        <w:rPr>
          <w:rFonts w:ascii="Arial" w:hAnsi="Arial" w:cs="Arial"/>
          <w:sz w:val="24"/>
          <w:szCs w:val="24"/>
          <w:shd w:val="clear" w:color="auto" w:fill="FFFFFF"/>
        </w:rPr>
        <w:t>J</w:t>
      </w:r>
      <w:r w:rsidR="00FE44A8" w:rsidRPr="00CB73E5">
        <w:rPr>
          <w:rFonts w:ascii="Arial" w:hAnsi="Arial" w:cs="Arial"/>
          <w:sz w:val="24"/>
          <w:szCs w:val="24"/>
          <w:shd w:val="clear" w:color="auto" w:fill="FFFFFF"/>
        </w:rPr>
        <w:t>uneström</w:t>
      </w:r>
      <w:proofErr w:type="spellEnd"/>
      <w:r w:rsidRPr="00CB73E5">
        <w:rPr>
          <w:rFonts w:ascii="Arial" w:hAnsi="Arial" w:cs="Arial"/>
          <w:sz w:val="24"/>
          <w:szCs w:val="24"/>
          <w:shd w:val="clear" w:color="auto" w:fill="FFFFFF"/>
        </w:rPr>
        <w:t>, A., 2021. An emerging genre of contemporary fact-checking. </w:t>
      </w:r>
      <w:r w:rsidRPr="00CB73E5">
        <w:rPr>
          <w:rFonts w:ascii="Arial" w:hAnsi="Arial" w:cs="Arial"/>
          <w:i/>
          <w:iCs/>
          <w:sz w:val="24"/>
          <w:szCs w:val="24"/>
          <w:shd w:val="clear" w:color="auto" w:fill="FFFFFF"/>
        </w:rPr>
        <w:t>Journal of Documentation, </w:t>
      </w:r>
      <w:r w:rsidRPr="00CB73E5">
        <w:rPr>
          <w:rFonts w:ascii="Arial" w:hAnsi="Arial" w:cs="Arial"/>
          <w:b/>
          <w:bCs/>
          <w:sz w:val="24"/>
          <w:szCs w:val="24"/>
          <w:shd w:val="clear" w:color="auto" w:fill="FFFFFF"/>
        </w:rPr>
        <w:t>77</w:t>
      </w:r>
      <w:r w:rsidRPr="00CB73E5">
        <w:rPr>
          <w:rFonts w:ascii="Arial" w:hAnsi="Arial" w:cs="Arial"/>
          <w:sz w:val="24"/>
          <w:szCs w:val="24"/>
          <w:shd w:val="clear" w:color="auto" w:fill="FFFFFF"/>
        </w:rPr>
        <w:t>(2), pp. 501-517.</w:t>
      </w:r>
    </w:p>
    <w:p w14:paraId="0D3FCCC2" w14:textId="20ED6544" w:rsidR="00311DB4" w:rsidRPr="00CB73E5" w:rsidRDefault="00311DB4" w:rsidP="00311DB4">
      <w:pPr>
        <w:rPr>
          <w:rStyle w:val="Hyperlink"/>
          <w:rFonts w:ascii="Arial" w:hAnsi="Arial" w:cs="Arial"/>
          <w:color w:val="auto"/>
          <w:sz w:val="24"/>
          <w:szCs w:val="24"/>
          <w:shd w:val="clear" w:color="auto" w:fill="FCFCFC"/>
        </w:rPr>
      </w:pPr>
      <w:proofErr w:type="spellStart"/>
      <w:r w:rsidRPr="00CB73E5">
        <w:rPr>
          <w:rFonts w:ascii="Arial" w:hAnsi="Arial" w:cs="Arial"/>
          <w:sz w:val="24"/>
          <w:szCs w:val="24"/>
          <w:shd w:val="clear" w:color="auto" w:fill="FCFCFC"/>
        </w:rPr>
        <w:t>Krishen</w:t>
      </w:r>
      <w:proofErr w:type="spellEnd"/>
      <w:r w:rsidRPr="00CB73E5">
        <w:rPr>
          <w:rFonts w:ascii="Arial" w:hAnsi="Arial" w:cs="Arial"/>
          <w:sz w:val="24"/>
          <w:szCs w:val="24"/>
          <w:shd w:val="clear" w:color="auto" w:fill="FCFCFC"/>
        </w:rPr>
        <w:t>, A.S., Petrescu, M. Interdisciplinary research as methodologically and substantively creative. </w:t>
      </w:r>
      <w:r w:rsidRPr="00CB73E5">
        <w:rPr>
          <w:rFonts w:ascii="Arial" w:hAnsi="Arial" w:cs="Arial"/>
          <w:i/>
          <w:iCs/>
          <w:sz w:val="24"/>
          <w:szCs w:val="24"/>
          <w:shd w:val="clear" w:color="auto" w:fill="FCFCFC"/>
        </w:rPr>
        <w:t>J Market Anal</w:t>
      </w:r>
      <w:r w:rsidRPr="00CB73E5">
        <w:rPr>
          <w:rFonts w:ascii="Arial" w:hAnsi="Arial" w:cs="Arial"/>
          <w:sz w:val="24"/>
          <w:szCs w:val="24"/>
          <w:shd w:val="clear" w:color="auto" w:fill="FCFCFC"/>
        </w:rPr>
        <w:t> </w:t>
      </w:r>
      <w:r w:rsidRPr="00CB73E5">
        <w:rPr>
          <w:rFonts w:ascii="Arial" w:hAnsi="Arial" w:cs="Arial"/>
          <w:b/>
          <w:bCs/>
          <w:sz w:val="24"/>
          <w:szCs w:val="24"/>
          <w:shd w:val="clear" w:color="auto" w:fill="FCFCFC"/>
        </w:rPr>
        <w:t>9, </w:t>
      </w:r>
      <w:r w:rsidRPr="00CB73E5">
        <w:rPr>
          <w:rFonts w:ascii="Arial" w:hAnsi="Arial" w:cs="Arial"/>
          <w:sz w:val="24"/>
          <w:szCs w:val="24"/>
          <w:shd w:val="clear" w:color="auto" w:fill="FCFCFC"/>
        </w:rPr>
        <w:t xml:space="preserve">1–2 (2021). </w:t>
      </w:r>
      <w:hyperlink r:id="rId13" w:history="1">
        <w:r w:rsidRPr="00CB73E5">
          <w:rPr>
            <w:rStyle w:val="Hyperlink"/>
            <w:rFonts w:ascii="Arial" w:hAnsi="Arial" w:cs="Arial"/>
            <w:color w:val="auto"/>
            <w:sz w:val="24"/>
            <w:szCs w:val="24"/>
            <w:shd w:val="clear" w:color="auto" w:fill="FCFCFC"/>
          </w:rPr>
          <w:t>https://doi-org.ezproxy.uwtsd.ac.uk/10.1057/s41270-021-00108-9</w:t>
        </w:r>
      </w:hyperlink>
    </w:p>
    <w:p w14:paraId="4E52B04D" w14:textId="07D7E08D" w:rsidR="001C0A8D" w:rsidRPr="00CB73E5" w:rsidRDefault="008157D2" w:rsidP="00311DB4">
      <w:pPr>
        <w:rPr>
          <w:rFonts w:ascii="Arial" w:hAnsi="Arial" w:cs="Arial"/>
          <w:sz w:val="24"/>
          <w:szCs w:val="24"/>
          <w:shd w:val="clear" w:color="auto" w:fill="FCFCFC"/>
        </w:rPr>
      </w:pPr>
      <w:proofErr w:type="spellStart"/>
      <w:r w:rsidRPr="00CB73E5">
        <w:rPr>
          <w:rFonts w:ascii="Arial" w:hAnsi="Arial" w:cs="Arial"/>
          <w:sz w:val="24"/>
          <w:szCs w:val="24"/>
          <w:shd w:val="clear" w:color="auto" w:fill="FCFCFC"/>
        </w:rPr>
        <w:t>MacKellar</w:t>
      </w:r>
      <w:proofErr w:type="spellEnd"/>
      <w:r w:rsidRPr="00CB73E5">
        <w:rPr>
          <w:rFonts w:ascii="Arial" w:hAnsi="Arial" w:cs="Arial"/>
          <w:sz w:val="24"/>
          <w:szCs w:val="24"/>
          <w:shd w:val="clear" w:color="auto" w:fill="FCFCFC"/>
        </w:rPr>
        <w:t xml:space="preserve">, F. (2020) Subjectivity in Qualitative Research, </w:t>
      </w:r>
      <w:r w:rsidR="000176D6" w:rsidRPr="00CB73E5">
        <w:rPr>
          <w:rFonts w:ascii="Arial" w:hAnsi="Arial" w:cs="Arial"/>
          <w:sz w:val="24"/>
          <w:szCs w:val="24"/>
          <w:shd w:val="clear" w:color="auto" w:fill="FCFCFC"/>
        </w:rPr>
        <w:t xml:space="preserve">Simon Frazer </w:t>
      </w:r>
      <w:r w:rsidRPr="00CB73E5">
        <w:rPr>
          <w:rFonts w:ascii="Arial" w:hAnsi="Arial" w:cs="Arial"/>
          <w:sz w:val="24"/>
          <w:szCs w:val="24"/>
          <w:shd w:val="clear" w:color="auto" w:fill="FCFCFC"/>
        </w:rPr>
        <w:t>University, Canada</w:t>
      </w:r>
      <w:r w:rsidR="00931602" w:rsidRPr="00CB73E5">
        <w:rPr>
          <w:rFonts w:ascii="Arial" w:hAnsi="Arial" w:cs="Arial"/>
          <w:sz w:val="24"/>
          <w:szCs w:val="24"/>
          <w:shd w:val="clear" w:color="auto" w:fill="FCFCFC"/>
        </w:rPr>
        <w:t xml:space="preserve">, </w:t>
      </w:r>
      <w:hyperlink r:id="rId14" w:anchor=":~:text=Subjectivity%20is%20broadly%20used%20and,many%20subtle%20shades%20of%20meaning.&amp;text=The%20subjective%20plays%20an%20important,experienced%2C%20understood%2C%20and%20produced" w:history="1">
        <w:r w:rsidR="00931602" w:rsidRPr="00CB73E5">
          <w:rPr>
            <w:rStyle w:val="Hyperlink"/>
            <w:rFonts w:ascii="Arial" w:hAnsi="Arial" w:cs="Arial"/>
            <w:color w:val="auto"/>
            <w:sz w:val="24"/>
            <w:szCs w:val="24"/>
            <w:shd w:val="clear" w:color="auto" w:fill="FCFCFC"/>
          </w:rPr>
          <w:t>https://www.sfu.ca/educ867/htm/subjectivity.htm#:~:text=Subjectivity%20is%20broadly%20used%20and,many%20subtle%20shades%20of%20meaning.&amp;text=The%20subjective%20plays%20an%20important,experienced%2C%20understood%2C%20and%20produced</w:t>
        </w:r>
      </w:hyperlink>
      <w:r w:rsidRPr="00CB73E5">
        <w:rPr>
          <w:rFonts w:ascii="Arial" w:hAnsi="Arial" w:cs="Arial"/>
          <w:sz w:val="24"/>
          <w:szCs w:val="24"/>
          <w:shd w:val="clear" w:color="auto" w:fill="FCFCFC"/>
        </w:rPr>
        <w:t xml:space="preserve"> (Accessed 02-02-21)</w:t>
      </w:r>
    </w:p>
    <w:p w14:paraId="53941370" w14:textId="7A1A9078" w:rsidR="004146FD" w:rsidRPr="00CB73E5" w:rsidRDefault="004146FD" w:rsidP="004146FD">
      <w:pPr>
        <w:shd w:val="clear" w:color="auto" w:fill="FFFFFF"/>
        <w:spacing w:after="225" w:line="240" w:lineRule="auto"/>
        <w:outlineLvl w:val="0"/>
        <w:rPr>
          <w:rFonts w:ascii="Arial" w:eastAsia="Times New Roman" w:hAnsi="Arial" w:cs="Arial"/>
          <w:kern w:val="36"/>
          <w:sz w:val="24"/>
          <w:szCs w:val="24"/>
          <w:lang w:eastAsia="en-GB"/>
        </w:rPr>
      </w:pPr>
      <w:r w:rsidRPr="00CB73E5">
        <w:rPr>
          <w:rFonts w:ascii="Arial" w:eastAsia="Times New Roman" w:hAnsi="Arial" w:cs="Arial"/>
          <w:kern w:val="36"/>
          <w:sz w:val="24"/>
          <w:szCs w:val="24"/>
          <w:lang w:eastAsia="en-GB"/>
        </w:rPr>
        <w:t>Menter, I., Elliot, D., Hulme, M., Lewin, J. and Lowden, K. (2016)</w:t>
      </w:r>
      <w:r w:rsidRPr="00CB73E5">
        <w:rPr>
          <w:rFonts w:ascii="Arial" w:eastAsia="Times New Roman" w:hAnsi="Arial" w:cs="Arial"/>
          <w:i/>
          <w:iCs/>
          <w:kern w:val="36"/>
          <w:sz w:val="24"/>
          <w:szCs w:val="24"/>
          <w:lang w:eastAsia="en-GB"/>
        </w:rPr>
        <w:t xml:space="preserve"> A Guide to Practitioner Research in Education</w:t>
      </w:r>
      <w:r w:rsidRPr="00CB73E5">
        <w:rPr>
          <w:rFonts w:ascii="Arial" w:eastAsia="Times New Roman" w:hAnsi="Arial" w:cs="Arial"/>
          <w:kern w:val="36"/>
          <w:sz w:val="24"/>
          <w:szCs w:val="24"/>
          <w:lang w:eastAsia="en-GB"/>
        </w:rPr>
        <w:t>, London, SAGE.</w:t>
      </w:r>
    </w:p>
    <w:p w14:paraId="7AEAB6A4" w14:textId="77777777" w:rsidR="00133901" w:rsidRPr="00CB73E5" w:rsidRDefault="00133901" w:rsidP="00133901">
      <w:pPr>
        <w:shd w:val="clear" w:color="auto" w:fill="FFFFFF"/>
        <w:spacing w:after="100" w:afterAutospacing="1" w:line="240" w:lineRule="auto"/>
        <w:outlineLvl w:val="0"/>
        <w:rPr>
          <w:rFonts w:ascii="Arial" w:hAnsi="Arial" w:cs="Arial"/>
          <w:sz w:val="24"/>
          <w:szCs w:val="24"/>
          <w:shd w:val="clear" w:color="auto" w:fill="FFFFFF"/>
        </w:rPr>
      </w:pPr>
      <w:r w:rsidRPr="00CB73E5">
        <w:rPr>
          <w:rFonts w:ascii="Arial" w:eastAsia="Times New Roman" w:hAnsi="Arial" w:cs="Arial"/>
          <w:kern w:val="36"/>
          <w:sz w:val="24"/>
          <w:szCs w:val="24"/>
          <w:lang w:eastAsia="en-GB"/>
        </w:rPr>
        <w:t xml:space="preserve">Merriam, S.B. and </w:t>
      </w:r>
      <w:proofErr w:type="spellStart"/>
      <w:r w:rsidRPr="00CB73E5">
        <w:rPr>
          <w:rFonts w:ascii="Arial" w:eastAsia="Times New Roman" w:hAnsi="Arial" w:cs="Arial"/>
          <w:kern w:val="36"/>
          <w:sz w:val="24"/>
          <w:szCs w:val="24"/>
          <w:lang w:eastAsia="en-GB"/>
        </w:rPr>
        <w:t>Tisdell</w:t>
      </w:r>
      <w:proofErr w:type="spellEnd"/>
      <w:r w:rsidRPr="00CB73E5">
        <w:rPr>
          <w:rFonts w:ascii="Arial" w:eastAsia="Times New Roman" w:hAnsi="Arial" w:cs="Arial"/>
          <w:kern w:val="36"/>
          <w:sz w:val="24"/>
          <w:szCs w:val="24"/>
          <w:lang w:eastAsia="en-GB"/>
        </w:rPr>
        <w:t xml:space="preserve">, E.J. </w:t>
      </w:r>
      <w:r w:rsidRPr="00CB73E5">
        <w:rPr>
          <w:rFonts w:ascii="Arial" w:eastAsia="Times New Roman" w:hAnsi="Arial" w:cs="Arial"/>
          <w:sz w:val="24"/>
          <w:szCs w:val="24"/>
          <w:lang w:eastAsia="en-GB"/>
        </w:rPr>
        <w:t xml:space="preserve">(2015) </w:t>
      </w:r>
      <w:r w:rsidRPr="00CB73E5">
        <w:rPr>
          <w:rFonts w:ascii="Arial" w:eastAsia="Times New Roman" w:hAnsi="Arial" w:cs="Arial"/>
          <w:kern w:val="36"/>
          <w:sz w:val="24"/>
          <w:szCs w:val="24"/>
          <w:lang w:eastAsia="en-GB"/>
        </w:rPr>
        <w:t xml:space="preserve">Qualitative Research: A Guide to Design and Implementation 4th Edition, San Francisco, </w:t>
      </w:r>
      <w:r w:rsidRPr="00CB73E5">
        <w:rPr>
          <w:rFonts w:ascii="Arial" w:hAnsi="Arial" w:cs="Arial"/>
          <w:sz w:val="24"/>
          <w:szCs w:val="24"/>
          <w:shd w:val="clear" w:color="auto" w:fill="FFFFFF"/>
        </w:rPr>
        <w:t>John Wiley &amp; Sons.</w:t>
      </w:r>
    </w:p>
    <w:p w14:paraId="196DB767" w14:textId="77777777" w:rsidR="00133901" w:rsidRPr="00CB73E5" w:rsidRDefault="007A124C" w:rsidP="00133901">
      <w:pPr>
        <w:shd w:val="clear" w:color="auto" w:fill="FFFFFF"/>
        <w:spacing w:after="100" w:afterAutospacing="1" w:line="240" w:lineRule="auto"/>
        <w:outlineLvl w:val="0"/>
        <w:rPr>
          <w:rFonts w:ascii="Arial" w:hAnsi="Arial" w:cs="Arial"/>
          <w:sz w:val="24"/>
          <w:szCs w:val="24"/>
        </w:rPr>
      </w:pPr>
      <w:hyperlink r:id="rId15" w:history="1">
        <w:r w:rsidR="00133901" w:rsidRPr="00CB73E5">
          <w:rPr>
            <w:rStyle w:val="Hyperlink"/>
            <w:rFonts w:ascii="Arial" w:hAnsi="Arial" w:cs="Arial"/>
            <w:color w:val="auto"/>
            <w:sz w:val="24"/>
            <w:szCs w:val="24"/>
          </w:rPr>
          <w:t>https://www.amazon.co.uk/Qualitative-Research-Guide-Design-Implementation/dp/111900361X/ref=sr_1_4?dchild=1&amp;keywords=objective+research&amp;qid=1616425495&amp;sr=8-4</w:t>
        </w:r>
      </w:hyperlink>
      <w:r w:rsidR="00133901" w:rsidRPr="00CB73E5">
        <w:rPr>
          <w:rFonts w:ascii="Arial" w:hAnsi="Arial" w:cs="Arial"/>
          <w:sz w:val="24"/>
          <w:szCs w:val="24"/>
        </w:rPr>
        <w:t xml:space="preserve"> </w:t>
      </w:r>
    </w:p>
    <w:p w14:paraId="764965DC" w14:textId="78D5AD9E" w:rsidR="00FA48E2" w:rsidRPr="00CB73E5" w:rsidRDefault="00FA48E2" w:rsidP="00FA48E2">
      <w:pPr>
        <w:pStyle w:val="NormalWeb"/>
        <w:spacing w:before="58" w:beforeAutospacing="0" w:after="0" w:afterAutospacing="0"/>
        <w:rPr>
          <w:rFonts w:ascii="Arial" w:eastAsiaTheme="minorEastAsia" w:hAnsi="Arial" w:cs="Arial"/>
          <w:kern w:val="24"/>
        </w:rPr>
      </w:pPr>
      <w:r w:rsidRPr="00CB73E5">
        <w:rPr>
          <w:rFonts w:ascii="Arial" w:eastAsiaTheme="minorEastAsia" w:hAnsi="Arial" w:cs="Arial"/>
          <w:kern w:val="24"/>
        </w:rPr>
        <w:t xml:space="preserve">Moses, J.W. &amp; </w:t>
      </w:r>
      <w:proofErr w:type="spellStart"/>
      <w:r w:rsidRPr="00CB73E5">
        <w:rPr>
          <w:rFonts w:ascii="Arial" w:eastAsiaTheme="minorEastAsia" w:hAnsi="Arial" w:cs="Arial"/>
          <w:kern w:val="24"/>
        </w:rPr>
        <w:t>Knutsen</w:t>
      </w:r>
      <w:proofErr w:type="spellEnd"/>
      <w:r w:rsidRPr="00CB73E5">
        <w:rPr>
          <w:rFonts w:ascii="Arial" w:eastAsiaTheme="minorEastAsia" w:hAnsi="Arial" w:cs="Arial"/>
          <w:kern w:val="24"/>
        </w:rPr>
        <w:t xml:space="preserve">, T.L. (2007) </w:t>
      </w:r>
      <w:r w:rsidRPr="00CB73E5">
        <w:rPr>
          <w:rFonts w:ascii="Arial" w:eastAsiaTheme="minorEastAsia" w:hAnsi="Arial" w:cs="Arial"/>
          <w:i/>
          <w:iCs/>
          <w:kern w:val="24"/>
        </w:rPr>
        <w:t>Ways of Knowing, Competing Methodologies in Social and Political Research</w:t>
      </w:r>
      <w:r w:rsidRPr="00CB73E5">
        <w:rPr>
          <w:rFonts w:ascii="Arial" w:eastAsiaTheme="minorEastAsia" w:hAnsi="Arial" w:cs="Arial"/>
          <w:kern w:val="24"/>
        </w:rPr>
        <w:t>, Basingstoke, Palgrave.</w:t>
      </w:r>
    </w:p>
    <w:p w14:paraId="6862523E" w14:textId="77777777" w:rsidR="00B01C6F" w:rsidRPr="00CB73E5" w:rsidRDefault="00B01C6F" w:rsidP="00B01C6F">
      <w:pPr>
        <w:spacing w:after="0" w:line="240" w:lineRule="auto"/>
        <w:textAlignment w:val="baseline"/>
        <w:rPr>
          <w:rFonts w:ascii="Arial" w:eastAsia="Times New Roman" w:hAnsi="Arial" w:cs="Arial"/>
          <w:sz w:val="24"/>
          <w:szCs w:val="24"/>
          <w:lang w:eastAsia="en-GB"/>
        </w:rPr>
      </w:pPr>
    </w:p>
    <w:p w14:paraId="1071F521" w14:textId="01B3965E" w:rsidR="00B01C6F" w:rsidRPr="00CB73E5" w:rsidRDefault="00B01C6F" w:rsidP="00B01C6F">
      <w:pPr>
        <w:spacing w:after="0" w:line="240" w:lineRule="auto"/>
        <w:textAlignment w:val="baseline"/>
        <w:rPr>
          <w:rFonts w:ascii="Arial" w:eastAsia="Times New Roman" w:hAnsi="Arial" w:cs="Arial"/>
          <w:sz w:val="24"/>
          <w:szCs w:val="24"/>
          <w:lang w:eastAsia="en-GB"/>
        </w:rPr>
      </w:pPr>
      <w:r w:rsidRPr="00CB73E5">
        <w:rPr>
          <w:rFonts w:ascii="Arial" w:eastAsia="Times New Roman" w:hAnsi="Arial" w:cs="Arial"/>
          <w:sz w:val="24"/>
          <w:szCs w:val="24"/>
          <w:lang w:eastAsia="en-GB"/>
        </w:rPr>
        <w:t>Munro, E. and Hardie, J. (2019) Why We Should Stop Talking About Objectivity and Subjectivity in Social Work, </w:t>
      </w:r>
      <w:r w:rsidRPr="00CB73E5">
        <w:rPr>
          <w:rFonts w:ascii="Arial" w:eastAsia="Times New Roman" w:hAnsi="Arial" w:cs="Arial"/>
          <w:i/>
          <w:iCs/>
          <w:sz w:val="24"/>
          <w:szCs w:val="24"/>
          <w:bdr w:val="none" w:sz="0" w:space="0" w:color="auto" w:frame="1"/>
          <w:lang w:eastAsia="en-GB"/>
        </w:rPr>
        <w:t>The British Journal of Social Work</w:t>
      </w:r>
      <w:r w:rsidRPr="00CB73E5">
        <w:rPr>
          <w:rFonts w:ascii="Arial" w:eastAsia="Times New Roman" w:hAnsi="Arial" w:cs="Arial"/>
          <w:sz w:val="24"/>
          <w:szCs w:val="24"/>
          <w:lang w:eastAsia="en-GB"/>
        </w:rPr>
        <w:t>, Volume 49, Issue 2, March 2019, Pages 411-427, </w:t>
      </w:r>
      <w:hyperlink r:id="rId16" w:history="1">
        <w:r w:rsidRPr="00CB73E5">
          <w:rPr>
            <w:rFonts w:ascii="Arial" w:eastAsia="Times New Roman" w:hAnsi="Arial" w:cs="Arial"/>
            <w:sz w:val="24"/>
            <w:szCs w:val="24"/>
            <w:u w:val="single"/>
            <w:bdr w:val="none" w:sz="0" w:space="0" w:color="auto" w:frame="1"/>
            <w:lang w:eastAsia="en-GB"/>
          </w:rPr>
          <w:t>https://doi.org/10.1093/bjsw/bcy054</w:t>
        </w:r>
      </w:hyperlink>
    </w:p>
    <w:p w14:paraId="38727A9D" w14:textId="77777777" w:rsidR="00FA48E2" w:rsidRPr="00CB73E5" w:rsidRDefault="00FA48E2" w:rsidP="00FA48E2">
      <w:pPr>
        <w:pStyle w:val="NormalWeb"/>
        <w:spacing w:before="58" w:beforeAutospacing="0" w:after="0" w:afterAutospacing="0"/>
        <w:rPr>
          <w:rFonts w:ascii="Arial" w:hAnsi="Arial" w:cs="Arial"/>
        </w:rPr>
      </w:pPr>
    </w:p>
    <w:p w14:paraId="73206C7C" w14:textId="279CE81C" w:rsidR="00AB1812" w:rsidRPr="00CB73E5" w:rsidRDefault="00303030" w:rsidP="00AB1812">
      <w:pPr>
        <w:rPr>
          <w:rFonts w:ascii="Arial" w:hAnsi="Arial" w:cs="Arial"/>
          <w:sz w:val="24"/>
          <w:szCs w:val="24"/>
          <w:shd w:val="clear" w:color="auto" w:fill="FFFFFF"/>
        </w:rPr>
      </w:pPr>
      <w:r w:rsidRPr="00CB73E5">
        <w:rPr>
          <w:rFonts w:ascii="Arial" w:hAnsi="Arial" w:cs="Arial"/>
          <w:sz w:val="24"/>
          <w:szCs w:val="24"/>
          <w:shd w:val="clear" w:color="auto" w:fill="FFFFFF"/>
        </w:rPr>
        <w:t>N</w:t>
      </w:r>
      <w:r w:rsidR="00FE44A8" w:rsidRPr="00CB73E5">
        <w:rPr>
          <w:rFonts w:ascii="Arial" w:hAnsi="Arial" w:cs="Arial"/>
          <w:sz w:val="24"/>
          <w:szCs w:val="24"/>
          <w:shd w:val="clear" w:color="auto" w:fill="FFFFFF"/>
        </w:rPr>
        <w:t>elson</w:t>
      </w:r>
      <w:r w:rsidRPr="00CB73E5">
        <w:rPr>
          <w:rFonts w:ascii="Arial" w:hAnsi="Arial" w:cs="Arial"/>
          <w:sz w:val="24"/>
          <w:szCs w:val="24"/>
          <w:shd w:val="clear" w:color="auto" w:fill="FFFFFF"/>
        </w:rPr>
        <w:t>, J.A., 2021. Economics and community knowledge-making. </w:t>
      </w:r>
      <w:r w:rsidRPr="00CB73E5">
        <w:rPr>
          <w:rFonts w:ascii="Arial" w:hAnsi="Arial" w:cs="Arial"/>
          <w:i/>
          <w:iCs/>
          <w:sz w:val="24"/>
          <w:szCs w:val="24"/>
          <w:shd w:val="clear" w:color="auto" w:fill="FFFFFF"/>
        </w:rPr>
        <w:t>The Journal of Economic Methodology, </w:t>
      </w:r>
      <w:r w:rsidRPr="00CB73E5">
        <w:rPr>
          <w:rFonts w:ascii="Arial" w:hAnsi="Arial" w:cs="Arial"/>
          <w:b/>
          <w:bCs/>
          <w:sz w:val="24"/>
          <w:szCs w:val="24"/>
          <w:shd w:val="clear" w:color="auto" w:fill="FFFFFF"/>
        </w:rPr>
        <w:t>28</w:t>
      </w:r>
      <w:r w:rsidRPr="00CB73E5">
        <w:rPr>
          <w:rFonts w:ascii="Arial" w:hAnsi="Arial" w:cs="Arial"/>
          <w:sz w:val="24"/>
          <w:szCs w:val="24"/>
          <w:shd w:val="clear" w:color="auto" w:fill="FFFFFF"/>
        </w:rPr>
        <w:t>(1), pp. 107-113.</w:t>
      </w:r>
      <w:r w:rsidR="00AB1812" w:rsidRPr="00CB73E5">
        <w:rPr>
          <w:rFonts w:ascii="Arial" w:hAnsi="Arial" w:cs="Arial"/>
          <w:sz w:val="24"/>
          <w:szCs w:val="24"/>
          <w:shd w:val="clear" w:color="auto" w:fill="FFFFFF"/>
        </w:rPr>
        <w:t xml:space="preserve"> </w:t>
      </w:r>
    </w:p>
    <w:p w14:paraId="4F142DD2" w14:textId="46C980DD" w:rsidR="004146FD" w:rsidRPr="00CB73E5" w:rsidRDefault="004146FD" w:rsidP="004146FD">
      <w:pPr>
        <w:rPr>
          <w:rFonts w:ascii="Arial" w:hAnsi="Arial" w:cs="Arial"/>
          <w:sz w:val="24"/>
          <w:szCs w:val="24"/>
          <w:shd w:val="clear" w:color="auto" w:fill="FFFFFF"/>
        </w:rPr>
      </w:pPr>
      <w:proofErr w:type="spellStart"/>
      <w:r w:rsidRPr="00CB73E5">
        <w:rPr>
          <w:rFonts w:ascii="Arial" w:hAnsi="Arial" w:cs="Arial"/>
          <w:sz w:val="24"/>
          <w:szCs w:val="24"/>
          <w:shd w:val="clear" w:color="auto" w:fill="FFFFFF"/>
        </w:rPr>
        <w:t>P</w:t>
      </w:r>
      <w:r w:rsidR="00FE44A8" w:rsidRPr="00CB73E5">
        <w:rPr>
          <w:rFonts w:ascii="Arial" w:hAnsi="Arial" w:cs="Arial"/>
          <w:sz w:val="24"/>
          <w:szCs w:val="24"/>
          <w:shd w:val="clear" w:color="auto" w:fill="FFFFFF"/>
        </w:rPr>
        <w:t>hala</w:t>
      </w:r>
      <w:proofErr w:type="spellEnd"/>
      <w:r w:rsidRPr="00CB73E5">
        <w:rPr>
          <w:rFonts w:ascii="Arial" w:hAnsi="Arial" w:cs="Arial"/>
          <w:sz w:val="24"/>
          <w:szCs w:val="24"/>
          <w:shd w:val="clear" w:color="auto" w:fill="FFFFFF"/>
        </w:rPr>
        <w:t xml:space="preserve">, M.L., </w:t>
      </w:r>
      <w:proofErr w:type="spellStart"/>
      <w:r w:rsidRPr="00CB73E5">
        <w:rPr>
          <w:rFonts w:ascii="Arial" w:hAnsi="Arial" w:cs="Arial"/>
          <w:sz w:val="24"/>
          <w:szCs w:val="24"/>
          <w:shd w:val="clear" w:color="auto" w:fill="FFFFFF"/>
        </w:rPr>
        <w:t>Y</w:t>
      </w:r>
      <w:r w:rsidR="00FE44A8" w:rsidRPr="00CB73E5">
        <w:rPr>
          <w:rFonts w:ascii="Arial" w:hAnsi="Arial" w:cs="Arial"/>
          <w:sz w:val="24"/>
          <w:szCs w:val="24"/>
          <w:shd w:val="clear" w:color="auto" w:fill="FFFFFF"/>
        </w:rPr>
        <w:t>asseen</w:t>
      </w:r>
      <w:proofErr w:type="spellEnd"/>
      <w:r w:rsidRPr="00CB73E5">
        <w:rPr>
          <w:rFonts w:ascii="Arial" w:hAnsi="Arial" w:cs="Arial"/>
          <w:sz w:val="24"/>
          <w:szCs w:val="24"/>
          <w:shd w:val="clear" w:color="auto" w:fill="FFFFFF"/>
        </w:rPr>
        <w:t xml:space="preserve">, Y., </w:t>
      </w:r>
      <w:proofErr w:type="spellStart"/>
      <w:r w:rsidRPr="00CB73E5">
        <w:rPr>
          <w:rFonts w:ascii="Arial" w:hAnsi="Arial" w:cs="Arial"/>
          <w:sz w:val="24"/>
          <w:szCs w:val="24"/>
          <w:shd w:val="clear" w:color="auto" w:fill="FFFFFF"/>
        </w:rPr>
        <w:t>P</w:t>
      </w:r>
      <w:r w:rsidR="00FE44A8" w:rsidRPr="00CB73E5">
        <w:rPr>
          <w:rFonts w:ascii="Arial" w:hAnsi="Arial" w:cs="Arial"/>
          <w:sz w:val="24"/>
          <w:szCs w:val="24"/>
          <w:shd w:val="clear" w:color="auto" w:fill="FFFFFF"/>
        </w:rPr>
        <w:t>adia</w:t>
      </w:r>
      <w:proofErr w:type="spellEnd"/>
      <w:r w:rsidRPr="00CB73E5">
        <w:rPr>
          <w:rFonts w:ascii="Arial" w:hAnsi="Arial" w:cs="Arial"/>
          <w:sz w:val="24"/>
          <w:szCs w:val="24"/>
          <w:shd w:val="clear" w:color="auto" w:fill="FFFFFF"/>
        </w:rPr>
        <w:t>, N. and M</w:t>
      </w:r>
      <w:r w:rsidR="00FE44A8" w:rsidRPr="00CB73E5">
        <w:rPr>
          <w:rFonts w:ascii="Arial" w:hAnsi="Arial" w:cs="Arial"/>
          <w:sz w:val="24"/>
          <w:szCs w:val="24"/>
          <w:shd w:val="clear" w:color="auto" w:fill="FFFFFF"/>
        </w:rPr>
        <w:t>ohamed</w:t>
      </w:r>
      <w:r w:rsidRPr="00CB73E5">
        <w:rPr>
          <w:rFonts w:ascii="Arial" w:hAnsi="Arial" w:cs="Arial"/>
          <w:sz w:val="24"/>
          <w:szCs w:val="24"/>
          <w:shd w:val="clear" w:color="auto" w:fill="FFFFFF"/>
        </w:rPr>
        <w:t>, W., 2019. A comparative study on strategy disclosure between emerging markets and developed markets. </w:t>
      </w:r>
      <w:r w:rsidRPr="00CB73E5">
        <w:rPr>
          <w:rFonts w:ascii="Arial" w:hAnsi="Arial" w:cs="Arial"/>
          <w:i/>
          <w:iCs/>
          <w:sz w:val="24"/>
          <w:szCs w:val="24"/>
          <w:shd w:val="clear" w:color="auto" w:fill="FFFFFF"/>
        </w:rPr>
        <w:t>Journal of Indian Business Research, </w:t>
      </w:r>
      <w:r w:rsidRPr="00CB73E5">
        <w:rPr>
          <w:rFonts w:ascii="Arial" w:hAnsi="Arial" w:cs="Arial"/>
          <w:b/>
          <w:bCs/>
          <w:sz w:val="24"/>
          <w:szCs w:val="24"/>
          <w:shd w:val="clear" w:color="auto" w:fill="FFFFFF"/>
        </w:rPr>
        <w:t>11</w:t>
      </w:r>
      <w:r w:rsidRPr="00CB73E5">
        <w:rPr>
          <w:rFonts w:ascii="Arial" w:hAnsi="Arial" w:cs="Arial"/>
          <w:sz w:val="24"/>
          <w:szCs w:val="24"/>
          <w:shd w:val="clear" w:color="auto" w:fill="FFFFFF"/>
        </w:rPr>
        <w:t>(1), pp. 2-22.</w:t>
      </w:r>
    </w:p>
    <w:p w14:paraId="60E50CDA" w14:textId="09B9A802" w:rsidR="00133901" w:rsidRPr="00FE44A8" w:rsidRDefault="00133901" w:rsidP="00133901">
      <w:pPr>
        <w:rPr>
          <w:rFonts w:ascii="Arial" w:eastAsia="Times New Roman" w:hAnsi="Arial" w:cs="Arial"/>
          <w:sz w:val="24"/>
          <w:szCs w:val="24"/>
          <w:lang w:eastAsia="en-GB"/>
        </w:rPr>
      </w:pPr>
      <w:proofErr w:type="spellStart"/>
      <w:r w:rsidRPr="00CB73E5">
        <w:rPr>
          <w:rFonts w:ascii="Arial" w:hAnsi="Arial" w:cs="Arial"/>
          <w:sz w:val="24"/>
          <w:szCs w:val="24"/>
        </w:rPr>
        <w:t>Sanoff</w:t>
      </w:r>
      <w:proofErr w:type="spellEnd"/>
      <w:r w:rsidRPr="00CB73E5">
        <w:rPr>
          <w:rFonts w:ascii="Arial" w:hAnsi="Arial" w:cs="Arial"/>
          <w:sz w:val="24"/>
          <w:szCs w:val="24"/>
        </w:rPr>
        <w:t xml:space="preserve">, H. (2018) </w:t>
      </w:r>
      <w:hyperlink r:id="rId17" w:history="1">
        <w:r w:rsidRPr="00CB73E5">
          <w:rPr>
            <w:rFonts w:ascii="Arial" w:eastAsia="Times New Roman" w:hAnsi="Arial" w:cs="Arial"/>
            <w:sz w:val="24"/>
            <w:szCs w:val="24"/>
            <w:lang w:eastAsia="en-GB"/>
          </w:rPr>
          <w:t>Visual Research Methods in Design (Routledge Revivals)</w:t>
        </w:r>
      </w:hyperlink>
      <w:r w:rsidRPr="00CB73E5">
        <w:rPr>
          <w:rFonts w:ascii="Arial" w:eastAsia="Times New Roman" w:hAnsi="Arial" w:cs="Arial"/>
          <w:sz w:val="24"/>
          <w:szCs w:val="24"/>
          <w:lang w:eastAsia="en-GB"/>
        </w:rPr>
        <w:t xml:space="preserve">, London, </w:t>
      </w:r>
      <w:r w:rsidRPr="00FE44A8">
        <w:rPr>
          <w:rFonts w:ascii="Arial" w:eastAsia="Times New Roman" w:hAnsi="Arial" w:cs="Arial"/>
          <w:sz w:val="24"/>
          <w:szCs w:val="24"/>
          <w:lang w:eastAsia="en-GB"/>
        </w:rPr>
        <w:t>Routledge.</w:t>
      </w:r>
    </w:p>
    <w:p w14:paraId="326F0C06" w14:textId="74AA2D66" w:rsidR="004868DE" w:rsidRPr="00FE44A8" w:rsidRDefault="004868DE" w:rsidP="00133901">
      <w:pPr>
        <w:rPr>
          <w:rFonts w:ascii="Arial" w:eastAsia="Times New Roman" w:hAnsi="Arial" w:cs="Arial"/>
          <w:sz w:val="24"/>
          <w:szCs w:val="24"/>
          <w:lang w:eastAsia="en-GB"/>
        </w:rPr>
      </w:pPr>
      <w:r w:rsidRPr="00FE44A8">
        <w:rPr>
          <w:rFonts w:ascii="Arial" w:hAnsi="Arial" w:cs="Arial"/>
          <w:sz w:val="24"/>
          <w:szCs w:val="24"/>
        </w:rPr>
        <w:t>Smith, J., &amp; Noble, H. (2014). Bias in research. Evidence-Based Nursing, 17(4), 100-101.</w:t>
      </w:r>
    </w:p>
    <w:p w14:paraId="402BF513" w14:textId="44F82C64" w:rsidR="00994818" w:rsidRPr="00ED691F" w:rsidRDefault="00295D8E" w:rsidP="00ED691F">
      <w:pPr>
        <w:pStyle w:val="nova-e-listitem"/>
        <w:shd w:val="clear" w:color="auto" w:fill="FFFFFF"/>
        <w:spacing w:after="120" w:afterAutospacing="0"/>
        <w:rPr>
          <w:rFonts w:ascii="Arial" w:hAnsi="Arial" w:cs="Arial"/>
        </w:rPr>
      </w:pPr>
      <w:proofErr w:type="spellStart"/>
      <w:r w:rsidRPr="00ED691F">
        <w:rPr>
          <w:rFonts w:ascii="Arial" w:hAnsi="Arial" w:cs="Arial"/>
        </w:rPr>
        <w:t>Spurin</w:t>
      </w:r>
      <w:proofErr w:type="spellEnd"/>
      <w:r w:rsidRPr="00ED691F">
        <w:rPr>
          <w:rFonts w:ascii="Arial" w:hAnsi="Arial" w:cs="Arial"/>
        </w:rPr>
        <w:t xml:space="preserve">, M. and </w:t>
      </w:r>
      <w:proofErr w:type="spellStart"/>
      <w:r w:rsidRPr="00ED691F">
        <w:rPr>
          <w:rFonts w:ascii="Arial" w:hAnsi="Arial" w:cs="Arial"/>
        </w:rPr>
        <w:t>Stansbie</w:t>
      </w:r>
      <w:proofErr w:type="spellEnd"/>
      <w:r w:rsidRPr="00ED691F">
        <w:rPr>
          <w:rFonts w:ascii="Arial" w:hAnsi="Arial" w:cs="Arial"/>
        </w:rPr>
        <w:t xml:space="preserve">, P. </w:t>
      </w:r>
      <w:r w:rsidR="00ED691F" w:rsidRPr="00ED691F">
        <w:rPr>
          <w:rFonts w:ascii="Arial" w:hAnsi="Arial" w:cs="Arial"/>
        </w:rPr>
        <w:t xml:space="preserve">(2019) </w:t>
      </w:r>
      <w:r w:rsidRPr="00ED691F">
        <w:rPr>
          <w:rFonts w:ascii="Arial" w:hAnsi="Arial" w:cs="Arial"/>
        </w:rPr>
        <w:t xml:space="preserve">Objectivity and Subjectivity in Research, </w:t>
      </w:r>
      <w:r w:rsidR="00ED691F" w:rsidRPr="00ED691F">
        <w:rPr>
          <w:rFonts w:ascii="Arial" w:hAnsi="Arial" w:cs="Arial"/>
        </w:rPr>
        <w:t>in Nata, R.V. (ed.)</w:t>
      </w:r>
      <w:r w:rsidR="00994818" w:rsidRPr="00ED691F">
        <w:rPr>
          <w:rFonts w:ascii="Arial" w:hAnsi="Arial" w:cs="Arial"/>
        </w:rPr>
        <w:t xml:space="preserve"> Progress in Education</w:t>
      </w:r>
      <w:r w:rsidR="00ED691F" w:rsidRPr="00ED691F">
        <w:rPr>
          <w:rFonts w:ascii="Arial" w:hAnsi="Arial" w:cs="Arial"/>
        </w:rPr>
        <w:t xml:space="preserve">, Vol. 55, September, New York, </w:t>
      </w:r>
      <w:r w:rsidR="00994818" w:rsidRPr="00ED691F">
        <w:rPr>
          <w:rFonts w:ascii="Arial" w:hAnsi="Arial" w:cs="Arial"/>
        </w:rPr>
        <w:t>Nova Publishing</w:t>
      </w:r>
      <w:r w:rsidR="00ED691F" w:rsidRPr="00ED691F">
        <w:rPr>
          <w:rFonts w:ascii="Arial" w:hAnsi="Arial" w:cs="Arial"/>
        </w:rPr>
        <w:t>.</w:t>
      </w:r>
    </w:p>
    <w:p w14:paraId="31C8F0C4" w14:textId="7165A833" w:rsidR="00295D8E" w:rsidRPr="00CB73E5" w:rsidRDefault="00295D8E" w:rsidP="00133901">
      <w:pPr>
        <w:rPr>
          <w:rFonts w:ascii="Arial" w:eastAsia="Times New Roman" w:hAnsi="Arial" w:cs="Arial"/>
          <w:sz w:val="24"/>
          <w:szCs w:val="24"/>
          <w:lang w:eastAsia="en-GB"/>
        </w:rPr>
      </w:pPr>
    </w:p>
    <w:p w14:paraId="24C4B62D" w14:textId="438B3162" w:rsidR="00133901" w:rsidRPr="00CB73E5" w:rsidRDefault="00AB1812" w:rsidP="00AB1812">
      <w:pPr>
        <w:rPr>
          <w:rFonts w:ascii="Arial" w:hAnsi="Arial" w:cs="Arial"/>
          <w:sz w:val="24"/>
          <w:szCs w:val="24"/>
          <w:shd w:val="clear" w:color="auto" w:fill="FFFFFF"/>
        </w:rPr>
      </w:pPr>
      <w:r w:rsidRPr="00CB73E5">
        <w:rPr>
          <w:rFonts w:ascii="Arial" w:hAnsi="Arial" w:cs="Arial"/>
          <w:sz w:val="24"/>
          <w:szCs w:val="24"/>
          <w:shd w:val="clear" w:color="auto" w:fill="FFFFFF"/>
        </w:rPr>
        <w:t>T</w:t>
      </w:r>
      <w:r w:rsidR="00FE44A8">
        <w:rPr>
          <w:rFonts w:ascii="Arial" w:hAnsi="Arial" w:cs="Arial"/>
          <w:sz w:val="24"/>
          <w:szCs w:val="24"/>
          <w:shd w:val="clear" w:color="auto" w:fill="FFFFFF"/>
        </w:rPr>
        <w:t>ae</w:t>
      </w:r>
      <w:r w:rsidRPr="00CB73E5">
        <w:rPr>
          <w:rFonts w:ascii="Arial" w:hAnsi="Arial" w:cs="Arial"/>
          <w:sz w:val="24"/>
          <w:szCs w:val="24"/>
          <w:shd w:val="clear" w:color="auto" w:fill="FFFFFF"/>
        </w:rPr>
        <w:t>, W.K. and D</w:t>
      </w:r>
      <w:r w:rsidR="00FE44A8" w:rsidRPr="00CB73E5">
        <w:rPr>
          <w:rFonts w:ascii="Arial" w:hAnsi="Arial" w:cs="Arial"/>
          <w:sz w:val="24"/>
          <w:szCs w:val="24"/>
          <w:shd w:val="clear" w:color="auto" w:fill="FFFFFF"/>
        </w:rPr>
        <w:t>onaldson</w:t>
      </w:r>
      <w:r w:rsidRPr="00CB73E5">
        <w:rPr>
          <w:rFonts w:ascii="Arial" w:hAnsi="Arial" w:cs="Arial"/>
          <w:sz w:val="24"/>
          <w:szCs w:val="24"/>
          <w:shd w:val="clear" w:color="auto" w:fill="FFFFFF"/>
        </w:rPr>
        <w:t>, T., 2018. Rethinking Right: Moral Epistemology in Management Research: JBE. </w:t>
      </w:r>
      <w:r w:rsidRPr="00CB73E5">
        <w:rPr>
          <w:rFonts w:ascii="Arial" w:hAnsi="Arial" w:cs="Arial"/>
          <w:i/>
          <w:iCs/>
          <w:sz w:val="24"/>
          <w:szCs w:val="24"/>
          <w:shd w:val="clear" w:color="auto" w:fill="FFFFFF"/>
        </w:rPr>
        <w:t>Journal of Business Ethics, </w:t>
      </w:r>
      <w:r w:rsidRPr="00CB73E5">
        <w:rPr>
          <w:rFonts w:ascii="Arial" w:hAnsi="Arial" w:cs="Arial"/>
          <w:b/>
          <w:bCs/>
          <w:sz w:val="24"/>
          <w:szCs w:val="24"/>
          <w:shd w:val="clear" w:color="auto" w:fill="FFFFFF"/>
        </w:rPr>
        <w:t>148</w:t>
      </w:r>
      <w:r w:rsidRPr="00CB73E5">
        <w:rPr>
          <w:rFonts w:ascii="Arial" w:hAnsi="Arial" w:cs="Arial"/>
          <w:sz w:val="24"/>
          <w:szCs w:val="24"/>
          <w:shd w:val="clear" w:color="auto" w:fill="FFFFFF"/>
        </w:rPr>
        <w:t>(1), pp. 5-20.</w:t>
      </w:r>
    </w:p>
    <w:p w14:paraId="34685B1F" w14:textId="32AAE47C" w:rsidR="009B4E69" w:rsidRPr="00CB73E5" w:rsidRDefault="00AB1812">
      <w:pPr>
        <w:rPr>
          <w:rFonts w:ascii="Arial" w:hAnsi="Arial" w:cs="Arial"/>
          <w:sz w:val="24"/>
          <w:szCs w:val="24"/>
          <w:shd w:val="clear" w:color="auto" w:fill="FFFFFF"/>
        </w:rPr>
      </w:pPr>
      <w:r w:rsidRPr="00CB73E5">
        <w:rPr>
          <w:rFonts w:ascii="Arial" w:hAnsi="Arial" w:cs="Arial"/>
          <w:sz w:val="24"/>
          <w:szCs w:val="24"/>
          <w:shd w:val="clear" w:color="auto" w:fill="FFFFFF"/>
        </w:rPr>
        <w:t>Y</w:t>
      </w:r>
      <w:r w:rsidR="00FE44A8" w:rsidRPr="00CB73E5">
        <w:rPr>
          <w:rFonts w:ascii="Arial" w:hAnsi="Arial" w:cs="Arial"/>
          <w:sz w:val="24"/>
          <w:szCs w:val="24"/>
          <w:shd w:val="clear" w:color="auto" w:fill="FFFFFF"/>
        </w:rPr>
        <w:t>ao-chin</w:t>
      </w:r>
      <w:r w:rsidRPr="00CB73E5">
        <w:rPr>
          <w:rFonts w:ascii="Arial" w:hAnsi="Arial" w:cs="Arial"/>
          <w:sz w:val="24"/>
          <w:szCs w:val="24"/>
          <w:shd w:val="clear" w:color="auto" w:fill="FFFFFF"/>
        </w:rPr>
        <w:t xml:space="preserve">, W., CHRISTINA GENG-QING CHI and </w:t>
      </w:r>
      <w:proofErr w:type="spellStart"/>
      <w:r w:rsidR="00FE44A8">
        <w:rPr>
          <w:rFonts w:ascii="Arial" w:hAnsi="Arial" w:cs="Arial"/>
          <w:sz w:val="24"/>
          <w:szCs w:val="24"/>
          <w:shd w:val="clear" w:color="auto" w:fill="FFFFFF"/>
        </w:rPr>
        <w:t>E</w:t>
      </w:r>
      <w:r w:rsidR="00FE44A8" w:rsidRPr="00CB73E5">
        <w:rPr>
          <w:rFonts w:ascii="Arial" w:hAnsi="Arial" w:cs="Arial"/>
          <w:sz w:val="24"/>
          <w:szCs w:val="24"/>
          <w:shd w:val="clear" w:color="auto" w:fill="FFFFFF"/>
        </w:rPr>
        <w:t>rkiliç</w:t>
      </w:r>
      <w:proofErr w:type="spellEnd"/>
      <w:r w:rsidRPr="00CB73E5">
        <w:rPr>
          <w:rFonts w:ascii="Arial" w:hAnsi="Arial" w:cs="Arial"/>
          <w:sz w:val="24"/>
          <w:szCs w:val="24"/>
          <w:shd w:val="clear" w:color="auto" w:fill="FFFFFF"/>
        </w:rPr>
        <w:t>, E., 2021. The impact of religiosity on political skill: evidence from Muslim hotel employees in Turkey. </w:t>
      </w:r>
      <w:r w:rsidRPr="00CB73E5">
        <w:rPr>
          <w:rFonts w:ascii="Arial" w:hAnsi="Arial" w:cs="Arial"/>
          <w:i/>
          <w:iCs/>
          <w:sz w:val="24"/>
          <w:szCs w:val="24"/>
          <w:shd w:val="clear" w:color="auto" w:fill="FFFFFF"/>
        </w:rPr>
        <w:t>International Journal of Contemporary Hospitality Management, </w:t>
      </w:r>
      <w:r w:rsidRPr="00CB73E5">
        <w:rPr>
          <w:rFonts w:ascii="Arial" w:hAnsi="Arial" w:cs="Arial"/>
          <w:b/>
          <w:bCs/>
          <w:sz w:val="24"/>
          <w:szCs w:val="24"/>
          <w:shd w:val="clear" w:color="auto" w:fill="FFFFFF"/>
        </w:rPr>
        <w:t>33</w:t>
      </w:r>
      <w:r w:rsidRPr="00CB73E5">
        <w:rPr>
          <w:rFonts w:ascii="Arial" w:hAnsi="Arial" w:cs="Arial"/>
          <w:sz w:val="24"/>
          <w:szCs w:val="24"/>
          <w:shd w:val="clear" w:color="auto" w:fill="FFFFFF"/>
        </w:rPr>
        <w:t>(3), pp. 1059-1079.</w:t>
      </w:r>
    </w:p>
    <w:p w14:paraId="34C5E35E" w14:textId="74268320" w:rsidR="00AB1812" w:rsidRPr="00CB73E5" w:rsidRDefault="0020147F">
      <w:pPr>
        <w:rPr>
          <w:rFonts w:ascii="Arial" w:hAnsi="Arial" w:cs="Arial"/>
          <w:sz w:val="24"/>
          <w:szCs w:val="24"/>
          <w:shd w:val="clear" w:color="auto" w:fill="FFFFFF"/>
        </w:rPr>
      </w:pPr>
      <w:r w:rsidRPr="00CB73E5">
        <w:rPr>
          <w:rFonts w:ascii="Arial" w:hAnsi="Arial" w:cs="Arial"/>
          <w:sz w:val="24"/>
          <w:szCs w:val="24"/>
          <w:shd w:val="clear" w:color="auto" w:fill="FFFFFF"/>
        </w:rPr>
        <w:t>Z</w:t>
      </w:r>
      <w:r w:rsidR="00FE44A8">
        <w:rPr>
          <w:rFonts w:ascii="Arial" w:hAnsi="Arial" w:cs="Arial"/>
          <w:sz w:val="24"/>
          <w:szCs w:val="24"/>
          <w:shd w:val="clear" w:color="auto" w:fill="FFFFFF"/>
        </w:rPr>
        <w:t>hao</w:t>
      </w:r>
      <w:r w:rsidRPr="00CB73E5">
        <w:rPr>
          <w:rFonts w:ascii="Arial" w:hAnsi="Arial" w:cs="Arial"/>
          <w:sz w:val="24"/>
          <w:szCs w:val="24"/>
          <w:shd w:val="clear" w:color="auto" w:fill="FFFFFF"/>
        </w:rPr>
        <w:t>, D., H</w:t>
      </w:r>
      <w:r w:rsidR="00FE44A8">
        <w:rPr>
          <w:rFonts w:ascii="Arial" w:hAnsi="Arial" w:cs="Arial"/>
          <w:sz w:val="24"/>
          <w:szCs w:val="24"/>
          <w:shd w:val="clear" w:color="auto" w:fill="FFFFFF"/>
        </w:rPr>
        <w:t>e</w:t>
      </w:r>
      <w:r w:rsidRPr="00CB73E5">
        <w:rPr>
          <w:rFonts w:ascii="Arial" w:hAnsi="Arial" w:cs="Arial"/>
          <w:sz w:val="24"/>
          <w:szCs w:val="24"/>
          <w:shd w:val="clear" w:color="auto" w:fill="FFFFFF"/>
        </w:rPr>
        <w:t>, Y. and Z</w:t>
      </w:r>
      <w:r w:rsidR="00FE44A8">
        <w:rPr>
          <w:rFonts w:ascii="Arial" w:hAnsi="Arial" w:cs="Arial"/>
          <w:sz w:val="24"/>
          <w:szCs w:val="24"/>
          <w:shd w:val="clear" w:color="auto" w:fill="FFFFFF"/>
        </w:rPr>
        <w:t>hong</w:t>
      </w:r>
      <w:r w:rsidRPr="00CB73E5">
        <w:rPr>
          <w:rFonts w:ascii="Arial" w:hAnsi="Arial" w:cs="Arial"/>
          <w:sz w:val="24"/>
          <w:szCs w:val="24"/>
          <w:shd w:val="clear" w:color="auto" w:fill="FFFFFF"/>
        </w:rPr>
        <w:t>, Y., 2018. Corporate social responsibility information disclosure objective or not. </w:t>
      </w:r>
      <w:r w:rsidRPr="00CB73E5">
        <w:rPr>
          <w:rFonts w:ascii="Arial" w:hAnsi="Arial" w:cs="Arial"/>
          <w:i/>
          <w:iCs/>
          <w:sz w:val="24"/>
          <w:szCs w:val="24"/>
          <w:shd w:val="clear" w:color="auto" w:fill="FFFFFF"/>
        </w:rPr>
        <w:t>Nankai Business Review International, </w:t>
      </w:r>
      <w:r w:rsidRPr="00CB73E5">
        <w:rPr>
          <w:rFonts w:ascii="Arial" w:hAnsi="Arial" w:cs="Arial"/>
          <w:b/>
          <w:bCs/>
          <w:sz w:val="24"/>
          <w:szCs w:val="24"/>
          <w:shd w:val="clear" w:color="auto" w:fill="FFFFFF"/>
        </w:rPr>
        <w:t>9</w:t>
      </w:r>
      <w:r w:rsidRPr="00CB73E5">
        <w:rPr>
          <w:rFonts w:ascii="Arial" w:hAnsi="Arial" w:cs="Arial"/>
          <w:sz w:val="24"/>
          <w:szCs w:val="24"/>
          <w:shd w:val="clear" w:color="auto" w:fill="FFFFFF"/>
        </w:rPr>
        <w:t>(4), pp. 519-539.</w:t>
      </w:r>
    </w:p>
    <w:p w14:paraId="10040C22" w14:textId="054A9EBB" w:rsidR="0020147F" w:rsidRPr="00CB73E5" w:rsidRDefault="0032042E">
      <w:pPr>
        <w:rPr>
          <w:rFonts w:ascii="Arial" w:hAnsi="Arial" w:cs="Arial"/>
          <w:sz w:val="24"/>
          <w:szCs w:val="24"/>
          <w:shd w:val="clear" w:color="auto" w:fill="FFFFFF"/>
        </w:rPr>
      </w:pPr>
      <w:proofErr w:type="spellStart"/>
      <w:r w:rsidRPr="00CB73E5">
        <w:rPr>
          <w:rFonts w:ascii="Arial" w:hAnsi="Arial" w:cs="Arial"/>
          <w:sz w:val="24"/>
          <w:szCs w:val="24"/>
          <w:shd w:val="clear" w:color="auto" w:fill="FFFFFF"/>
        </w:rPr>
        <w:t>Z</w:t>
      </w:r>
      <w:r w:rsidR="00FE44A8">
        <w:rPr>
          <w:rFonts w:ascii="Arial" w:hAnsi="Arial" w:cs="Arial"/>
          <w:sz w:val="24"/>
          <w:szCs w:val="24"/>
          <w:shd w:val="clear" w:color="auto" w:fill="FFFFFF"/>
        </w:rPr>
        <w:t>yphur</w:t>
      </w:r>
      <w:proofErr w:type="spellEnd"/>
      <w:r w:rsidRPr="00CB73E5">
        <w:rPr>
          <w:rFonts w:ascii="Arial" w:hAnsi="Arial" w:cs="Arial"/>
          <w:sz w:val="24"/>
          <w:szCs w:val="24"/>
          <w:shd w:val="clear" w:color="auto" w:fill="FFFFFF"/>
        </w:rPr>
        <w:t xml:space="preserve">, M.J. and </w:t>
      </w:r>
      <w:proofErr w:type="spellStart"/>
      <w:r w:rsidRPr="00CB73E5">
        <w:rPr>
          <w:rFonts w:ascii="Arial" w:hAnsi="Arial" w:cs="Arial"/>
          <w:sz w:val="24"/>
          <w:szCs w:val="24"/>
          <w:shd w:val="clear" w:color="auto" w:fill="FFFFFF"/>
        </w:rPr>
        <w:t>P</w:t>
      </w:r>
      <w:r w:rsidR="00FE44A8">
        <w:rPr>
          <w:rFonts w:ascii="Arial" w:hAnsi="Arial" w:cs="Arial"/>
          <w:sz w:val="24"/>
          <w:szCs w:val="24"/>
          <w:shd w:val="clear" w:color="auto" w:fill="FFFFFF"/>
        </w:rPr>
        <w:t>ierides</w:t>
      </w:r>
      <w:proofErr w:type="spellEnd"/>
      <w:r w:rsidRPr="00CB73E5">
        <w:rPr>
          <w:rFonts w:ascii="Arial" w:hAnsi="Arial" w:cs="Arial"/>
          <w:sz w:val="24"/>
          <w:szCs w:val="24"/>
          <w:shd w:val="clear" w:color="auto" w:fill="FFFFFF"/>
        </w:rPr>
        <w:t>, D.C., 2017. Is Quantitative Research Ethical? Tools for Ethically Practicing, Evaluating, and Using Quantitative Research: JBE. </w:t>
      </w:r>
      <w:r w:rsidRPr="00CB73E5">
        <w:rPr>
          <w:rFonts w:ascii="Arial" w:hAnsi="Arial" w:cs="Arial"/>
          <w:i/>
          <w:iCs/>
          <w:sz w:val="24"/>
          <w:szCs w:val="24"/>
          <w:shd w:val="clear" w:color="auto" w:fill="FFFFFF"/>
        </w:rPr>
        <w:t>Journal of Business Ethics, </w:t>
      </w:r>
      <w:r w:rsidRPr="00CB73E5">
        <w:rPr>
          <w:rFonts w:ascii="Arial" w:hAnsi="Arial" w:cs="Arial"/>
          <w:b/>
          <w:bCs/>
          <w:sz w:val="24"/>
          <w:szCs w:val="24"/>
          <w:shd w:val="clear" w:color="auto" w:fill="FFFFFF"/>
        </w:rPr>
        <w:t>143</w:t>
      </w:r>
      <w:r w:rsidRPr="00CB73E5">
        <w:rPr>
          <w:rFonts w:ascii="Arial" w:hAnsi="Arial" w:cs="Arial"/>
          <w:sz w:val="24"/>
          <w:szCs w:val="24"/>
          <w:shd w:val="clear" w:color="auto" w:fill="FFFFFF"/>
        </w:rPr>
        <w:t>(1), pp. 1-16.</w:t>
      </w:r>
    </w:p>
    <w:p w14:paraId="4544660B" w14:textId="77777777" w:rsidR="0032042E" w:rsidRPr="00CB73E5" w:rsidRDefault="0032042E">
      <w:pPr>
        <w:rPr>
          <w:rFonts w:ascii="Arial" w:hAnsi="Arial" w:cs="Arial"/>
          <w:sz w:val="24"/>
          <w:szCs w:val="24"/>
        </w:rPr>
      </w:pPr>
    </w:p>
    <w:sectPr w:rsidR="0032042E" w:rsidRPr="00CB73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0733"/>
    <w:multiLevelType w:val="multilevel"/>
    <w:tmpl w:val="CBAE8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F035BA"/>
    <w:multiLevelType w:val="multilevel"/>
    <w:tmpl w:val="BC129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E69"/>
    <w:rsid w:val="000176D6"/>
    <w:rsid w:val="00021744"/>
    <w:rsid w:val="00133901"/>
    <w:rsid w:val="001B603A"/>
    <w:rsid w:val="001C0A8D"/>
    <w:rsid w:val="0020147F"/>
    <w:rsid w:val="0022103B"/>
    <w:rsid w:val="00226E38"/>
    <w:rsid w:val="00295D8E"/>
    <w:rsid w:val="00303030"/>
    <w:rsid w:val="00311DB4"/>
    <w:rsid w:val="0032042E"/>
    <w:rsid w:val="003D278E"/>
    <w:rsid w:val="004146FD"/>
    <w:rsid w:val="00472902"/>
    <w:rsid w:val="004868DE"/>
    <w:rsid w:val="004E4B7C"/>
    <w:rsid w:val="00550356"/>
    <w:rsid w:val="00601B60"/>
    <w:rsid w:val="006614AD"/>
    <w:rsid w:val="00662D74"/>
    <w:rsid w:val="00695258"/>
    <w:rsid w:val="006B32F8"/>
    <w:rsid w:val="007A124C"/>
    <w:rsid w:val="008157D2"/>
    <w:rsid w:val="00851998"/>
    <w:rsid w:val="00931602"/>
    <w:rsid w:val="00994818"/>
    <w:rsid w:val="009B4E69"/>
    <w:rsid w:val="00A03982"/>
    <w:rsid w:val="00A83970"/>
    <w:rsid w:val="00A930D1"/>
    <w:rsid w:val="00AB1812"/>
    <w:rsid w:val="00B01C6F"/>
    <w:rsid w:val="00C24E69"/>
    <w:rsid w:val="00C63401"/>
    <w:rsid w:val="00CB73E5"/>
    <w:rsid w:val="00CF2C01"/>
    <w:rsid w:val="00ED691F"/>
    <w:rsid w:val="00FA48E2"/>
    <w:rsid w:val="00FC158C"/>
    <w:rsid w:val="00FE4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9AA7"/>
  <w15:chartTrackingRefBased/>
  <w15:docId w15:val="{41ACDB89-2133-429D-B9F6-D80BE52D7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95D8E"/>
    <w:pPr>
      <w:keepNext/>
      <w:spacing w:after="0" w:line="288" w:lineRule="auto"/>
      <w:jc w:val="center"/>
      <w:outlineLvl w:val="0"/>
    </w:pPr>
    <w:rPr>
      <w:rFonts w:ascii="Times New Roman" w:eastAsia="Times New Roman" w:hAnsi="Times New Roman" w:cs="Times New Roman"/>
      <w:b/>
      <w:smallCaps/>
      <w:kern w:val="28"/>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1DB4"/>
    <w:rPr>
      <w:color w:val="0000FF"/>
      <w:u w:val="single"/>
    </w:rPr>
  </w:style>
  <w:style w:type="character" w:styleId="UnresolvedMention">
    <w:name w:val="Unresolved Mention"/>
    <w:basedOn w:val="DefaultParagraphFont"/>
    <w:uiPriority w:val="99"/>
    <w:semiHidden/>
    <w:unhideWhenUsed/>
    <w:rsid w:val="004E4B7C"/>
    <w:rPr>
      <w:color w:val="605E5C"/>
      <w:shd w:val="clear" w:color="auto" w:fill="E1DFDD"/>
    </w:rPr>
  </w:style>
  <w:style w:type="paragraph" w:styleId="NormalWeb">
    <w:name w:val="Normal (Web)"/>
    <w:basedOn w:val="Normal"/>
    <w:uiPriority w:val="99"/>
    <w:unhideWhenUsed/>
    <w:rsid w:val="00FA48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01B60"/>
    <w:rPr>
      <w:i/>
      <w:iCs/>
    </w:rPr>
  </w:style>
  <w:style w:type="character" w:customStyle="1" w:styleId="Heading1Char">
    <w:name w:val="Heading 1 Char"/>
    <w:basedOn w:val="DefaultParagraphFont"/>
    <w:link w:val="Heading1"/>
    <w:rsid w:val="00295D8E"/>
    <w:rPr>
      <w:rFonts w:ascii="Times New Roman" w:eastAsia="Times New Roman" w:hAnsi="Times New Roman" w:cs="Times New Roman"/>
      <w:b/>
      <w:smallCaps/>
      <w:kern w:val="28"/>
      <w:sz w:val="36"/>
      <w:szCs w:val="20"/>
      <w:lang w:val="en-US"/>
    </w:rPr>
  </w:style>
  <w:style w:type="paragraph" w:customStyle="1" w:styleId="FirstPageAuthor">
    <w:name w:val="First Page Author"/>
    <w:rsid w:val="00295D8E"/>
    <w:pPr>
      <w:spacing w:after="0" w:line="288" w:lineRule="auto"/>
      <w:jc w:val="center"/>
    </w:pPr>
    <w:rPr>
      <w:rFonts w:ascii="Times New Roman" w:eastAsia="Times New Roman" w:hAnsi="Times New Roman" w:cs="Times New Roman"/>
      <w:b/>
      <w:i/>
      <w:noProof/>
      <w:sz w:val="28"/>
      <w:szCs w:val="20"/>
      <w:lang w:val="en-US"/>
    </w:rPr>
  </w:style>
  <w:style w:type="paragraph" w:customStyle="1" w:styleId="nova-e-listitem">
    <w:name w:val="nova-e-list__item"/>
    <w:basedOn w:val="Normal"/>
    <w:rsid w:val="009948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3567">
      <w:bodyDiv w:val="1"/>
      <w:marLeft w:val="0"/>
      <w:marRight w:val="0"/>
      <w:marTop w:val="0"/>
      <w:marBottom w:val="0"/>
      <w:divBdr>
        <w:top w:val="none" w:sz="0" w:space="0" w:color="auto"/>
        <w:left w:val="none" w:sz="0" w:space="0" w:color="auto"/>
        <w:bottom w:val="none" w:sz="0" w:space="0" w:color="auto"/>
        <w:right w:val="none" w:sz="0" w:space="0" w:color="auto"/>
      </w:divBdr>
      <w:divsChild>
        <w:div w:id="98186666">
          <w:marLeft w:val="0"/>
          <w:marRight w:val="0"/>
          <w:marTop w:val="0"/>
          <w:marBottom w:val="0"/>
          <w:divBdr>
            <w:top w:val="none" w:sz="0" w:space="0" w:color="auto"/>
            <w:left w:val="none" w:sz="0" w:space="0" w:color="auto"/>
            <w:bottom w:val="none" w:sz="0" w:space="0" w:color="auto"/>
            <w:right w:val="none" w:sz="0" w:space="0" w:color="auto"/>
          </w:divBdr>
          <w:divsChild>
            <w:div w:id="1878425042">
              <w:marLeft w:val="0"/>
              <w:marRight w:val="0"/>
              <w:marTop w:val="0"/>
              <w:marBottom w:val="0"/>
              <w:divBdr>
                <w:top w:val="none" w:sz="0" w:space="0" w:color="auto"/>
                <w:left w:val="none" w:sz="0" w:space="0" w:color="auto"/>
                <w:bottom w:val="none" w:sz="0" w:space="0" w:color="auto"/>
                <w:right w:val="none" w:sz="0" w:space="0" w:color="auto"/>
              </w:divBdr>
            </w:div>
          </w:divsChild>
        </w:div>
        <w:div w:id="251622413">
          <w:marLeft w:val="0"/>
          <w:marRight w:val="0"/>
          <w:marTop w:val="0"/>
          <w:marBottom w:val="0"/>
          <w:divBdr>
            <w:top w:val="none" w:sz="0" w:space="0" w:color="auto"/>
            <w:left w:val="none" w:sz="0" w:space="0" w:color="auto"/>
            <w:bottom w:val="none" w:sz="0" w:space="0" w:color="auto"/>
            <w:right w:val="none" w:sz="0" w:space="0" w:color="auto"/>
          </w:divBdr>
          <w:divsChild>
            <w:div w:id="1083139460">
              <w:marLeft w:val="0"/>
              <w:marRight w:val="0"/>
              <w:marTop w:val="0"/>
              <w:marBottom w:val="0"/>
              <w:divBdr>
                <w:top w:val="none" w:sz="0" w:space="0" w:color="auto"/>
                <w:left w:val="none" w:sz="0" w:space="0" w:color="auto"/>
                <w:bottom w:val="none" w:sz="0" w:space="0" w:color="auto"/>
                <w:right w:val="none" w:sz="0" w:space="0" w:color="auto"/>
              </w:divBdr>
            </w:div>
          </w:divsChild>
        </w:div>
        <w:div w:id="1541043388">
          <w:marLeft w:val="0"/>
          <w:marRight w:val="0"/>
          <w:marTop w:val="0"/>
          <w:marBottom w:val="105"/>
          <w:divBdr>
            <w:top w:val="none" w:sz="0" w:space="0" w:color="auto"/>
            <w:left w:val="none" w:sz="0" w:space="0" w:color="auto"/>
            <w:bottom w:val="none" w:sz="0" w:space="0" w:color="auto"/>
            <w:right w:val="none" w:sz="0" w:space="0" w:color="auto"/>
          </w:divBdr>
          <w:divsChild>
            <w:div w:id="125824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53049">
      <w:bodyDiv w:val="1"/>
      <w:marLeft w:val="0"/>
      <w:marRight w:val="0"/>
      <w:marTop w:val="0"/>
      <w:marBottom w:val="0"/>
      <w:divBdr>
        <w:top w:val="none" w:sz="0" w:space="0" w:color="auto"/>
        <w:left w:val="none" w:sz="0" w:space="0" w:color="auto"/>
        <w:bottom w:val="none" w:sz="0" w:space="0" w:color="auto"/>
        <w:right w:val="none" w:sz="0" w:space="0" w:color="auto"/>
      </w:divBdr>
      <w:divsChild>
        <w:div w:id="1094479188">
          <w:marLeft w:val="0"/>
          <w:marRight w:val="0"/>
          <w:marTop w:val="0"/>
          <w:marBottom w:val="75"/>
          <w:divBdr>
            <w:top w:val="none" w:sz="0" w:space="0" w:color="auto"/>
            <w:left w:val="none" w:sz="0" w:space="0" w:color="auto"/>
            <w:bottom w:val="none" w:sz="0" w:space="0" w:color="auto"/>
            <w:right w:val="none" w:sz="0" w:space="0" w:color="auto"/>
          </w:divBdr>
        </w:div>
        <w:div w:id="1674264961">
          <w:marLeft w:val="0"/>
          <w:marRight w:val="0"/>
          <w:marTop w:val="0"/>
          <w:marBottom w:val="75"/>
          <w:divBdr>
            <w:top w:val="none" w:sz="0" w:space="0" w:color="auto"/>
            <w:left w:val="none" w:sz="0" w:space="0" w:color="auto"/>
            <w:bottom w:val="none" w:sz="0" w:space="0" w:color="auto"/>
            <w:right w:val="none" w:sz="0" w:space="0" w:color="auto"/>
          </w:divBdr>
        </w:div>
      </w:divsChild>
    </w:div>
    <w:div w:id="472798573">
      <w:bodyDiv w:val="1"/>
      <w:marLeft w:val="0"/>
      <w:marRight w:val="0"/>
      <w:marTop w:val="0"/>
      <w:marBottom w:val="0"/>
      <w:divBdr>
        <w:top w:val="none" w:sz="0" w:space="0" w:color="auto"/>
        <w:left w:val="none" w:sz="0" w:space="0" w:color="auto"/>
        <w:bottom w:val="none" w:sz="0" w:space="0" w:color="auto"/>
        <w:right w:val="none" w:sz="0" w:space="0" w:color="auto"/>
      </w:divBdr>
      <w:divsChild>
        <w:div w:id="1092581513">
          <w:marLeft w:val="0"/>
          <w:marRight w:val="0"/>
          <w:marTop w:val="0"/>
          <w:marBottom w:val="0"/>
          <w:divBdr>
            <w:top w:val="none" w:sz="0" w:space="0" w:color="auto"/>
            <w:left w:val="none" w:sz="0" w:space="0" w:color="auto"/>
            <w:bottom w:val="none" w:sz="0" w:space="0" w:color="auto"/>
            <w:right w:val="none" w:sz="0" w:space="0" w:color="auto"/>
          </w:divBdr>
          <w:divsChild>
            <w:div w:id="785195199">
              <w:marLeft w:val="0"/>
              <w:marRight w:val="0"/>
              <w:marTop w:val="0"/>
              <w:marBottom w:val="0"/>
              <w:divBdr>
                <w:top w:val="none" w:sz="0" w:space="0" w:color="auto"/>
                <w:left w:val="none" w:sz="0" w:space="0" w:color="auto"/>
                <w:bottom w:val="none" w:sz="0" w:space="0" w:color="auto"/>
                <w:right w:val="none" w:sz="0" w:space="0" w:color="auto"/>
              </w:divBdr>
            </w:div>
          </w:divsChild>
        </w:div>
        <w:div w:id="861436830">
          <w:marLeft w:val="0"/>
          <w:marRight w:val="0"/>
          <w:marTop w:val="0"/>
          <w:marBottom w:val="0"/>
          <w:divBdr>
            <w:top w:val="none" w:sz="0" w:space="0" w:color="auto"/>
            <w:left w:val="none" w:sz="0" w:space="0" w:color="auto"/>
            <w:bottom w:val="none" w:sz="0" w:space="0" w:color="auto"/>
            <w:right w:val="none" w:sz="0" w:space="0" w:color="auto"/>
          </w:divBdr>
          <w:divsChild>
            <w:div w:id="110830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654312">
      <w:bodyDiv w:val="1"/>
      <w:marLeft w:val="0"/>
      <w:marRight w:val="0"/>
      <w:marTop w:val="0"/>
      <w:marBottom w:val="0"/>
      <w:divBdr>
        <w:top w:val="none" w:sz="0" w:space="0" w:color="auto"/>
        <w:left w:val="none" w:sz="0" w:space="0" w:color="auto"/>
        <w:bottom w:val="none" w:sz="0" w:space="0" w:color="auto"/>
        <w:right w:val="none" w:sz="0" w:space="0" w:color="auto"/>
      </w:divBdr>
      <w:divsChild>
        <w:div w:id="1010717432">
          <w:marLeft w:val="0"/>
          <w:marRight w:val="0"/>
          <w:marTop w:val="0"/>
          <w:marBottom w:val="0"/>
          <w:divBdr>
            <w:top w:val="none" w:sz="0" w:space="0" w:color="auto"/>
            <w:left w:val="none" w:sz="0" w:space="0" w:color="auto"/>
            <w:bottom w:val="none" w:sz="0" w:space="0" w:color="auto"/>
            <w:right w:val="none" w:sz="0" w:space="0" w:color="auto"/>
          </w:divBdr>
        </w:div>
      </w:divsChild>
    </w:div>
    <w:div w:id="733624972">
      <w:bodyDiv w:val="1"/>
      <w:marLeft w:val="0"/>
      <w:marRight w:val="0"/>
      <w:marTop w:val="0"/>
      <w:marBottom w:val="0"/>
      <w:divBdr>
        <w:top w:val="none" w:sz="0" w:space="0" w:color="auto"/>
        <w:left w:val="none" w:sz="0" w:space="0" w:color="auto"/>
        <w:bottom w:val="none" w:sz="0" w:space="0" w:color="auto"/>
        <w:right w:val="none" w:sz="0" w:space="0" w:color="auto"/>
      </w:divBdr>
    </w:div>
    <w:div w:id="734283906">
      <w:bodyDiv w:val="1"/>
      <w:marLeft w:val="0"/>
      <w:marRight w:val="0"/>
      <w:marTop w:val="0"/>
      <w:marBottom w:val="0"/>
      <w:divBdr>
        <w:top w:val="none" w:sz="0" w:space="0" w:color="auto"/>
        <w:left w:val="none" w:sz="0" w:space="0" w:color="auto"/>
        <w:bottom w:val="none" w:sz="0" w:space="0" w:color="auto"/>
        <w:right w:val="none" w:sz="0" w:space="0" w:color="auto"/>
      </w:divBdr>
    </w:div>
    <w:div w:id="1302811312">
      <w:bodyDiv w:val="1"/>
      <w:marLeft w:val="0"/>
      <w:marRight w:val="0"/>
      <w:marTop w:val="0"/>
      <w:marBottom w:val="0"/>
      <w:divBdr>
        <w:top w:val="none" w:sz="0" w:space="0" w:color="auto"/>
        <w:left w:val="none" w:sz="0" w:space="0" w:color="auto"/>
        <w:bottom w:val="none" w:sz="0" w:space="0" w:color="auto"/>
        <w:right w:val="none" w:sz="0" w:space="0" w:color="auto"/>
      </w:divBdr>
      <w:divsChild>
        <w:div w:id="246352490">
          <w:marLeft w:val="0"/>
          <w:marRight w:val="0"/>
          <w:marTop w:val="0"/>
          <w:marBottom w:val="0"/>
          <w:divBdr>
            <w:top w:val="none" w:sz="0" w:space="0" w:color="auto"/>
            <w:left w:val="none" w:sz="0" w:space="0" w:color="auto"/>
            <w:bottom w:val="none" w:sz="0" w:space="0" w:color="auto"/>
            <w:right w:val="none" w:sz="0" w:space="0" w:color="auto"/>
          </w:divBdr>
          <w:divsChild>
            <w:div w:id="1118067098">
              <w:marLeft w:val="0"/>
              <w:marRight w:val="0"/>
              <w:marTop w:val="0"/>
              <w:marBottom w:val="0"/>
              <w:divBdr>
                <w:top w:val="none" w:sz="0" w:space="0" w:color="auto"/>
                <w:left w:val="none" w:sz="0" w:space="0" w:color="auto"/>
                <w:bottom w:val="none" w:sz="0" w:space="0" w:color="auto"/>
                <w:right w:val="none" w:sz="0" w:space="0" w:color="auto"/>
              </w:divBdr>
            </w:div>
          </w:divsChild>
        </w:div>
        <w:div w:id="171458182">
          <w:marLeft w:val="0"/>
          <w:marRight w:val="0"/>
          <w:marTop w:val="0"/>
          <w:marBottom w:val="0"/>
          <w:divBdr>
            <w:top w:val="none" w:sz="0" w:space="0" w:color="auto"/>
            <w:left w:val="none" w:sz="0" w:space="0" w:color="auto"/>
            <w:bottom w:val="none" w:sz="0" w:space="0" w:color="auto"/>
            <w:right w:val="none" w:sz="0" w:space="0" w:color="auto"/>
          </w:divBdr>
          <w:divsChild>
            <w:div w:id="519469772">
              <w:marLeft w:val="0"/>
              <w:marRight w:val="0"/>
              <w:marTop w:val="0"/>
              <w:marBottom w:val="0"/>
              <w:divBdr>
                <w:top w:val="none" w:sz="0" w:space="0" w:color="auto"/>
                <w:left w:val="none" w:sz="0" w:space="0" w:color="auto"/>
                <w:bottom w:val="none" w:sz="0" w:space="0" w:color="auto"/>
                <w:right w:val="none" w:sz="0" w:space="0" w:color="auto"/>
              </w:divBdr>
            </w:div>
          </w:divsChild>
        </w:div>
        <w:div w:id="1048142336">
          <w:marLeft w:val="0"/>
          <w:marRight w:val="0"/>
          <w:marTop w:val="0"/>
          <w:marBottom w:val="105"/>
          <w:divBdr>
            <w:top w:val="none" w:sz="0" w:space="0" w:color="auto"/>
            <w:left w:val="none" w:sz="0" w:space="0" w:color="auto"/>
            <w:bottom w:val="none" w:sz="0" w:space="0" w:color="auto"/>
            <w:right w:val="none" w:sz="0" w:space="0" w:color="auto"/>
          </w:divBdr>
          <w:divsChild>
            <w:div w:id="6666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publication/issn/0309-0566" TargetMode="External"/><Relationship Id="rId13" Type="http://schemas.openxmlformats.org/officeDocument/2006/relationships/hyperlink" Target="https://doi-org.ezproxy.uwtsd.ac.uk/10.1057/s41270-021-00108-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erald.com/insight/search?q=Stephen%20Brown" TargetMode="External"/><Relationship Id="rId12" Type="http://schemas.openxmlformats.org/officeDocument/2006/relationships/hyperlink" Target="http://almanaquemilitar.com/site/wp-content/uploads/2014/02/Military-Intelligence-Blunders.pdf" TargetMode="External"/><Relationship Id="rId17" Type="http://schemas.openxmlformats.org/officeDocument/2006/relationships/hyperlink" Target="https://www.amazon.co.uk/Visual-Research-Methods-Routledge-Revivals/dp/1138688428/ref=sr_1_1?_encoding=UTF8&amp;dchild=1&amp;qid=1616426865&amp;refinements=p_27%3A+Henry%5CcSanoff&amp;s=books&amp;sr=1-1" TargetMode="External"/><Relationship Id="rId2" Type="http://schemas.openxmlformats.org/officeDocument/2006/relationships/styles" Target="styles.xml"/><Relationship Id="rId16" Type="http://schemas.openxmlformats.org/officeDocument/2006/relationships/hyperlink" Target="https://doi.org/10.1093/bjsw/bcy054" TargetMode="External"/><Relationship Id="rId1" Type="http://schemas.openxmlformats.org/officeDocument/2006/relationships/numbering" Target="numbering.xml"/><Relationship Id="rId6" Type="http://schemas.openxmlformats.org/officeDocument/2006/relationships/hyperlink" Target="https://www.emerald.com/insight/search?q=Pauline%20Maclaran" TargetMode="External"/><Relationship Id="rId11" Type="http://schemas.openxmlformats.org/officeDocument/2006/relationships/hyperlink" Target="https://www.routledge.com/search?author=Michael%20Page" TargetMode="External"/><Relationship Id="rId5" Type="http://schemas.openxmlformats.org/officeDocument/2006/relationships/hyperlink" Target="https://www.emerald.com/insight/search?q=Lorna%20Stevens" TargetMode="External"/><Relationship Id="rId15" Type="http://schemas.openxmlformats.org/officeDocument/2006/relationships/hyperlink" Target="https://www.amazon.co.uk/Qualitative-Research-Guide-Design-Implementation/dp/111900361X/ref=sr_1_4?dchild=1&amp;keywords=objective+research&amp;qid=1616425495&amp;sr=8-4" TargetMode="External"/><Relationship Id="rId10" Type="http://schemas.openxmlformats.org/officeDocument/2006/relationships/hyperlink" Target="https://www.routledge.com/search?author=Joe%20F.%20Hair%20J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08/EJM-09-2017-0558" TargetMode="External"/><Relationship Id="rId14" Type="http://schemas.openxmlformats.org/officeDocument/2006/relationships/hyperlink" Target="https://www.sfu.ca/educ867/htm/subjectivit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Pages>
  <Words>1075</Words>
  <Characters>6131</Characters>
  <Application>Microsoft Office Word</Application>
  <DocSecurity>0</DocSecurity>
  <Lines>51</Lines>
  <Paragraphs>14</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Fara, P. (2021) Life after Gravity, Oxford, Oxford University Press.</vt:lpstr>
      <vt:lpstr>Hair Jr., J.F., Michael Page, M. &amp; , N. Brunsveld (2020) Essentials of Business </vt:lpstr>
      <vt:lpstr>ISHAQUE, M., 2021. Managing Conflict of Interests in Professional Accounting Fir</vt:lpstr>
      <vt:lpstr>James, E.A., Slater, T. and Bucknam, A. (2015) Action Research for Business, Non</vt:lpstr>
      <vt:lpstr>JUNESTRÖM, A., 2021. An emerging genre of contemporary fact-checking. Journal of</vt:lpstr>
      <vt:lpstr>Menter, I., Elliot, D., Hulme, M., Lewin, J. and Lowden, K. (2016) A Guide to Pr</vt:lpstr>
      <vt:lpstr>Merriam, S.B. and Tisdell, E.J. (2015) Qualitative Research: A Guide to Design a</vt:lpstr>
      <vt:lpstr>https://www.amazon.co.uk/Qualitative-Research-Guide-Design-Implementation/dp/111</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30</cp:revision>
  <dcterms:created xsi:type="dcterms:W3CDTF">2021-03-22T10:19:00Z</dcterms:created>
  <dcterms:modified xsi:type="dcterms:W3CDTF">2021-04-20T14:20:00Z</dcterms:modified>
</cp:coreProperties>
</file>