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724F4" w:rsidRDefault="00F724F4" w:rsidP="00F724F4">
      <w:pPr>
        <w:jc w:val="center"/>
        <w:rPr>
          <w:rFonts w:ascii="Arial" w:hAnsi="Arial" w:cs="Arial"/>
          <w:b/>
          <w:sz w:val="52"/>
          <w:szCs w:val="144"/>
          <w:u w:val="single"/>
        </w:rPr>
      </w:pPr>
    </w:p>
    <w:p w:rsidR="00F724F4" w:rsidRDefault="00F724F4" w:rsidP="00F724F4">
      <w:pPr>
        <w:jc w:val="center"/>
        <w:rPr>
          <w:rFonts w:ascii="Arial" w:hAnsi="Arial" w:cs="Arial"/>
          <w:b/>
          <w:sz w:val="52"/>
          <w:szCs w:val="144"/>
          <w:u w:val="single"/>
        </w:rPr>
      </w:pPr>
    </w:p>
    <w:p w:rsidR="00F724F4" w:rsidRPr="001145C6" w:rsidRDefault="00F724F4" w:rsidP="00F724F4">
      <w:pPr>
        <w:jc w:val="center"/>
        <w:rPr>
          <w:rFonts w:ascii="Arial" w:hAnsi="Arial" w:cs="Arial"/>
          <w:b/>
          <w:sz w:val="52"/>
          <w:szCs w:val="144"/>
          <w:u w:val="single"/>
        </w:rPr>
      </w:pPr>
      <w:r>
        <w:rPr>
          <w:rFonts w:ascii="Arial" w:hAnsi="Arial" w:cs="Arial"/>
          <w:b/>
          <w:sz w:val="52"/>
          <w:szCs w:val="144"/>
          <w:u w:val="single"/>
        </w:rPr>
        <w:t>BMHR7003</w:t>
      </w:r>
    </w:p>
    <w:p w:rsidR="00F724F4" w:rsidRDefault="00F724F4" w:rsidP="00F724F4">
      <w:pPr>
        <w:jc w:val="center"/>
        <w:rPr>
          <w:rFonts w:ascii="Arial" w:hAnsi="Arial" w:cs="Arial"/>
          <w:b/>
          <w:sz w:val="52"/>
          <w:szCs w:val="144"/>
          <w:u w:val="single"/>
        </w:rPr>
      </w:pPr>
      <w:r>
        <w:rPr>
          <w:rFonts w:ascii="Arial" w:hAnsi="Arial" w:cs="Arial"/>
          <w:b/>
          <w:sz w:val="52"/>
          <w:szCs w:val="144"/>
          <w:u w:val="single"/>
        </w:rPr>
        <w:t>Employment Law</w:t>
      </w:r>
    </w:p>
    <w:p w:rsidR="00F724F4" w:rsidRDefault="00F724F4" w:rsidP="00F724F4">
      <w:pPr>
        <w:jc w:val="center"/>
        <w:rPr>
          <w:rFonts w:ascii="Arial" w:hAnsi="Arial" w:cs="Arial"/>
          <w:b/>
          <w:sz w:val="52"/>
          <w:szCs w:val="144"/>
          <w:u w:val="single"/>
        </w:rPr>
      </w:pPr>
    </w:p>
    <w:p w:rsidR="00F724F4" w:rsidRPr="001145C6" w:rsidRDefault="00F724F4" w:rsidP="00F724F4">
      <w:pPr>
        <w:jc w:val="center"/>
        <w:rPr>
          <w:rFonts w:ascii="Arial" w:hAnsi="Arial" w:cs="Arial"/>
          <w:b/>
          <w:sz w:val="52"/>
          <w:szCs w:val="144"/>
          <w:u w:val="single"/>
        </w:rPr>
      </w:pPr>
    </w:p>
    <w:p w:rsidR="00F724F4" w:rsidRDefault="00F724F4" w:rsidP="00F724F4">
      <w:pPr>
        <w:jc w:val="center"/>
        <w:rPr>
          <w:rFonts w:ascii="Arial" w:hAnsi="Arial" w:cs="Arial"/>
          <w:b/>
          <w:sz w:val="72"/>
          <w:szCs w:val="144"/>
          <w:u w:val="single"/>
        </w:rPr>
      </w:pPr>
    </w:p>
    <w:p w:rsidR="00F724F4" w:rsidRDefault="00F724F4" w:rsidP="00F724F4">
      <w:pPr>
        <w:jc w:val="center"/>
        <w:rPr>
          <w:rFonts w:ascii="Arial" w:hAnsi="Arial" w:cs="Arial"/>
          <w:b/>
          <w:sz w:val="72"/>
          <w:szCs w:val="144"/>
          <w:u w:val="single"/>
        </w:rPr>
      </w:pPr>
      <w:r>
        <w:rPr>
          <w:rFonts w:ascii="Arial" w:hAnsi="Arial" w:cs="Arial"/>
          <w:b/>
          <w:sz w:val="72"/>
          <w:szCs w:val="144"/>
          <w:u w:val="single"/>
        </w:rPr>
        <w:t>HRM Issues at Big Buses Ltd.</w:t>
      </w:r>
    </w:p>
    <w:p w:rsidR="00F724F4" w:rsidRPr="0097144A" w:rsidRDefault="00F724F4" w:rsidP="00F724F4">
      <w:pPr>
        <w:jc w:val="center"/>
        <w:rPr>
          <w:rFonts w:ascii="Arial" w:hAnsi="Arial" w:cs="Arial"/>
          <w:b/>
          <w:sz w:val="72"/>
          <w:szCs w:val="144"/>
          <w:u w:val="single"/>
        </w:rPr>
      </w:pPr>
    </w:p>
    <w:p w:rsidR="00F724F4" w:rsidRDefault="00F724F4" w:rsidP="00F724F4">
      <w:pPr>
        <w:rPr>
          <w:rFonts w:ascii="Arial" w:hAnsi="Arial" w:cs="Arial"/>
          <w:b/>
          <w:sz w:val="52"/>
          <w:szCs w:val="144"/>
        </w:rPr>
      </w:pPr>
    </w:p>
    <w:p w:rsidR="00F724F4" w:rsidRPr="004E6A98" w:rsidRDefault="00F724F4" w:rsidP="00F724F4">
      <w:pPr>
        <w:rPr>
          <w:rFonts w:ascii="Arial" w:hAnsi="Arial" w:cs="Arial"/>
          <w:b/>
          <w:sz w:val="52"/>
          <w:szCs w:val="144"/>
        </w:rPr>
      </w:pPr>
    </w:p>
    <w:p w:rsidR="00F724F4" w:rsidRDefault="00F724F4" w:rsidP="00F724F4">
      <w:pPr>
        <w:jc w:val="center"/>
        <w:rPr>
          <w:rFonts w:ascii="Arial" w:hAnsi="Arial" w:cs="Arial"/>
          <w:b/>
          <w:sz w:val="52"/>
          <w:szCs w:val="144"/>
          <w:u w:val="single"/>
        </w:rPr>
      </w:pPr>
      <w:r w:rsidRPr="004E6A98">
        <w:rPr>
          <w:rFonts w:ascii="Arial" w:hAnsi="Arial" w:cs="Arial"/>
          <w:b/>
          <w:sz w:val="52"/>
          <w:szCs w:val="144"/>
          <w:u w:val="single"/>
        </w:rPr>
        <w:t>Rebecca Morgan</w:t>
      </w:r>
    </w:p>
    <w:p w:rsidR="00F724F4" w:rsidRDefault="00F724F4" w:rsidP="00F724F4">
      <w:pPr>
        <w:jc w:val="center"/>
        <w:rPr>
          <w:rFonts w:ascii="Arial" w:hAnsi="Arial" w:cs="Arial"/>
          <w:b/>
          <w:sz w:val="72"/>
          <w:szCs w:val="144"/>
        </w:rPr>
      </w:pPr>
      <w:r w:rsidRPr="0097144A">
        <w:rPr>
          <w:rFonts w:ascii="Arial" w:hAnsi="Arial" w:cs="Arial"/>
          <w:b/>
          <w:sz w:val="72"/>
          <w:szCs w:val="144"/>
        </w:rPr>
        <w:t>(2016110)</w:t>
      </w:r>
    </w:p>
    <w:p w:rsidR="00F724F4" w:rsidRPr="00F724F4" w:rsidRDefault="00F724F4" w:rsidP="00F724F4">
      <w:pPr>
        <w:jc w:val="center"/>
        <w:rPr>
          <w:rFonts w:ascii="Arial" w:hAnsi="Arial" w:cs="Arial"/>
          <w:b/>
          <w:sz w:val="52"/>
          <w:szCs w:val="144"/>
        </w:rPr>
      </w:pPr>
    </w:p>
    <w:p w:rsidR="00F724F4" w:rsidRPr="00F724F4" w:rsidRDefault="00F724F4" w:rsidP="00F724F4">
      <w:pPr>
        <w:jc w:val="center"/>
        <w:rPr>
          <w:rFonts w:ascii="Arial" w:hAnsi="Arial" w:cs="Arial"/>
          <w:b/>
          <w:sz w:val="52"/>
          <w:szCs w:val="144"/>
          <w:u w:val="single"/>
        </w:rPr>
      </w:pPr>
      <w:bookmarkStart w:id="0" w:name="_GoBack"/>
      <w:bookmarkEnd w:id="0"/>
    </w:p>
    <w:p w:rsidR="00D80420" w:rsidRDefault="00D80420" w:rsidP="00755336">
      <w:pPr>
        <w:pStyle w:val="Heading2"/>
      </w:pPr>
      <w:r>
        <w:lastRenderedPageBreak/>
        <w:t>Section A.</w:t>
      </w:r>
    </w:p>
    <w:p w:rsidR="00755336" w:rsidRPr="00755336" w:rsidRDefault="00755336" w:rsidP="00755336"/>
    <w:p w:rsidR="00781C96" w:rsidRPr="008F4260" w:rsidRDefault="00DB4016" w:rsidP="008F4260">
      <w:pPr>
        <w:spacing w:line="360" w:lineRule="auto"/>
        <w:rPr>
          <w:sz w:val="24"/>
        </w:rPr>
      </w:pPr>
      <w:r w:rsidRPr="008F4260">
        <w:rPr>
          <w:b/>
          <w:sz w:val="24"/>
        </w:rPr>
        <w:t>DATE:</w:t>
      </w:r>
      <w:r w:rsidRPr="008F4260">
        <w:rPr>
          <w:sz w:val="24"/>
        </w:rPr>
        <w:tab/>
      </w:r>
      <w:r w:rsidRPr="008F4260">
        <w:rPr>
          <w:sz w:val="24"/>
        </w:rPr>
        <w:tab/>
        <w:t>06 December 2020</w:t>
      </w:r>
    </w:p>
    <w:p w:rsidR="00DB4016" w:rsidRPr="008F4260" w:rsidRDefault="00DB4016" w:rsidP="008F4260">
      <w:pPr>
        <w:spacing w:line="360" w:lineRule="auto"/>
        <w:rPr>
          <w:sz w:val="24"/>
        </w:rPr>
      </w:pPr>
      <w:r w:rsidRPr="008F4260">
        <w:rPr>
          <w:b/>
          <w:sz w:val="24"/>
        </w:rPr>
        <w:t>TO:</w:t>
      </w:r>
      <w:r w:rsidRPr="008F4260">
        <w:rPr>
          <w:sz w:val="24"/>
        </w:rPr>
        <w:tab/>
      </w:r>
      <w:r w:rsidRPr="008F4260">
        <w:rPr>
          <w:sz w:val="24"/>
        </w:rPr>
        <w:tab/>
        <w:t>Mr</w:t>
      </w:r>
      <w:r w:rsidR="00755336">
        <w:rPr>
          <w:sz w:val="24"/>
        </w:rPr>
        <w:t>.</w:t>
      </w:r>
      <w:r w:rsidRPr="008F4260">
        <w:rPr>
          <w:sz w:val="24"/>
        </w:rPr>
        <w:t xml:space="preserve"> Dave Thomas</w:t>
      </w:r>
    </w:p>
    <w:p w:rsidR="00DB4016" w:rsidRPr="008F4260" w:rsidRDefault="00DB4016" w:rsidP="008F4260">
      <w:pPr>
        <w:spacing w:line="360" w:lineRule="auto"/>
        <w:rPr>
          <w:sz w:val="24"/>
        </w:rPr>
      </w:pPr>
      <w:r w:rsidRPr="008F4260">
        <w:rPr>
          <w:b/>
          <w:sz w:val="24"/>
        </w:rPr>
        <w:t>FROM:</w:t>
      </w:r>
      <w:r w:rsidRPr="008F4260">
        <w:rPr>
          <w:b/>
          <w:sz w:val="24"/>
        </w:rPr>
        <w:tab/>
      </w:r>
      <w:r w:rsidRPr="008F4260">
        <w:rPr>
          <w:sz w:val="24"/>
        </w:rPr>
        <w:tab/>
        <w:t>HR Advisor</w:t>
      </w:r>
    </w:p>
    <w:p w:rsidR="00DB4016" w:rsidRPr="008F4260" w:rsidRDefault="00DB4016" w:rsidP="008F4260">
      <w:pPr>
        <w:spacing w:line="360" w:lineRule="auto"/>
        <w:rPr>
          <w:sz w:val="24"/>
        </w:rPr>
      </w:pPr>
      <w:r w:rsidRPr="008F4260">
        <w:rPr>
          <w:b/>
          <w:sz w:val="24"/>
        </w:rPr>
        <w:t>SUBJECT:</w:t>
      </w:r>
      <w:r w:rsidRPr="008F4260">
        <w:rPr>
          <w:sz w:val="24"/>
        </w:rPr>
        <w:tab/>
        <w:t>Big Buses Ltd – ET1 Advice.</w:t>
      </w:r>
    </w:p>
    <w:p w:rsidR="00DB4016" w:rsidRPr="008F4260" w:rsidRDefault="00DB4016" w:rsidP="008F4260">
      <w:pPr>
        <w:spacing w:line="360" w:lineRule="auto"/>
        <w:rPr>
          <w:sz w:val="24"/>
        </w:rPr>
      </w:pPr>
    </w:p>
    <w:p w:rsidR="00DB4016" w:rsidRPr="008F4260" w:rsidRDefault="00DB4016" w:rsidP="008F4260">
      <w:pPr>
        <w:spacing w:line="360" w:lineRule="auto"/>
        <w:rPr>
          <w:sz w:val="24"/>
        </w:rPr>
      </w:pPr>
      <w:r w:rsidRPr="008F4260">
        <w:rPr>
          <w:sz w:val="24"/>
        </w:rPr>
        <w:t xml:space="preserve">As a result of </w:t>
      </w:r>
      <w:r w:rsidR="00755336">
        <w:rPr>
          <w:sz w:val="24"/>
        </w:rPr>
        <w:t xml:space="preserve">Mr. </w:t>
      </w:r>
      <w:proofErr w:type="spellStart"/>
      <w:r w:rsidR="0006255F" w:rsidRPr="008F4260">
        <w:rPr>
          <w:sz w:val="24"/>
        </w:rPr>
        <w:t>Gethin</w:t>
      </w:r>
      <w:proofErr w:type="spellEnd"/>
      <w:r w:rsidR="0006255F" w:rsidRPr="008F4260">
        <w:rPr>
          <w:sz w:val="24"/>
        </w:rPr>
        <w:t xml:space="preserve"> Rees’ claim against the company, I am writing to you to provide my advice on how and when to respond to the claim and</w:t>
      </w:r>
      <w:r w:rsidR="006E15EF">
        <w:rPr>
          <w:sz w:val="24"/>
        </w:rPr>
        <w:t xml:space="preserve"> explain the</w:t>
      </w:r>
      <w:r w:rsidR="0006255F" w:rsidRPr="008F4260">
        <w:rPr>
          <w:sz w:val="24"/>
        </w:rPr>
        <w:t xml:space="preserve"> details of the grounds of the claims that will be brought</w:t>
      </w:r>
      <w:r w:rsidR="006E15EF">
        <w:rPr>
          <w:sz w:val="24"/>
        </w:rPr>
        <w:t xml:space="preserve"> against you</w:t>
      </w:r>
      <w:r w:rsidR="0006255F" w:rsidRPr="008F4260">
        <w:rPr>
          <w:sz w:val="24"/>
        </w:rPr>
        <w:t>. I shall also provide my advice on what defences the company should put forward</w:t>
      </w:r>
      <w:r w:rsidR="006E15EF">
        <w:rPr>
          <w:sz w:val="24"/>
        </w:rPr>
        <w:t>,</w:t>
      </w:r>
      <w:r w:rsidR="0006255F" w:rsidRPr="008F4260">
        <w:rPr>
          <w:sz w:val="24"/>
        </w:rPr>
        <w:t xml:space="preserve"> in addition to my opinion of the streng</w:t>
      </w:r>
      <w:r w:rsidR="006E15EF">
        <w:rPr>
          <w:sz w:val="24"/>
        </w:rPr>
        <w:t>ths and weaknesses of the claims.</w:t>
      </w:r>
    </w:p>
    <w:p w:rsidR="0006255F" w:rsidRDefault="009E6155" w:rsidP="008F4260">
      <w:pPr>
        <w:spacing w:line="360" w:lineRule="auto"/>
        <w:rPr>
          <w:sz w:val="24"/>
        </w:rPr>
      </w:pPr>
      <w:r>
        <w:rPr>
          <w:sz w:val="24"/>
        </w:rPr>
        <w:t>First and foremost</w:t>
      </w:r>
      <w:r w:rsidR="0006255F" w:rsidRPr="008F4260">
        <w:rPr>
          <w:sz w:val="24"/>
        </w:rPr>
        <w:t>, it is important to keep in mind that ET1 claim forms should be responded to by the respondent within 28 day</w:t>
      </w:r>
      <w:r w:rsidR="008F4260" w:rsidRPr="008F4260">
        <w:rPr>
          <w:sz w:val="24"/>
        </w:rPr>
        <w:t>s of the form being sent</w:t>
      </w:r>
      <w:r w:rsidR="009826CF">
        <w:rPr>
          <w:sz w:val="24"/>
        </w:rPr>
        <w:t xml:space="preserve"> (HM Courts and Tribunals Service</w:t>
      </w:r>
      <w:r w:rsidR="00AC339D">
        <w:rPr>
          <w:sz w:val="24"/>
        </w:rPr>
        <w:t>, 2021)</w:t>
      </w:r>
      <w:r w:rsidR="008F4260" w:rsidRPr="008F4260">
        <w:rPr>
          <w:sz w:val="24"/>
        </w:rPr>
        <w:t xml:space="preserve">. As this was </w:t>
      </w:r>
      <w:r w:rsidR="0006255F" w:rsidRPr="008F4260">
        <w:rPr>
          <w:sz w:val="24"/>
        </w:rPr>
        <w:t>sent on the 6</w:t>
      </w:r>
      <w:r w:rsidR="0006255F" w:rsidRPr="008F4260">
        <w:rPr>
          <w:sz w:val="24"/>
          <w:vertAlign w:val="superscript"/>
        </w:rPr>
        <w:t>th</w:t>
      </w:r>
      <w:r w:rsidR="0006255F" w:rsidRPr="008F4260">
        <w:rPr>
          <w:sz w:val="24"/>
        </w:rPr>
        <w:t xml:space="preserve"> of December,</w:t>
      </w:r>
      <w:r w:rsidR="008F4260" w:rsidRPr="008F4260">
        <w:rPr>
          <w:sz w:val="24"/>
        </w:rPr>
        <w:t xml:space="preserve"> this mean</w:t>
      </w:r>
      <w:r w:rsidR="00AC339D">
        <w:rPr>
          <w:sz w:val="24"/>
        </w:rPr>
        <w:t xml:space="preserve">s that the ET1 letter should explain </w:t>
      </w:r>
      <w:r w:rsidR="008F4260" w:rsidRPr="008F4260">
        <w:rPr>
          <w:sz w:val="24"/>
        </w:rPr>
        <w:t>that an ET3 response should be sent by yourself no later than the 3</w:t>
      </w:r>
      <w:r w:rsidR="008F4260" w:rsidRPr="008F4260">
        <w:rPr>
          <w:sz w:val="24"/>
          <w:vertAlign w:val="superscript"/>
        </w:rPr>
        <w:t>rd</w:t>
      </w:r>
      <w:r w:rsidR="008F4260" w:rsidRPr="008F4260">
        <w:rPr>
          <w:sz w:val="24"/>
        </w:rPr>
        <w:t xml:space="preserve"> of January 2021. In your response, you should ensure all details on</w:t>
      </w:r>
      <w:r w:rsidR="00FB286D">
        <w:rPr>
          <w:sz w:val="24"/>
        </w:rPr>
        <w:t xml:space="preserve"> the ET1 are correct from Mr</w:t>
      </w:r>
      <w:r w:rsidR="00755336">
        <w:rPr>
          <w:sz w:val="24"/>
        </w:rPr>
        <w:t>.</w:t>
      </w:r>
      <w:r w:rsidR="008F4260" w:rsidRPr="008F4260">
        <w:rPr>
          <w:sz w:val="24"/>
        </w:rPr>
        <w:t xml:space="preserve"> Rees. You must then layout in your ET3 form that you intend on defending this claim and then proceed by engaging with the ET1 form and set out what your defences will be, which will be explained </w:t>
      </w:r>
      <w:r w:rsidR="006E15EF">
        <w:rPr>
          <w:sz w:val="24"/>
        </w:rPr>
        <w:t xml:space="preserve">by myself </w:t>
      </w:r>
      <w:r w:rsidR="00A60DBB">
        <w:rPr>
          <w:sz w:val="24"/>
        </w:rPr>
        <w:t>shortly</w:t>
      </w:r>
      <w:r w:rsidR="008F4260" w:rsidRPr="008F4260">
        <w:rPr>
          <w:sz w:val="24"/>
        </w:rPr>
        <w:t>.</w:t>
      </w:r>
      <w:r>
        <w:rPr>
          <w:sz w:val="24"/>
        </w:rPr>
        <w:t xml:space="preserve"> </w:t>
      </w:r>
      <w:r w:rsidR="009826CF">
        <w:rPr>
          <w:sz w:val="24"/>
        </w:rPr>
        <w:t>You must also keep in mind that, failure to submit a response will result in the Tribunal rejecting the response which may then result in the Tribunal issuing a judgement in favour of the Claimant (</w:t>
      </w:r>
      <w:proofErr w:type="spellStart"/>
      <w:r w:rsidR="009826CF">
        <w:rPr>
          <w:sz w:val="24"/>
        </w:rPr>
        <w:t>XpertHR</w:t>
      </w:r>
      <w:proofErr w:type="spellEnd"/>
      <w:r w:rsidR="009826CF">
        <w:rPr>
          <w:sz w:val="24"/>
        </w:rPr>
        <w:t>, 2021).</w:t>
      </w:r>
    </w:p>
    <w:p w:rsidR="00D2670F" w:rsidRDefault="00EA2804" w:rsidP="008F4260">
      <w:pPr>
        <w:spacing w:line="360" w:lineRule="auto"/>
        <w:rPr>
          <w:sz w:val="24"/>
        </w:rPr>
      </w:pPr>
      <w:r>
        <w:rPr>
          <w:sz w:val="24"/>
        </w:rPr>
        <w:t xml:space="preserve">The first </w:t>
      </w:r>
      <w:r w:rsidR="00470062">
        <w:rPr>
          <w:sz w:val="24"/>
        </w:rPr>
        <w:t>claim Mr</w:t>
      </w:r>
      <w:r w:rsidR="00755336">
        <w:rPr>
          <w:sz w:val="24"/>
        </w:rPr>
        <w:t>.</w:t>
      </w:r>
      <w:r w:rsidR="00470062">
        <w:rPr>
          <w:sz w:val="24"/>
        </w:rPr>
        <w:t xml:space="preserve"> Rees may claim for is o</w:t>
      </w:r>
      <w:r>
        <w:rPr>
          <w:sz w:val="24"/>
        </w:rPr>
        <w:t>rdinary unfair di</w:t>
      </w:r>
      <w:r w:rsidR="00FB286D">
        <w:rPr>
          <w:sz w:val="24"/>
        </w:rPr>
        <w:t xml:space="preserve">smissal. </w:t>
      </w:r>
      <w:proofErr w:type="gramStart"/>
      <w:r w:rsidR="0086445B" w:rsidRPr="0086445B">
        <w:rPr>
          <w:sz w:val="24"/>
        </w:rPr>
        <w:t>S.94(</w:t>
      </w:r>
      <w:proofErr w:type="gramEnd"/>
      <w:r w:rsidR="0086445B" w:rsidRPr="0086445B">
        <w:rPr>
          <w:sz w:val="24"/>
        </w:rPr>
        <w:t>1) of the ERA (1996) states that an employee has the right to not be unfairly dismissed.</w:t>
      </w:r>
      <w:r w:rsidR="003B22A0" w:rsidRPr="003B22A0">
        <w:t xml:space="preserve"> </w:t>
      </w:r>
      <w:r w:rsidR="003B22A0" w:rsidRPr="003B22A0">
        <w:rPr>
          <w:sz w:val="24"/>
        </w:rPr>
        <w:t>Unfair dismissal is a right acquired following two years of continuous service</w:t>
      </w:r>
      <w:r w:rsidR="00D2670F">
        <w:rPr>
          <w:sz w:val="24"/>
        </w:rPr>
        <w:t xml:space="preserve"> as Lewis and </w:t>
      </w:r>
      <w:proofErr w:type="spellStart"/>
      <w:r w:rsidR="00D2670F">
        <w:rPr>
          <w:sz w:val="24"/>
        </w:rPr>
        <w:t>Sargeant</w:t>
      </w:r>
      <w:proofErr w:type="spellEnd"/>
      <w:r w:rsidR="00D2670F">
        <w:rPr>
          <w:sz w:val="24"/>
        </w:rPr>
        <w:t xml:space="preserve"> (2020) highlight</w:t>
      </w:r>
      <w:r w:rsidR="003B22A0" w:rsidRPr="003B22A0">
        <w:rPr>
          <w:sz w:val="24"/>
        </w:rPr>
        <w:t>, which, as Mr</w:t>
      </w:r>
      <w:r w:rsidR="00755336">
        <w:rPr>
          <w:sz w:val="24"/>
        </w:rPr>
        <w:t>.</w:t>
      </w:r>
      <w:r w:rsidR="003B22A0" w:rsidRPr="003B22A0">
        <w:rPr>
          <w:sz w:val="24"/>
        </w:rPr>
        <w:t xml:space="preserve"> Rees </w:t>
      </w:r>
      <w:r w:rsidR="0089145F">
        <w:rPr>
          <w:sz w:val="24"/>
        </w:rPr>
        <w:t>has worked for the company for 6</w:t>
      </w:r>
      <w:r w:rsidR="003B22A0" w:rsidRPr="003B22A0">
        <w:rPr>
          <w:sz w:val="24"/>
        </w:rPr>
        <w:t xml:space="preserve"> years, he is entitled to make. </w:t>
      </w:r>
      <w:r w:rsidR="0086445B">
        <w:rPr>
          <w:sz w:val="24"/>
        </w:rPr>
        <w:t>Mr</w:t>
      </w:r>
      <w:r w:rsidR="00755336">
        <w:rPr>
          <w:sz w:val="24"/>
        </w:rPr>
        <w:t>.</w:t>
      </w:r>
      <w:r w:rsidR="0086445B">
        <w:rPr>
          <w:sz w:val="24"/>
        </w:rPr>
        <w:t xml:space="preserve"> Rees was</w:t>
      </w:r>
      <w:r w:rsidR="003B4D35">
        <w:rPr>
          <w:sz w:val="24"/>
        </w:rPr>
        <w:t xml:space="preserve"> potentially</w:t>
      </w:r>
      <w:r w:rsidR="0086445B">
        <w:rPr>
          <w:sz w:val="24"/>
        </w:rPr>
        <w:t xml:space="preserve"> unfairly dismissed</w:t>
      </w:r>
      <w:r w:rsidR="006E15EF">
        <w:rPr>
          <w:sz w:val="24"/>
        </w:rPr>
        <w:t xml:space="preserve"> for the reason that Mr</w:t>
      </w:r>
      <w:r w:rsidR="00755336">
        <w:rPr>
          <w:sz w:val="24"/>
        </w:rPr>
        <w:t>.</w:t>
      </w:r>
      <w:r w:rsidR="006E15EF">
        <w:rPr>
          <w:sz w:val="24"/>
        </w:rPr>
        <w:t xml:space="preserve"> Smith</w:t>
      </w:r>
      <w:r>
        <w:rPr>
          <w:sz w:val="24"/>
        </w:rPr>
        <w:t xml:space="preserve"> did not undertake fair investigations as is required at a minimum acc</w:t>
      </w:r>
      <w:r w:rsidR="00266A0E">
        <w:rPr>
          <w:sz w:val="24"/>
        </w:rPr>
        <w:t xml:space="preserve">ording to </w:t>
      </w:r>
      <w:r w:rsidR="004E56EE">
        <w:rPr>
          <w:sz w:val="24"/>
        </w:rPr>
        <w:t xml:space="preserve">the </w:t>
      </w:r>
      <w:r w:rsidR="00266A0E">
        <w:rPr>
          <w:sz w:val="24"/>
        </w:rPr>
        <w:t>ACAS Code of Practice (2015)</w:t>
      </w:r>
      <w:r w:rsidR="003B4D35">
        <w:rPr>
          <w:sz w:val="24"/>
        </w:rPr>
        <w:t xml:space="preserve"> and CIPD (2020</w:t>
      </w:r>
      <w:r w:rsidR="009826CF">
        <w:rPr>
          <w:sz w:val="24"/>
        </w:rPr>
        <w:t>a</w:t>
      </w:r>
      <w:r w:rsidR="003B4D35">
        <w:rPr>
          <w:sz w:val="24"/>
        </w:rPr>
        <w:t>)</w:t>
      </w:r>
      <w:r w:rsidR="00266A0E">
        <w:rPr>
          <w:sz w:val="24"/>
        </w:rPr>
        <w:t>.</w:t>
      </w:r>
      <w:r w:rsidR="0086445B">
        <w:rPr>
          <w:sz w:val="24"/>
        </w:rPr>
        <w:t xml:space="preserve"> </w:t>
      </w:r>
      <w:r w:rsidR="00547A3A" w:rsidRPr="00547A3A">
        <w:rPr>
          <w:sz w:val="24"/>
        </w:rPr>
        <w:t xml:space="preserve">The case of </w:t>
      </w:r>
      <w:r w:rsidR="009826CF">
        <w:rPr>
          <w:sz w:val="24"/>
        </w:rPr>
        <w:t>‘</w:t>
      </w:r>
      <w:proofErr w:type="spellStart"/>
      <w:r w:rsidR="00547A3A" w:rsidRPr="00547A3A">
        <w:rPr>
          <w:sz w:val="24"/>
        </w:rPr>
        <w:t>Polkey</w:t>
      </w:r>
      <w:proofErr w:type="spellEnd"/>
      <w:r w:rsidR="00547A3A" w:rsidRPr="00547A3A">
        <w:rPr>
          <w:sz w:val="24"/>
        </w:rPr>
        <w:t xml:space="preserve"> </w:t>
      </w:r>
      <w:r w:rsidR="009826CF">
        <w:rPr>
          <w:sz w:val="24"/>
        </w:rPr>
        <w:t xml:space="preserve">v AE Dayton Services Ltd’ </w:t>
      </w:r>
      <w:r w:rsidR="00547A3A" w:rsidRPr="00547A3A">
        <w:rPr>
          <w:sz w:val="24"/>
        </w:rPr>
        <w:t xml:space="preserve">(1987) determined that a </w:t>
      </w:r>
      <w:r w:rsidR="00547A3A" w:rsidRPr="00547A3A">
        <w:rPr>
          <w:sz w:val="24"/>
        </w:rPr>
        <w:lastRenderedPageBreak/>
        <w:t>dismissal is unfair if no procedure has been followed.</w:t>
      </w:r>
      <w:r w:rsidR="00547A3A">
        <w:rPr>
          <w:sz w:val="24"/>
        </w:rPr>
        <w:t xml:space="preserve"> </w:t>
      </w:r>
      <w:r w:rsidR="00FB286D">
        <w:rPr>
          <w:sz w:val="24"/>
        </w:rPr>
        <w:t xml:space="preserve">Furthermore, </w:t>
      </w:r>
      <w:r w:rsidR="00FB286D" w:rsidRPr="00E03EEB">
        <w:rPr>
          <w:sz w:val="24"/>
          <w:szCs w:val="24"/>
        </w:rPr>
        <w:t>Thomson v Imperial College Healthcare</w:t>
      </w:r>
      <w:r w:rsidR="00A37717">
        <w:rPr>
          <w:sz w:val="24"/>
        </w:rPr>
        <w:t xml:space="preserve"> (2015) held that belief on its own is not enough and that it has to be based on reasonable grounds. </w:t>
      </w:r>
      <w:r w:rsidR="0084347A">
        <w:rPr>
          <w:sz w:val="24"/>
        </w:rPr>
        <w:t>Mr</w:t>
      </w:r>
      <w:r w:rsidR="00755336">
        <w:rPr>
          <w:sz w:val="24"/>
        </w:rPr>
        <w:t>.</w:t>
      </w:r>
      <w:r w:rsidR="0084347A">
        <w:rPr>
          <w:sz w:val="24"/>
        </w:rPr>
        <w:t xml:space="preserve"> Rees may make this claim based on the following reasons; firstly, Mr</w:t>
      </w:r>
      <w:r w:rsidR="00755336">
        <w:rPr>
          <w:sz w:val="24"/>
        </w:rPr>
        <w:t>.</w:t>
      </w:r>
      <w:r w:rsidR="0084347A">
        <w:rPr>
          <w:sz w:val="24"/>
        </w:rPr>
        <w:t xml:space="preserve"> Steve Smith was not a suitable investigator as he was a witness to the event and </w:t>
      </w:r>
      <w:r w:rsidR="00470062">
        <w:rPr>
          <w:sz w:val="24"/>
        </w:rPr>
        <w:t xml:space="preserve">therefore was already biased in his opinion. </w:t>
      </w:r>
      <w:r w:rsidR="00755336">
        <w:rPr>
          <w:sz w:val="24"/>
        </w:rPr>
        <w:t>T</w:t>
      </w:r>
      <w:r w:rsidR="00470062">
        <w:rPr>
          <w:sz w:val="24"/>
        </w:rPr>
        <w:t xml:space="preserve">o conduct effective investigations, the investigator should be an impartial party to the matter, </w:t>
      </w:r>
      <w:r w:rsidR="00FE3246">
        <w:rPr>
          <w:sz w:val="24"/>
        </w:rPr>
        <w:t xml:space="preserve">according to ACAS (2020). </w:t>
      </w:r>
    </w:p>
    <w:p w:rsidR="00D2670F" w:rsidRDefault="00FE3246" w:rsidP="008F4260">
      <w:pPr>
        <w:spacing w:line="360" w:lineRule="auto"/>
        <w:rPr>
          <w:sz w:val="24"/>
        </w:rPr>
      </w:pPr>
      <w:r>
        <w:rPr>
          <w:sz w:val="24"/>
        </w:rPr>
        <w:t xml:space="preserve">Secondly, </w:t>
      </w:r>
      <w:r w:rsidR="003B22A0">
        <w:rPr>
          <w:sz w:val="24"/>
        </w:rPr>
        <w:t>it does not appear that Mr</w:t>
      </w:r>
      <w:r w:rsidR="00755336">
        <w:rPr>
          <w:sz w:val="24"/>
        </w:rPr>
        <w:t>.</w:t>
      </w:r>
      <w:r>
        <w:rPr>
          <w:sz w:val="24"/>
        </w:rPr>
        <w:t xml:space="preserve"> Smith conducted a reasonable investigation into the matter.</w:t>
      </w:r>
      <w:r w:rsidR="003B22A0" w:rsidRPr="003B22A0">
        <w:t xml:space="preserve"> </w:t>
      </w:r>
      <w:r w:rsidR="003B22A0">
        <w:rPr>
          <w:sz w:val="24"/>
        </w:rPr>
        <w:t xml:space="preserve">BHS v </w:t>
      </w:r>
      <w:proofErr w:type="spellStart"/>
      <w:r w:rsidR="003B22A0">
        <w:rPr>
          <w:sz w:val="24"/>
        </w:rPr>
        <w:t>Burchell</w:t>
      </w:r>
      <w:proofErr w:type="spellEnd"/>
      <w:r w:rsidR="003B22A0">
        <w:rPr>
          <w:sz w:val="24"/>
        </w:rPr>
        <w:t xml:space="preserve"> (1978) </w:t>
      </w:r>
      <w:r w:rsidR="003B22A0" w:rsidRPr="003B22A0">
        <w:rPr>
          <w:sz w:val="24"/>
        </w:rPr>
        <w:t>held that to fairly dismiss an employee for reasons of misconduct, the burden of proof lays with the employer to show that on the balance of probabilities, the employer established a genuine belief</w:t>
      </w:r>
      <w:r w:rsidR="004E56EE">
        <w:rPr>
          <w:sz w:val="24"/>
        </w:rPr>
        <w:t>,</w:t>
      </w:r>
      <w:r w:rsidR="003B22A0" w:rsidRPr="003B22A0">
        <w:rPr>
          <w:sz w:val="24"/>
        </w:rPr>
        <w:t xml:space="preserve"> based on reasonable grounds following a reasonable investigation, that the employee committed the misconduct.</w:t>
      </w:r>
      <w:r w:rsidR="00AE083C">
        <w:rPr>
          <w:sz w:val="24"/>
        </w:rPr>
        <w:t xml:space="preserve"> Mr</w:t>
      </w:r>
      <w:r w:rsidR="00755336">
        <w:rPr>
          <w:sz w:val="24"/>
        </w:rPr>
        <w:t>.</w:t>
      </w:r>
      <w:r w:rsidR="00AE083C">
        <w:rPr>
          <w:sz w:val="24"/>
        </w:rPr>
        <w:t xml:space="preserve"> Rees should have been questioned before a disciplinary took place in an investigatory or ‘fact finding’ meeting</w:t>
      </w:r>
      <w:r w:rsidR="00844B30">
        <w:rPr>
          <w:sz w:val="24"/>
        </w:rPr>
        <w:t>,</w:t>
      </w:r>
      <w:r w:rsidR="00AE083C">
        <w:rPr>
          <w:sz w:val="24"/>
        </w:rPr>
        <w:t xml:space="preserve"> to hear his version of events on the matter</w:t>
      </w:r>
      <w:r w:rsidR="00D2670F">
        <w:rPr>
          <w:sz w:val="24"/>
        </w:rPr>
        <w:t xml:space="preserve"> (ACAS, 2015)</w:t>
      </w:r>
      <w:r w:rsidR="00AE083C">
        <w:rPr>
          <w:sz w:val="24"/>
        </w:rPr>
        <w:t>. Following this, information from the investigation meeting should have been weighed up</w:t>
      </w:r>
      <w:r w:rsidR="00755336">
        <w:rPr>
          <w:sz w:val="24"/>
        </w:rPr>
        <w:t>,</w:t>
      </w:r>
      <w:r w:rsidR="00AE083C">
        <w:rPr>
          <w:sz w:val="24"/>
        </w:rPr>
        <w:t xml:space="preserve"> and then a decision made on whether a disciplinary meeting would be necessary.</w:t>
      </w:r>
      <w:r w:rsidR="00D2670F">
        <w:rPr>
          <w:sz w:val="24"/>
        </w:rPr>
        <w:t xml:space="preserve"> This information in addition to possible outcomes should have been given to Mr</w:t>
      </w:r>
      <w:r w:rsidR="00755336">
        <w:rPr>
          <w:sz w:val="24"/>
        </w:rPr>
        <w:t>.</w:t>
      </w:r>
      <w:r w:rsidR="00D2670F">
        <w:rPr>
          <w:sz w:val="24"/>
        </w:rPr>
        <w:t xml:space="preserve"> Rees in time to prepare himself for the disciplinary according to ACAS (2015). </w:t>
      </w:r>
    </w:p>
    <w:p w:rsidR="00EA2804" w:rsidRDefault="00B74A76" w:rsidP="008F4260">
      <w:pPr>
        <w:spacing w:line="360" w:lineRule="auto"/>
        <w:rPr>
          <w:sz w:val="24"/>
        </w:rPr>
      </w:pPr>
      <w:r>
        <w:rPr>
          <w:sz w:val="24"/>
        </w:rPr>
        <w:t>Mr</w:t>
      </w:r>
      <w:r w:rsidR="00755336">
        <w:rPr>
          <w:sz w:val="24"/>
        </w:rPr>
        <w:t>.</w:t>
      </w:r>
      <w:r>
        <w:rPr>
          <w:sz w:val="24"/>
        </w:rPr>
        <w:t xml:space="preserve"> Smith had already </w:t>
      </w:r>
      <w:r w:rsidR="00755336">
        <w:rPr>
          <w:sz w:val="24"/>
        </w:rPr>
        <w:t>decided</w:t>
      </w:r>
      <w:r>
        <w:rPr>
          <w:sz w:val="24"/>
        </w:rPr>
        <w:t xml:space="preserve"> that a disciplinary meeting was necessary before spea</w:t>
      </w:r>
      <w:r w:rsidR="00A60DBB">
        <w:rPr>
          <w:sz w:val="24"/>
        </w:rPr>
        <w:t>king to Mr</w:t>
      </w:r>
      <w:r w:rsidR="00755336">
        <w:rPr>
          <w:sz w:val="24"/>
        </w:rPr>
        <w:t>.</w:t>
      </w:r>
      <w:r w:rsidR="00A60DBB">
        <w:rPr>
          <w:sz w:val="24"/>
        </w:rPr>
        <w:t xml:space="preserve"> Rees and </w:t>
      </w:r>
      <w:r>
        <w:rPr>
          <w:sz w:val="24"/>
        </w:rPr>
        <w:t xml:space="preserve">other witnesses. </w:t>
      </w:r>
      <w:r w:rsidR="002E3AF1">
        <w:rPr>
          <w:sz w:val="24"/>
        </w:rPr>
        <w:t xml:space="preserve">Furthermore, even in the disciplinary hearing, </w:t>
      </w:r>
      <w:r w:rsidR="00AE29AC">
        <w:rPr>
          <w:sz w:val="24"/>
        </w:rPr>
        <w:t>neither Mr</w:t>
      </w:r>
      <w:r w:rsidR="00755336">
        <w:rPr>
          <w:sz w:val="24"/>
        </w:rPr>
        <w:t>.</w:t>
      </w:r>
      <w:r w:rsidR="00AE29AC">
        <w:rPr>
          <w:sz w:val="24"/>
        </w:rPr>
        <w:t xml:space="preserve"> Smith nor</w:t>
      </w:r>
      <w:r w:rsidR="002E3AF1">
        <w:rPr>
          <w:sz w:val="24"/>
        </w:rPr>
        <w:t xml:space="preserve"> Mr</w:t>
      </w:r>
      <w:r w:rsidR="00755336">
        <w:rPr>
          <w:sz w:val="24"/>
        </w:rPr>
        <w:t>.</w:t>
      </w:r>
      <w:r w:rsidR="002E3AF1">
        <w:rPr>
          <w:sz w:val="24"/>
        </w:rPr>
        <w:t xml:space="preserve"> Millard would hear Mr</w:t>
      </w:r>
      <w:r w:rsidR="00755336">
        <w:rPr>
          <w:sz w:val="24"/>
        </w:rPr>
        <w:t>.</w:t>
      </w:r>
      <w:r w:rsidR="002E3AF1">
        <w:rPr>
          <w:sz w:val="24"/>
        </w:rPr>
        <w:t xml:space="preserve"> Rees’ </w:t>
      </w:r>
      <w:r w:rsidR="00AE29AC">
        <w:rPr>
          <w:sz w:val="24"/>
        </w:rPr>
        <w:t>version</w:t>
      </w:r>
      <w:r w:rsidR="002E3AF1">
        <w:rPr>
          <w:sz w:val="24"/>
        </w:rPr>
        <w:t xml:space="preserve"> of events, which also </w:t>
      </w:r>
      <w:r w:rsidR="00AE29AC">
        <w:rPr>
          <w:sz w:val="24"/>
        </w:rPr>
        <w:t>suggests that the disciplinary outcome was already preconceived.</w:t>
      </w:r>
      <w:r w:rsidR="009826CF">
        <w:rPr>
          <w:sz w:val="24"/>
        </w:rPr>
        <w:t xml:space="preserve"> Moreover, employees should be allowed to present their case during disciplinary hearings, which Mr. Rees was not able to do.</w:t>
      </w:r>
      <w:r w:rsidR="00AE29AC">
        <w:rPr>
          <w:sz w:val="24"/>
        </w:rPr>
        <w:t xml:space="preserve"> In conclusion, during</w:t>
      </w:r>
      <w:r>
        <w:rPr>
          <w:sz w:val="24"/>
        </w:rPr>
        <w:t xml:space="preserve"> the investigations</w:t>
      </w:r>
      <w:r w:rsidR="00755336">
        <w:rPr>
          <w:sz w:val="24"/>
        </w:rPr>
        <w:t>,</w:t>
      </w:r>
      <w:r>
        <w:rPr>
          <w:sz w:val="24"/>
        </w:rPr>
        <w:t xml:space="preserve"> there has been undue process and bias, and so consequently, Mr</w:t>
      </w:r>
      <w:r w:rsidR="00755336">
        <w:rPr>
          <w:sz w:val="24"/>
        </w:rPr>
        <w:t>.</w:t>
      </w:r>
      <w:r>
        <w:rPr>
          <w:sz w:val="24"/>
        </w:rPr>
        <w:t xml:space="preserve"> Rees has a legitimate claim for ordinary unfair dismissal</w:t>
      </w:r>
      <w:r w:rsidR="0041342D">
        <w:rPr>
          <w:sz w:val="24"/>
        </w:rPr>
        <w:t xml:space="preserve"> following the ACAS Code of Practice (2015)</w:t>
      </w:r>
      <w:r>
        <w:rPr>
          <w:sz w:val="24"/>
        </w:rPr>
        <w:t>.</w:t>
      </w:r>
    </w:p>
    <w:p w:rsidR="0041342D" w:rsidRDefault="0041342D" w:rsidP="008F4260">
      <w:pPr>
        <w:spacing w:line="360" w:lineRule="auto"/>
        <w:rPr>
          <w:sz w:val="24"/>
        </w:rPr>
      </w:pPr>
      <w:r w:rsidRPr="0041342D">
        <w:rPr>
          <w:sz w:val="24"/>
        </w:rPr>
        <w:t>Mr</w:t>
      </w:r>
      <w:r w:rsidR="00755336">
        <w:rPr>
          <w:sz w:val="24"/>
        </w:rPr>
        <w:t>.</w:t>
      </w:r>
      <w:r w:rsidRPr="0041342D">
        <w:rPr>
          <w:sz w:val="24"/>
        </w:rPr>
        <w:t xml:space="preserve"> Rees may also make a claim for wrongful dismissal for the reason that, in dismissing him, Big Buses Ltd made a breach of contract as he was not given nor paid his notice period, as the CIPD (2020</w:t>
      </w:r>
      <w:r w:rsidR="009826CF">
        <w:rPr>
          <w:sz w:val="24"/>
        </w:rPr>
        <w:t>a</w:t>
      </w:r>
      <w:r w:rsidRPr="0041342D">
        <w:rPr>
          <w:sz w:val="24"/>
        </w:rPr>
        <w:t xml:space="preserve">) highlights. Wrongful dismissal is a right acquired from day one of employment and therefore his length of service does not matter. The burden of proof lays with the employer to satisfy the employment tribunal that the decision for dismissal for gross misconduct was a correct one. Therefore, you will need to satisfy all other claims to </w:t>
      </w:r>
      <w:r w:rsidRPr="0041342D">
        <w:rPr>
          <w:sz w:val="24"/>
        </w:rPr>
        <w:lastRenderedPageBreak/>
        <w:t>satisfy this one. Should you not satisfy the others, then you should bear in mind that Mr</w:t>
      </w:r>
      <w:r w:rsidR="00755336">
        <w:rPr>
          <w:sz w:val="24"/>
        </w:rPr>
        <w:t>.</w:t>
      </w:r>
      <w:r w:rsidRPr="0041342D">
        <w:rPr>
          <w:sz w:val="24"/>
        </w:rPr>
        <w:t xml:space="preserve"> Rees will be successful and will be entitled to compensation for his loss of notice period</w:t>
      </w:r>
      <w:r w:rsidR="0005691E">
        <w:rPr>
          <w:sz w:val="24"/>
        </w:rPr>
        <w:t>, full detail of compensation awards will be laid out later.</w:t>
      </w:r>
    </w:p>
    <w:p w:rsidR="00031261" w:rsidRDefault="0041342D" w:rsidP="008F4260">
      <w:pPr>
        <w:spacing w:line="360" w:lineRule="auto"/>
        <w:rPr>
          <w:sz w:val="24"/>
        </w:rPr>
      </w:pPr>
      <w:r>
        <w:rPr>
          <w:sz w:val="24"/>
        </w:rPr>
        <w:t>Additionally</w:t>
      </w:r>
      <w:r w:rsidR="00B74A76">
        <w:rPr>
          <w:sz w:val="24"/>
        </w:rPr>
        <w:t>, Mr</w:t>
      </w:r>
      <w:r w:rsidR="00755336">
        <w:rPr>
          <w:sz w:val="24"/>
        </w:rPr>
        <w:t>.</w:t>
      </w:r>
      <w:r w:rsidR="00B74A76">
        <w:rPr>
          <w:sz w:val="24"/>
        </w:rPr>
        <w:t xml:space="preserve"> Rees may also </w:t>
      </w:r>
      <w:r w:rsidR="00755336">
        <w:rPr>
          <w:sz w:val="24"/>
        </w:rPr>
        <w:t>claim</w:t>
      </w:r>
      <w:r w:rsidR="00B74A76">
        <w:rPr>
          <w:sz w:val="24"/>
        </w:rPr>
        <w:t xml:space="preserve"> </w:t>
      </w:r>
      <w:r w:rsidR="004E56EE">
        <w:rPr>
          <w:sz w:val="24"/>
        </w:rPr>
        <w:t xml:space="preserve">unfair dismissal for </w:t>
      </w:r>
      <w:r w:rsidR="00B74A76">
        <w:rPr>
          <w:sz w:val="24"/>
        </w:rPr>
        <w:t>whistleblowing. Section 103(a) of</w:t>
      </w:r>
      <w:r w:rsidR="00A60DBB">
        <w:rPr>
          <w:sz w:val="24"/>
        </w:rPr>
        <w:t xml:space="preserve"> the ERA</w:t>
      </w:r>
      <w:r w:rsidR="00844B30">
        <w:rPr>
          <w:sz w:val="24"/>
        </w:rPr>
        <w:t xml:space="preserve"> (1996</w:t>
      </w:r>
      <w:r w:rsidR="00B74A76">
        <w:rPr>
          <w:sz w:val="24"/>
        </w:rPr>
        <w:t>) states that ‘</w:t>
      </w:r>
      <w:r w:rsidR="00AF3FD2">
        <w:rPr>
          <w:sz w:val="24"/>
        </w:rPr>
        <w:t>an employee who is dismissed shall be regarded for this part, as unfairly dismissed if the reason (or, if more than one, the principal reason) for the dismissal is that the employee made a protected disclosure.’</w:t>
      </w:r>
      <w:r w:rsidR="00FB286D">
        <w:rPr>
          <w:sz w:val="24"/>
        </w:rPr>
        <w:t xml:space="preserve"> Furthermore, the Public Interest Disclosures Act (1998</w:t>
      </w:r>
      <w:r w:rsidR="002E3AF1">
        <w:rPr>
          <w:sz w:val="24"/>
        </w:rPr>
        <w:t>) includes endangering the health and safety of individuals as a protected disclosure. As Mr</w:t>
      </w:r>
      <w:r w:rsidR="00755336">
        <w:rPr>
          <w:sz w:val="24"/>
        </w:rPr>
        <w:t>.</w:t>
      </w:r>
      <w:r w:rsidR="002E3AF1">
        <w:rPr>
          <w:sz w:val="24"/>
        </w:rPr>
        <w:t xml:space="preserve"> Rees claims that he has made multiple complaints in the past in regards to health and safety concerns at the company to Mr</w:t>
      </w:r>
      <w:r w:rsidR="00755336">
        <w:rPr>
          <w:sz w:val="24"/>
        </w:rPr>
        <w:t>.</w:t>
      </w:r>
      <w:r w:rsidR="002E3AF1">
        <w:rPr>
          <w:sz w:val="24"/>
        </w:rPr>
        <w:t xml:space="preserve"> Smith and it was</w:t>
      </w:r>
      <w:r w:rsidR="00755336">
        <w:rPr>
          <w:sz w:val="24"/>
        </w:rPr>
        <w:t>, in fact,</w:t>
      </w:r>
      <w:r w:rsidR="002E3AF1">
        <w:rPr>
          <w:sz w:val="24"/>
        </w:rPr>
        <w:t xml:space="preserve"> Mr</w:t>
      </w:r>
      <w:r w:rsidR="00755336">
        <w:rPr>
          <w:sz w:val="24"/>
        </w:rPr>
        <w:t>.</w:t>
      </w:r>
      <w:r w:rsidR="002E3AF1">
        <w:rPr>
          <w:sz w:val="24"/>
        </w:rPr>
        <w:t xml:space="preserve"> Smith who decided that he was to be dismissed</w:t>
      </w:r>
      <w:r w:rsidR="00AE29AC">
        <w:rPr>
          <w:sz w:val="24"/>
        </w:rPr>
        <w:t>,</w:t>
      </w:r>
      <w:r w:rsidR="002E3AF1">
        <w:rPr>
          <w:sz w:val="24"/>
        </w:rPr>
        <w:t xml:space="preserve"> then</w:t>
      </w:r>
      <w:r w:rsidR="00A60DBB">
        <w:rPr>
          <w:sz w:val="24"/>
        </w:rPr>
        <w:t xml:space="preserve"> under the ERA</w:t>
      </w:r>
      <w:r w:rsidR="002E3AF1">
        <w:rPr>
          <w:sz w:val="24"/>
        </w:rPr>
        <w:t xml:space="preserve"> </w:t>
      </w:r>
      <w:r w:rsidR="00AE29AC">
        <w:rPr>
          <w:sz w:val="24"/>
        </w:rPr>
        <w:t>(</w:t>
      </w:r>
      <w:r w:rsidR="00844B30">
        <w:rPr>
          <w:sz w:val="24"/>
        </w:rPr>
        <w:t>1996</w:t>
      </w:r>
      <w:r w:rsidR="00AE29AC">
        <w:rPr>
          <w:sz w:val="24"/>
        </w:rPr>
        <w:t>)</w:t>
      </w:r>
      <w:r w:rsidR="00C82AB8">
        <w:rPr>
          <w:sz w:val="24"/>
        </w:rPr>
        <w:t>, Mr</w:t>
      </w:r>
      <w:r w:rsidR="00755336">
        <w:rPr>
          <w:sz w:val="24"/>
        </w:rPr>
        <w:t>.</w:t>
      </w:r>
      <w:r w:rsidR="00C82AB8">
        <w:rPr>
          <w:sz w:val="24"/>
        </w:rPr>
        <w:t xml:space="preserve"> Rees may have been automatically unfairly dismissed</w:t>
      </w:r>
      <w:r w:rsidR="0005691E">
        <w:rPr>
          <w:sz w:val="24"/>
        </w:rPr>
        <w:t xml:space="preserve"> if there is found to be a causal link between the disclosure and Mr. Rees being dismissed. Even more so,</w:t>
      </w:r>
      <w:r w:rsidR="00C82AB8">
        <w:rPr>
          <w:sz w:val="24"/>
        </w:rPr>
        <w:t xml:space="preserve"> Mr</w:t>
      </w:r>
      <w:r w:rsidR="00755336">
        <w:rPr>
          <w:sz w:val="24"/>
        </w:rPr>
        <w:t>.</w:t>
      </w:r>
      <w:r w:rsidR="00C82AB8">
        <w:rPr>
          <w:sz w:val="24"/>
        </w:rPr>
        <w:t xml:space="preserve"> Rees was already under the impression that Mr</w:t>
      </w:r>
      <w:r w:rsidR="00755336">
        <w:rPr>
          <w:sz w:val="24"/>
        </w:rPr>
        <w:t>.</w:t>
      </w:r>
      <w:r w:rsidR="00C82AB8">
        <w:rPr>
          <w:sz w:val="24"/>
        </w:rPr>
        <w:t xml:space="preserve"> Smith did not like him for this reason, and the fact that it was Mr</w:t>
      </w:r>
      <w:r w:rsidR="00755336">
        <w:rPr>
          <w:sz w:val="24"/>
        </w:rPr>
        <w:t>.</w:t>
      </w:r>
      <w:r w:rsidR="00C82AB8">
        <w:rPr>
          <w:sz w:val="24"/>
        </w:rPr>
        <w:t xml:space="preserve"> Smith himself that implemented the health and safety policies and COVID restrictions which were not correctly being followed</w:t>
      </w:r>
      <w:r w:rsidR="004E56EE">
        <w:rPr>
          <w:sz w:val="24"/>
        </w:rPr>
        <w:t>, may make this a stronger claim</w:t>
      </w:r>
      <w:r w:rsidR="00C82AB8">
        <w:rPr>
          <w:sz w:val="24"/>
        </w:rPr>
        <w:t>.</w:t>
      </w:r>
      <w:r w:rsidR="0005691E">
        <w:rPr>
          <w:sz w:val="24"/>
        </w:rPr>
        <w:t xml:space="preserve"> </w:t>
      </w:r>
    </w:p>
    <w:p w:rsidR="00844B30" w:rsidRDefault="00844B30" w:rsidP="008F4260">
      <w:pPr>
        <w:spacing w:line="360" w:lineRule="auto"/>
        <w:rPr>
          <w:sz w:val="24"/>
        </w:rPr>
      </w:pPr>
      <w:r>
        <w:rPr>
          <w:sz w:val="24"/>
        </w:rPr>
        <w:t>Finally, Mr</w:t>
      </w:r>
      <w:r w:rsidR="00755336">
        <w:rPr>
          <w:sz w:val="24"/>
        </w:rPr>
        <w:t>.</w:t>
      </w:r>
      <w:r>
        <w:rPr>
          <w:sz w:val="24"/>
        </w:rPr>
        <w:t xml:space="preserve"> Rees also has another claim for unfair dismissal under Section 100(1)(c) of the </w:t>
      </w:r>
      <w:r w:rsidR="00A60DBB">
        <w:rPr>
          <w:sz w:val="24"/>
        </w:rPr>
        <w:t>ERA</w:t>
      </w:r>
      <w:r>
        <w:rPr>
          <w:sz w:val="24"/>
        </w:rPr>
        <w:t xml:space="preserve"> (1996)</w:t>
      </w:r>
      <w:r w:rsidR="001D2092">
        <w:rPr>
          <w:sz w:val="24"/>
        </w:rPr>
        <w:t xml:space="preserve">, </w:t>
      </w:r>
      <w:r>
        <w:rPr>
          <w:sz w:val="24"/>
        </w:rPr>
        <w:t xml:space="preserve">where it is stated that an employee who is dismissed shall be classed as unfairly dismissed if the reason or the principal reason for the dismissal is that he is an employee at a place where there is no safety committee, and </w:t>
      </w:r>
      <w:r w:rsidR="00143539">
        <w:rPr>
          <w:sz w:val="24"/>
        </w:rPr>
        <w:t>‘</w:t>
      </w:r>
      <w:r w:rsidRPr="00844B30">
        <w:rPr>
          <w:sz w:val="24"/>
        </w:rPr>
        <w:t>he brought to his employer’s attention, by reasonable means, circumstances connected with his work which he reasonably believed were harmful or potentially harmful to health or safety</w:t>
      </w:r>
      <w:r w:rsidR="00755336">
        <w:rPr>
          <w:sz w:val="24"/>
        </w:rPr>
        <w:t>’</w:t>
      </w:r>
      <w:r w:rsidR="001D2092">
        <w:rPr>
          <w:sz w:val="24"/>
        </w:rPr>
        <w:t>. As Mr</w:t>
      </w:r>
      <w:r w:rsidR="00755336">
        <w:rPr>
          <w:sz w:val="24"/>
        </w:rPr>
        <w:t>.</w:t>
      </w:r>
      <w:r w:rsidR="001D2092">
        <w:rPr>
          <w:sz w:val="24"/>
        </w:rPr>
        <w:t xml:space="preserve"> Rees raised health and safety concerns, his dismissal may be classed as automatically unfair if the tribunal find</w:t>
      </w:r>
      <w:r w:rsidR="00755336">
        <w:rPr>
          <w:sz w:val="24"/>
        </w:rPr>
        <w:t>s</w:t>
      </w:r>
      <w:r w:rsidR="001D2092">
        <w:rPr>
          <w:sz w:val="24"/>
        </w:rPr>
        <w:t xml:space="preserve"> that this was the principal reason for his dismissal (ACAS, 2021).</w:t>
      </w:r>
    </w:p>
    <w:p w:rsidR="009E6155" w:rsidRDefault="00A60DBB" w:rsidP="008F4260">
      <w:pPr>
        <w:spacing w:line="360" w:lineRule="auto"/>
        <w:rPr>
          <w:sz w:val="24"/>
        </w:rPr>
      </w:pPr>
      <w:r>
        <w:rPr>
          <w:sz w:val="24"/>
        </w:rPr>
        <w:t>There are</w:t>
      </w:r>
      <w:r w:rsidR="009E6155">
        <w:rPr>
          <w:sz w:val="24"/>
        </w:rPr>
        <w:t xml:space="preserve"> defen</w:t>
      </w:r>
      <w:r w:rsidR="00755336">
        <w:rPr>
          <w:sz w:val="24"/>
        </w:rPr>
        <w:t>c</w:t>
      </w:r>
      <w:r w:rsidR="009E6155">
        <w:rPr>
          <w:sz w:val="24"/>
        </w:rPr>
        <w:t>es in which the company may use to argue Mr</w:t>
      </w:r>
      <w:r w:rsidR="00755336">
        <w:rPr>
          <w:sz w:val="24"/>
        </w:rPr>
        <w:t>.</w:t>
      </w:r>
      <w:r w:rsidR="009E6155">
        <w:rPr>
          <w:sz w:val="24"/>
        </w:rPr>
        <w:t xml:space="preserve"> Rees’ </w:t>
      </w:r>
      <w:r w:rsidR="001D2092">
        <w:rPr>
          <w:sz w:val="24"/>
        </w:rPr>
        <w:t>claims which I will explore</w:t>
      </w:r>
      <w:r w:rsidR="009E6155">
        <w:rPr>
          <w:sz w:val="24"/>
        </w:rPr>
        <w:t xml:space="preserve">. Firstly, to defend the Ordinary Unfair Dismissal claim, the company should argue that the reason was Gross Misconduct and therefore it was a fair dismissal. </w:t>
      </w:r>
      <w:r w:rsidR="00755336">
        <w:rPr>
          <w:sz w:val="24"/>
        </w:rPr>
        <w:t>T</w:t>
      </w:r>
      <w:r w:rsidR="009E6155">
        <w:rPr>
          <w:sz w:val="24"/>
        </w:rPr>
        <w:t>o</w:t>
      </w:r>
      <w:r>
        <w:rPr>
          <w:sz w:val="24"/>
        </w:rPr>
        <w:t xml:space="preserve"> support this defence, companies</w:t>
      </w:r>
      <w:r w:rsidR="009E6155">
        <w:rPr>
          <w:sz w:val="24"/>
        </w:rPr>
        <w:t xml:space="preserve"> would usually have a list of what constitutes gross misconduct laid out in their handbook and disciplinary policy, therefore, if Big Buses Ltd do</w:t>
      </w:r>
      <w:r w:rsidR="00755336">
        <w:rPr>
          <w:sz w:val="24"/>
        </w:rPr>
        <w:t>es</w:t>
      </w:r>
      <w:r w:rsidR="009E6155">
        <w:rPr>
          <w:sz w:val="24"/>
        </w:rPr>
        <w:t xml:space="preserve"> have this, I would suggest you utilise it. Furthermore, at current it does not seem as though there is any evidence that Mr</w:t>
      </w:r>
      <w:r w:rsidR="00755336">
        <w:rPr>
          <w:sz w:val="24"/>
        </w:rPr>
        <w:t>.</w:t>
      </w:r>
      <w:r w:rsidR="009E6155">
        <w:rPr>
          <w:sz w:val="24"/>
        </w:rPr>
        <w:t xml:space="preserve"> Rees was provoked </w:t>
      </w:r>
      <w:r w:rsidR="00755336">
        <w:rPr>
          <w:sz w:val="24"/>
        </w:rPr>
        <w:t>before</w:t>
      </w:r>
      <w:r w:rsidR="009E6155">
        <w:rPr>
          <w:sz w:val="24"/>
        </w:rPr>
        <w:t xml:space="preserve"> the incident</w:t>
      </w:r>
      <w:r>
        <w:rPr>
          <w:sz w:val="24"/>
        </w:rPr>
        <w:t>,</w:t>
      </w:r>
      <w:r w:rsidR="009E6155">
        <w:rPr>
          <w:sz w:val="24"/>
        </w:rPr>
        <w:t xml:space="preserve"> as there is a lack of witness </w:t>
      </w:r>
      <w:r w:rsidR="009E6155">
        <w:rPr>
          <w:sz w:val="24"/>
        </w:rPr>
        <w:lastRenderedPageBreak/>
        <w:t>corroboration. It may be argued that Mr</w:t>
      </w:r>
      <w:r w:rsidR="00755336">
        <w:rPr>
          <w:sz w:val="24"/>
        </w:rPr>
        <w:t>.</w:t>
      </w:r>
      <w:r w:rsidR="009E6155">
        <w:rPr>
          <w:sz w:val="24"/>
        </w:rPr>
        <w:t xml:space="preserve"> Smith did form a genuine belief, based on reasonable grounds following </w:t>
      </w:r>
      <w:r w:rsidR="00755336">
        <w:rPr>
          <w:sz w:val="24"/>
        </w:rPr>
        <w:t xml:space="preserve">a </w:t>
      </w:r>
      <w:r w:rsidR="009E6155">
        <w:rPr>
          <w:sz w:val="24"/>
        </w:rPr>
        <w:t xml:space="preserve">reasonable investigation that </w:t>
      </w:r>
      <w:r w:rsidR="009C64DC">
        <w:rPr>
          <w:sz w:val="24"/>
        </w:rPr>
        <w:t>there was no evidence of Mr</w:t>
      </w:r>
      <w:r w:rsidR="00755336">
        <w:rPr>
          <w:sz w:val="24"/>
        </w:rPr>
        <w:t>.</w:t>
      </w:r>
      <w:r w:rsidR="009C64DC">
        <w:rPr>
          <w:sz w:val="24"/>
        </w:rPr>
        <w:t xml:space="preserve"> Twist provoking Mr</w:t>
      </w:r>
      <w:r w:rsidR="00755336">
        <w:rPr>
          <w:sz w:val="24"/>
        </w:rPr>
        <w:t>.</w:t>
      </w:r>
      <w:r w:rsidR="009C64DC">
        <w:rPr>
          <w:sz w:val="24"/>
        </w:rPr>
        <w:t xml:space="preserve"> Rees, and if he had not provoked him, then he had committed Gross Misconduct. Moreover, the fact that Mr</w:t>
      </w:r>
      <w:r w:rsidR="00755336">
        <w:rPr>
          <w:sz w:val="24"/>
        </w:rPr>
        <w:t>.</w:t>
      </w:r>
      <w:r w:rsidR="009C64DC">
        <w:rPr>
          <w:sz w:val="24"/>
        </w:rPr>
        <w:t xml:space="preserve"> Rees was already joking and laughing </w:t>
      </w:r>
      <w:r w:rsidR="00755336">
        <w:rPr>
          <w:sz w:val="24"/>
        </w:rPr>
        <w:t>before</w:t>
      </w:r>
      <w:r w:rsidR="009C64DC">
        <w:rPr>
          <w:sz w:val="24"/>
        </w:rPr>
        <w:t xml:space="preserve"> the incident also leads us to believe that there was no provocation.</w:t>
      </w:r>
    </w:p>
    <w:p w:rsidR="009C64DC" w:rsidRDefault="009C64DC" w:rsidP="008F4260">
      <w:pPr>
        <w:spacing w:line="360" w:lineRule="auto"/>
        <w:rPr>
          <w:sz w:val="24"/>
        </w:rPr>
      </w:pPr>
      <w:r>
        <w:rPr>
          <w:sz w:val="24"/>
        </w:rPr>
        <w:t>On the other hand, no copies of witness statements were made available to Mr</w:t>
      </w:r>
      <w:r w:rsidR="00755336">
        <w:rPr>
          <w:sz w:val="24"/>
        </w:rPr>
        <w:t>.</w:t>
      </w:r>
      <w:r>
        <w:rPr>
          <w:sz w:val="24"/>
        </w:rPr>
        <w:t xml:space="preserve"> Rees </w:t>
      </w:r>
      <w:r w:rsidR="00755336">
        <w:rPr>
          <w:sz w:val="24"/>
        </w:rPr>
        <w:t>before</w:t>
      </w:r>
      <w:r>
        <w:rPr>
          <w:sz w:val="24"/>
        </w:rPr>
        <w:t xml:space="preserve"> the disciplinary</w:t>
      </w:r>
      <w:r w:rsidR="00755336">
        <w:rPr>
          <w:sz w:val="24"/>
        </w:rPr>
        <w:t>,</w:t>
      </w:r>
      <w:r>
        <w:rPr>
          <w:sz w:val="24"/>
        </w:rPr>
        <w:t xml:space="preserve"> </w:t>
      </w:r>
      <w:r w:rsidR="00755336">
        <w:rPr>
          <w:sz w:val="24"/>
        </w:rPr>
        <w:t>so he could</w:t>
      </w:r>
      <w:r>
        <w:rPr>
          <w:sz w:val="24"/>
        </w:rPr>
        <w:t xml:space="preserve"> answer to them </w:t>
      </w:r>
      <w:r w:rsidR="00A60DBB">
        <w:rPr>
          <w:sz w:val="24"/>
        </w:rPr>
        <w:t>at the meeting, and therefore very little d</w:t>
      </w:r>
      <w:r>
        <w:rPr>
          <w:sz w:val="24"/>
        </w:rPr>
        <w:t>ue process was followed. It is worth noti</w:t>
      </w:r>
      <w:r w:rsidR="00A60DBB">
        <w:rPr>
          <w:sz w:val="24"/>
        </w:rPr>
        <w:t xml:space="preserve">ng this as this may further weaken an already weak </w:t>
      </w:r>
      <w:r>
        <w:rPr>
          <w:sz w:val="24"/>
        </w:rPr>
        <w:t>defence.</w:t>
      </w:r>
    </w:p>
    <w:p w:rsidR="00961D68" w:rsidRDefault="00961D68" w:rsidP="008F4260">
      <w:pPr>
        <w:spacing w:line="360" w:lineRule="auto"/>
        <w:rPr>
          <w:sz w:val="24"/>
        </w:rPr>
      </w:pPr>
      <w:r>
        <w:rPr>
          <w:sz w:val="24"/>
        </w:rPr>
        <w:t>The same defence may also be used against the claim for wrongful dismissal. As Mr</w:t>
      </w:r>
      <w:r w:rsidR="00755336">
        <w:rPr>
          <w:sz w:val="24"/>
        </w:rPr>
        <w:t>.</w:t>
      </w:r>
      <w:r>
        <w:rPr>
          <w:sz w:val="24"/>
        </w:rPr>
        <w:t xml:space="preserve"> Rees was dismissed for Gross Misconduct, then he is not entitled to receive holiday pay, notice period</w:t>
      </w:r>
      <w:r w:rsidR="00755336">
        <w:rPr>
          <w:sz w:val="24"/>
        </w:rPr>
        <w:t>,</w:t>
      </w:r>
      <w:r>
        <w:rPr>
          <w:sz w:val="24"/>
        </w:rPr>
        <w:t xml:space="preserve"> or pay in lieu of notice. </w:t>
      </w:r>
    </w:p>
    <w:p w:rsidR="00961D68" w:rsidRDefault="00961D68" w:rsidP="008F4260">
      <w:pPr>
        <w:spacing w:line="360" w:lineRule="auto"/>
        <w:rPr>
          <w:sz w:val="24"/>
        </w:rPr>
      </w:pPr>
      <w:r>
        <w:rPr>
          <w:sz w:val="24"/>
        </w:rPr>
        <w:t xml:space="preserve">We may also have a defence for his </w:t>
      </w:r>
      <w:r w:rsidR="00755336">
        <w:rPr>
          <w:sz w:val="24"/>
        </w:rPr>
        <w:t>whistleblowing claim</w:t>
      </w:r>
      <w:r>
        <w:rPr>
          <w:sz w:val="24"/>
        </w:rPr>
        <w:t>. Firstly, Big Buses Ltd may argue that you have done everything reasonable to ensure that masks are worn by all employees in the workplace. In addition to this, it may also be argued that this disclosure was never made to Mr</w:t>
      </w:r>
      <w:r w:rsidR="00755336">
        <w:rPr>
          <w:sz w:val="24"/>
        </w:rPr>
        <w:t>.</w:t>
      </w:r>
      <w:r>
        <w:rPr>
          <w:sz w:val="24"/>
        </w:rPr>
        <w:t xml:space="preserve"> Smith. Mr</w:t>
      </w:r>
      <w:r w:rsidR="00755336">
        <w:rPr>
          <w:sz w:val="24"/>
        </w:rPr>
        <w:t>.</w:t>
      </w:r>
      <w:r>
        <w:rPr>
          <w:sz w:val="24"/>
        </w:rPr>
        <w:t xml:space="preserve"> Smith does not address this issue in his statement and therefore, the burden of proof lays with Mr</w:t>
      </w:r>
      <w:r w:rsidR="00755336">
        <w:rPr>
          <w:sz w:val="24"/>
        </w:rPr>
        <w:t>.</w:t>
      </w:r>
      <w:r>
        <w:rPr>
          <w:sz w:val="24"/>
        </w:rPr>
        <w:t xml:space="preserve"> Rees to provide evidence that this disclosure was in fact made. At this point in time, it is merely Mr</w:t>
      </w:r>
      <w:r w:rsidR="00755336">
        <w:rPr>
          <w:sz w:val="24"/>
        </w:rPr>
        <w:t>.</w:t>
      </w:r>
      <w:r>
        <w:rPr>
          <w:sz w:val="24"/>
        </w:rPr>
        <w:t xml:space="preserve"> Rees’ word against Mr</w:t>
      </w:r>
      <w:r w:rsidR="00755336">
        <w:rPr>
          <w:sz w:val="24"/>
        </w:rPr>
        <w:t>.</w:t>
      </w:r>
      <w:r>
        <w:rPr>
          <w:sz w:val="24"/>
        </w:rPr>
        <w:t xml:space="preserve"> Smiths and there is no documentation nor clear evidence that the disclosure was ever made. Furthermore, Even if he did make the disclosure, then we may argue that this was not the real reason he was dismissed. The reason he was dismissed was the fact that he had started a fight at work, and this would mean that there is no causal link between the disclosure and the decision to dismiss him.</w:t>
      </w:r>
      <w:r w:rsidR="006667C9">
        <w:rPr>
          <w:sz w:val="24"/>
        </w:rPr>
        <w:t xml:space="preserve"> Furthermore</w:t>
      </w:r>
      <w:r w:rsidR="004E56EE">
        <w:rPr>
          <w:sz w:val="24"/>
        </w:rPr>
        <w:t>,</w:t>
      </w:r>
      <w:r w:rsidR="006667C9">
        <w:rPr>
          <w:sz w:val="24"/>
        </w:rPr>
        <w:t xml:space="preserve"> the case of ‘</w:t>
      </w:r>
      <w:proofErr w:type="spellStart"/>
      <w:r w:rsidR="006667C9">
        <w:rPr>
          <w:sz w:val="24"/>
        </w:rPr>
        <w:t>Kilraine</w:t>
      </w:r>
      <w:proofErr w:type="spellEnd"/>
      <w:r w:rsidR="006667C9">
        <w:rPr>
          <w:sz w:val="24"/>
        </w:rPr>
        <w:t xml:space="preserve"> v London Borough of </w:t>
      </w:r>
      <w:proofErr w:type="spellStart"/>
      <w:r w:rsidR="006667C9">
        <w:rPr>
          <w:sz w:val="24"/>
        </w:rPr>
        <w:t>Wandsworth</w:t>
      </w:r>
      <w:proofErr w:type="spellEnd"/>
      <w:r w:rsidR="006667C9">
        <w:rPr>
          <w:sz w:val="24"/>
        </w:rPr>
        <w:t xml:space="preserve">’ (2018) held </w:t>
      </w:r>
      <w:r w:rsidR="0062167C">
        <w:rPr>
          <w:sz w:val="24"/>
        </w:rPr>
        <w:t>that to claim protection, the employee must demonstrate that there was a breach of legal obligation rather than a mere belief that the employers’ actions were undesirable, which may be argued here. The COVID-19 restrictions, such as mask-wearing, implemented at Big Buses Ltd are not legal obligations</w:t>
      </w:r>
      <w:r w:rsidR="004E56EE">
        <w:rPr>
          <w:sz w:val="24"/>
        </w:rPr>
        <w:t xml:space="preserve"> in England</w:t>
      </w:r>
      <w:r w:rsidR="0062167C">
        <w:rPr>
          <w:sz w:val="24"/>
        </w:rPr>
        <w:t xml:space="preserve"> but merely guidelines to follow.</w:t>
      </w:r>
    </w:p>
    <w:p w:rsidR="005F3E04" w:rsidRPr="008F4260" w:rsidRDefault="005F3E04" w:rsidP="008F4260">
      <w:pPr>
        <w:spacing w:line="360" w:lineRule="auto"/>
        <w:rPr>
          <w:sz w:val="24"/>
        </w:rPr>
      </w:pPr>
      <w:r>
        <w:rPr>
          <w:sz w:val="24"/>
        </w:rPr>
        <w:t>Finally, this also applies to his claim for unfair dismissal under s.100(c) of the ERA (1996). We must again consider whether or not he made the disclosure to Mr</w:t>
      </w:r>
      <w:r w:rsidR="00755336">
        <w:rPr>
          <w:sz w:val="24"/>
        </w:rPr>
        <w:t>.</w:t>
      </w:r>
      <w:r>
        <w:rPr>
          <w:sz w:val="24"/>
        </w:rPr>
        <w:t xml:space="preserve"> Smith, and if so, whether or not that was the real reason for his dismissal. Once it is established that he did not</w:t>
      </w:r>
      <w:r w:rsidR="00780DCA">
        <w:rPr>
          <w:sz w:val="24"/>
        </w:rPr>
        <w:t xml:space="preserve"> make </w:t>
      </w:r>
      <w:r w:rsidR="00780DCA">
        <w:rPr>
          <w:sz w:val="24"/>
        </w:rPr>
        <w:lastRenderedPageBreak/>
        <w:t>the disclosure</w:t>
      </w:r>
      <w:r>
        <w:rPr>
          <w:sz w:val="24"/>
        </w:rPr>
        <w:t xml:space="preserve"> or</w:t>
      </w:r>
      <w:r w:rsidR="00780DCA">
        <w:rPr>
          <w:sz w:val="24"/>
        </w:rPr>
        <w:t xml:space="preserve"> if he did, that</w:t>
      </w:r>
      <w:r>
        <w:rPr>
          <w:sz w:val="24"/>
        </w:rPr>
        <w:t xml:space="preserve"> it was not the real reason </w:t>
      </w:r>
      <w:r w:rsidR="00780DCA">
        <w:rPr>
          <w:sz w:val="24"/>
        </w:rPr>
        <w:t xml:space="preserve">for dismissal </w:t>
      </w:r>
      <w:r>
        <w:rPr>
          <w:sz w:val="24"/>
        </w:rPr>
        <w:t>then you have a viable defence to the claim.</w:t>
      </w:r>
    </w:p>
    <w:p w:rsidR="00DB4016" w:rsidRDefault="006874E0" w:rsidP="007C1B06">
      <w:pPr>
        <w:spacing w:line="360" w:lineRule="auto"/>
        <w:rPr>
          <w:sz w:val="24"/>
        </w:rPr>
      </w:pPr>
      <w:r w:rsidRPr="007C1B06">
        <w:rPr>
          <w:sz w:val="24"/>
        </w:rPr>
        <w:t xml:space="preserve">In my opinion, </w:t>
      </w:r>
      <w:r w:rsidR="00755336">
        <w:rPr>
          <w:sz w:val="24"/>
        </w:rPr>
        <w:t>Mr. Rees is likely to have</w:t>
      </w:r>
      <w:r w:rsidR="004E56EE">
        <w:rPr>
          <w:sz w:val="24"/>
        </w:rPr>
        <w:t xml:space="preserve"> a strong case at the Tribunal</w:t>
      </w:r>
      <w:r w:rsidRPr="007C1B06">
        <w:rPr>
          <w:sz w:val="24"/>
        </w:rPr>
        <w:t>. We must consider that, whilst Mr</w:t>
      </w:r>
      <w:r w:rsidR="00755336">
        <w:rPr>
          <w:sz w:val="24"/>
        </w:rPr>
        <w:t>.</w:t>
      </w:r>
      <w:r w:rsidRPr="007C1B06">
        <w:rPr>
          <w:sz w:val="24"/>
        </w:rPr>
        <w:t xml:space="preserve"> Smith says he has spoken to Mr</w:t>
      </w:r>
      <w:r w:rsidR="00755336">
        <w:rPr>
          <w:sz w:val="24"/>
        </w:rPr>
        <w:t>.</w:t>
      </w:r>
      <w:r w:rsidRPr="007C1B06">
        <w:rPr>
          <w:sz w:val="24"/>
        </w:rPr>
        <w:t xml:space="preserve"> Rees </w:t>
      </w:r>
      <w:r w:rsidR="007C1B06" w:rsidRPr="007C1B06">
        <w:rPr>
          <w:sz w:val="24"/>
        </w:rPr>
        <w:t>on several occasions regarding his behaviour, these occasions have not been documented</w:t>
      </w:r>
      <w:r w:rsidR="00755336">
        <w:rPr>
          <w:sz w:val="24"/>
        </w:rPr>
        <w:t>,</w:t>
      </w:r>
      <w:r w:rsidR="007C1B06" w:rsidRPr="007C1B06">
        <w:rPr>
          <w:sz w:val="24"/>
        </w:rPr>
        <w:t xml:space="preserve"> and the</w:t>
      </w:r>
      <w:r w:rsidR="004E56EE">
        <w:rPr>
          <w:sz w:val="24"/>
        </w:rPr>
        <w:t>refore, in the eyes of the tribunal</w:t>
      </w:r>
      <w:r w:rsidR="007C1B06" w:rsidRPr="007C1B06">
        <w:rPr>
          <w:sz w:val="24"/>
        </w:rPr>
        <w:t>, Mr</w:t>
      </w:r>
      <w:r w:rsidR="00755336">
        <w:rPr>
          <w:sz w:val="24"/>
        </w:rPr>
        <w:t>.</w:t>
      </w:r>
      <w:r w:rsidR="007C1B06" w:rsidRPr="007C1B06">
        <w:rPr>
          <w:sz w:val="24"/>
        </w:rPr>
        <w:t xml:space="preserve"> Rees’ only has one previous disciplinary on his record, whi</w:t>
      </w:r>
      <w:r w:rsidR="004E56EE">
        <w:rPr>
          <w:sz w:val="24"/>
        </w:rPr>
        <w:t>ch was for being late. The tribunal</w:t>
      </w:r>
      <w:r w:rsidR="007C1B06" w:rsidRPr="007C1B06">
        <w:rPr>
          <w:sz w:val="24"/>
        </w:rPr>
        <w:t xml:space="preserve"> would, therefore, see this as good behavio</w:t>
      </w:r>
      <w:r w:rsidR="00755336">
        <w:rPr>
          <w:sz w:val="24"/>
        </w:rPr>
        <w:t>u</w:t>
      </w:r>
      <w:r w:rsidR="007C1B06" w:rsidRPr="007C1B06">
        <w:rPr>
          <w:sz w:val="24"/>
        </w:rPr>
        <w:t>r overall as that record does not relate to the problem in question. Furthermore, Mr</w:t>
      </w:r>
      <w:r w:rsidR="00755336">
        <w:rPr>
          <w:sz w:val="24"/>
        </w:rPr>
        <w:t>.</w:t>
      </w:r>
      <w:r w:rsidR="007C1B06" w:rsidRPr="007C1B06">
        <w:rPr>
          <w:sz w:val="24"/>
        </w:rPr>
        <w:t xml:space="preserve"> Rees has also been employed by Big Buses Ltd for 6 years, meaning that he is a time-served employee and sugges</w:t>
      </w:r>
      <w:r w:rsidR="00755336">
        <w:rPr>
          <w:sz w:val="24"/>
        </w:rPr>
        <w:t>ting that his behaviour could not</w:t>
      </w:r>
      <w:r w:rsidR="007C1B06" w:rsidRPr="007C1B06">
        <w:rPr>
          <w:sz w:val="24"/>
        </w:rPr>
        <w:t xml:space="preserve"> have been that poor, which will al</w:t>
      </w:r>
      <w:r w:rsidR="004E56EE">
        <w:rPr>
          <w:sz w:val="24"/>
        </w:rPr>
        <w:t>so agree with his claim at tribunal</w:t>
      </w:r>
      <w:r w:rsidR="00780DCA">
        <w:rPr>
          <w:sz w:val="24"/>
        </w:rPr>
        <w:t xml:space="preserve"> as the ‘Arnold Clark Automobiles Ltd v Spoor’</w:t>
      </w:r>
      <w:r w:rsidR="00547A3A">
        <w:rPr>
          <w:sz w:val="24"/>
        </w:rPr>
        <w:t xml:space="preserve"> </w:t>
      </w:r>
      <w:r w:rsidR="00CE30AD">
        <w:rPr>
          <w:sz w:val="24"/>
        </w:rPr>
        <w:t>(2017</w:t>
      </w:r>
      <w:r w:rsidR="00547A3A">
        <w:rPr>
          <w:sz w:val="24"/>
        </w:rPr>
        <w:t>) case held</w:t>
      </w:r>
      <w:r w:rsidR="007C1B06" w:rsidRPr="007C1B06">
        <w:rPr>
          <w:sz w:val="24"/>
        </w:rPr>
        <w:t>.</w:t>
      </w:r>
    </w:p>
    <w:p w:rsidR="007C1B06" w:rsidRDefault="007C1B06" w:rsidP="007C1B06">
      <w:pPr>
        <w:spacing w:line="360" w:lineRule="auto"/>
        <w:rPr>
          <w:sz w:val="24"/>
        </w:rPr>
      </w:pPr>
      <w:r>
        <w:rPr>
          <w:sz w:val="24"/>
        </w:rPr>
        <w:t>Predominantly, the fact that no process was followed by Mr</w:t>
      </w:r>
      <w:r w:rsidR="00755336">
        <w:rPr>
          <w:sz w:val="24"/>
        </w:rPr>
        <w:t>.</w:t>
      </w:r>
      <w:r>
        <w:rPr>
          <w:sz w:val="24"/>
        </w:rPr>
        <w:t xml:space="preserve"> Smith during the investigations is the most significant factor to aid in Mr</w:t>
      </w:r>
      <w:r w:rsidR="00755336">
        <w:rPr>
          <w:sz w:val="24"/>
        </w:rPr>
        <w:t>.</w:t>
      </w:r>
      <w:r>
        <w:rPr>
          <w:sz w:val="24"/>
        </w:rPr>
        <w:t xml:space="preserve"> Rees’ claims. Mr</w:t>
      </w:r>
      <w:r w:rsidR="00755336">
        <w:rPr>
          <w:sz w:val="24"/>
        </w:rPr>
        <w:t>.</w:t>
      </w:r>
      <w:r>
        <w:rPr>
          <w:sz w:val="24"/>
        </w:rPr>
        <w:t xml:space="preserve"> Smith should not have acted as investigating officer, as he was already a witness to the incident and therefore was already biased. When investigating, the officer should be an utterly independent party to the matter in question. Furthermore, </w:t>
      </w:r>
      <w:r w:rsidR="00794136">
        <w:rPr>
          <w:sz w:val="24"/>
        </w:rPr>
        <w:t>whilst some notes were taken of Mr</w:t>
      </w:r>
      <w:r w:rsidR="00755336">
        <w:rPr>
          <w:sz w:val="24"/>
        </w:rPr>
        <w:t>.</w:t>
      </w:r>
      <w:r w:rsidR="00794136">
        <w:rPr>
          <w:sz w:val="24"/>
        </w:rPr>
        <w:t xml:space="preserve"> Rees’ account of events, an investigatory hearing did not take place for him to give a full and accurate statement, witness statements and evidence were not made available to Mr</w:t>
      </w:r>
      <w:r w:rsidR="00755336">
        <w:rPr>
          <w:sz w:val="24"/>
        </w:rPr>
        <w:t>.</w:t>
      </w:r>
      <w:r w:rsidR="00794136">
        <w:rPr>
          <w:sz w:val="24"/>
        </w:rPr>
        <w:t xml:space="preserve"> Rees </w:t>
      </w:r>
      <w:r w:rsidR="00755336">
        <w:rPr>
          <w:sz w:val="24"/>
        </w:rPr>
        <w:t>before</w:t>
      </w:r>
      <w:r w:rsidR="00794136">
        <w:rPr>
          <w:sz w:val="24"/>
        </w:rPr>
        <w:t xml:space="preserve"> the disciplinary, and Mr</w:t>
      </w:r>
      <w:r w:rsidR="00755336">
        <w:rPr>
          <w:sz w:val="24"/>
        </w:rPr>
        <w:t>.</w:t>
      </w:r>
      <w:r w:rsidR="00794136">
        <w:rPr>
          <w:sz w:val="24"/>
        </w:rPr>
        <w:t xml:space="preserve"> Millard and Mr</w:t>
      </w:r>
      <w:r w:rsidR="00755336">
        <w:rPr>
          <w:sz w:val="24"/>
        </w:rPr>
        <w:t>.</w:t>
      </w:r>
      <w:r w:rsidR="00794136">
        <w:rPr>
          <w:sz w:val="24"/>
        </w:rPr>
        <w:t xml:space="preserve"> Smith did not allow Mr</w:t>
      </w:r>
      <w:r w:rsidR="00755336">
        <w:rPr>
          <w:sz w:val="24"/>
        </w:rPr>
        <w:t>.</w:t>
      </w:r>
      <w:r w:rsidR="00794136">
        <w:rPr>
          <w:sz w:val="24"/>
        </w:rPr>
        <w:t xml:space="preserve"> Rees to answer his case at the disciplinary. These factors all suggest that the disciplinary process was unfair and therefore, </w:t>
      </w:r>
      <w:r w:rsidR="004E56EE">
        <w:rPr>
          <w:sz w:val="24"/>
        </w:rPr>
        <w:t xml:space="preserve">will </w:t>
      </w:r>
      <w:r w:rsidR="00794136">
        <w:rPr>
          <w:sz w:val="24"/>
        </w:rPr>
        <w:t xml:space="preserve">severely weaken the company’s defence at </w:t>
      </w:r>
      <w:r w:rsidR="004E56EE">
        <w:rPr>
          <w:sz w:val="24"/>
        </w:rPr>
        <w:t>tribunal</w:t>
      </w:r>
      <w:r w:rsidR="00794136">
        <w:rPr>
          <w:sz w:val="24"/>
        </w:rPr>
        <w:t>.</w:t>
      </w:r>
    </w:p>
    <w:p w:rsidR="00794136" w:rsidRDefault="00794136" w:rsidP="007C1B06">
      <w:pPr>
        <w:spacing w:line="360" w:lineRule="auto"/>
        <w:rPr>
          <w:sz w:val="24"/>
        </w:rPr>
      </w:pPr>
      <w:r>
        <w:rPr>
          <w:sz w:val="24"/>
        </w:rPr>
        <w:t>On the other hand, Mr</w:t>
      </w:r>
      <w:r w:rsidR="00755336">
        <w:rPr>
          <w:sz w:val="24"/>
        </w:rPr>
        <w:t>.</w:t>
      </w:r>
      <w:r>
        <w:rPr>
          <w:sz w:val="24"/>
        </w:rPr>
        <w:t xml:space="preserve"> Rees did push Mr</w:t>
      </w:r>
      <w:r w:rsidR="00755336">
        <w:rPr>
          <w:sz w:val="24"/>
        </w:rPr>
        <w:t>.</w:t>
      </w:r>
      <w:r>
        <w:rPr>
          <w:sz w:val="24"/>
        </w:rPr>
        <w:t xml:space="preserve"> Twist and therefore did commit Gross Misconduct which would strengthen the company’s defence and so must be stressed at </w:t>
      </w:r>
      <w:r w:rsidR="004E56EE">
        <w:rPr>
          <w:sz w:val="24"/>
        </w:rPr>
        <w:t>tribunal</w:t>
      </w:r>
      <w:r>
        <w:rPr>
          <w:sz w:val="24"/>
        </w:rPr>
        <w:t>. At present, there are no witnesses to corroborate Mr</w:t>
      </w:r>
      <w:r w:rsidR="00755336">
        <w:rPr>
          <w:sz w:val="24"/>
        </w:rPr>
        <w:t>.</w:t>
      </w:r>
      <w:r>
        <w:rPr>
          <w:sz w:val="24"/>
        </w:rPr>
        <w:t xml:space="preserve"> Rees’ defence that he was provoked by Mr</w:t>
      </w:r>
      <w:r w:rsidR="00755336">
        <w:rPr>
          <w:sz w:val="24"/>
        </w:rPr>
        <w:t>.</w:t>
      </w:r>
      <w:r>
        <w:rPr>
          <w:sz w:val="24"/>
        </w:rPr>
        <w:t xml:space="preserve"> Twist, whilst Mr</w:t>
      </w:r>
      <w:r w:rsidR="00755336">
        <w:rPr>
          <w:sz w:val="24"/>
        </w:rPr>
        <w:t>.</w:t>
      </w:r>
      <w:r>
        <w:rPr>
          <w:sz w:val="24"/>
        </w:rPr>
        <w:t xml:space="preserve"> Painter was a witness he could not recall the incident and therefore could not substantiate these grounds. </w:t>
      </w:r>
      <w:r w:rsidR="00E92AEF">
        <w:rPr>
          <w:sz w:val="24"/>
        </w:rPr>
        <w:t>Whilst we must consider that more witnesses may come forward, it does not look likely that those grounds would be substantiated, and therefore it is likely to weaken Mr</w:t>
      </w:r>
      <w:r w:rsidR="00755336">
        <w:rPr>
          <w:sz w:val="24"/>
        </w:rPr>
        <w:t>.</w:t>
      </w:r>
      <w:r w:rsidR="00E92AEF">
        <w:rPr>
          <w:sz w:val="24"/>
        </w:rPr>
        <w:t xml:space="preserve"> Rees’ claims. </w:t>
      </w:r>
    </w:p>
    <w:p w:rsidR="00D80420" w:rsidRDefault="00D80420" w:rsidP="007C1B06">
      <w:pPr>
        <w:spacing w:line="360" w:lineRule="auto"/>
        <w:rPr>
          <w:sz w:val="24"/>
        </w:rPr>
      </w:pPr>
    </w:p>
    <w:p w:rsidR="00796A5D" w:rsidRDefault="00D80420" w:rsidP="007C1B06">
      <w:pPr>
        <w:spacing w:line="360" w:lineRule="auto"/>
        <w:rPr>
          <w:sz w:val="24"/>
        </w:rPr>
      </w:pPr>
      <w:r>
        <w:rPr>
          <w:sz w:val="24"/>
        </w:rPr>
        <w:lastRenderedPageBreak/>
        <w:t>At employment tribunals there are three possible remedies for a claim, these are; Reinstatement, Re-engagement</w:t>
      </w:r>
      <w:r w:rsidR="00755336">
        <w:rPr>
          <w:sz w:val="24"/>
        </w:rPr>
        <w:t>,</w:t>
      </w:r>
      <w:r>
        <w:rPr>
          <w:sz w:val="24"/>
        </w:rPr>
        <w:t xml:space="preserve"> and compensation.</w:t>
      </w:r>
      <w:r w:rsidR="00796A5D">
        <w:rPr>
          <w:sz w:val="24"/>
        </w:rPr>
        <w:t xml:space="preserve"> Whilst the tribunal would consider what the claimant wants and stated in their T1 form, i</w:t>
      </w:r>
      <w:r>
        <w:rPr>
          <w:sz w:val="24"/>
        </w:rPr>
        <w:t xml:space="preserve">t is on </w:t>
      </w:r>
      <w:r w:rsidR="00755336">
        <w:rPr>
          <w:sz w:val="24"/>
        </w:rPr>
        <w:t xml:space="preserve">the </w:t>
      </w:r>
      <w:r>
        <w:rPr>
          <w:sz w:val="24"/>
        </w:rPr>
        <w:t>rare occasion that the Tribunals would award reinstatement or re-engagement</w:t>
      </w:r>
      <w:r w:rsidR="002B7975">
        <w:rPr>
          <w:sz w:val="24"/>
        </w:rPr>
        <w:t xml:space="preserve"> </w:t>
      </w:r>
      <w:r w:rsidR="00796A5D">
        <w:rPr>
          <w:sz w:val="24"/>
        </w:rPr>
        <w:t>as they would look at whether or not the employment relationship has irretrievably broken down, whi</w:t>
      </w:r>
      <w:r w:rsidR="00B83078">
        <w:rPr>
          <w:sz w:val="24"/>
        </w:rPr>
        <w:t>ch in most conduct cases it has</w:t>
      </w:r>
      <w:r w:rsidR="004E56EE">
        <w:rPr>
          <w:sz w:val="24"/>
        </w:rPr>
        <w:t>,</w:t>
      </w:r>
      <w:r w:rsidR="00B83078">
        <w:rPr>
          <w:sz w:val="24"/>
        </w:rPr>
        <w:t xml:space="preserve"> as held in the case ‘Wood Group Heavy Industrial Turbines Ltd v </w:t>
      </w:r>
      <w:proofErr w:type="spellStart"/>
      <w:r w:rsidR="00B83078">
        <w:rPr>
          <w:sz w:val="24"/>
        </w:rPr>
        <w:t>Crossan</w:t>
      </w:r>
      <w:proofErr w:type="spellEnd"/>
      <w:r w:rsidR="00B83078">
        <w:rPr>
          <w:sz w:val="24"/>
        </w:rPr>
        <w:t>’ (1998)</w:t>
      </w:r>
      <w:r w:rsidR="004E56EE">
        <w:rPr>
          <w:sz w:val="24"/>
        </w:rPr>
        <w:t xml:space="preserve">. </w:t>
      </w:r>
      <w:r w:rsidR="00796A5D">
        <w:rPr>
          <w:sz w:val="24"/>
        </w:rPr>
        <w:t>Undeniably, the relationship has broken down in this case and therefore it is unlikely that the tribunal would award reinstatement despite Mr</w:t>
      </w:r>
      <w:r w:rsidR="00755336">
        <w:rPr>
          <w:sz w:val="24"/>
        </w:rPr>
        <w:t>.</w:t>
      </w:r>
      <w:r w:rsidR="00796A5D">
        <w:rPr>
          <w:sz w:val="24"/>
        </w:rPr>
        <w:t xml:space="preserve"> Rees requesting that. However, on the other hand, </w:t>
      </w:r>
      <w:r w:rsidR="00B83078">
        <w:rPr>
          <w:sz w:val="24"/>
        </w:rPr>
        <w:t>if the tribunals see it practical reinstatement may be awarded as seen in ‘Boots Plc v Lees’ (1986). R</w:t>
      </w:r>
      <w:r w:rsidR="00796A5D">
        <w:rPr>
          <w:sz w:val="24"/>
        </w:rPr>
        <w:t xml:space="preserve">einstatement may be awarded </w:t>
      </w:r>
      <w:r w:rsidR="00B83078">
        <w:rPr>
          <w:sz w:val="24"/>
        </w:rPr>
        <w:t xml:space="preserve">in this case, </w:t>
      </w:r>
      <w:r w:rsidR="00796A5D">
        <w:rPr>
          <w:sz w:val="24"/>
        </w:rPr>
        <w:t xml:space="preserve">providing the tribunal is satisfied </w:t>
      </w:r>
      <w:r w:rsidR="00B83078">
        <w:rPr>
          <w:sz w:val="24"/>
        </w:rPr>
        <w:t>that Mr</w:t>
      </w:r>
      <w:r w:rsidR="00755336">
        <w:rPr>
          <w:sz w:val="24"/>
        </w:rPr>
        <w:t>.</w:t>
      </w:r>
      <w:r w:rsidR="00B83078">
        <w:rPr>
          <w:sz w:val="24"/>
        </w:rPr>
        <w:t xml:space="preserve"> Rees is a </w:t>
      </w:r>
      <w:proofErr w:type="spellStart"/>
      <w:r w:rsidR="00B83078">
        <w:rPr>
          <w:sz w:val="24"/>
        </w:rPr>
        <w:t>whistleblower</w:t>
      </w:r>
      <w:proofErr w:type="spellEnd"/>
      <w:r w:rsidR="00796A5D">
        <w:rPr>
          <w:sz w:val="24"/>
        </w:rPr>
        <w:t>, again this is unlikely given that there is no causal link.</w:t>
      </w:r>
    </w:p>
    <w:p w:rsidR="00796A5D" w:rsidRDefault="00796A5D" w:rsidP="007C1B06">
      <w:pPr>
        <w:spacing w:line="360" w:lineRule="auto"/>
        <w:rPr>
          <w:sz w:val="24"/>
        </w:rPr>
      </w:pPr>
      <w:r>
        <w:rPr>
          <w:sz w:val="24"/>
        </w:rPr>
        <w:t>It is more than likely that, should he be successful in his claim, Mr</w:t>
      </w:r>
      <w:r w:rsidR="00755336">
        <w:rPr>
          <w:sz w:val="24"/>
        </w:rPr>
        <w:t>.</w:t>
      </w:r>
      <w:r>
        <w:rPr>
          <w:sz w:val="24"/>
        </w:rPr>
        <w:t xml:space="preserve"> Rees wou</w:t>
      </w:r>
      <w:r w:rsidR="00BE0654">
        <w:rPr>
          <w:sz w:val="24"/>
        </w:rPr>
        <w:t>ld be given an award of compensation</w:t>
      </w:r>
      <w:r>
        <w:rPr>
          <w:sz w:val="24"/>
        </w:rPr>
        <w:t>, therefore I shall determine what this award may be for your benefit.</w:t>
      </w:r>
    </w:p>
    <w:p w:rsidR="003B4D35" w:rsidRDefault="003B4D35" w:rsidP="007C1B06">
      <w:pPr>
        <w:spacing w:line="360" w:lineRule="auto"/>
        <w:rPr>
          <w:sz w:val="24"/>
        </w:rPr>
      </w:pPr>
      <w:r>
        <w:rPr>
          <w:sz w:val="24"/>
        </w:rPr>
        <w:t>For wrongful dismissal, an employee would be entitled to their full net salary for that contractual notice period and any other contractual benefits during this period according to the CIPD (2020</w:t>
      </w:r>
      <w:r w:rsidR="009826CF">
        <w:rPr>
          <w:sz w:val="24"/>
        </w:rPr>
        <w:t>a</w:t>
      </w:r>
      <w:r w:rsidR="004E56EE">
        <w:rPr>
          <w:sz w:val="24"/>
        </w:rPr>
        <w:t xml:space="preserve">). </w:t>
      </w:r>
      <w:proofErr w:type="gramStart"/>
      <w:r w:rsidR="004E56EE">
        <w:rPr>
          <w:sz w:val="24"/>
        </w:rPr>
        <w:t>this</w:t>
      </w:r>
      <w:proofErr w:type="gramEnd"/>
      <w:r w:rsidR="004E56EE">
        <w:rPr>
          <w:sz w:val="24"/>
        </w:rPr>
        <w:t xml:space="preserve"> means that if his notice period is a week per year of service, he would be entitled to 6 week’s pay at £500, totalling £3,000, excluding tax deductions.</w:t>
      </w:r>
    </w:p>
    <w:p w:rsidR="00796A5D" w:rsidRDefault="00796A5D" w:rsidP="007C1B06">
      <w:pPr>
        <w:spacing w:line="360" w:lineRule="auto"/>
        <w:rPr>
          <w:sz w:val="24"/>
        </w:rPr>
      </w:pPr>
      <w:r>
        <w:rPr>
          <w:sz w:val="24"/>
        </w:rPr>
        <w:t>The basic award</w:t>
      </w:r>
      <w:r w:rsidR="008849C8">
        <w:rPr>
          <w:sz w:val="24"/>
        </w:rPr>
        <w:t xml:space="preserve"> for unfair dismissal is calculated </w:t>
      </w:r>
      <w:r w:rsidR="00773CDE">
        <w:rPr>
          <w:sz w:val="24"/>
        </w:rPr>
        <w:t xml:space="preserve">in the same way as redundancy payments (Lewis and </w:t>
      </w:r>
      <w:proofErr w:type="spellStart"/>
      <w:r w:rsidR="00773CDE">
        <w:rPr>
          <w:sz w:val="24"/>
        </w:rPr>
        <w:t>Sargeant</w:t>
      </w:r>
      <w:proofErr w:type="spellEnd"/>
      <w:r w:rsidR="00773CDE">
        <w:rPr>
          <w:sz w:val="24"/>
        </w:rPr>
        <w:t>, 2020; ‘</w:t>
      </w:r>
      <w:proofErr w:type="spellStart"/>
      <w:r w:rsidR="00773CDE">
        <w:rPr>
          <w:sz w:val="24"/>
        </w:rPr>
        <w:t>Boorman</w:t>
      </w:r>
      <w:proofErr w:type="spellEnd"/>
      <w:r w:rsidR="00773CDE">
        <w:rPr>
          <w:sz w:val="24"/>
        </w:rPr>
        <w:t xml:space="preserve"> v </w:t>
      </w:r>
      <w:proofErr w:type="spellStart"/>
      <w:r w:rsidR="00773CDE">
        <w:rPr>
          <w:sz w:val="24"/>
        </w:rPr>
        <w:t>Allmakes</w:t>
      </w:r>
      <w:proofErr w:type="spellEnd"/>
      <w:r w:rsidR="00773CDE">
        <w:rPr>
          <w:sz w:val="24"/>
        </w:rPr>
        <w:t xml:space="preserve"> Ltd’, 1995) It is calculated </w:t>
      </w:r>
      <w:r w:rsidR="008849C8">
        <w:rPr>
          <w:sz w:val="24"/>
        </w:rPr>
        <w:t xml:space="preserve">at 1 weeks’ pay, as he is over 22 and under 41 years old, per </w:t>
      </w:r>
      <w:r w:rsidR="0089145F">
        <w:rPr>
          <w:sz w:val="24"/>
        </w:rPr>
        <w:t>full year of service, which is 6</w:t>
      </w:r>
      <w:r w:rsidR="008849C8">
        <w:rPr>
          <w:sz w:val="24"/>
        </w:rPr>
        <w:t xml:space="preserve"> for Mr</w:t>
      </w:r>
      <w:r w:rsidR="00755336">
        <w:rPr>
          <w:sz w:val="24"/>
        </w:rPr>
        <w:t>.</w:t>
      </w:r>
      <w:r w:rsidR="008849C8">
        <w:rPr>
          <w:sz w:val="24"/>
        </w:rPr>
        <w:t xml:space="preserve"> Rees, up to a maximum of £544 per week. In Mr</w:t>
      </w:r>
      <w:r w:rsidR="00755336">
        <w:rPr>
          <w:sz w:val="24"/>
        </w:rPr>
        <w:t>.</w:t>
      </w:r>
      <w:r w:rsidR="008849C8">
        <w:rPr>
          <w:sz w:val="24"/>
        </w:rPr>
        <w:t xml:space="preserve"> Rees’ case, as he is earning £26,000, his wee</w:t>
      </w:r>
      <w:r w:rsidR="0089145F">
        <w:rPr>
          <w:sz w:val="24"/>
        </w:rPr>
        <w:t>kly pay is £500, multiplied by 6</w:t>
      </w:r>
      <w:r w:rsidR="008849C8">
        <w:rPr>
          <w:sz w:val="24"/>
        </w:rPr>
        <w:t xml:space="preserve"> years’ service, his basic award for unfair d</w:t>
      </w:r>
      <w:r w:rsidR="0089145F">
        <w:rPr>
          <w:sz w:val="24"/>
        </w:rPr>
        <w:t>ismissal would equate to £3,000.</w:t>
      </w:r>
      <w:r w:rsidR="004E56EE">
        <w:rPr>
          <w:sz w:val="24"/>
        </w:rPr>
        <w:t xml:space="preserve"> </w:t>
      </w:r>
    </w:p>
    <w:p w:rsidR="008849C8" w:rsidRDefault="008849C8" w:rsidP="007C1B06">
      <w:pPr>
        <w:spacing w:line="360" w:lineRule="auto"/>
        <w:rPr>
          <w:sz w:val="24"/>
        </w:rPr>
      </w:pPr>
      <w:r>
        <w:rPr>
          <w:sz w:val="24"/>
        </w:rPr>
        <w:t>In addition to this, Mr</w:t>
      </w:r>
      <w:r w:rsidR="00755336">
        <w:rPr>
          <w:sz w:val="24"/>
        </w:rPr>
        <w:t>.</w:t>
      </w:r>
      <w:r>
        <w:rPr>
          <w:sz w:val="24"/>
        </w:rPr>
        <w:t xml:space="preserve"> Rees would also be entitled to a compensatory award</w:t>
      </w:r>
      <w:r w:rsidR="00AE033E">
        <w:rPr>
          <w:sz w:val="24"/>
        </w:rPr>
        <w:t xml:space="preserve"> which is an amount that the tribunal considers reasonable (Lewis and </w:t>
      </w:r>
      <w:proofErr w:type="spellStart"/>
      <w:r w:rsidR="00AE033E">
        <w:rPr>
          <w:sz w:val="24"/>
        </w:rPr>
        <w:t>Sargeant</w:t>
      </w:r>
      <w:proofErr w:type="spellEnd"/>
      <w:r w:rsidR="00AE033E">
        <w:rPr>
          <w:sz w:val="24"/>
        </w:rPr>
        <w:t>, 2020)</w:t>
      </w:r>
      <w:r>
        <w:rPr>
          <w:sz w:val="24"/>
        </w:rPr>
        <w:t xml:space="preserve">. This includes loss of earnings from </w:t>
      </w:r>
      <w:r w:rsidR="00755336">
        <w:rPr>
          <w:sz w:val="24"/>
        </w:rPr>
        <w:t xml:space="preserve">the </w:t>
      </w:r>
      <w:r>
        <w:rPr>
          <w:sz w:val="24"/>
        </w:rPr>
        <w:t xml:space="preserve">date of dismissal to the date of </w:t>
      </w:r>
      <w:r w:rsidR="00755336">
        <w:rPr>
          <w:sz w:val="24"/>
        </w:rPr>
        <w:t xml:space="preserve">the </w:t>
      </w:r>
      <w:r>
        <w:rPr>
          <w:sz w:val="24"/>
        </w:rPr>
        <w:t>tribunal, in addition to, future loss of earnings</w:t>
      </w:r>
      <w:r w:rsidR="0062295A">
        <w:rPr>
          <w:sz w:val="24"/>
        </w:rPr>
        <w:t xml:space="preserve"> </w:t>
      </w:r>
      <w:r>
        <w:rPr>
          <w:sz w:val="24"/>
        </w:rPr>
        <w:t xml:space="preserve">from the date of </w:t>
      </w:r>
      <w:r w:rsidR="00755336">
        <w:rPr>
          <w:sz w:val="24"/>
        </w:rPr>
        <w:t xml:space="preserve">the </w:t>
      </w:r>
      <w:r>
        <w:rPr>
          <w:sz w:val="24"/>
        </w:rPr>
        <w:t xml:space="preserve">tribunal </w:t>
      </w:r>
      <w:r w:rsidR="00733AB4">
        <w:rPr>
          <w:sz w:val="24"/>
        </w:rPr>
        <w:t xml:space="preserve">to a point in the future, up to a maximum of a years’ salary or £89,493, </w:t>
      </w:r>
      <w:r w:rsidR="009826CF">
        <w:rPr>
          <w:sz w:val="24"/>
        </w:rPr>
        <w:t>whichever is the lowest</w:t>
      </w:r>
      <w:r w:rsidR="004E56EE">
        <w:rPr>
          <w:sz w:val="24"/>
        </w:rPr>
        <w:t>,</w:t>
      </w:r>
      <w:r w:rsidR="004E56EE" w:rsidRPr="004E56EE">
        <w:rPr>
          <w:sz w:val="24"/>
        </w:rPr>
        <w:t xml:space="preserve"> </w:t>
      </w:r>
      <w:r w:rsidR="004E56EE">
        <w:rPr>
          <w:sz w:val="24"/>
        </w:rPr>
        <w:t xml:space="preserve">as was exhibited in the case of ‘Dench v </w:t>
      </w:r>
      <w:r w:rsidR="004E56EE">
        <w:rPr>
          <w:sz w:val="24"/>
        </w:rPr>
        <w:lastRenderedPageBreak/>
        <w:t>Flynn &amp; Partners’ (1998)</w:t>
      </w:r>
      <w:r w:rsidR="004E56EE">
        <w:rPr>
          <w:sz w:val="24"/>
        </w:rPr>
        <w:t>.</w:t>
      </w:r>
      <w:r w:rsidR="009826CF">
        <w:rPr>
          <w:sz w:val="24"/>
        </w:rPr>
        <w:t xml:space="preserve"> </w:t>
      </w:r>
      <w:r w:rsidR="004E56EE">
        <w:rPr>
          <w:sz w:val="24"/>
        </w:rPr>
        <w:t>T</w:t>
      </w:r>
      <w:r w:rsidR="00733AB4">
        <w:rPr>
          <w:sz w:val="24"/>
        </w:rPr>
        <w:t>herefore, the maximum compensatory award for Mr</w:t>
      </w:r>
      <w:r w:rsidR="00755336">
        <w:rPr>
          <w:sz w:val="24"/>
        </w:rPr>
        <w:t>.</w:t>
      </w:r>
      <w:r w:rsidR="00733AB4">
        <w:rPr>
          <w:sz w:val="24"/>
        </w:rPr>
        <w:t xml:space="preserve"> Rees would be £26,000</w:t>
      </w:r>
      <w:r w:rsidR="005511B1">
        <w:rPr>
          <w:sz w:val="24"/>
        </w:rPr>
        <w:t xml:space="preserve"> (CIPD, 2021</w:t>
      </w:r>
      <w:r w:rsidR="00851CA8">
        <w:rPr>
          <w:sz w:val="24"/>
        </w:rPr>
        <w:t>a</w:t>
      </w:r>
      <w:r w:rsidR="005511B1">
        <w:rPr>
          <w:sz w:val="24"/>
        </w:rPr>
        <w:t>)</w:t>
      </w:r>
      <w:r w:rsidR="00733AB4">
        <w:rPr>
          <w:sz w:val="24"/>
        </w:rPr>
        <w:t xml:space="preserve">. </w:t>
      </w:r>
      <w:r>
        <w:rPr>
          <w:sz w:val="24"/>
        </w:rPr>
        <w:t>If Mr</w:t>
      </w:r>
      <w:r w:rsidR="00755336">
        <w:rPr>
          <w:sz w:val="24"/>
        </w:rPr>
        <w:t>.</w:t>
      </w:r>
      <w:r>
        <w:rPr>
          <w:sz w:val="24"/>
        </w:rPr>
        <w:t xml:space="preserve"> Rees found another job, then he would need</w:t>
      </w:r>
      <w:r w:rsidR="00755336">
        <w:rPr>
          <w:sz w:val="24"/>
        </w:rPr>
        <w:t xml:space="preserve"> to</w:t>
      </w:r>
      <w:r>
        <w:rPr>
          <w:sz w:val="24"/>
        </w:rPr>
        <w:t xml:space="preserve"> mitigate his loss by giving credit to what he earns in the other job</w:t>
      </w:r>
      <w:r w:rsidR="00451140">
        <w:rPr>
          <w:sz w:val="24"/>
        </w:rPr>
        <w:t xml:space="preserve"> as the case ‘Savage v </w:t>
      </w:r>
      <w:proofErr w:type="spellStart"/>
      <w:r w:rsidR="00451140">
        <w:rPr>
          <w:sz w:val="24"/>
        </w:rPr>
        <w:t>Saxena</w:t>
      </w:r>
      <w:proofErr w:type="spellEnd"/>
      <w:r w:rsidR="00451140">
        <w:rPr>
          <w:sz w:val="24"/>
        </w:rPr>
        <w:t>’ (1998) and ‘</w:t>
      </w:r>
      <w:proofErr w:type="spellStart"/>
      <w:r w:rsidR="00451140">
        <w:rPr>
          <w:sz w:val="24"/>
        </w:rPr>
        <w:t>Tradewind</w:t>
      </w:r>
      <w:proofErr w:type="spellEnd"/>
      <w:r w:rsidR="00451140">
        <w:rPr>
          <w:sz w:val="24"/>
        </w:rPr>
        <w:t xml:space="preserve"> Airways Ltd v Fletcher’ (1981) held</w:t>
      </w:r>
      <w:r>
        <w:rPr>
          <w:sz w:val="24"/>
        </w:rPr>
        <w:t xml:space="preserve">. This would mean that Big Buses Ltd would </w:t>
      </w:r>
      <w:r w:rsidR="00733AB4">
        <w:rPr>
          <w:sz w:val="24"/>
        </w:rPr>
        <w:t xml:space="preserve">only </w:t>
      </w:r>
      <w:r>
        <w:rPr>
          <w:sz w:val="24"/>
        </w:rPr>
        <w:t xml:space="preserve">compensate </w:t>
      </w:r>
      <w:r w:rsidR="00755336">
        <w:rPr>
          <w:sz w:val="24"/>
        </w:rPr>
        <w:t xml:space="preserve">for </w:t>
      </w:r>
      <w:r>
        <w:rPr>
          <w:sz w:val="24"/>
        </w:rPr>
        <w:t xml:space="preserve">the difference between his previous salary </w:t>
      </w:r>
      <w:r w:rsidR="00733AB4">
        <w:rPr>
          <w:sz w:val="24"/>
        </w:rPr>
        <w:t>and his new one.</w:t>
      </w:r>
      <w:r w:rsidR="0030177C">
        <w:rPr>
          <w:sz w:val="24"/>
        </w:rPr>
        <w:t xml:space="preserve"> </w:t>
      </w:r>
    </w:p>
    <w:p w:rsidR="00733AB4" w:rsidRDefault="00733AB4" w:rsidP="007C1B06">
      <w:pPr>
        <w:spacing w:line="360" w:lineRule="auto"/>
        <w:rPr>
          <w:sz w:val="24"/>
        </w:rPr>
      </w:pPr>
      <w:r>
        <w:rPr>
          <w:sz w:val="24"/>
        </w:rPr>
        <w:t>It is worth noting that, as a direct result of not following the ACAS Code of Practice by failing to investigate fairly and give him a reasonable period to appeal, Mr</w:t>
      </w:r>
      <w:r w:rsidR="00755336">
        <w:rPr>
          <w:sz w:val="24"/>
        </w:rPr>
        <w:t>.</w:t>
      </w:r>
      <w:r>
        <w:rPr>
          <w:sz w:val="24"/>
        </w:rPr>
        <w:t xml:space="preserve"> Rees’ award may be increased by 25%</w:t>
      </w:r>
      <w:r w:rsidR="009826CF">
        <w:rPr>
          <w:sz w:val="24"/>
        </w:rPr>
        <w:t xml:space="preserve"> (UK Government, no </w:t>
      </w:r>
      <w:proofErr w:type="spellStart"/>
      <w:r w:rsidR="009826CF">
        <w:rPr>
          <w:sz w:val="24"/>
        </w:rPr>
        <w:t>dateB</w:t>
      </w:r>
      <w:proofErr w:type="spellEnd"/>
      <w:r w:rsidR="009826CF">
        <w:rPr>
          <w:sz w:val="24"/>
        </w:rPr>
        <w:t>)</w:t>
      </w:r>
      <w:r>
        <w:rPr>
          <w:sz w:val="24"/>
        </w:rPr>
        <w:t>. On the other hand, it may also be decreased by 25% as Mr</w:t>
      </w:r>
      <w:r w:rsidR="00755336">
        <w:rPr>
          <w:sz w:val="24"/>
        </w:rPr>
        <w:t>.</w:t>
      </w:r>
      <w:r>
        <w:rPr>
          <w:sz w:val="24"/>
        </w:rPr>
        <w:t xml:space="preserve"> Rees also did not follow the Code of Practice </w:t>
      </w:r>
      <w:r w:rsidR="009826CF">
        <w:rPr>
          <w:sz w:val="24"/>
        </w:rPr>
        <w:t xml:space="preserve">himself, </w:t>
      </w:r>
      <w:r>
        <w:rPr>
          <w:sz w:val="24"/>
        </w:rPr>
        <w:t>by not appealing the decision, however</w:t>
      </w:r>
      <w:r w:rsidR="00755336">
        <w:rPr>
          <w:sz w:val="24"/>
        </w:rPr>
        <w:t>,</w:t>
      </w:r>
      <w:r>
        <w:rPr>
          <w:sz w:val="24"/>
        </w:rPr>
        <w:t xml:space="preserve"> this is unlikely given the time period</w:t>
      </w:r>
      <w:r w:rsidR="009826CF">
        <w:rPr>
          <w:sz w:val="24"/>
        </w:rPr>
        <w:t xml:space="preserve"> that was given to him to appeal</w:t>
      </w:r>
      <w:r>
        <w:rPr>
          <w:sz w:val="24"/>
        </w:rPr>
        <w:t>.</w:t>
      </w:r>
    </w:p>
    <w:p w:rsidR="00733AB4" w:rsidRDefault="00733AB4" w:rsidP="007C1B06">
      <w:pPr>
        <w:spacing w:line="360" w:lineRule="auto"/>
        <w:rPr>
          <w:sz w:val="24"/>
        </w:rPr>
      </w:pPr>
      <w:r>
        <w:rPr>
          <w:sz w:val="24"/>
        </w:rPr>
        <w:t xml:space="preserve">Moreover, the award may also be decreased on the grounds of contributory fault. The tribunal will look at whether </w:t>
      </w:r>
      <w:r w:rsidR="001F69DD">
        <w:rPr>
          <w:sz w:val="24"/>
        </w:rPr>
        <w:t xml:space="preserve">or not </w:t>
      </w:r>
      <w:r>
        <w:rPr>
          <w:sz w:val="24"/>
        </w:rPr>
        <w:t>Mr</w:t>
      </w:r>
      <w:r w:rsidR="00755336">
        <w:rPr>
          <w:sz w:val="24"/>
        </w:rPr>
        <w:t>.</w:t>
      </w:r>
      <w:r>
        <w:rPr>
          <w:sz w:val="24"/>
        </w:rPr>
        <w:t xml:space="preserve"> Rees’ reaction to this i</w:t>
      </w:r>
      <w:r w:rsidR="00E93E85">
        <w:rPr>
          <w:sz w:val="24"/>
        </w:rPr>
        <w:t>ncident was reasonable. Whilst h</w:t>
      </w:r>
      <w:r>
        <w:rPr>
          <w:sz w:val="24"/>
        </w:rPr>
        <w:t xml:space="preserve">is dismissal may be ultimately unfair in the eyes of the </w:t>
      </w:r>
      <w:r w:rsidR="004E56EE">
        <w:rPr>
          <w:sz w:val="24"/>
        </w:rPr>
        <w:t>tribunal</w:t>
      </w:r>
      <w:r>
        <w:rPr>
          <w:sz w:val="24"/>
        </w:rPr>
        <w:t xml:space="preserve">, they will still consider whether he had still contributed to his dismissal. </w:t>
      </w:r>
      <w:r w:rsidR="001F69DD">
        <w:rPr>
          <w:sz w:val="24"/>
        </w:rPr>
        <w:t>If his conduct was deemed to be unreasonable in the circumstances</w:t>
      </w:r>
      <w:r w:rsidR="002808CA">
        <w:rPr>
          <w:sz w:val="24"/>
        </w:rPr>
        <w:t xml:space="preserve"> and there was a causal link between that and the dismissal</w:t>
      </w:r>
      <w:r w:rsidR="001F69DD">
        <w:rPr>
          <w:sz w:val="24"/>
        </w:rPr>
        <w:t xml:space="preserve"> then a reduction may be sanctioned (Lewis and </w:t>
      </w:r>
      <w:proofErr w:type="spellStart"/>
      <w:r w:rsidR="001F69DD">
        <w:rPr>
          <w:sz w:val="24"/>
        </w:rPr>
        <w:t>Sargeant</w:t>
      </w:r>
      <w:proofErr w:type="spellEnd"/>
      <w:r w:rsidR="001F69DD">
        <w:rPr>
          <w:sz w:val="24"/>
        </w:rPr>
        <w:t>, 2020; ‘</w:t>
      </w:r>
      <w:r w:rsidR="002808CA">
        <w:rPr>
          <w:sz w:val="24"/>
        </w:rPr>
        <w:t>Nelson v BBC</w:t>
      </w:r>
      <w:r w:rsidR="001F69DD">
        <w:rPr>
          <w:sz w:val="24"/>
        </w:rPr>
        <w:t xml:space="preserve"> (No 2)</w:t>
      </w:r>
      <w:r w:rsidR="002808CA">
        <w:rPr>
          <w:sz w:val="24"/>
        </w:rPr>
        <w:t>’</w:t>
      </w:r>
      <w:r w:rsidR="001F69DD">
        <w:rPr>
          <w:sz w:val="24"/>
        </w:rPr>
        <w:t xml:space="preserve">, 1979; </w:t>
      </w:r>
      <w:r w:rsidR="002808CA">
        <w:rPr>
          <w:sz w:val="24"/>
        </w:rPr>
        <w:t xml:space="preserve">‘Morrison v ATGWU’, 1989; ‘Frith Ltd v Law’, 2014). </w:t>
      </w:r>
      <w:r>
        <w:rPr>
          <w:sz w:val="24"/>
        </w:rPr>
        <w:t>Even</w:t>
      </w:r>
      <w:r w:rsidR="0030177C">
        <w:rPr>
          <w:sz w:val="24"/>
        </w:rPr>
        <w:t xml:space="preserve"> more so, they may also take a </w:t>
      </w:r>
      <w:r w:rsidR="00E93E85">
        <w:rPr>
          <w:sz w:val="24"/>
        </w:rPr>
        <w:t>‘</w:t>
      </w:r>
      <w:proofErr w:type="spellStart"/>
      <w:r w:rsidR="0030177C">
        <w:rPr>
          <w:sz w:val="24"/>
        </w:rPr>
        <w:t>P</w:t>
      </w:r>
      <w:r>
        <w:rPr>
          <w:sz w:val="24"/>
        </w:rPr>
        <w:t>olkey</w:t>
      </w:r>
      <w:proofErr w:type="spellEnd"/>
      <w:r w:rsidR="00E93E85">
        <w:rPr>
          <w:sz w:val="24"/>
        </w:rPr>
        <w:t>’</w:t>
      </w:r>
      <w:r>
        <w:rPr>
          <w:sz w:val="24"/>
        </w:rPr>
        <w:t xml:space="preserve"> deduction based on the grounds that whilst the dismissal was unfair as no procedure was followed, he would have</w:t>
      </w:r>
      <w:r w:rsidR="0074518F">
        <w:rPr>
          <w:sz w:val="24"/>
        </w:rPr>
        <w:t xml:space="preserve"> still</w:t>
      </w:r>
      <w:r>
        <w:rPr>
          <w:sz w:val="24"/>
        </w:rPr>
        <w:t xml:space="preserve"> been di</w:t>
      </w:r>
      <w:r w:rsidR="0074518F">
        <w:rPr>
          <w:sz w:val="24"/>
        </w:rPr>
        <w:t>smissed anyway if yo</w:t>
      </w:r>
      <w:r w:rsidR="00E93E85">
        <w:rPr>
          <w:sz w:val="24"/>
        </w:rPr>
        <w:t>u had followed a fair procedure (‘</w:t>
      </w:r>
      <w:proofErr w:type="spellStart"/>
      <w:r w:rsidR="00E93E85" w:rsidRPr="00E93E85">
        <w:rPr>
          <w:sz w:val="24"/>
        </w:rPr>
        <w:t>Polkey</w:t>
      </w:r>
      <w:proofErr w:type="spellEnd"/>
      <w:r w:rsidR="00E93E85" w:rsidRPr="00E93E85">
        <w:rPr>
          <w:sz w:val="24"/>
        </w:rPr>
        <w:t xml:space="preserve"> v AE Dayton Services Ltd’</w:t>
      </w:r>
      <w:r w:rsidR="00E93E85">
        <w:rPr>
          <w:sz w:val="24"/>
        </w:rPr>
        <w:t>, 1987).</w:t>
      </w:r>
    </w:p>
    <w:p w:rsidR="0074518F" w:rsidRDefault="00E03EEB" w:rsidP="007C1B06">
      <w:pPr>
        <w:spacing w:line="360" w:lineRule="auto"/>
        <w:rPr>
          <w:sz w:val="24"/>
        </w:rPr>
      </w:pPr>
      <w:r>
        <w:rPr>
          <w:sz w:val="24"/>
        </w:rPr>
        <w:t>Ultimately, I would recommend that you</w:t>
      </w:r>
      <w:r w:rsidR="0074518F">
        <w:rPr>
          <w:sz w:val="24"/>
        </w:rPr>
        <w:t xml:space="preserve"> try to make a settlement agreement with Mr</w:t>
      </w:r>
      <w:r w:rsidR="00755336">
        <w:rPr>
          <w:sz w:val="24"/>
        </w:rPr>
        <w:t>.</w:t>
      </w:r>
      <w:r w:rsidR="0074518F">
        <w:rPr>
          <w:sz w:val="24"/>
        </w:rPr>
        <w:t xml:space="preserve"> Rees </w:t>
      </w:r>
      <w:r w:rsidR="00DE4D2D">
        <w:rPr>
          <w:sz w:val="24"/>
        </w:rPr>
        <w:t>to end the employment relationship on agreed terms</w:t>
      </w:r>
      <w:r w:rsidR="00E93E85">
        <w:rPr>
          <w:sz w:val="24"/>
        </w:rPr>
        <w:t xml:space="preserve"> (</w:t>
      </w:r>
      <w:proofErr w:type="spellStart"/>
      <w:r w:rsidR="00E93E85">
        <w:rPr>
          <w:sz w:val="24"/>
        </w:rPr>
        <w:t>Frankland</w:t>
      </w:r>
      <w:proofErr w:type="spellEnd"/>
      <w:r w:rsidR="00E93E85">
        <w:rPr>
          <w:sz w:val="24"/>
        </w:rPr>
        <w:t>, 2017)</w:t>
      </w:r>
      <w:r w:rsidR="00DE4D2D">
        <w:rPr>
          <w:sz w:val="24"/>
        </w:rPr>
        <w:t xml:space="preserve">, </w:t>
      </w:r>
      <w:r w:rsidR="0074518F">
        <w:rPr>
          <w:sz w:val="24"/>
        </w:rPr>
        <w:t xml:space="preserve">for the following reasons. A settlement agreement will cost a lot less in the long run, </w:t>
      </w:r>
      <w:r>
        <w:rPr>
          <w:sz w:val="24"/>
        </w:rPr>
        <w:t>in addition to paying the damages</w:t>
      </w:r>
      <w:r w:rsidR="0074518F">
        <w:rPr>
          <w:sz w:val="24"/>
        </w:rPr>
        <w:t>, you would also n</w:t>
      </w:r>
      <w:r w:rsidR="004E56EE">
        <w:rPr>
          <w:sz w:val="24"/>
        </w:rPr>
        <w:t xml:space="preserve">eed to pay for legal fees which, </w:t>
      </w:r>
      <w:r w:rsidR="0074518F">
        <w:rPr>
          <w:sz w:val="24"/>
        </w:rPr>
        <w:t>over time</w:t>
      </w:r>
      <w:r w:rsidR="004E56EE">
        <w:rPr>
          <w:sz w:val="24"/>
        </w:rPr>
        <w:t>,</w:t>
      </w:r>
      <w:r w:rsidR="0074518F">
        <w:rPr>
          <w:sz w:val="24"/>
        </w:rPr>
        <w:t xml:space="preserve"> will accumulate.</w:t>
      </w:r>
      <w:r w:rsidR="009826CF">
        <w:rPr>
          <w:sz w:val="24"/>
        </w:rPr>
        <w:t xml:space="preserve"> </w:t>
      </w:r>
      <w:r w:rsidR="0074518F">
        <w:rPr>
          <w:sz w:val="24"/>
        </w:rPr>
        <w:t xml:space="preserve">These legal fees are likely to be able to pay for the settlement, as, if he has already found another job then it is likely that the settlement will not be a large amount. </w:t>
      </w:r>
      <w:r w:rsidR="009826CF" w:rsidRPr="009826CF">
        <w:rPr>
          <w:sz w:val="24"/>
        </w:rPr>
        <w:t xml:space="preserve">It is worth considering even if you had a strong defence as it may be the most economic option (Munro, 2015). </w:t>
      </w:r>
      <w:r w:rsidR="0074518F">
        <w:rPr>
          <w:sz w:val="24"/>
        </w:rPr>
        <w:t xml:space="preserve">Even more so, a settlement agreement would also ensure the confidentiality of the case and therefore, ensure the company’s reputation remains intact. All tribunal decisions are now published online and therefore and public property which may easily end up in the newspapers and in the spotlight. Therefore, without trying to settle, the case may cost even </w:t>
      </w:r>
      <w:r w:rsidR="0074518F">
        <w:rPr>
          <w:sz w:val="24"/>
        </w:rPr>
        <w:lastRenderedPageBreak/>
        <w:t>more than legal fees and compensation.</w:t>
      </w:r>
      <w:r w:rsidR="00DE4D2D">
        <w:rPr>
          <w:sz w:val="24"/>
        </w:rPr>
        <w:t xml:space="preserve"> However, please note that settlement agreements are entirely voluntary and parties do not have to agree to them as ACAS (2013) and s.111A of ERA (1996) explains.</w:t>
      </w:r>
    </w:p>
    <w:p w:rsidR="00D80420" w:rsidRDefault="00D80420" w:rsidP="007C1B06">
      <w:pPr>
        <w:spacing w:line="360" w:lineRule="auto"/>
        <w:rPr>
          <w:sz w:val="24"/>
        </w:rPr>
      </w:pPr>
    </w:p>
    <w:p w:rsidR="00CB10FF" w:rsidRDefault="00755336" w:rsidP="00755336">
      <w:pPr>
        <w:pStyle w:val="Heading2"/>
      </w:pPr>
      <w:r>
        <w:t>Section. B</w:t>
      </w:r>
    </w:p>
    <w:p w:rsidR="00755336" w:rsidRPr="00755336" w:rsidRDefault="00755336" w:rsidP="00755336">
      <w:pPr>
        <w:rPr>
          <w:sz w:val="24"/>
        </w:rPr>
      </w:pPr>
    </w:p>
    <w:p w:rsidR="00755336" w:rsidRPr="00755336" w:rsidRDefault="00755336" w:rsidP="00755336">
      <w:pPr>
        <w:spacing w:line="360" w:lineRule="auto"/>
        <w:rPr>
          <w:sz w:val="24"/>
        </w:rPr>
      </w:pPr>
      <w:r w:rsidRPr="00755336">
        <w:rPr>
          <w:sz w:val="24"/>
        </w:rPr>
        <w:t>Dear Managing Director,</w:t>
      </w:r>
    </w:p>
    <w:p w:rsidR="00755336" w:rsidRDefault="00755336" w:rsidP="00755336">
      <w:pPr>
        <w:spacing w:line="360" w:lineRule="auto"/>
        <w:rPr>
          <w:sz w:val="24"/>
        </w:rPr>
      </w:pPr>
      <w:r w:rsidRPr="00755336">
        <w:rPr>
          <w:sz w:val="24"/>
        </w:rPr>
        <w:t>First of all, my advice to you would be to follow the ACAS code of practice (2014) on handling flexible working requests, if your company does not already have an ACAS compliant Flexible Working Policy, otherwise</w:t>
      </w:r>
      <w:r>
        <w:rPr>
          <w:sz w:val="24"/>
        </w:rPr>
        <w:t>,</w:t>
      </w:r>
      <w:r w:rsidR="009826CF">
        <w:rPr>
          <w:sz w:val="24"/>
        </w:rPr>
        <w:t xml:space="preserve"> I would advise you to use your own policy</w:t>
      </w:r>
      <w:r w:rsidRPr="00755336">
        <w:rPr>
          <w:sz w:val="24"/>
        </w:rPr>
        <w:t xml:space="preserve">. </w:t>
      </w:r>
      <w:r>
        <w:rPr>
          <w:sz w:val="24"/>
        </w:rPr>
        <w:t>The first thing we must consider with flexible working requests is whether or not the person making the request is eligible. ACAS (2014) states that all employees having a continuous length of service over 26 weeks’ have the right to make a flexible working request once within a 12 month period.</w:t>
      </w:r>
      <w:r w:rsidR="009826CF" w:rsidRPr="009826CF">
        <w:rPr>
          <w:sz w:val="24"/>
        </w:rPr>
        <w:t xml:space="preserve"> S.47 of the Employment Act (2002) allowed the right to request flexible working to all employees, by amending </w:t>
      </w:r>
      <w:r w:rsidR="004E56EE">
        <w:rPr>
          <w:sz w:val="24"/>
        </w:rPr>
        <w:t xml:space="preserve">the </w:t>
      </w:r>
      <w:r w:rsidR="009826CF" w:rsidRPr="009826CF">
        <w:rPr>
          <w:sz w:val="24"/>
        </w:rPr>
        <w:t xml:space="preserve">Employment Rights Act (1996). </w:t>
      </w:r>
      <w:r w:rsidR="004E56EE">
        <w:rPr>
          <w:sz w:val="24"/>
        </w:rPr>
        <w:t>Before</w:t>
      </w:r>
      <w:r w:rsidR="00DB5CE8">
        <w:rPr>
          <w:sz w:val="24"/>
        </w:rPr>
        <w:t xml:space="preserve"> June 2014, Flexible working requests w</w:t>
      </w:r>
      <w:r w:rsidR="004E56EE">
        <w:rPr>
          <w:sz w:val="24"/>
        </w:rPr>
        <w:t>ere</w:t>
      </w:r>
      <w:r w:rsidR="00DB5CE8">
        <w:rPr>
          <w:sz w:val="24"/>
        </w:rPr>
        <w:t xml:space="preserve"> limited only to parents of children under the age of 17 and those who had caring responsibilities for an adult, however</w:t>
      </w:r>
      <w:r w:rsidR="004E56EE">
        <w:rPr>
          <w:sz w:val="24"/>
        </w:rPr>
        <w:t>,</w:t>
      </w:r>
      <w:r w:rsidR="00DB5CE8">
        <w:rPr>
          <w:sz w:val="24"/>
        </w:rPr>
        <w:t xml:space="preserve"> the Flexible Working Regulations (2014) have extended this right to all qualifying employees</w:t>
      </w:r>
      <w:r w:rsidR="00851CA8">
        <w:rPr>
          <w:sz w:val="24"/>
        </w:rPr>
        <w:t xml:space="preserve"> (CIPD, 2021b)</w:t>
      </w:r>
      <w:r w:rsidR="00DB5CE8">
        <w:rPr>
          <w:sz w:val="24"/>
        </w:rPr>
        <w:t>.</w:t>
      </w:r>
      <w:r>
        <w:rPr>
          <w:sz w:val="24"/>
        </w:rPr>
        <w:t xml:space="preserve"> Judy has worked with the company for 19 months and has not made any other requests, therefore, she has the right to request flexible working. </w:t>
      </w:r>
    </w:p>
    <w:p w:rsidR="00755336" w:rsidRDefault="00755336" w:rsidP="00755336">
      <w:pPr>
        <w:spacing w:line="360" w:lineRule="auto"/>
        <w:rPr>
          <w:sz w:val="24"/>
        </w:rPr>
      </w:pPr>
      <w:r>
        <w:rPr>
          <w:sz w:val="24"/>
        </w:rPr>
        <w:t>The request to working flexibly should usually be made in writing, as Judy has made this request through email, you may proceed in</w:t>
      </w:r>
      <w:r w:rsidR="00851CA8">
        <w:rPr>
          <w:sz w:val="24"/>
        </w:rPr>
        <w:t xml:space="preserve"> dealing with it via email, but</w:t>
      </w:r>
      <w:r>
        <w:rPr>
          <w:sz w:val="24"/>
        </w:rPr>
        <w:t xml:space="preserve"> you are within your rights to request more information from Judy by asking her to fill out a flexible working form. In this request, Judy must state the change in working conditions and the date the change should come into effect and she must consider the effect that this may have on the company and how she thinks this may be remedied.</w:t>
      </w:r>
    </w:p>
    <w:p w:rsidR="00755336" w:rsidRDefault="00755336" w:rsidP="00755336">
      <w:pPr>
        <w:spacing w:line="360" w:lineRule="auto"/>
        <w:rPr>
          <w:sz w:val="24"/>
        </w:rPr>
      </w:pPr>
      <w:r>
        <w:rPr>
          <w:sz w:val="24"/>
        </w:rPr>
        <w:t xml:space="preserve">Once Judy has provided you with more information, a meeting should be arranged to discuss the request and to come to a mutual agreement. You should then proceed to give Judy an outcome letter of the request and remind her of her right to appeal that outcome. I would suggest that you plan the handling of the request beforehand, bearing in mind that </w:t>
      </w:r>
      <w:r>
        <w:rPr>
          <w:sz w:val="24"/>
        </w:rPr>
        <w:lastRenderedPageBreak/>
        <w:t>two people need to handle the request should there be an appeal. I would advise that you arrange for the finance manager to handle the initial request and decision as it would be sensible for you to manage the appeal process of the request, should it come to that.</w:t>
      </w:r>
    </w:p>
    <w:p w:rsidR="00755336" w:rsidRDefault="00755336" w:rsidP="00755336">
      <w:pPr>
        <w:spacing w:line="360" w:lineRule="auto"/>
        <w:rPr>
          <w:sz w:val="24"/>
        </w:rPr>
      </w:pPr>
      <w:r>
        <w:rPr>
          <w:sz w:val="24"/>
        </w:rPr>
        <w:t>To decline a request, ACAS (2014) requires that it is for a legitimate business reason and one of which that are set out in the Employment Act 2002. It is a justifiable reason to decline Judy’s change in working hours as you cannot reasonably accommodate the request without taking on additional costs. Under S.80G (1) (b) (i) of the Employment Act (2002) the burden of additional costs, the inability to re-organise work among existing staff, and the inability to recruit additional staff are all legitimate reasons to decline a flexible working request and therefore, you are fully within your rights to decline that aspect of the request.</w:t>
      </w:r>
    </w:p>
    <w:p w:rsidR="00755336" w:rsidRDefault="00755336" w:rsidP="00755336">
      <w:pPr>
        <w:spacing w:line="360" w:lineRule="auto"/>
        <w:rPr>
          <w:sz w:val="24"/>
        </w:rPr>
      </w:pPr>
      <w:r>
        <w:rPr>
          <w:sz w:val="24"/>
        </w:rPr>
        <w:t>On the other hand, the fact that she will not have interaction with her team needed to do her job properly would more than likely be difficult to argue. Given the fact that the whole team has worked from home for 4 months before the request, it has already been proven to be achievable. In addition to this, the fact that she would be unsupervised for the first hour would not be a legitimate argument either as this is not included in the legislation or is unlikely to be a big problem.</w:t>
      </w:r>
      <w:r w:rsidR="009826CF">
        <w:rPr>
          <w:sz w:val="24"/>
        </w:rPr>
        <w:t xml:space="preserve"> The CIPD (2020b) suggests that employers should allow requests where they can, even if that means on a trial basis.</w:t>
      </w:r>
    </w:p>
    <w:p w:rsidR="00755336" w:rsidRDefault="00755336" w:rsidP="00755336">
      <w:pPr>
        <w:spacing w:line="360" w:lineRule="auto"/>
        <w:rPr>
          <w:sz w:val="24"/>
        </w:rPr>
      </w:pPr>
      <w:r>
        <w:rPr>
          <w:sz w:val="24"/>
        </w:rPr>
        <w:t>I would suggest you consider accepting Judy’s request to work from home on Mondays and Fridays if it is possible within the business. Insufficient interaction with the team is a subjective argument,</w:t>
      </w:r>
      <w:r w:rsidR="009826CF">
        <w:rPr>
          <w:sz w:val="24"/>
        </w:rPr>
        <w:t xml:space="preserve"> and</w:t>
      </w:r>
      <w:r>
        <w:rPr>
          <w:sz w:val="24"/>
        </w:rPr>
        <w:t xml:space="preserve"> it may seem as though you are demanding </w:t>
      </w:r>
      <w:proofErr w:type="spellStart"/>
      <w:r>
        <w:rPr>
          <w:sz w:val="24"/>
        </w:rPr>
        <w:t>presenteeism</w:t>
      </w:r>
      <w:proofErr w:type="spellEnd"/>
      <w:r w:rsidR="009826CF">
        <w:rPr>
          <w:sz w:val="24"/>
        </w:rPr>
        <w:t>, which could damage employee engagement</w:t>
      </w:r>
      <w:r>
        <w:rPr>
          <w:sz w:val="24"/>
        </w:rPr>
        <w:t>. I</w:t>
      </w:r>
      <w:r w:rsidRPr="00755336">
        <w:rPr>
          <w:sz w:val="24"/>
        </w:rPr>
        <w:t>f you can arrange flexible working for employee</w:t>
      </w:r>
      <w:r>
        <w:rPr>
          <w:sz w:val="24"/>
        </w:rPr>
        <w:t>s</w:t>
      </w:r>
      <w:r w:rsidRPr="00755336">
        <w:rPr>
          <w:sz w:val="24"/>
        </w:rPr>
        <w:t xml:space="preserve"> I would urge you to allow it as 73% of employers felt that the ability to flexibly work had a positive impact on employee motivation according to a CIPD report in 2012 (ACAS, 2015).</w:t>
      </w:r>
      <w:r w:rsidR="00F3081E">
        <w:rPr>
          <w:sz w:val="24"/>
        </w:rPr>
        <w:t xml:space="preserve"> Furthermore, companies who do not support flexible working post-pandemic are now at risk of increased staff turnover and reduce employee engagement according to CIPD (2021c).</w:t>
      </w:r>
    </w:p>
    <w:p w:rsidR="00755336" w:rsidRDefault="00755336" w:rsidP="00755336">
      <w:pPr>
        <w:spacing w:line="360" w:lineRule="auto"/>
        <w:rPr>
          <w:sz w:val="24"/>
        </w:rPr>
      </w:pPr>
      <w:r>
        <w:rPr>
          <w:sz w:val="24"/>
        </w:rPr>
        <w:t xml:space="preserve">A potential problem that may arise with declining this request is that as Judy’s mother is shielding, it may be considered as disability discrimination against Judy by association as the request is partially to accommodate her taking care of her mother. However, this is just a possibility and a grey area as we are unclear of whether Judy’s mother is shielding for a disability-related issue or just a COVID-related issue. On the other hand, if you </w:t>
      </w:r>
      <w:r w:rsidR="009826CF">
        <w:rPr>
          <w:sz w:val="24"/>
        </w:rPr>
        <w:t xml:space="preserve">partially </w:t>
      </w:r>
      <w:r>
        <w:rPr>
          <w:sz w:val="24"/>
        </w:rPr>
        <w:lastRenderedPageBreak/>
        <w:t>allow</w:t>
      </w:r>
      <w:r w:rsidR="00DB2022">
        <w:rPr>
          <w:sz w:val="24"/>
        </w:rPr>
        <w:t xml:space="preserve"> Judy</w:t>
      </w:r>
      <w:r w:rsidR="009826CF">
        <w:rPr>
          <w:sz w:val="24"/>
        </w:rPr>
        <w:t>’s request by allowing her</w:t>
      </w:r>
      <w:r w:rsidR="00DB2022">
        <w:rPr>
          <w:sz w:val="24"/>
        </w:rPr>
        <w:t xml:space="preserve"> to work from home, then you</w:t>
      </w:r>
      <w:r>
        <w:rPr>
          <w:sz w:val="24"/>
        </w:rPr>
        <w:t xml:space="preserve"> have a good argument that you are not treating her less favourably and that the reason for declin</w:t>
      </w:r>
      <w:r w:rsidR="00DB2022">
        <w:rPr>
          <w:sz w:val="24"/>
        </w:rPr>
        <w:t>ing</w:t>
      </w:r>
      <w:r>
        <w:rPr>
          <w:sz w:val="24"/>
        </w:rPr>
        <w:t xml:space="preserve"> the change in hours is because you cannot reasonably re-organise 10 hours of work without taking on additional costs that the company simply cannot afford.</w:t>
      </w:r>
    </w:p>
    <w:p w:rsidR="00DB2022" w:rsidRDefault="00DB2022" w:rsidP="00755336">
      <w:pPr>
        <w:spacing w:line="360" w:lineRule="auto"/>
        <w:rPr>
          <w:sz w:val="24"/>
        </w:rPr>
      </w:pPr>
    </w:p>
    <w:p w:rsidR="00DB2022" w:rsidRDefault="00DB2022" w:rsidP="00755336">
      <w:pPr>
        <w:spacing w:line="360" w:lineRule="auto"/>
        <w:rPr>
          <w:sz w:val="24"/>
        </w:rPr>
      </w:pPr>
      <w:r>
        <w:rPr>
          <w:sz w:val="24"/>
        </w:rPr>
        <w:t>In regards to Lucy Bell, I would advise that you first attempt to resolve the grievance informally. Again, the company should have its own grievance policy and pr</w:t>
      </w:r>
      <w:r w:rsidR="00497FBE">
        <w:rPr>
          <w:sz w:val="24"/>
        </w:rPr>
        <w:t xml:space="preserve">ocedure by law (UK Government, no </w:t>
      </w:r>
      <w:proofErr w:type="spellStart"/>
      <w:r w:rsidR="00497FBE">
        <w:rPr>
          <w:sz w:val="24"/>
        </w:rPr>
        <w:t>date</w:t>
      </w:r>
      <w:r w:rsidR="009826CF">
        <w:rPr>
          <w:sz w:val="24"/>
        </w:rPr>
        <w:t>A</w:t>
      </w:r>
      <w:proofErr w:type="spellEnd"/>
      <w:r w:rsidR="00497FBE">
        <w:rPr>
          <w:sz w:val="24"/>
        </w:rPr>
        <w:t>) which is ACAS complia</w:t>
      </w:r>
      <w:r>
        <w:rPr>
          <w:sz w:val="24"/>
        </w:rPr>
        <w:t>nt</w:t>
      </w:r>
      <w:r w:rsidR="00497FBE">
        <w:rPr>
          <w:sz w:val="24"/>
        </w:rPr>
        <w:t xml:space="preserve">, </w:t>
      </w:r>
      <w:r>
        <w:rPr>
          <w:sz w:val="24"/>
        </w:rPr>
        <w:t>however, if you do not then you should follow the ACAS Code of Practice for handling grievances. ACAS (2020) suggests that you should acknowledge and deal with the grievance promptly and without unreasonable delay.</w:t>
      </w:r>
    </w:p>
    <w:p w:rsidR="00DB2022" w:rsidRDefault="00DB2022" w:rsidP="00755336">
      <w:pPr>
        <w:spacing w:line="360" w:lineRule="auto"/>
        <w:rPr>
          <w:sz w:val="24"/>
        </w:rPr>
      </w:pPr>
      <w:r>
        <w:rPr>
          <w:sz w:val="24"/>
        </w:rPr>
        <w:t>Ideally, you should plan to have three different people to be involved in the grievance. You would need an investigating officer, who should be entirely independent and must not be her line manager as he is the basis of the complaint</w:t>
      </w:r>
      <w:r w:rsidR="009F4005">
        <w:rPr>
          <w:sz w:val="24"/>
        </w:rPr>
        <w:t xml:space="preserve"> (ACAS, 2020)</w:t>
      </w:r>
      <w:r>
        <w:rPr>
          <w:sz w:val="24"/>
        </w:rPr>
        <w:t>. The investigating officer would meet with Lucy and her line manager separately to get their account, investigate the matter and then produce a report along with recommendations of how it should be handled</w:t>
      </w:r>
      <w:r w:rsidR="00610C6D">
        <w:rPr>
          <w:sz w:val="24"/>
        </w:rPr>
        <w:t>, the meeting should be held without any unreasonable delay and the employee should be offered the right to accompaniment (CIPD, 2021d)</w:t>
      </w:r>
      <w:r>
        <w:rPr>
          <w:sz w:val="24"/>
        </w:rPr>
        <w:t>. You should then have a grievance officer who would look at the report and decide the outcome of the investigation and then finally you should have an appeal officer who in most cases would be you as the managing director. ACAS (2020) also states that Lucy should lay out in her grievance what her preferred outcome would be, as long as it is reasonable and not disproportionate then it may be accommodated.</w:t>
      </w:r>
    </w:p>
    <w:p w:rsidR="00DB2022" w:rsidRDefault="00DB2022" w:rsidP="00755336">
      <w:pPr>
        <w:spacing w:line="360" w:lineRule="auto"/>
        <w:rPr>
          <w:sz w:val="24"/>
        </w:rPr>
      </w:pPr>
      <w:r>
        <w:rPr>
          <w:sz w:val="24"/>
        </w:rPr>
        <w:t>Firstly, it appears that Lucy’s sensitive personal data has been shared witho</w:t>
      </w:r>
      <w:r w:rsidR="009826CF">
        <w:rPr>
          <w:sz w:val="24"/>
        </w:rPr>
        <w:t>ut her consent, which may be a</w:t>
      </w:r>
      <w:r>
        <w:rPr>
          <w:sz w:val="24"/>
        </w:rPr>
        <w:t xml:space="preserve"> breach of the Data Protection Act (2018). As well as making a complaint through the grievance, Lucy also has a right to report this breach to the Information Commissioners Office</w:t>
      </w:r>
      <w:r w:rsidR="009826CF">
        <w:rPr>
          <w:sz w:val="24"/>
        </w:rPr>
        <w:t xml:space="preserve"> (ICO)</w:t>
      </w:r>
      <w:r>
        <w:rPr>
          <w:sz w:val="24"/>
        </w:rPr>
        <w:t xml:space="preserve"> and therefore you must keep in mind that this may be a possibility. </w:t>
      </w:r>
    </w:p>
    <w:p w:rsidR="00DB2022" w:rsidRDefault="00DB2022" w:rsidP="00755336">
      <w:pPr>
        <w:spacing w:line="360" w:lineRule="auto"/>
        <w:rPr>
          <w:sz w:val="24"/>
        </w:rPr>
      </w:pPr>
      <w:r>
        <w:rPr>
          <w:sz w:val="24"/>
        </w:rPr>
        <w:t xml:space="preserve">Whilst it is considered a legitimate business reason to share some information to arrange cover for Lucy’s absence, the problem in question is the amount of information that has </w:t>
      </w:r>
      <w:r>
        <w:rPr>
          <w:sz w:val="24"/>
        </w:rPr>
        <w:lastRenderedPageBreak/>
        <w:t>been shared. Id</w:t>
      </w:r>
      <w:r w:rsidR="009826CF">
        <w:rPr>
          <w:sz w:val="24"/>
        </w:rPr>
        <w:t xml:space="preserve">eally, all you should have shared with </w:t>
      </w:r>
      <w:r>
        <w:rPr>
          <w:sz w:val="24"/>
        </w:rPr>
        <w:t>other employees is that Lucy is shielding, there is no legitimate reason to tell others the reason for this was her underlying health condition</w:t>
      </w:r>
      <w:r w:rsidR="00610C6D">
        <w:rPr>
          <w:sz w:val="24"/>
        </w:rPr>
        <w:t xml:space="preserve"> as it is considered as ‘special category data’ (</w:t>
      </w:r>
      <w:r w:rsidR="00F93899">
        <w:rPr>
          <w:sz w:val="24"/>
        </w:rPr>
        <w:t>Department of Health and Social Care, 2018)</w:t>
      </w:r>
      <w:r>
        <w:rPr>
          <w:sz w:val="24"/>
        </w:rPr>
        <w:t>. Furthermore, if her shielding was for the reason that she had developed COVID-19 symptoms, then we would need to tell others in</w:t>
      </w:r>
      <w:r w:rsidR="00EB4DF0">
        <w:rPr>
          <w:sz w:val="24"/>
        </w:rPr>
        <w:t xml:space="preserve"> case they also needed to isolate</w:t>
      </w:r>
      <w:r>
        <w:rPr>
          <w:sz w:val="24"/>
        </w:rPr>
        <w:t xml:space="preserve"> and we would have a duty of care to them. However, it would not be a legitimate business reason to tell all employees as not everyone would be at risk. Best practice in this instance would be to ask Lucy who he had been in close contact with for us to disclose this to the potential at-risk employees, through asking this</w:t>
      </w:r>
      <w:r w:rsidR="00EB4DF0">
        <w:rPr>
          <w:sz w:val="24"/>
        </w:rPr>
        <w:t>,</w:t>
      </w:r>
      <w:r>
        <w:rPr>
          <w:sz w:val="24"/>
        </w:rPr>
        <w:t xml:space="preserve"> Lucy would then be giving her consent for us to share this information with those employees. If Lucy objects to offering names, then we may insist as it is a legitimate interest to disclose the information. However, disclosure of this information should not extend past this. </w:t>
      </w:r>
    </w:p>
    <w:p w:rsidR="00DB2022" w:rsidRDefault="00DB2022" w:rsidP="00755336">
      <w:pPr>
        <w:spacing w:line="360" w:lineRule="auto"/>
        <w:rPr>
          <w:sz w:val="24"/>
        </w:rPr>
      </w:pPr>
      <w:r>
        <w:rPr>
          <w:sz w:val="24"/>
        </w:rPr>
        <w:t>In regards to the return to work meetings, I would advise that you insist on holding them. The Health and Safety at Work Act (1974) states that it is the duty of the employer to ensure the health, safety, and welfare of all employees at work, which would justify the need to hold the return to work meeting to make any adjustments to Lucy’s work environment that may be necessary (HSE, No Date).</w:t>
      </w:r>
      <w:r w:rsidR="00EB4DF0">
        <w:rPr>
          <w:sz w:val="24"/>
        </w:rPr>
        <w:t xml:space="preserve"> The CIPD (2021e) also recommend</w:t>
      </w:r>
      <w:r w:rsidR="004E56EE">
        <w:rPr>
          <w:sz w:val="24"/>
        </w:rPr>
        <w:t>s</w:t>
      </w:r>
      <w:r w:rsidR="00EB4DF0">
        <w:rPr>
          <w:sz w:val="24"/>
        </w:rPr>
        <w:t xml:space="preserve"> that these meetings are carried out with all employees regardless of health concerns, who are returning to work following coronavirus to ensure health, safety</w:t>
      </w:r>
      <w:r w:rsidR="004E56EE">
        <w:rPr>
          <w:sz w:val="24"/>
        </w:rPr>
        <w:t>,</w:t>
      </w:r>
      <w:r w:rsidR="00EB4DF0">
        <w:rPr>
          <w:sz w:val="24"/>
        </w:rPr>
        <w:t xml:space="preserve"> and well-being.</w:t>
      </w:r>
      <w:r>
        <w:rPr>
          <w:sz w:val="24"/>
        </w:rPr>
        <w:t xml:space="preserve"> As the meeting is in Lucy’s best interests and is a legitimate practice, you are fully within your rights to assert that you either have a return to work meeting or a workplace assessment if Lucy is still working from home.</w:t>
      </w:r>
    </w:p>
    <w:p w:rsidR="00DB2022" w:rsidRDefault="009826CF" w:rsidP="00755336">
      <w:pPr>
        <w:spacing w:line="360" w:lineRule="auto"/>
        <w:rPr>
          <w:sz w:val="24"/>
        </w:rPr>
      </w:pPr>
      <w:r>
        <w:rPr>
          <w:sz w:val="24"/>
        </w:rPr>
        <w:t>Finally, you are</w:t>
      </w:r>
      <w:r w:rsidR="00DB2022">
        <w:rPr>
          <w:sz w:val="24"/>
        </w:rPr>
        <w:t xml:space="preserve"> within your rights to</w:t>
      </w:r>
      <w:r>
        <w:rPr>
          <w:sz w:val="24"/>
        </w:rPr>
        <w:t xml:space="preserve"> hold staff absence records, </w:t>
      </w:r>
      <w:r w:rsidR="00DB2022">
        <w:rPr>
          <w:sz w:val="24"/>
        </w:rPr>
        <w:t xml:space="preserve">the HSE (No Date) recommends doing so for present employees to identify trends and manage risk. It is however important that the information is stored correctly and securely. For example, it must be considered who exactly needs the information, whilst HR would usually have full access to the information, Managers should not have access to any information of staff that they do not manage, and if made available to the employees themselves it should be password protected for each individual. The ICO (2011a) gives guidance that employees’’ sickness and injury records should only be disclosed if there is a legal obligation to do so. The ICO (2011b) also recommends that </w:t>
      </w:r>
      <w:r w:rsidR="00DB2022" w:rsidRPr="00DB2022">
        <w:rPr>
          <w:sz w:val="24"/>
        </w:rPr>
        <w:t>collecting health information</w:t>
      </w:r>
      <w:r w:rsidR="00DB2022">
        <w:rPr>
          <w:sz w:val="24"/>
        </w:rPr>
        <w:t xml:space="preserve"> that</w:t>
      </w:r>
      <w:r w:rsidR="00DB2022" w:rsidRPr="00DB2022">
        <w:rPr>
          <w:sz w:val="24"/>
        </w:rPr>
        <w:t xml:space="preserve"> is necessa</w:t>
      </w:r>
      <w:r w:rsidR="00DB2022">
        <w:rPr>
          <w:sz w:val="24"/>
        </w:rPr>
        <w:t xml:space="preserve">ry to </w:t>
      </w:r>
      <w:r w:rsidR="00DB2022">
        <w:rPr>
          <w:sz w:val="24"/>
        </w:rPr>
        <w:lastRenderedPageBreak/>
        <w:t>protect health and safety is likely to satisfy a sensitive data condition which ultimately allows employers to process that information.</w:t>
      </w:r>
    </w:p>
    <w:p w:rsidR="00DB2022" w:rsidRDefault="00DB2022" w:rsidP="00755336">
      <w:pPr>
        <w:spacing w:line="360" w:lineRule="auto"/>
        <w:rPr>
          <w:sz w:val="24"/>
        </w:rPr>
      </w:pPr>
      <w:r>
        <w:rPr>
          <w:sz w:val="24"/>
        </w:rPr>
        <w:t>I would recommend that when employees’ empl</w:t>
      </w:r>
      <w:r w:rsidR="009826CF">
        <w:rPr>
          <w:sz w:val="24"/>
        </w:rPr>
        <w:t xml:space="preserve">oyment is then terminated, Health and medical </w:t>
      </w:r>
      <w:r>
        <w:rPr>
          <w:sz w:val="24"/>
        </w:rPr>
        <w:t xml:space="preserve">information </w:t>
      </w:r>
      <w:r w:rsidR="009826CF">
        <w:rPr>
          <w:sz w:val="24"/>
        </w:rPr>
        <w:t>should only be kept up to 3 years</w:t>
      </w:r>
      <w:r>
        <w:rPr>
          <w:sz w:val="24"/>
        </w:rPr>
        <w:t xml:space="preserve"> after this date</w:t>
      </w:r>
      <w:r w:rsidR="009826CF">
        <w:rPr>
          <w:sz w:val="24"/>
        </w:rPr>
        <w:t xml:space="preserve"> as this is the time limit for someone to claim for Personal Injury according to S.11 of the Limitation Act (1980)</w:t>
      </w:r>
      <w:r>
        <w:rPr>
          <w:sz w:val="24"/>
        </w:rPr>
        <w:t>. Unless there is an intimated personal injury claim, there is no need to keep these records for longer than this period.</w:t>
      </w:r>
    </w:p>
    <w:p w:rsidR="00DB2022" w:rsidRPr="00755336" w:rsidRDefault="00DB2022" w:rsidP="00755336">
      <w:pPr>
        <w:spacing w:line="360" w:lineRule="auto"/>
        <w:rPr>
          <w:sz w:val="24"/>
        </w:rPr>
      </w:pPr>
      <w:r>
        <w:rPr>
          <w:sz w:val="24"/>
        </w:rPr>
        <w:t>I would also recommend that you have a records retention and destruction policy to codify the need to keep records and ensure all employees understand why and when the records will be deleted.</w:t>
      </w:r>
    </w:p>
    <w:p w:rsidR="00755336" w:rsidRPr="00755336" w:rsidRDefault="00755336" w:rsidP="00755336">
      <w:pPr>
        <w:rPr>
          <w:sz w:val="24"/>
        </w:rPr>
      </w:pPr>
    </w:p>
    <w:p w:rsidR="00266A0E" w:rsidRDefault="00266A0E"/>
    <w:p w:rsidR="00266A0E" w:rsidRDefault="00266A0E"/>
    <w:p w:rsidR="00266A0E" w:rsidRDefault="00266A0E"/>
    <w:p w:rsidR="00266A0E" w:rsidRPr="00266A0E" w:rsidRDefault="00266A0E" w:rsidP="00266A0E">
      <w:pPr>
        <w:pStyle w:val="Heading2"/>
        <w:rPr>
          <w:sz w:val="24"/>
        </w:rPr>
      </w:pPr>
      <w:r w:rsidRPr="00266A0E">
        <w:rPr>
          <w:sz w:val="24"/>
        </w:rPr>
        <w:t>References:</w:t>
      </w:r>
    </w:p>
    <w:p w:rsidR="0062167C" w:rsidRDefault="0062167C" w:rsidP="00DE4D2D">
      <w:pPr>
        <w:pStyle w:val="ListParagraph"/>
        <w:numPr>
          <w:ilvl w:val="0"/>
          <w:numId w:val="1"/>
        </w:numPr>
        <w:spacing w:line="360" w:lineRule="auto"/>
        <w:rPr>
          <w:sz w:val="24"/>
          <w:szCs w:val="24"/>
        </w:rPr>
      </w:pPr>
      <w:r>
        <w:rPr>
          <w:sz w:val="24"/>
          <w:szCs w:val="24"/>
        </w:rPr>
        <w:t>ACAS (2013</w:t>
      </w:r>
      <w:r w:rsidRPr="00755336">
        <w:rPr>
          <w:i/>
          <w:sz w:val="24"/>
          <w:szCs w:val="24"/>
        </w:rPr>
        <w:t>) Settlement Agreements (under section 111A of the Employment Rights Act 1996) Code of Practice 4.</w:t>
      </w:r>
      <w:r>
        <w:rPr>
          <w:i/>
          <w:sz w:val="24"/>
          <w:szCs w:val="24"/>
        </w:rPr>
        <w:t xml:space="preserve"> </w:t>
      </w:r>
      <w:r>
        <w:rPr>
          <w:sz w:val="24"/>
          <w:szCs w:val="24"/>
        </w:rPr>
        <w:t xml:space="preserve">[Online] 29 July. Available at: </w:t>
      </w:r>
      <w:hyperlink r:id="rId7" w:history="1">
        <w:r w:rsidRPr="009339B7">
          <w:rPr>
            <w:rStyle w:val="Hyperlink"/>
            <w:sz w:val="24"/>
            <w:szCs w:val="24"/>
          </w:rPr>
          <w:t>https://www.acas.org.uk/code-of-practice-settlement-agreements/html</w:t>
        </w:r>
      </w:hyperlink>
      <w:r>
        <w:rPr>
          <w:sz w:val="24"/>
          <w:szCs w:val="24"/>
        </w:rPr>
        <w:t xml:space="preserve"> (Accessed: 28 April 2021)</w:t>
      </w:r>
    </w:p>
    <w:p w:rsidR="0062167C" w:rsidRDefault="0062167C" w:rsidP="00755336">
      <w:pPr>
        <w:pStyle w:val="ListParagraph"/>
        <w:numPr>
          <w:ilvl w:val="0"/>
          <w:numId w:val="1"/>
        </w:numPr>
        <w:spacing w:line="360" w:lineRule="auto"/>
        <w:rPr>
          <w:sz w:val="24"/>
          <w:szCs w:val="24"/>
        </w:rPr>
      </w:pPr>
      <w:r>
        <w:rPr>
          <w:sz w:val="24"/>
          <w:szCs w:val="24"/>
        </w:rPr>
        <w:t xml:space="preserve">ACAS (2014) </w:t>
      </w:r>
      <w:r w:rsidRPr="00755336">
        <w:rPr>
          <w:i/>
          <w:sz w:val="24"/>
          <w:szCs w:val="24"/>
        </w:rPr>
        <w:t>Code of Practice on handling in a reasonable manner requests to work flexibly</w:t>
      </w:r>
      <w:r>
        <w:rPr>
          <w:sz w:val="24"/>
          <w:szCs w:val="24"/>
        </w:rPr>
        <w:t xml:space="preserve"> [online] 30 June. Available at: </w:t>
      </w:r>
      <w:hyperlink r:id="rId8" w:history="1">
        <w:r w:rsidRPr="00C45B9C">
          <w:rPr>
            <w:rStyle w:val="Hyperlink"/>
            <w:sz w:val="24"/>
            <w:szCs w:val="24"/>
          </w:rPr>
          <w:t>https://www.acas.org.uk/acas-code-of-practice-on-flexible-working-requests/html</w:t>
        </w:r>
      </w:hyperlink>
      <w:r>
        <w:rPr>
          <w:sz w:val="24"/>
          <w:szCs w:val="24"/>
        </w:rPr>
        <w:t xml:space="preserve"> (Accessed: 01 May 2021).</w:t>
      </w:r>
    </w:p>
    <w:p w:rsidR="0062167C" w:rsidRDefault="0062167C" w:rsidP="00266A0E">
      <w:pPr>
        <w:pStyle w:val="ListParagraph"/>
        <w:numPr>
          <w:ilvl w:val="0"/>
          <w:numId w:val="1"/>
        </w:numPr>
        <w:spacing w:line="360" w:lineRule="auto"/>
        <w:rPr>
          <w:sz w:val="24"/>
          <w:szCs w:val="24"/>
        </w:rPr>
      </w:pPr>
      <w:r>
        <w:rPr>
          <w:sz w:val="24"/>
          <w:szCs w:val="24"/>
        </w:rPr>
        <w:t xml:space="preserve">ACAS (2015) </w:t>
      </w:r>
      <w:r w:rsidRPr="00755336">
        <w:rPr>
          <w:i/>
          <w:sz w:val="24"/>
          <w:szCs w:val="24"/>
        </w:rPr>
        <w:t>Code of Practice on disciplinary and grievance procedures</w:t>
      </w:r>
      <w:r w:rsidRPr="00266A0E">
        <w:rPr>
          <w:sz w:val="24"/>
          <w:szCs w:val="24"/>
        </w:rPr>
        <w:t xml:space="preserve"> [online] 11 March. Available at: </w:t>
      </w:r>
      <w:hyperlink r:id="rId9" w:history="1">
        <w:r w:rsidRPr="00266A0E">
          <w:rPr>
            <w:rStyle w:val="Hyperlink"/>
            <w:sz w:val="24"/>
            <w:szCs w:val="24"/>
          </w:rPr>
          <w:t>https://www.acas.org.uk/acas-code-of-practice-for-disciplinary-and-grievance-procedures/html</w:t>
        </w:r>
      </w:hyperlink>
      <w:r w:rsidRPr="00266A0E">
        <w:rPr>
          <w:sz w:val="24"/>
          <w:szCs w:val="24"/>
        </w:rPr>
        <w:t xml:space="preserve"> (Accessed: 17 April 2021)</w:t>
      </w:r>
    </w:p>
    <w:p w:rsidR="0062167C" w:rsidRPr="00755336" w:rsidRDefault="0062167C" w:rsidP="00755336">
      <w:pPr>
        <w:pStyle w:val="ListParagraph"/>
        <w:numPr>
          <w:ilvl w:val="0"/>
          <w:numId w:val="1"/>
        </w:numPr>
        <w:spacing w:line="360" w:lineRule="auto"/>
        <w:rPr>
          <w:sz w:val="24"/>
          <w:szCs w:val="24"/>
        </w:rPr>
      </w:pPr>
      <w:r w:rsidRPr="00755336">
        <w:rPr>
          <w:sz w:val="24"/>
          <w:szCs w:val="24"/>
        </w:rPr>
        <w:t xml:space="preserve">ACAS </w:t>
      </w:r>
      <w:r>
        <w:rPr>
          <w:sz w:val="24"/>
          <w:szCs w:val="24"/>
        </w:rPr>
        <w:t xml:space="preserve">(2015) </w:t>
      </w:r>
      <w:r w:rsidRPr="00755336">
        <w:rPr>
          <w:i/>
          <w:sz w:val="24"/>
          <w:szCs w:val="24"/>
        </w:rPr>
        <w:t>Flexible working and work-life balance</w:t>
      </w:r>
      <w:r>
        <w:rPr>
          <w:i/>
          <w:sz w:val="24"/>
          <w:szCs w:val="24"/>
        </w:rPr>
        <w:t xml:space="preserve"> </w:t>
      </w:r>
      <w:r>
        <w:rPr>
          <w:sz w:val="24"/>
          <w:szCs w:val="24"/>
        </w:rPr>
        <w:t xml:space="preserve">[online] Available at: </w:t>
      </w:r>
      <w:hyperlink r:id="rId10" w:history="1">
        <w:r w:rsidRPr="00C45B9C">
          <w:rPr>
            <w:rStyle w:val="Hyperlink"/>
            <w:sz w:val="24"/>
            <w:szCs w:val="24"/>
          </w:rPr>
          <w:t>https://www.acas.org.uk/sites/default/files/2021-03/flexible-working-and-work-life-balance-guide.pdf</w:t>
        </w:r>
      </w:hyperlink>
      <w:r>
        <w:rPr>
          <w:sz w:val="24"/>
          <w:szCs w:val="24"/>
        </w:rPr>
        <w:t xml:space="preserve"> (Accessed: 01 May 2021).</w:t>
      </w:r>
    </w:p>
    <w:p w:rsidR="0062167C" w:rsidRPr="00FE3246" w:rsidRDefault="0062167C" w:rsidP="00FE3246">
      <w:pPr>
        <w:pStyle w:val="ListParagraph"/>
        <w:numPr>
          <w:ilvl w:val="0"/>
          <w:numId w:val="1"/>
        </w:numPr>
        <w:spacing w:line="360" w:lineRule="auto"/>
        <w:rPr>
          <w:sz w:val="24"/>
          <w:szCs w:val="24"/>
        </w:rPr>
      </w:pPr>
      <w:r>
        <w:rPr>
          <w:sz w:val="24"/>
          <w:szCs w:val="24"/>
        </w:rPr>
        <w:t xml:space="preserve">ACAS (2020) </w:t>
      </w:r>
      <w:r w:rsidRPr="00755336">
        <w:rPr>
          <w:i/>
          <w:sz w:val="24"/>
          <w:szCs w:val="24"/>
        </w:rPr>
        <w:t xml:space="preserve">Discipline and Grievances at work: The </w:t>
      </w:r>
      <w:proofErr w:type="spellStart"/>
      <w:r w:rsidRPr="00755336">
        <w:rPr>
          <w:i/>
          <w:sz w:val="24"/>
          <w:szCs w:val="24"/>
        </w:rPr>
        <w:t>Acas</w:t>
      </w:r>
      <w:proofErr w:type="spellEnd"/>
      <w:r w:rsidRPr="00755336">
        <w:rPr>
          <w:i/>
          <w:sz w:val="24"/>
          <w:szCs w:val="24"/>
        </w:rPr>
        <w:t xml:space="preserve"> guide</w:t>
      </w:r>
      <w:r>
        <w:rPr>
          <w:i/>
          <w:sz w:val="24"/>
          <w:szCs w:val="24"/>
        </w:rPr>
        <w:t xml:space="preserve"> </w:t>
      </w:r>
      <w:r>
        <w:rPr>
          <w:sz w:val="24"/>
          <w:szCs w:val="24"/>
        </w:rPr>
        <w:t xml:space="preserve">[Online] July. Available at: </w:t>
      </w:r>
      <w:hyperlink r:id="rId11" w:history="1">
        <w:r w:rsidRPr="00650514">
          <w:rPr>
            <w:rStyle w:val="Hyperlink"/>
            <w:sz w:val="24"/>
            <w:szCs w:val="24"/>
          </w:rPr>
          <w:t>https://www.acas.org.uk/acas-guide-to-discipline-and-grievances-at-work</w:t>
        </w:r>
      </w:hyperlink>
      <w:r>
        <w:rPr>
          <w:sz w:val="24"/>
          <w:szCs w:val="24"/>
        </w:rPr>
        <w:t xml:space="preserve"> (Accessed: 17 April 2021)</w:t>
      </w:r>
    </w:p>
    <w:p w:rsidR="0062167C" w:rsidRDefault="0062167C" w:rsidP="001D2092">
      <w:pPr>
        <w:pStyle w:val="ListParagraph"/>
        <w:numPr>
          <w:ilvl w:val="0"/>
          <w:numId w:val="1"/>
        </w:numPr>
        <w:spacing w:line="360" w:lineRule="auto"/>
        <w:rPr>
          <w:sz w:val="24"/>
          <w:szCs w:val="24"/>
        </w:rPr>
      </w:pPr>
      <w:r>
        <w:rPr>
          <w:sz w:val="24"/>
          <w:szCs w:val="24"/>
        </w:rPr>
        <w:lastRenderedPageBreak/>
        <w:t>ACAS (2021)</w:t>
      </w:r>
      <w:r w:rsidRPr="001D2092">
        <w:rPr>
          <w:i/>
          <w:sz w:val="24"/>
          <w:szCs w:val="24"/>
        </w:rPr>
        <w:t xml:space="preserve"> Dismissals</w:t>
      </w:r>
      <w:r>
        <w:rPr>
          <w:i/>
          <w:sz w:val="24"/>
          <w:szCs w:val="24"/>
        </w:rPr>
        <w:t xml:space="preserve">. </w:t>
      </w:r>
      <w:r>
        <w:rPr>
          <w:sz w:val="24"/>
          <w:szCs w:val="24"/>
        </w:rPr>
        <w:t xml:space="preserve">[Online] 18 February. Available at: </w:t>
      </w:r>
      <w:hyperlink r:id="rId12" w:history="1">
        <w:r w:rsidRPr="009339B7">
          <w:rPr>
            <w:rStyle w:val="Hyperlink"/>
            <w:sz w:val="24"/>
            <w:szCs w:val="24"/>
          </w:rPr>
          <w:t>https://www.acas.org.uk/dismissals/unfair-dismissal</w:t>
        </w:r>
      </w:hyperlink>
      <w:r>
        <w:rPr>
          <w:sz w:val="24"/>
          <w:szCs w:val="24"/>
        </w:rPr>
        <w:t xml:space="preserve"> (Accessed: 28 April 2021)</w:t>
      </w:r>
    </w:p>
    <w:p w:rsidR="0062167C" w:rsidRPr="00D9787B" w:rsidRDefault="00E961CE" w:rsidP="00D9787B">
      <w:pPr>
        <w:pStyle w:val="ListParagraph"/>
        <w:numPr>
          <w:ilvl w:val="0"/>
          <w:numId w:val="1"/>
        </w:numPr>
        <w:spacing w:line="360" w:lineRule="auto"/>
        <w:rPr>
          <w:sz w:val="24"/>
          <w:szCs w:val="24"/>
        </w:rPr>
      </w:pPr>
      <w:r>
        <w:rPr>
          <w:sz w:val="24"/>
          <w:szCs w:val="24"/>
        </w:rPr>
        <w:t>‘</w:t>
      </w:r>
      <w:r w:rsidR="0062167C" w:rsidRPr="00CE30AD">
        <w:rPr>
          <w:sz w:val="24"/>
          <w:szCs w:val="24"/>
        </w:rPr>
        <w:t>Arnold Clark Automobiles Ltd v Spoor</w:t>
      </w:r>
      <w:r w:rsidR="0062167C">
        <w:rPr>
          <w:sz w:val="24"/>
          <w:szCs w:val="24"/>
        </w:rPr>
        <w:t>’ (2017)</w:t>
      </w:r>
      <w:r w:rsidR="0062167C" w:rsidRPr="00CE30AD">
        <w:rPr>
          <w:sz w:val="24"/>
          <w:szCs w:val="24"/>
        </w:rPr>
        <w:t xml:space="preserve"> </w:t>
      </w:r>
      <w:r w:rsidR="0062167C" w:rsidRPr="00E86DB2">
        <w:rPr>
          <w:i/>
          <w:sz w:val="24"/>
          <w:szCs w:val="24"/>
        </w:rPr>
        <w:t>Industrial Relations Law Reports</w:t>
      </w:r>
      <w:r w:rsidR="0062167C">
        <w:rPr>
          <w:i/>
          <w:sz w:val="24"/>
          <w:szCs w:val="24"/>
        </w:rPr>
        <w:t xml:space="preserve"> 500 EAT</w:t>
      </w:r>
      <w:r w:rsidR="0062167C" w:rsidRPr="00E86DB2">
        <w:rPr>
          <w:i/>
          <w:sz w:val="24"/>
          <w:szCs w:val="24"/>
        </w:rPr>
        <w:t>.</w:t>
      </w:r>
      <w:r w:rsidR="0062167C">
        <w:rPr>
          <w:i/>
          <w:sz w:val="24"/>
          <w:szCs w:val="24"/>
        </w:rPr>
        <w:t xml:space="preserve"> </w:t>
      </w:r>
      <w:proofErr w:type="spellStart"/>
      <w:r w:rsidR="0062167C">
        <w:rPr>
          <w:i/>
          <w:sz w:val="24"/>
          <w:szCs w:val="24"/>
        </w:rPr>
        <w:t>XpertHR</w:t>
      </w:r>
      <w:proofErr w:type="spellEnd"/>
      <w:r w:rsidR="0062167C">
        <w:rPr>
          <w:i/>
          <w:sz w:val="24"/>
          <w:szCs w:val="24"/>
        </w:rPr>
        <w:t xml:space="preserve"> [online] Available at: </w:t>
      </w:r>
      <w:hyperlink r:id="rId13" w:history="1">
        <w:r w:rsidR="00D9787B" w:rsidRPr="00AB5E91">
          <w:rPr>
            <w:rStyle w:val="Hyperlink"/>
            <w:i/>
            <w:sz w:val="24"/>
            <w:szCs w:val="24"/>
          </w:rPr>
          <w:t>https://www.xperthr.co.uk/law-reports/failure-to-consider-surrounding-circumstances-made-dismissal-for-physical-violence-unfair/161779/?keywords=Arnold+clark&amp;searchrank=1</w:t>
        </w:r>
      </w:hyperlink>
      <w:r w:rsidR="00D9787B">
        <w:rPr>
          <w:i/>
          <w:sz w:val="24"/>
          <w:szCs w:val="24"/>
        </w:rPr>
        <w:t xml:space="preserve"> </w:t>
      </w:r>
      <w:r w:rsidR="0062167C" w:rsidRPr="00D9787B">
        <w:rPr>
          <w:i/>
          <w:sz w:val="24"/>
          <w:szCs w:val="24"/>
        </w:rPr>
        <w:t>(Accessed: 01 May 2021)</w:t>
      </w:r>
    </w:p>
    <w:p w:rsidR="0062167C" w:rsidRDefault="00E961CE" w:rsidP="00773CDE">
      <w:pPr>
        <w:pStyle w:val="ListParagraph"/>
        <w:numPr>
          <w:ilvl w:val="0"/>
          <w:numId w:val="1"/>
        </w:numPr>
        <w:spacing w:line="360" w:lineRule="auto"/>
        <w:rPr>
          <w:sz w:val="24"/>
          <w:szCs w:val="24"/>
        </w:rPr>
      </w:pPr>
      <w:r>
        <w:rPr>
          <w:sz w:val="24"/>
          <w:szCs w:val="24"/>
        </w:rPr>
        <w:t>‘</w:t>
      </w:r>
      <w:proofErr w:type="spellStart"/>
      <w:r w:rsidR="0062167C">
        <w:rPr>
          <w:sz w:val="24"/>
          <w:szCs w:val="24"/>
        </w:rPr>
        <w:t>Boorman</w:t>
      </w:r>
      <w:proofErr w:type="spellEnd"/>
      <w:r w:rsidR="0062167C">
        <w:rPr>
          <w:sz w:val="24"/>
          <w:szCs w:val="24"/>
        </w:rPr>
        <w:t xml:space="preserve"> v </w:t>
      </w:r>
      <w:proofErr w:type="spellStart"/>
      <w:r w:rsidR="0062167C">
        <w:rPr>
          <w:sz w:val="24"/>
          <w:szCs w:val="24"/>
        </w:rPr>
        <w:t>Allmakes</w:t>
      </w:r>
      <w:proofErr w:type="spellEnd"/>
      <w:r w:rsidR="0062167C">
        <w:rPr>
          <w:sz w:val="24"/>
          <w:szCs w:val="24"/>
        </w:rPr>
        <w:t xml:space="preserve"> Ltd’ (1995) </w:t>
      </w:r>
      <w:r w:rsidR="0062167C" w:rsidRPr="00773CDE">
        <w:rPr>
          <w:i/>
          <w:sz w:val="24"/>
          <w:szCs w:val="24"/>
        </w:rPr>
        <w:t>Industrial Relations Law Reports</w:t>
      </w:r>
      <w:r w:rsidR="0062167C">
        <w:rPr>
          <w:sz w:val="24"/>
          <w:szCs w:val="24"/>
        </w:rPr>
        <w:t xml:space="preserve">. As cited in </w:t>
      </w:r>
      <w:r w:rsidR="0062167C" w:rsidRPr="00773CDE">
        <w:rPr>
          <w:sz w:val="24"/>
          <w:szCs w:val="24"/>
        </w:rPr>
        <w:t>Lewis, D.</w:t>
      </w:r>
      <w:r w:rsidR="0062167C">
        <w:rPr>
          <w:sz w:val="24"/>
          <w:szCs w:val="24"/>
        </w:rPr>
        <w:t>,</w:t>
      </w:r>
      <w:r w:rsidR="0062167C" w:rsidRPr="00773CDE">
        <w:rPr>
          <w:sz w:val="24"/>
          <w:szCs w:val="24"/>
        </w:rPr>
        <w:t xml:space="preserve"> and </w:t>
      </w:r>
      <w:proofErr w:type="spellStart"/>
      <w:r w:rsidR="0062167C" w:rsidRPr="00773CDE">
        <w:rPr>
          <w:sz w:val="24"/>
          <w:szCs w:val="24"/>
        </w:rPr>
        <w:t>Sargeant</w:t>
      </w:r>
      <w:proofErr w:type="spellEnd"/>
      <w:r w:rsidR="0062167C" w:rsidRPr="00773CDE">
        <w:rPr>
          <w:sz w:val="24"/>
          <w:szCs w:val="24"/>
        </w:rPr>
        <w:t xml:space="preserve">, M. (2020) </w:t>
      </w:r>
      <w:r w:rsidR="0062167C" w:rsidRPr="00773CDE">
        <w:rPr>
          <w:i/>
          <w:sz w:val="24"/>
          <w:szCs w:val="24"/>
        </w:rPr>
        <w:t>Employment Law: The essentials</w:t>
      </w:r>
      <w:r w:rsidR="0062167C" w:rsidRPr="00773CDE">
        <w:rPr>
          <w:sz w:val="24"/>
          <w:szCs w:val="24"/>
        </w:rPr>
        <w:t xml:space="preserve">. 15th </w:t>
      </w:r>
      <w:proofErr w:type="spellStart"/>
      <w:r w:rsidR="0062167C" w:rsidRPr="00773CDE">
        <w:rPr>
          <w:sz w:val="24"/>
          <w:szCs w:val="24"/>
        </w:rPr>
        <w:t>Edn</w:t>
      </w:r>
      <w:proofErr w:type="spellEnd"/>
      <w:r w:rsidR="0062167C" w:rsidRPr="00773CDE">
        <w:rPr>
          <w:sz w:val="24"/>
          <w:szCs w:val="24"/>
        </w:rPr>
        <w:t xml:space="preserve">. London: </w:t>
      </w:r>
      <w:proofErr w:type="spellStart"/>
      <w:r w:rsidR="0062167C" w:rsidRPr="00773CDE">
        <w:rPr>
          <w:sz w:val="24"/>
          <w:szCs w:val="24"/>
        </w:rPr>
        <w:t>Kogan</w:t>
      </w:r>
      <w:proofErr w:type="spellEnd"/>
      <w:r w:rsidR="0062167C" w:rsidRPr="00773CDE">
        <w:rPr>
          <w:sz w:val="24"/>
          <w:szCs w:val="24"/>
        </w:rPr>
        <w:t xml:space="preserve"> Page.</w:t>
      </w:r>
    </w:p>
    <w:p w:rsidR="0062167C" w:rsidRPr="00B83078" w:rsidRDefault="00E961CE" w:rsidP="00773CDE">
      <w:pPr>
        <w:pStyle w:val="ListParagraph"/>
        <w:numPr>
          <w:ilvl w:val="0"/>
          <w:numId w:val="1"/>
        </w:numPr>
        <w:spacing w:line="360" w:lineRule="auto"/>
        <w:rPr>
          <w:sz w:val="24"/>
          <w:szCs w:val="24"/>
        </w:rPr>
      </w:pPr>
      <w:r>
        <w:rPr>
          <w:sz w:val="24"/>
          <w:szCs w:val="24"/>
        </w:rPr>
        <w:t>‘</w:t>
      </w:r>
      <w:r w:rsidR="0062167C" w:rsidRPr="00B83078">
        <w:rPr>
          <w:sz w:val="24"/>
          <w:szCs w:val="24"/>
        </w:rPr>
        <w:t xml:space="preserve">Boots Plc v Lees’ (1986) </w:t>
      </w:r>
      <w:r w:rsidR="0062167C" w:rsidRPr="00B83078">
        <w:rPr>
          <w:i/>
          <w:sz w:val="24"/>
          <w:szCs w:val="24"/>
        </w:rPr>
        <w:t xml:space="preserve">Industrial Relations Law Reports. </w:t>
      </w:r>
      <w:r w:rsidR="0062167C" w:rsidRPr="00B83078">
        <w:rPr>
          <w:sz w:val="24"/>
          <w:szCs w:val="24"/>
        </w:rPr>
        <w:t>As cited in Lewis, D.</w:t>
      </w:r>
      <w:r w:rsidR="0062167C">
        <w:rPr>
          <w:sz w:val="24"/>
          <w:szCs w:val="24"/>
        </w:rPr>
        <w:t>,</w:t>
      </w:r>
      <w:r w:rsidR="0062167C" w:rsidRPr="00B83078">
        <w:rPr>
          <w:sz w:val="24"/>
          <w:szCs w:val="24"/>
        </w:rPr>
        <w:t xml:space="preserve"> and </w:t>
      </w:r>
      <w:proofErr w:type="spellStart"/>
      <w:r w:rsidR="0062167C" w:rsidRPr="00B83078">
        <w:rPr>
          <w:sz w:val="24"/>
          <w:szCs w:val="24"/>
        </w:rPr>
        <w:t>Sargeant</w:t>
      </w:r>
      <w:proofErr w:type="spellEnd"/>
      <w:r w:rsidR="0062167C" w:rsidRPr="00B83078">
        <w:rPr>
          <w:sz w:val="24"/>
          <w:szCs w:val="24"/>
        </w:rPr>
        <w:t xml:space="preserve">, M. (2020) Employment Law: The essentials. 15th </w:t>
      </w:r>
      <w:proofErr w:type="spellStart"/>
      <w:r w:rsidR="0062167C" w:rsidRPr="00B83078">
        <w:rPr>
          <w:sz w:val="24"/>
          <w:szCs w:val="24"/>
        </w:rPr>
        <w:t>Edn</w:t>
      </w:r>
      <w:proofErr w:type="spellEnd"/>
      <w:r w:rsidR="0062167C" w:rsidRPr="00B83078">
        <w:rPr>
          <w:sz w:val="24"/>
          <w:szCs w:val="24"/>
        </w:rPr>
        <w:t xml:space="preserve">. London: </w:t>
      </w:r>
      <w:proofErr w:type="spellStart"/>
      <w:r w:rsidR="0062167C" w:rsidRPr="00B83078">
        <w:rPr>
          <w:sz w:val="24"/>
          <w:szCs w:val="24"/>
        </w:rPr>
        <w:t>Kogan</w:t>
      </w:r>
      <w:proofErr w:type="spellEnd"/>
      <w:r w:rsidR="0062167C" w:rsidRPr="00B83078">
        <w:rPr>
          <w:sz w:val="24"/>
          <w:szCs w:val="24"/>
        </w:rPr>
        <w:t xml:space="preserve"> Page.</w:t>
      </w:r>
    </w:p>
    <w:p w:rsidR="0062167C" w:rsidRDefault="00E961CE" w:rsidP="00266A0E">
      <w:pPr>
        <w:pStyle w:val="ListParagraph"/>
        <w:numPr>
          <w:ilvl w:val="0"/>
          <w:numId w:val="1"/>
        </w:numPr>
        <w:spacing w:line="360" w:lineRule="auto"/>
        <w:rPr>
          <w:sz w:val="24"/>
          <w:szCs w:val="24"/>
        </w:rPr>
      </w:pPr>
      <w:r>
        <w:rPr>
          <w:sz w:val="24"/>
          <w:szCs w:val="24"/>
        </w:rPr>
        <w:t>‘</w:t>
      </w:r>
      <w:r w:rsidR="0062167C" w:rsidRPr="00266A0E">
        <w:rPr>
          <w:sz w:val="24"/>
          <w:szCs w:val="24"/>
        </w:rPr>
        <w:t xml:space="preserve">British Home Stores v </w:t>
      </w:r>
      <w:proofErr w:type="spellStart"/>
      <w:r w:rsidR="0062167C" w:rsidRPr="00266A0E">
        <w:rPr>
          <w:sz w:val="24"/>
          <w:szCs w:val="24"/>
        </w:rPr>
        <w:t>Burchell</w:t>
      </w:r>
      <w:proofErr w:type="spellEnd"/>
      <w:r w:rsidR="0062167C">
        <w:rPr>
          <w:sz w:val="24"/>
          <w:szCs w:val="24"/>
        </w:rPr>
        <w:t xml:space="preserve">’ (1978) </w:t>
      </w:r>
      <w:r w:rsidR="0062167C" w:rsidRPr="00E86DB2">
        <w:rPr>
          <w:i/>
          <w:sz w:val="24"/>
          <w:szCs w:val="24"/>
        </w:rPr>
        <w:t>Industrial Relations Law Reports.</w:t>
      </w:r>
      <w:r w:rsidR="0062167C">
        <w:rPr>
          <w:i/>
          <w:sz w:val="24"/>
          <w:szCs w:val="24"/>
        </w:rPr>
        <w:t xml:space="preserve"> </w:t>
      </w:r>
      <w:r w:rsidR="00D9787B">
        <w:rPr>
          <w:sz w:val="24"/>
          <w:szCs w:val="24"/>
        </w:rPr>
        <w:t xml:space="preserve">As cited in: </w:t>
      </w:r>
      <w:r w:rsidR="00D9787B" w:rsidRPr="00773CDE">
        <w:rPr>
          <w:sz w:val="24"/>
          <w:szCs w:val="24"/>
        </w:rPr>
        <w:t>Lewis, D.</w:t>
      </w:r>
      <w:r w:rsidR="00D9787B">
        <w:rPr>
          <w:sz w:val="24"/>
          <w:szCs w:val="24"/>
        </w:rPr>
        <w:t>,</w:t>
      </w:r>
      <w:r w:rsidR="00D9787B" w:rsidRPr="00773CDE">
        <w:rPr>
          <w:sz w:val="24"/>
          <w:szCs w:val="24"/>
        </w:rPr>
        <w:t xml:space="preserve"> and </w:t>
      </w:r>
      <w:proofErr w:type="spellStart"/>
      <w:r w:rsidR="00D9787B" w:rsidRPr="00773CDE">
        <w:rPr>
          <w:sz w:val="24"/>
          <w:szCs w:val="24"/>
        </w:rPr>
        <w:t>Sargeant</w:t>
      </w:r>
      <w:proofErr w:type="spellEnd"/>
      <w:r w:rsidR="00D9787B" w:rsidRPr="00773CDE">
        <w:rPr>
          <w:sz w:val="24"/>
          <w:szCs w:val="24"/>
        </w:rPr>
        <w:t xml:space="preserve">, M. (2020) </w:t>
      </w:r>
      <w:r w:rsidR="00D9787B" w:rsidRPr="00773CDE">
        <w:rPr>
          <w:i/>
          <w:sz w:val="24"/>
          <w:szCs w:val="24"/>
        </w:rPr>
        <w:t>Employment Law: The essentials</w:t>
      </w:r>
      <w:r w:rsidR="00D9787B" w:rsidRPr="00773CDE">
        <w:rPr>
          <w:sz w:val="24"/>
          <w:szCs w:val="24"/>
        </w:rPr>
        <w:t xml:space="preserve">. 15th </w:t>
      </w:r>
      <w:proofErr w:type="spellStart"/>
      <w:r w:rsidR="00D9787B" w:rsidRPr="00773CDE">
        <w:rPr>
          <w:sz w:val="24"/>
          <w:szCs w:val="24"/>
        </w:rPr>
        <w:t>Edn</w:t>
      </w:r>
      <w:proofErr w:type="spellEnd"/>
      <w:r w:rsidR="00D9787B" w:rsidRPr="00773CDE">
        <w:rPr>
          <w:sz w:val="24"/>
          <w:szCs w:val="24"/>
        </w:rPr>
        <w:t xml:space="preserve">. London: </w:t>
      </w:r>
      <w:proofErr w:type="spellStart"/>
      <w:r w:rsidR="00D9787B" w:rsidRPr="00773CDE">
        <w:rPr>
          <w:sz w:val="24"/>
          <w:szCs w:val="24"/>
        </w:rPr>
        <w:t>Kogan</w:t>
      </w:r>
      <w:proofErr w:type="spellEnd"/>
      <w:r w:rsidR="00D9787B" w:rsidRPr="00773CDE">
        <w:rPr>
          <w:sz w:val="24"/>
          <w:szCs w:val="24"/>
        </w:rPr>
        <w:t xml:space="preserve"> Page.</w:t>
      </w:r>
    </w:p>
    <w:p w:rsidR="0062167C" w:rsidRDefault="0062167C" w:rsidP="003B4D35">
      <w:pPr>
        <w:pStyle w:val="ListParagraph"/>
        <w:numPr>
          <w:ilvl w:val="0"/>
          <w:numId w:val="1"/>
        </w:numPr>
        <w:spacing w:line="360" w:lineRule="auto"/>
        <w:rPr>
          <w:sz w:val="24"/>
          <w:szCs w:val="24"/>
        </w:rPr>
      </w:pPr>
      <w:r>
        <w:rPr>
          <w:sz w:val="24"/>
          <w:szCs w:val="24"/>
        </w:rPr>
        <w:t>CIPD (2020</w:t>
      </w:r>
      <w:r w:rsidR="009826CF">
        <w:rPr>
          <w:sz w:val="24"/>
          <w:szCs w:val="24"/>
        </w:rPr>
        <w:t>a</w:t>
      </w:r>
      <w:r>
        <w:rPr>
          <w:sz w:val="24"/>
          <w:szCs w:val="24"/>
        </w:rPr>
        <w:t xml:space="preserve">) </w:t>
      </w:r>
      <w:r w:rsidRPr="00755336">
        <w:rPr>
          <w:i/>
          <w:sz w:val="24"/>
          <w:szCs w:val="24"/>
        </w:rPr>
        <w:t>Dismissal procedures</w:t>
      </w:r>
      <w:r>
        <w:rPr>
          <w:sz w:val="24"/>
          <w:szCs w:val="24"/>
        </w:rPr>
        <w:t>. [online] 18 Aug. Available at:</w:t>
      </w:r>
      <w:r w:rsidRPr="003B4D35">
        <w:t xml:space="preserve"> </w:t>
      </w:r>
      <w:hyperlink r:id="rId14" w:anchor="7025" w:history="1">
        <w:r w:rsidRPr="009339B7">
          <w:rPr>
            <w:rStyle w:val="Hyperlink"/>
            <w:sz w:val="24"/>
            <w:szCs w:val="24"/>
          </w:rPr>
          <w:t>https://www.cipd.co.uk/knowledge/fundamentals/emp-law/dismissal/factsheet#7025</w:t>
        </w:r>
      </w:hyperlink>
      <w:r>
        <w:rPr>
          <w:sz w:val="24"/>
          <w:szCs w:val="24"/>
        </w:rPr>
        <w:t xml:space="preserve"> (Accessed: 28 April 2021)</w:t>
      </w:r>
    </w:p>
    <w:p w:rsidR="009826CF" w:rsidRDefault="009826CF" w:rsidP="009826CF">
      <w:pPr>
        <w:pStyle w:val="ListParagraph"/>
        <w:numPr>
          <w:ilvl w:val="0"/>
          <w:numId w:val="1"/>
        </w:numPr>
        <w:spacing w:line="360" w:lineRule="auto"/>
        <w:rPr>
          <w:sz w:val="24"/>
          <w:szCs w:val="24"/>
        </w:rPr>
      </w:pPr>
      <w:r>
        <w:rPr>
          <w:sz w:val="24"/>
          <w:szCs w:val="24"/>
        </w:rPr>
        <w:t xml:space="preserve">CIPD (2020b) </w:t>
      </w:r>
      <w:r w:rsidRPr="009826CF">
        <w:rPr>
          <w:i/>
          <w:sz w:val="24"/>
          <w:szCs w:val="24"/>
        </w:rPr>
        <w:t>Requesting flexible working Q&amp;</w:t>
      </w:r>
      <w:proofErr w:type="gramStart"/>
      <w:r w:rsidRPr="009826CF">
        <w:rPr>
          <w:i/>
          <w:sz w:val="24"/>
          <w:szCs w:val="24"/>
        </w:rPr>
        <w:t>As</w:t>
      </w:r>
      <w:proofErr w:type="gramEnd"/>
      <w:r w:rsidRPr="009826CF">
        <w:rPr>
          <w:sz w:val="24"/>
          <w:szCs w:val="24"/>
        </w:rPr>
        <w:t xml:space="preserve"> </w:t>
      </w:r>
      <w:r>
        <w:rPr>
          <w:sz w:val="24"/>
          <w:szCs w:val="24"/>
        </w:rPr>
        <w:t xml:space="preserve">[online] 03 Nov. Available at: </w:t>
      </w:r>
      <w:hyperlink r:id="rId15" w:history="1">
        <w:r w:rsidRPr="00843D08">
          <w:rPr>
            <w:rStyle w:val="Hyperlink"/>
            <w:sz w:val="24"/>
            <w:szCs w:val="24"/>
          </w:rPr>
          <w:t>https://www.cipd.co.uk/knowledge/fundamentals/relations/flexible-working/questions</w:t>
        </w:r>
      </w:hyperlink>
      <w:r>
        <w:rPr>
          <w:sz w:val="24"/>
          <w:szCs w:val="24"/>
        </w:rPr>
        <w:t xml:space="preserve"> (Accessed: 08 May 2021).</w:t>
      </w:r>
    </w:p>
    <w:p w:rsidR="0062167C" w:rsidRDefault="0062167C" w:rsidP="005511B1">
      <w:pPr>
        <w:pStyle w:val="ListParagraph"/>
        <w:numPr>
          <w:ilvl w:val="0"/>
          <w:numId w:val="1"/>
        </w:numPr>
        <w:spacing w:line="360" w:lineRule="auto"/>
        <w:rPr>
          <w:sz w:val="24"/>
          <w:szCs w:val="24"/>
        </w:rPr>
      </w:pPr>
      <w:r>
        <w:rPr>
          <w:sz w:val="24"/>
          <w:szCs w:val="24"/>
        </w:rPr>
        <w:t>CIPD (2021</w:t>
      </w:r>
      <w:r w:rsidR="00851CA8">
        <w:rPr>
          <w:sz w:val="24"/>
          <w:szCs w:val="24"/>
        </w:rPr>
        <w:t>a</w:t>
      </w:r>
      <w:r>
        <w:rPr>
          <w:sz w:val="24"/>
          <w:szCs w:val="24"/>
        </w:rPr>
        <w:t xml:space="preserve">) </w:t>
      </w:r>
      <w:r w:rsidRPr="00755336">
        <w:rPr>
          <w:i/>
          <w:sz w:val="24"/>
          <w:szCs w:val="24"/>
        </w:rPr>
        <w:t>statutory rates and compensation limits</w:t>
      </w:r>
      <w:r>
        <w:rPr>
          <w:sz w:val="24"/>
          <w:szCs w:val="24"/>
        </w:rPr>
        <w:t xml:space="preserve">. [Online] 30 March. Available at: </w:t>
      </w:r>
      <w:hyperlink r:id="rId16" w:anchor="gref" w:history="1">
        <w:r w:rsidRPr="00A7575D">
          <w:rPr>
            <w:rStyle w:val="Hyperlink"/>
            <w:sz w:val="24"/>
            <w:szCs w:val="24"/>
          </w:rPr>
          <w:t>https://www.cipd.co.uk/knowledge/fundamentals/emp-law/about/statutory-rates#gref</w:t>
        </w:r>
      </w:hyperlink>
      <w:r>
        <w:rPr>
          <w:sz w:val="24"/>
          <w:szCs w:val="24"/>
        </w:rPr>
        <w:t xml:space="preserve"> (Accessed: 01 May 2021)</w:t>
      </w:r>
    </w:p>
    <w:p w:rsidR="00D9787B" w:rsidRDefault="00D9787B" w:rsidP="00D9787B">
      <w:pPr>
        <w:pStyle w:val="ListParagraph"/>
        <w:numPr>
          <w:ilvl w:val="0"/>
          <w:numId w:val="1"/>
        </w:numPr>
        <w:spacing w:line="360" w:lineRule="auto"/>
        <w:rPr>
          <w:sz w:val="24"/>
          <w:szCs w:val="24"/>
        </w:rPr>
      </w:pPr>
      <w:r>
        <w:rPr>
          <w:sz w:val="24"/>
          <w:szCs w:val="24"/>
        </w:rPr>
        <w:t xml:space="preserve">CIPD (2021b) </w:t>
      </w:r>
      <w:r w:rsidRPr="00D9787B">
        <w:rPr>
          <w:i/>
          <w:sz w:val="24"/>
          <w:szCs w:val="24"/>
        </w:rPr>
        <w:t>Flexible Working Practices</w:t>
      </w:r>
      <w:r>
        <w:rPr>
          <w:sz w:val="24"/>
          <w:szCs w:val="24"/>
        </w:rPr>
        <w:t xml:space="preserve">. [Online] 7 April. Available at: </w:t>
      </w:r>
      <w:hyperlink r:id="rId17" w:anchor="gref" w:history="1">
        <w:r w:rsidRPr="00AB5E91">
          <w:rPr>
            <w:rStyle w:val="Hyperlink"/>
            <w:sz w:val="24"/>
            <w:szCs w:val="24"/>
          </w:rPr>
          <w:t>https://www.cipd.co.uk/knowledge/fundamentals/relations/flexible-working/factsheet#gref</w:t>
        </w:r>
      </w:hyperlink>
      <w:r>
        <w:rPr>
          <w:sz w:val="24"/>
          <w:szCs w:val="24"/>
        </w:rPr>
        <w:t xml:space="preserve"> (Accessed: 07 May 2021)</w:t>
      </w:r>
    </w:p>
    <w:p w:rsidR="00F3081E" w:rsidRDefault="00F3081E" w:rsidP="00F3081E">
      <w:pPr>
        <w:pStyle w:val="ListParagraph"/>
        <w:numPr>
          <w:ilvl w:val="0"/>
          <w:numId w:val="1"/>
        </w:numPr>
        <w:spacing w:line="360" w:lineRule="auto"/>
        <w:rPr>
          <w:sz w:val="24"/>
          <w:szCs w:val="24"/>
        </w:rPr>
      </w:pPr>
      <w:r>
        <w:rPr>
          <w:sz w:val="24"/>
          <w:szCs w:val="24"/>
        </w:rPr>
        <w:t xml:space="preserve">CIPD (2021c) </w:t>
      </w:r>
      <w:r w:rsidRPr="00F3081E">
        <w:rPr>
          <w:i/>
          <w:sz w:val="24"/>
          <w:szCs w:val="24"/>
        </w:rPr>
        <w:t>Planning for hybrid working</w:t>
      </w:r>
      <w:r>
        <w:rPr>
          <w:i/>
          <w:sz w:val="24"/>
          <w:szCs w:val="24"/>
        </w:rPr>
        <w:t xml:space="preserve">. </w:t>
      </w:r>
      <w:r>
        <w:rPr>
          <w:sz w:val="24"/>
          <w:szCs w:val="24"/>
        </w:rPr>
        <w:t xml:space="preserve">[Online] 10 March. Available at: </w:t>
      </w:r>
      <w:hyperlink r:id="rId18" w:history="1">
        <w:r w:rsidRPr="00AB5E91">
          <w:rPr>
            <w:rStyle w:val="Hyperlink"/>
            <w:sz w:val="24"/>
            <w:szCs w:val="24"/>
          </w:rPr>
          <w:t>https://www.cipd.co.uk/knowledge/fundamentals/relations/flexible-working/planning-hybrid-working</w:t>
        </w:r>
      </w:hyperlink>
      <w:r>
        <w:rPr>
          <w:sz w:val="24"/>
          <w:szCs w:val="24"/>
        </w:rPr>
        <w:t xml:space="preserve"> (Accessed: 07 May 2021)</w:t>
      </w:r>
    </w:p>
    <w:p w:rsidR="00610C6D" w:rsidRDefault="00610C6D" w:rsidP="00610C6D">
      <w:pPr>
        <w:pStyle w:val="ListParagraph"/>
        <w:numPr>
          <w:ilvl w:val="0"/>
          <w:numId w:val="1"/>
        </w:numPr>
        <w:spacing w:line="360" w:lineRule="auto"/>
        <w:rPr>
          <w:sz w:val="24"/>
          <w:szCs w:val="24"/>
        </w:rPr>
      </w:pPr>
      <w:r>
        <w:rPr>
          <w:sz w:val="24"/>
          <w:szCs w:val="24"/>
        </w:rPr>
        <w:t xml:space="preserve">CIPD (2021d) </w:t>
      </w:r>
      <w:r w:rsidRPr="00610C6D">
        <w:rPr>
          <w:i/>
          <w:sz w:val="24"/>
          <w:szCs w:val="24"/>
        </w:rPr>
        <w:t>Handling Grievances.</w:t>
      </w:r>
      <w:r>
        <w:rPr>
          <w:sz w:val="24"/>
          <w:szCs w:val="24"/>
        </w:rPr>
        <w:t xml:space="preserve"> [Online] Available at: </w:t>
      </w:r>
      <w:hyperlink r:id="rId19" w:history="1">
        <w:r w:rsidRPr="00AB5E91">
          <w:rPr>
            <w:rStyle w:val="Hyperlink"/>
            <w:sz w:val="24"/>
            <w:szCs w:val="24"/>
          </w:rPr>
          <w:t>https://peopleskillshub.cipd.co.uk/managing-people-essentials/handling-grievances</w:t>
        </w:r>
      </w:hyperlink>
      <w:r>
        <w:rPr>
          <w:sz w:val="24"/>
          <w:szCs w:val="24"/>
        </w:rPr>
        <w:t xml:space="preserve"> (Accessed: 07 May 2021)</w:t>
      </w:r>
    </w:p>
    <w:p w:rsidR="00EB4DF0" w:rsidRPr="00EB4DF0" w:rsidRDefault="00EB4DF0" w:rsidP="00EB4DF0">
      <w:pPr>
        <w:pStyle w:val="ListParagraph"/>
        <w:numPr>
          <w:ilvl w:val="0"/>
          <w:numId w:val="1"/>
        </w:numPr>
        <w:spacing w:line="360" w:lineRule="auto"/>
        <w:rPr>
          <w:i/>
          <w:sz w:val="24"/>
          <w:szCs w:val="24"/>
        </w:rPr>
      </w:pPr>
      <w:r>
        <w:rPr>
          <w:sz w:val="24"/>
          <w:szCs w:val="24"/>
        </w:rPr>
        <w:lastRenderedPageBreak/>
        <w:t xml:space="preserve">CIPD (2021e) </w:t>
      </w:r>
      <w:r w:rsidRPr="00EB4DF0">
        <w:rPr>
          <w:i/>
          <w:sz w:val="24"/>
          <w:szCs w:val="24"/>
        </w:rPr>
        <w:t>COVID-19: returning to the workplace</w:t>
      </w:r>
      <w:r>
        <w:rPr>
          <w:i/>
          <w:sz w:val="24"/>
          <w:szCs w:val="24"/>
        </w:rPr>
        <w:t xml:space="preserve">. </w:t>
      </w:r>
      <w:r>
        <w:rPr>
          <w:sz w:val="24"/>
          <w:szCs w:val="24"/>
        </w:rPr>
        <w:t>[Online] Available at:</w:t>
      </w:r>
      <w:r w:rsidRPr="00EB4DF0">
        <w:t xml:space="preserve"> </w:t>
      </w:r>
      <w:hyperlink r:id="rId20" w:anchor="gref" w:history="1">
        <w:r w:rsidRPr="00AB5E91">
          <w:rPr>
            <w:rStyle w:val="Hyperlink"/>
            <w:sz w:val="24"/>
            <w:szCs w:val="24"/>
          </w:rPr>
          <w:t>https://www.cipd.co.uk/knowledge/fundamentals/emp-law/employees/workplace-guide-returning-after-coronavirus#gref</w:t>
        </w:r>
      </w:hyperlink>
      <w:r>
        <w:rPr>
          <w:sz w:val="24"/>
          <w:szCs w:val="24"/>
        </w:rPr>
        <w:t xml:space="preserve"> (Accessed: 07 May 2021)</w:t>
      </w:r>
    </w:p>
    <w:p w:rsidR="0062167C" w:rsidRDefault="0062167C" w:rsidP="00DB2022">
      <w:pPr>
        <w:pStyle w:val="ListParagraph"/>
        <w:numPr>
          <w:ilvl w:val="0"/>
          <w:numId w:val="1"/>
        </w:numPr>
        <w:spacing w:line="360" w:lineRule="auto"/>
        <w:rPr>
          <w:sz w:val="24"/>
          <w:szCs w:val="24"/>
        </w:rPr>
      </w:pPr>
      <w:r>
        <w:rPr>
          <w:i/>
          <w:sz w:val="24"/>
          <w:szCs w:val="24"/>
        </w:rPr>
        <w:t>Data Protection Act, 2018.</w:t>
      </w:r>
      <w:r>
        <w:rPr>
          <w:sz w:val="24"/>
          <w:szCs w:val="24"/>
        </w:rPr>
        <w:t xml:space="preserve"> Available at: </w:t>
      </w:r>
      <w:hyperlink r:id="rId21" w:history="1">
        <w:r w:rsidRPr="00A5558E">
          <w:rPr>
            <w:rStyle w:val="Hyperlink"/>
            <w:sz w:val="24"/>
            <w:szCs w:val="24"/>
          </w:rPr>
          <w:t>https://www.legislation.gov.uk/ukpga/2018/12/contents/enacted</w:t>
        </w:r>
      </w:hyperlink>
      <w:r>
        <w:rPr>
          <w:sz w:val="24"/>
          <w:szCs w:val="24"/>
        </w:rPr>
        <w:t xml:space="preserve"> (Accessed: 03 May 2021)</w:t>
      </w:r>
    </w:p>
    <w:p w:rsidR="0062295A" w:rsidRDefault="0062295A" w:rsidP="0062295A">
      <w:pPr>
        <w:pStyle w:val="ListParagraph"/>
        <w:numPr>
          <w:ilvl w:val="0"/>
          <w:numId w:val="1"/>
        </w:numPr>
        <w:spacing w:line="360" w:lineRule="auto"/>
        <w:rPr>
          <w:sz w:val="24"/>
          <w:szCs w:val="24"/>
        </w:rPr>
      </w:pPr>
      <w:r>
        <w:rPr>
          <w:sz w:val="24"/>
          <w:szCs w:val="24"/>
        </w:rPr>
        <w:t xml:space="preserve">‘Dench v Flynn &amp; Partners’ (1998) </w:t>
      </w:r>
      <w:r>
        <w:rPr>
          <w:i/>
          <w:sz w:val="24"/>
          <w:szCs w:val="24"/>
        </w:rPr>
        <w:t xml:space="preserve">Industrial Relations Law Report. </w:t>
      </w:r>
      <w:r>
        <w:rPr>
          <w:sz w:val="24"/>
          <w:szCs w:val="24"/>
        </w:rPr>
        <w:t xml:space="preserve">As cited in: </w:t>
      </w:r>
      <w:r w:rsidRPr="0062295A">
        <w:rPr>
          <w:sz w:val="24"/>
          <w:szCs w:val="24"/>
        </w:rPr>
        <w:t xml:space="preserve">Lewis, D., and </w:t>
      </w:r>
      <w:proofErr w:type="spellStart"/>
      <w:r w:rsidRPr="0062295A">
        <w:rPr>
          <w:sz w:val="24"/>
          <w:szCs w:val="24"/>
        </w:rPr>
        <w:t>Sargeant</w:t>
      </w:r>
      <w:proofErr w:type="spellEnd"/>
      <w:r w:rsidRPr="0062295A">
        <w:rPr>
          <w:sz w:val="24"/>
          <w:szCs w:val="24"/>
        </w:rPr>
        <w:t xml:space="preserve">, M. (2020) </w:t>
      </w:r>
      <w:r w:rsidRPr="00451140">
        <w:rPr>
          <w:i/>
          <w:sz w:val="24"/>
          <w:szCs w:val="24"/>
        </w:rPr>
        <w:t>Employment Law: The essentials.</w:t>
      </w:r>
      <w:r w:rsidRPr="0062295A">
        <w:rPr>
          <w:sz w:val="24"/>
          <w:szCs w:val="24"/>
        </w:rPr>
        <w:t xml:space="preserve"> 15th </w:t>
      </w:r>
      <w:proofErr w:type="spellStart"/>
      <w:r w:rsidRPr="0062295A">
        <w:rPr>
          <w:sz w:val="24"/>
          <w:szCs w:val="24"/>
        </w:rPr>
        <w:t>Edn</w:t>
      </w:r>
      <w:proofErr w:type="spellEnd"/>
      <w:r w:rsidRPr="0062295A">
        <w:rPr>
          <w:sz w:val="24"/>
          <w:szCs w:val="24"/>
        </w:rPr>
        <w:t xml:space="preserve">. London: </w:t>
      </w:r>
      <w:proofErr w:type="spellStart"/>
      <w:r w:rsidRPr="0062295A">
        <w:rPr>
          <w:sz w:val="24"/>
          <w:szCs w:val="24"/>
        </w:rPr>
        <w:t>Kogan</w:t>
      </w:r>
      <w:proofErr w:type="spellEnd"/>
      <w:r w:rsidRPr="0062295A">
        <w:rPr>
          <w:sz w:val="24"/>
          <w:szCs w:val="24"/>
        </w:rPr>
        <w:t xml:space="preserve"> Page.</w:t>
      </w:r>
    </w:p>
    <w:p w:rsidR="00F93899" w:rsidRDefault="00F93899" w:rsidP="00F93899">
      <w:pPr>
        <w:pStyle w:val="ListParagraph"/>
        <w:numPr>
          <w:ilvl w:val="0"/>
          <w:numId w:val="1"/>
        </w:numPr>
        <w:spacing w:line="360" w:lineRule="auto"/>
        <w:rPr>
          <w:sz w:val="24"/>
          <w:szCs w:val="24"/>
        </w:rPr>
      </w:pPr>
      <w:r w:rsidRPr="00F93899">
        <w:rPr>
          <w:sz w:val="24"/>
          <w:szCs w:val="24"/>
        </w:rPr>
        <w:t xml:space="preserve">Department of Health and Social Care (2018) </w:t>
      </w:r>
      <w:r w:rsidRPr="00F93899">
        <w:rPr>
          <w:i/>
          <w:sz w:val="24"/>
          <w:szCs w:val="24"/>
        </w:rPr>
        <w:t xml:space="preserve">Special Categories of Personal Data Processing Policy. </w:t>
      </w:r>
      <w:r>
        <w:rPr>
          <w:sz w:val="24"/>
          <w:szCs w:val="24"/>
        </w:rPr>
        <w:t xml:space="preserve">Available at: </w:t>
      </w:r>
      <w:hyperlink r:id="rId22" w:history="1">
        <w:r w:rsidRPr="00AB5E91">
          <w:rPr>
            <w:rStyle w:val="Hyperlink"/>
            <w:sz w:val="24"/>
            <w:szCs w:val="24"/>
          </w:rPr>
          <w:t>https://assets.publishing.service.gov.uk/government/uploads/system/uploads/attachment_data/file/925350/special-category-data-processing-policy.pdf</w:t>
        </w:r>
      </w:hyperlink>
      <w:r>
        <w:rPr>
          <w:sz w:val="24"/>
          <w:szCs w:val="24"/>
        </w:rPr>
        <w:t xml:space="preserve"> (Accessed: 07 May 2021)</w:t>
      </w:r>
    </w:p>
    <w:p w:rsidR="0062167C" w:rsidRPr="00F93899" w:rsidRDefault="0062167C" w:rsidP="00F93899">
      <w:pPr>
        <w:pStyle w:val="ListParagraph"/>
        <w:numPr>
          <w:ilvl w:val="0"/>
          <w:numId w:val="1"/>
        </w:numPr>
        <w:spacing w:line="360" w:lineRule="auto"/>
        <w:rPr>
          <w:sz w:val="24"/>
          <w:szCs w:val="24"/>
        </w:rPr>
      </w:pPr>
      <w:r w:rsidRPr="00F93899">
        <w:rPr>
          <w:i/>
          <w:sz w:val="24"/>
          <w:szCs w:val="24"/>
        </w:rPr>
        <w:t>Employment Act</w:t>
      </w:r>
      <w:r w:rsidRPr="00F93899">
        <w:rPr>
          <w:sz w:val="24"/>
          <w:szCs w:val="24"/>
        </w:rPr>
        <w:t xml:space="preserve">, 2002. Available at: </w:t>
      </w:r>
      <w:hyperlink r:id="rId23" w:history="1">
        <w:r w:rsidRPr="00F93899">
          <w:rPr>
            <w:rStyle w:val="Hyperlink"/>
            <w:sz w:val="24"/>
            <w:szCs w:val="24"/>
          </w:rPr>
          <w:t>https://www.legislation.gov.uk/ukpga/2002/22/section/47</w:t>
        </w:r>
      </w:hyperlink>
      <w:r w:rsidRPr="00F93899">
        <w:rPr>
          <w:sz w:val="24"/>
          <w:szCs w:val="24"/>
        </w:rPr>
        <w:t xml:space="preserve"> (Accessed: 01 May 2021)</w:t>
      </w:r>
    </w:p>
    <w:p w:rsidR="0062167C" w:rsidRDefault="0062167C" w:rsidP="00AF3FD2">
      <w:pPr>
        <w:pStyle w:val="ListParagraph"/>
        <w:numPr>
          <w:ilvl w:val="0"/>
          <w:numId w:val="1"/>
        </w:numPr>
        <w:spacing w:line="360" w:lineRule="auto"/>
        <w:rPr>
          <w:sz w:val="24"/>
          <w:szCs w:val="24"/>
        </w:rPr>
      </w:pPr>
      <w:r w:rsidRPr="00AF3FD2">
        <w:rPr>
          <w:i/>
          <w:sz w:val="24"/>
          <w:szCs w:val="24"/>
        </w:rPr>
        <w:t>Employment Rights Act</w:t>
      </w:r>
      <w:r>
        <w:rPr>
          <w:sz w:val="24"/>
          <w:szCs w:val="24"/>
        </w:rPr>
        <w:t xml:space="preserve">, </w:t>
      </w:r>
      <w:r w:rsidRPr="00C206BE">
        <w:rPr>
          <w:i/>
          <w:sz w:val="24"/>
          <w:szCs w:val="24"/>
        </w:rPr>
        <w:t>1996</w:t>
      </w:r>
      <w:r>
        <w:rPr>
          <w:sz w:val="24"/>
          <w:szCs w:val="24"/>
        </w:rPr>
        <w:t xml:space="preserve">. Available at: </w:t>
      </w:r>
      <w:hyperlink r:id="rId24" w:history="1">
        <w:r w:rsidRPr="00650514">
          <w:rPr>
            <w:rStyle w:val="Hyperlink"/>
            <w:sz w:val="24"/>
            <w:szCs w:val="24"/>
          </w:rPr>
          <w:t>https://www.legislation.gov.uk/ukpga/1996/18/section/103A</w:t>
        </w:r>
      </w:hyperlink>
      <w:r>
        <w:rPr>
          <w:sz w:val="24"/>
          <w:szCs w:val="24"/>
        </w:rPr>
        <w:t xml:space="preserve"> (Accessed: 17 April 2021)</w:t>
      </w:r>
    </w:p>
    <w:p w:rsidR="00DB5CE8" w:rsidRDefault="00DB5CE8" w:rsidP="00DB5CE8">
      <w:pPr>
        <w:pStyle w:val="ListParagraph"/>
        <w:numPr>
          <w:ilvl w:val="0"/>
          <w:numId w:val="1"/>
        </w:numPr>
        <w:spacing w:line="360" w:lineRule="auto"/>
        <w:rPr>
          <w:sz w:val="24"/>
          <w:szCs w:val="24"/>
        </w:rPr>
      </w:pPr>
      <w:r>
        <w:rPr>
          <w:i/>
          <w:sz w:val="24"/>
          <w:szCs w:val="24"/>
        </w:rPr>
        <w:t xml:space="preserve">Flexible Working Regulations, 2014. </w:t>
      </w:r>
      <w:r>
        <w:rPr>
          <w:sz w:val="24"/>
          <w:szCs w:val="24"/>
        </w:rPr>
        <w:t xml:space="preserve">Available at: </w:t>
      </w:r>
      <w:hyperlink r:id="rId25" w:history="1">
        <w:r w:rsidRPr="00AB5E91">
          <w:rPr>
            <w:rStyle w:val="Hyperlink"/>
            <w:sz w:val="24"/>
            <w:szCs w:val="24"/>
          </w:rPr>
          <w:t>https://www.legislation.gov.uk/uksi/2014/1398/made</w:t>
        </w:r>
      </w:hyperlink>
      <w:r>
        <w:rPr>
          <w:sz w:val="24"/>
          <w:szCs w:val="24"/>
        </w:rPr>
        <w:t xml:space="preserve"> (Accessed: 07 May 2021)</w:t>
      </w:r>
    </w:p>
    <w:p w:rsidR="00E93E85" w:rsidRPr="00E93E85" w:rsidRDefault="00E93E85" w:rsidP="00E93E85">
      <w:pPr>
        <w:pStyle w:val="ListParagraph"/>
        <w:numPr>
          <w:ilvl w:val="0"/>
          <w:numId w:val="1"/>
        </w:numPr>
        <w:spacing w:line="360" w:lineRule="auto"/>
        <w:rPr>
          <w:sz w:val="24"/>
          <w:szCs w:val="24"/>
        </w:rPr>
      </w:pPr>
      <w:proofErr w:type="spellStart"/>
      <w:r w:rsidRPr="00E93E85">
        <w:rPr>
          <w:sz w:val="24"/>
          <w:szCs w:val="24"/>
        </w:rPr>
        <w:t>Frankland</w:t>
      </w:r>
      <w:proofErr w:type="spellEnd"/>
      <w:r>
        <w:rPr>
          <w:sz w:val="24"/>
          <w:szCs w:val="24"/>
        </w:rPr>
        <w:t>, H. (2017) ‘</w:t>
      </w:r>
      <w:r w:rsidRPr="00E93E85">
        <w:rPr>
          <w:sz w:val="24"/>
          <w:szCs w:val="24"/>
        </w:rPr>
        <w:t>What HR needs to know about settlement agreements</w:t>
      </w:r>
      <w:r>
        <w:rPr>
          <w:sz w:val="24"/>
          <w:szCs w:val="24"/>
        </w:rPr>
        <w:t xml:space="preserve">’ </w:t>
      </w:r>
      <w:r>
        <w:rPr>
          <w:i/>
          <w:sz w:val="24"/>
          <w:szCs w:val="24"/>
        </w:rPr>
        <w:t xml:space="preserve">People Management. </w:t>
      </w:r>
      <w:r>
        <w:rPr>
          <w:sz w:val="24"/>
          <w:szCs w:val="24"/>
        </w:rPr>
        <w:t xml:space="preserve">[Online] Available at: </w:t>
      </w:r>
      <w:hyperlink r:id="rId26" w:anchor="gref" w:history="1">
        <w:r w:rsidRPr="00AB5E91">
          <w:rPr>
            <w:rStyle w:val="Hyperlink"/>
            <w:sz w:val="24"/>
            <w:szCs w:val="24"/>
          </w:rPr>
          <w:t>https://www.peoplemanagement.co.uk/experts/legal/settlement-agreements-hr-knowledge#gref</w:t>
        </w:r>
      </w:hyperlink>
      <w:r>
        <w:rPr>
          <w:sz w:val="24"/>
          <w:szCs w:val="24"/>
        </w:rPr>
        <w:t xml:space="preserve"> (Accessed: 07 May 2021)</w:t>
      </w:r>
    </w:p>
    <w:p w:rsidR="0062167C" w:rsidRDefault="00E961CE" w:rsidP="002808CA">
      <w:pPr>
        <w:pStyle w:val="ListParagraph"/>
        <w:numPr>
          <w:ilvl w:val="0"/>
          <w:numId w:val="1"/>
        </w:numPr>
        <w:spacing w:line="360" w:lineRule="auto"/>
        <w:rPr>
          <w:sz w:val="24"/>
          <w:szCs w:val="24"/>
        </w:rPr>
      </w:pPr>
      <w:r>
        <w:rPr>
          <w:sz w:val="24"/>
          <w:szCs w:val="24"/>
        </w:rPr>
        <w:t>‘</w:t>
      </w:r>
      <w:r w:rsidR="0062167C">
        <w:rPr>
          <w:sz w:val="24"/>
          <w:szCs w:val="24"/>
        </w:rPr>
        <w:t xml:space="preserve">Frith Ltd v Law’ (2014) </w:t>
      </w:r>
      <w:r w:rsidR="0062167C" w:rsidRPr="002808CA">
        <w:rPr>
          <w:i/>
          <w:sz w:val="24"/>
          <w:szCs w:val="24"/>
        </w:rPr>
        <w:t>Industrial Relations Law Reports</w:t>
      </w:r>
      <w:r w:rsidR="0062167C">
        <w:rPr>
          <w:sz w:val="24"/>
          <w:szCs w:val="24"/>
        </w:rPr>
        <w:t xml:space="preserve">. As cited in </w:t>
      </w:r>
      <w:r w:rsidR="0062167C" w:rsidRPr="00773CDE">
        <w:rPr>
          <w:sz w:val="24"/>
          <w:szCs w:val="24"/>
        </w:rPr>
        <w:t>Lewis, D.</w:t>
      </w:r>
      <w:r w:rsidR="0062167C">
        <w:rPr>
          <w:sz w:val="24"/>
          <w:szCs w:val="24"/>
        </w:rPr>
        <w:t>,</w:t>
      </w:r>
      <w:r w:rsidR="0062167C" w:rsidRPr="00773CDE">
        <w:rPr>
          <w:sz w:val="24"/>
          <w:szCs w:val="24"/>
        </w:rPr>
        <w:t xml:space="preserve"> and </w:t>
      </w:r>
      <w:proofErr w:type="spellStart"/>
      <w:r w:rsidR="0062167C" w:rsidRPr="00773CDE">
        <w:rPr>
          <w:sz w:val="24"/>
          <w:szCs w:val="24"/>
        </w:rPr>
        <w:t>Sargeant</w:t>
      </w:r>
      <w:proofErr w:type="spellEnd"/>
      <w:r w:rsidR="0062167C" w:rsidRPr="00773CDE">
        <w:rPr>
          <w:sz w:val="24"/>
          <w:szCs w:val="24"/>
        </w:rPr>
        <w:t xml:space="preserve">, M. (2020) </w:t>
      </w:r>
      <w:r w:rsidR="0062167C" w:rsidRPr="00773CDE">
        <w:rPr>
          <w:i/>
          <w:sz w:val="24"/>
          <w:szCs w:val="24"/>
        </w:rPr>
        <w:t>Employment Law: The essentials</w:t>
      </w:r>
      <w:r w:rsidR="0062167C" w:rsidRPr="00773CDE">
        <w:rPr>
          <w:sz w:val="24"/>
          <w:szCs w:val="24"/>
        </w:rPr>
        <w:t xml:space="preserve">. 15th </w:t>
      </w:r>
      <w:proofErr w:type="spellStart"/>
      <w:r w:rsidR="0062167C" w:rsidRPr="00773CDE">
        <w:rPr>
          <w:sz w:val="24"/>
          <w:szCs w:val="24"/>
        </w:rPr>
        <w:t>Edn</w:t>
      </w:r>
      <w:proofErr w:type="spellEnd"/>
      <w:r w:rsidR="0062167C" w:rsidRPr="00773CDE">
        <w:rPr>
          <w:sz w:val="24"/>
          <w:szCs w:val="24"/>
        </w:rPr>
        <w:t xml:space="preserve">. London: </w:t>
      </w:r>
      <w:proofErr w:type="spellStart"/>
      <w:r w:rsidR="0062167C" w:rsidRPr="00773CDE">
        <w:rPr>
          <w:sz w:val="24"/>
          <w:szCs w:val="24"/>
        </w:rPr>
        <w:t>Kogan</w:t>
      </w:r>
      <w:proofErr w:type="spellEnd"/>
      <w:r w:rsidR="0062167C" w:rsidRPr="00773CDE">
        <w:rPr>
          <w:sz w:val="24"/>
          <w:szCs w:val="24"/>
        </w:rPr>
        <w:t xml:space="preserve"> Page.</w:t>
      </w:r>
    </w:p>
    <w:p w:rsidR="0062167C" w:rsidRDefault="0062167C" w:rsidP="00DB2022">
      <w:pPr>
        <w:pStyle w:val="ListParagraph"/>
        <w:numPr>
          <w:ilvl w:val="0"/>
          <w:numId w:val="1"/>
        </w:numPr>
        <w:spacing w:line="360" w:lineRule="auto"/>
        <w:rPr>
          <w:sz w:val="24"/>
          <w:szCs w:val="24"/>
        </w:rPr>
      </w:pPr>
      <w:r>
        <w:rPr>
          <w:i/>
          <w:sz w:val="24"/>
          <w:szCs w:val="24"/>
        </w:rPr>
        <w:t>Health and Safety at Work etc. Act, 1974.</w:t>
      </w:r>
      <w:r>
        <w:rPr>
          <w:sz w:val="24"/>
          <w:szCs w:val="24"/>
        </w:rPr>
        <w:t xml:space="preserve"> Available at: </w:t>
      </w:r>
      <w:hyperlink r:id="rId27" w:history="1">
        <w:r w:rsidRPr="00A5558E">
          <w:rPr>
            <w:rStyle w:val="Hyperlink"/>
            <w:sz w:val="24"/>
            <w:szCs w:val="24"/>
          </w:rPr>
          <w:t>https://www.legislation.gov.uk/ukpga/1974/37/section/2</w:t>
        </w:r>
      </w:hyperlink>
      <w:r>
        <w:rPr>
          <w:sz w:val="24"/>
          <w:szCs w:val="24"/>
        </w:rPr>
        <w:t xml:space="preserve"> (Accessed: 03 May 2021)</w:t>
      </w:r>
    </w:p>
    <w:p w:rsidR="00AC339D" w:rsidRPr="00AC339D" w:rsidRDefault="00AC339D" w:rsidP="00AC339D">
      <w:pPr>
        <w:pStyle w:val="ListParagraph"/>
        <w:numPr>
          <w:ilvl w:val="0"/>
          <w:numId w:val="1"/>
        </w:numPr>
        <w:spacing w:line="360" w:lineRule="auto"/>
        <w:rPr>
          <w:sz w:val="24"/>
          <w:szCs w:val="24"/>
        </w:rPr>
      </w:pPr>
      <w:r>
        <w:rPr>
          <w:sz w:val="24"/>
          <w:szCs w:val="24"/>
        </w:rPr>
        <w:t>HM Courts and Tribunal Service</w:t>
      </w:r>
      <w:r>
        <w:rPr>
          <w:sz w:val="24"/>
          <w:szCs w:val="24"/>
        </w:rPr>
        <w:t xml:space="preserve"> (2021) </w:t>
      </w:r>
      <w:r w:rsidRPr="00AC339D">
        <w:rPr>
          <w:i/>
          <w:sz w:val="24"/>
          <w:szCs w:val="24"/>
        </w:rPr>
        <w:t>Responding to claim to the Employment Tribunal.</w:t>
      </w:r>
      <w:r>
        <w:rPr>
          <w:sz w:val="24"/>
          <w:szCs w:val="24"/>
        </w:rPr>
        <w:t xml:space="preserve"> [Online] Available at: </w:t>
      </w:r>
      <w:hyperlink r:id="rId28" w:history="1">
        <w:r w:rsidRPr="00843D08">
          <w:rPr>
            <w:rStyle w:val="Hyperlink"/>
            <w:sz w:val="24"/>
            <w:szCs w:val="24"/>
          </w:rPr>
          <w:t>https://assets.publishing.service.gov.uk/government/uploads/system/uploads/attachment_data/file/950243/t422-eng.pdf</w:t>
        </w:r>
      </w:hyperlink>
      <w:r>
        <w:rPr>
          <w:sz w:val="24"/>
          <w:szCs w:val="24"/>
        </w:rPr>
        <w:t xml:space="preserve"> (Accessed: 08 May 2021)</w:t>
      </w:r>
    </w:p>
    <w:p w:rsidR="0062167C" w:rsidRDefault="0062167C" w:rsidP="00DB2022">
      <w:pPr>
        <w:pStyle w:val="ListParagraph"/>
        <w:numPr>
          <w:ilvl w:val="0"/>
          <w:numId w:val="1"/>
        </w:numPr>
        <w:spacing w:line="360" w:lineRule="auto"/>
        <w:rPr>
          <w:sz w:val="24"/>
          <w:szCs w:val="24"/>
        </w:rPr>
      </w:pPr>
      <w:r>
        <w:rPr>
          <w:sz w:val="24"/>
          <w:szCs w:val="24"/>
        </w:rPr>
        <w:t xml:space="preserve">HSE (No Date) </w:t>
      </w:r>
      <w:r w:rsidRPr="00DB2022">
        <w:rPr>
          <w:i/>
          <w:sz w:val="24"/>
          <w:szCs w:val="24"/>
        </w:rPr>
        <w:t>Managing sick leave and return to work</w:t>
      </w:r>
      <w:r>
        <w:rPr>
          <w:i/>
          <w:sz w:val="24"/>
          <w:szCs w:val="24"/>
        </w:rPr>
        <w:t xml:space="preserve">. </w:t>
      </w:r>
      <w:r>
        <w:rPr>
          <w:sz w:val="24"/>
          <w:szCs w:val="24"/>
        </w:rPr>
        <w:t xml:space="preserve">Available at: </w:t>
      </w:r>
      <w:hyperlink r:id="rId29" w:history="1">
        <w:r w:rsidRPr="00A5558E">
          <w:rPr>
            <w:rStyle w:val="Hyperlink"/>
            <w:sz w:val="24"/>
            <w:szCs w:val="24"/>
          </w:rPr>
          <w:t>https://www.hse.gov.uk/sicknessabsence/</w:t>
        </w:r>
      </w:hyperlink>
      <w:r>
        <w:rPr>
          <w:sz w:val="24"/>
          <w:szCs w:val="24"/>
        </w:rPr>
        <w:t xml:space="preserve"> (Accessed: 03 May 2021)</w:t>
      </w:r>
    </w:p>
    <w:p w:rsidR="0062167C" w:rsidRDefault="0062167C" w:rsidP="00DB2022">
      <w:pPr>
        <w:pStyle w:val="ListParagraph"/>
        <w:numPr>
          <w:ilvl w:val="0"/>
          <w:numId w:val="1"/>
        </w:numPr>
        <w:spacing w:line="360" w:lineRule="auto"/>
        <w:rPr>
          <w:sz w:val="24"/>
          <w:szCs w:val="24"/>
        </w:rPr>
      </w:pPr>
      <w:r>
        <w:rPr>
          <w:sz w:val="24"/>
          <w:szCs w:val="24"/>
        </w:rPr>
        <w:t xml:space="preserve">ICO (2011a) </w:t>
      </w:r>
      <w:r w:rsidRPr="00DB2022">
        <w:rPr>
          <w:i/>
          <w:sz w:val="24"/>
          <w:szCs w:val="24"/>
        </w:rPr>
        <w:t>The Employment Practices Code.</w:t>
      </w:r>
      <w:r>
        <w:rPr>
          <w:sz w:val="24"/>
          <w:szCs w:val="24"/>
        </w:rPr>
        <w:t xml:space="preserve"> Available at: </w:t>
      </w:r>
      <w:hyperlink r:id="rId30" w:history="1">
        <w:r w:rsidRPr="00A5558E">
          <w:rPr>
            <w:rStyle w:val="Hyperlink"/>
            <w:sz w:val="24"/>
            <w:szCs w:val="24"/>
          </w:rPr>
          <w:t>https://ico.org.uk/media/for-organisations/documents/1064/the_employment_practices_code.pdf</w:t>
        </w:r>
      </w:hyperlink>
      <w:r>
        <w:rPr>
          <w:sz w:val="24"/>
          <w:szCs w:val="24"/>
        </w:rPr>
        <w:t xml:space="preserve"> (Accessed: 03 May 2021)</w:t>
      </w:r>
    </w:p>
    <w:p w:rsidR="0062167C" w:rsidRPr="00DB2022" w:rsidRDefault="0062167C" w:rsidP="00DB2022">
      <w:pPr>
        <w:pStyle w:val="ListParagraph"/>
        <w:numPr>
          <w:ilvl w:val="0"/>
          <w:numId w:val="1"/>
        </w:numPr>
        <w:spacing w:line="360" w:lineRule="auto"/>
        <w:rPr>
          <w:sz w:val="24"/>
          <w:szCs w:val="24"/>
        </w:rPr>
      </w:pPr>
      <w:r>
        <w:rPr>
          <w:sz w:val="24"/>
          <w:szCs w:val="24"/>
        </w:rPr>
        <w:t xml:space="preserve">ICO (2011b) </w:t>
      </w:r>
      <w:r w:rsidRPr="009826CF">
        <w:rPr>
          <w:i/>
          <w:sz w:val="24"/>
          <w:szCs w:val="24"/>
        </w:rPr>
        <w:t>Quick guide to the employment practices code</w:t>
      </w:r>
      <w:r>
        <w:rPr>
          <w:sz w:val="24"/>
          <w:szCs w:val="24"/>
        </w:rPr>
        <w:t>. Available at:</w:t>
      </w:r>
      <w:r w:rsidRPr="00DB2022">
        <w:t xml:space="preserve"> </w:t>
      </w:r>
      <w:hyperlink r:id="rId31" w:history="1">
        <w:r w:rsidRPr="00A5558E">
          <w:rPr>
            <w:rStyle w:val="Hyperlink"/>
            <w:sz w:val="24"/>
            <w:szCs w:val="24"/>
          </w:rPr>
          <w:t>https://ico.org.uk/media/fororganisations/documents/1128/quick_guide_to_the_employment_practices_code.pdf</w:t>
        </w:r>
      </w:hyperlink>
      <w:r>
        <w:rPr>
          <w:sz w:val="24"/>
          <w:szCs w:val="24"/>
        </w:rPr>
        <w:t xml:space="preserve"> (Accessed: 03 May 2021)</w:t>
      </w:r>
    </w:p>
    <w:p w:rsidR="0062167C" w:rsidRDefault="00E961CE" w:rsidP="0062167C">
      <w:pPr>
        <w:pStyle w:val="ListParagraph"/>
        <w:numPr>
          <w:ilvl w:val="0"/>
          <w:numId w:val="1"/>
        </w:numPr>
        <w:spacing w:line="360" w:lineRule="auto"/>
        <w:rPr>
          <w:sz w:val="24"/>
          <w:szCs w:val="24"/>
        </w:rPr>
      </w:pPr>
      <w:r>
        <w:rPr>
          <w:sz w:val="24"/>
          <w:szCs w:val="24"/>
        </w:rPr>
        <w:t>‘</w:t>
      </w:r>
      <w:proofErr w:type="spellStart"/>
      <w:r w:rsidR="0062167C">
        <w:rPr>
          <w:sz w:val="24"/>
          <w:szCs w:val="24"/>
        </w:rPr>
        <w:t>Kilraine</w:t>
      </w:r>
      <w:proofErr w:type="spellEnd"/>
      <w:r w:rsidR="0062167C">
        <w:rPr>
          <w:sz w:val="24"/>
          <w:szCs w:val="24"/>
        </w:rPr>
        <w:t xml:space="preserve"> v London Borough of </w:t>
      </w:r>
      <w:proofErr w:type="spellStart"/>
      <w:r w:rsidR="0062167C">
        <w:rPr>
          <w:sz w:val="24"/>
          <w:szCs w:val="24"/>
        </w:rPr>
        <w:t>Wandsworth</w:t>
      </w:r>
      <w:proofErr w:type="spellEnd"/>
      <w:r w:rsidR="0062167C">
        <w:rPr>
          <w:sz w:val="24"/>
          <w:szCs w:val="24"/>
        </w:rPr>
        <w:t xml:space="preserve">’ (2018) </w:t>
      </w:r>
      <w:r w:rsidR="0062167C" w:rsidRPr="0062167C">
        <w:rPr>
          <w:i/>
          <w:sz w:val="24"/>
          <w:szCs w:val="24"/>
        </w:rPr>
        <w:t>England and Wales Court of Appeal</w:t>
      </w:r>
      <w:r w:rsidR="0062167C">
        <w:rPr>
          <w:i/>
          <w:sz w:val="24"/>
          <w:szCs w:val="24"/>
        </w:rPr>
        <w:t xml:space="preserve">. </w:t>
      </w:r>
      <w:r w:rsidR="0062167C">
        <w:rPr>
          <w:sz w:val="24"/>
          <w:szCs w:val="24"/>
        </w:rPr>
        <w:t xml:space="preserve">CIPD. [Online] Available at: </w:t>
      </w:r>
      <w:hyperlink r:id="rId32" w:history="1">
        <w:r w:rsidR="0062167C" w:rsidRPr="00AB5E91">
          <w:rPr>
            <w:rStyle w:val="Hyperlink"/>
            <w:sz w:val="24"/>
            <w:szCs w:val="24"/>
          </w:rPr>
          <w:t>https://www.cipd.co.uk/knowledge/fundamentals/emp-law/whistleblowing/cases</w:t>
        </w:r>
      </w:hyperlink>
      <w:r w:rsidR="0062167C">
        <w:rPr>
          <w:sz w:val="24"/>
          <w:szCs w:val="24"/>
        </w:rPr>
        <w:t xml:space="preserve"> (Accessed: 07 May 2021)</w:t>
      </w:r>
    </w:p>
    <w:p w:rsidR="0062167C" w:rsidRDefault="0062167C" w:rsidP="003B4D35">
      <w:pPr>
        <w:pStyle w:val="ListParagraph"/>
        <w:numPr>
          <w:ilvl w:val="0"/>
          <w:numId w:val="1"/>
        </w:numPr>
        <w:spacing w:line="360" w:lineRule="auto"/>
        <w:rPr>
          <w:sz w:val="24"/>
          <w:szCs w:val="24"/>
        </w:rPr>
      </w:pPr>
      <w:r>
        <w:rPr>
          <w:sz w:val="24"/>
          <w:szCs w:val="24"/>
        </w:rPr>
        <w:t xml:space="preserve">Lewis, D., and </w:t>
      </w:r>
      <w:proofErr w:type="spellStart"/>
      <w:r>
        <w:rPr>
          <w:sz w:val="24"/>
          <w:szCs w:val="24"/>
        </w:rPr>
        <w:t>Sargeant</w:t>
      </w:r>
      <w:proofErr w:type="spellEnd"/>
      <w:r>
        <w:rPr>
          <w:sz w:val="24"/>
          <w:szCs w:val="24"/>
        </w:rPr>
        <w:t xml:space="preserve">, M. (2020) </w:t>
      </w:r>
      <w:r w:rsidRPr="00D2670F">
        <w:rPr>
          <w:i/>
          <w:sz w:val="24"/>
          <w:szCs w:val="24"/>
        </w:rPr>
        <w:t>Employment Law: The essentials</w:t>
      </w:r>
      <w:r>
        <w:rPr>
          <w:sz w:val="24"/>
          <w:szCs w:val="24"/>
        </w:rPr>
        <w:t>. 15</w:t>
      </w:r>
      <w:r w:rsidRPr="00D2670F">
        <w:rPr>
          <w:sz w:val="24"/>
          <w:szCs w:val="24"/>
          <w:vertAlign w:val="superscript"/>
        </w:rPr>
        <w:t>th</w:t>
      </w:r>
      <w:r>
        <w:rPr>
          <w:sz w:val="24"/>
          <w:szCs w:val="24"/>
        </w:rPr>
        <w:t xml:space="preserve"> </w:t>
      </w:r>
      <w:proofErr w:type="spellStart"/>
      <w:r>
        <w:rPr>
          <w:sz w:val="24"/>
          <w:szCs w:val="24"/>
        </w:rPr>
        <w:t>Edn</w:t>
      </w:r>
      <w:proofErr w:type="spellEnd"/>
      <w:r>
        <w:rPr>
          <w:sz w:val="24"/>
          <w:szCs w:val="24"/>
        </w:rPr>
        <w:t xml:space="preserve">. London: </w:t>
      </w:r>
      <w:proofErr w:type="spellStart"/>
      <w:r>
        <w:rPr>
          <w:sz w:val="24"/>
          <w:szCs w:val="24"/>
        </w:rPr>
        <w:t>Kogan</w:t>
      </w:r>
      <w:proofErr w:type="spellEnd"/>
      <w:r>
        <w:rPr>
          <w:sz w:val="24"/>
          <w:szCs w:val="24"/>
        </w:rPr>
        <w:t xml:space="preserve"> Page.</w:t>
      </w:r>
    </w:p>
    <w:p w:rsidR="009826CF" w:rsidRDefault="009826CF" w:rsidP="009826CF">
      <w:pPr>
        <w:pStyle w:val="ListParagraph"/>
        <w:numPr>
          <w:ilvl w:val="0"/>
          <w:numId w:val="1"/>
        </w:numPr>
        <w:spacing w:line="360" w:lineRule="auto"/>
        <w:rPr>
          <w:sz w:val="24"/>
          <w:szCs w:val="24"/>
        </w:rPr>
      </w:pPr>
      <w:r w:rsidRPr="009826CF">
        <w:rPr>
          <w:i/>
          <w:sz w:val="24"/>
          <w:szCs w:val="24"/>
        </w:rPr>
        <w:t>Limitation Act,</w:t>
      </w:r>
      <w:r>
        <w:rPr>
          <w:sz w:val="24"/>
          <w:szCs w:val="24"/>
        </w:rPr>
        <w:t xml:space="preserve"> 1980. Available at: </w:t>
      </w:r>
      <w:hyperlink r:id="rId33" w:history="1">
        <w:r w:rsidRPr="00843D08">
          <w:rPr>
            <w:rStyle w:val="Hyperlink"/>
            <w:sz w:val="24"/>
            <w:szCs w:val="24"/>
          </w:rPr>
          <w:t>https://www.legislation.gov.uk/ukpga/1980/58</w:t>
        </w:r>
      </w:hyperlink>
      <w:r>
        <w:rPr>
          <w:sz w:val="24"/>
          <w:szCs w:val="24"/>
        </w:rPr>
        <w:t xml:space="preserve"> (Accessed: 08 May 2021)</w:t>
      </w:r>
    </w:p>
    <w:p w:rsidR="0062167C" w:rsidRDefault="00E961CE" w:rsidP="002808CA">
      <w:pPr>
        <w:pStyle w:val="ListParagraph"/>
        <w:numPr>
          <w:ilvl w:val="0"/>
          <w:numId w:val="1"/>
        </w:numPr>
        <w:spacing w:line="360" w:lineRule="auto"/>
        <w:rPr>
          <w:sz w:val="24"/>
          <w:szCs w:val="24"/>
        </w:rPr>
      </w:pPr>
      <w:r>
        <w:rPr>
          <w:sz w:val="24"/>
          <w:szCs w:val="24"/>
        </w:rPr>
        <w:t>‘</w:t>
      </w:r>
      <w:r w:rsidR="0062167C">
        <w:rPr>
          <w:sz w:val="24"/>
          <w:szCs w:val="24"/>
        </w:rPr>
        <w:t xml:space="preserve">Morrison v ATGWU’ (1979) </w:t>
      </w:r>
      <w:r w:rsidR="0062167C" w:rsidRPr="002808CA">
        <w:rPr>
          <w:i/>
          <w:sz w:val="24"/>
          <w:szCs w:val="24"/>
        </w:rPr>
        <w:t>Industrial Relations Law Reports</w:t>
      </w:r>
      <w:r w:rsidR="0062167C">
        <w:rPr>
          <w:sz w:val="24"/>
          <w:szCs w:val="24"/>
        </w:rPr>
        <w:t xml:space="preserve">. As cited in </w:t>
      </w:r>
      <w:r w:rsidR="0062167C" w:rsidRPr="00773CDE">
        <w:rPr>
          <w:sz w:val="24"/>
          <w:szCs w:val="24"/>
        </w:rPr>
        <w:t>Lewis, D.</w:t>
      </w:r>
      <w:r w:rsidR="0062167C">
        <w:rPr>
          <w:sz w:val="24"/>
          <w:szCs w:val="24"/>
        </w:rPr>
        <w:t>,</w:t>
      </w:r>
      <w:r w:rsidR="0062167C" w:rsidRPr="00773CDE">
        <w:rPr>
          <w:sz w:val="24"/>
          <w:szCs w:val="24"/>
        </w:rPr>
        <w:t xml:space="preserve"> and </w:t>
      </w:r>
      <w:proofErr w:type="spellStart"/>
      <w:r w:rsidR="0062167C" w:rsidRPr="00773CDE">
        <w:rPr>
          <w:sz w:val="24"/>
          <w:szCs w:val="24"/>
        </w:rPr>
        <w:t>Sargeant</w:t>
      </w:r>
      <w:proofErr w:type="spellEnd"/>
      <w:r w:rsidR="0062167C" w:rsidRPr="00773CDE">
        <w:rPr>
          <w:sz w:val="24"/>
          <w:szCs w:val="24"/>
        </w:rPr>
        <w:t xml:space="preserve">, M. (2020) </w:t>
      </w:r>
      <w:r w:rsidR="0062167C" w:rsidRPr="00773CDE">
        <w:rPr>
          <w:i/>
          <w:sz w:val="24"/>
          <w:szCs w:val="24"/>
        </w:rPr>
        <w:t>Employment Law: The essentials</w:t>
      </w:r>
      <w:r w:rsidR="0062167C" w:rsidRPr="00773CDE">
        <w:rPr>
          <w:sz w:val="24"/>
          <w:szCs w:val="24"/>
        </w:rPr>
        <w:t xml:space="preserve">. 15th </w:t>
      </w:r>
      <w:proofErr w:type="spellStart"/>
      <w:r w:rsidR="0062167C" w:rsidRPr="00773CDE">
        <w:rPr>
          <w:sz w:val="24"/>
          <w:szCs w:val="24"/>
        </w:rPr>
        <w:t>Edn</w:t>
      </w:r>
      <w:proofErr w:type="spellEnd"/>
      <w:r w:rsidR="0062167C" w:rsidRPr="00773CDE">
        <w:rPr>
          <w:sz w:val="24"/>
          <w:szCs w:val="24"/>
        </w:rPr>
        <w:t xml:space="preserve">. London: </w:t>
      </w:r>
      <w:proofErr w:type="spellStart"/>
      <w:r w:rsidR="0062167C" w:rsidRPr="00773CDE">
        <w:rPr>
          <w:sz w:val="24"/>
          <w:szCs w:val="24"/>
        </w:rPr>
        <w:t>Kogan</w:t>
      </w:r>
      <w:proofErr w:type="spellEnd"/>
      <w:r w:rsidR="0062167C" w:rsidRPr="00773CDE">
        <w:rPr>
          <w:sz w:val="24"/>
          <w:szCs w:val="24"/>
        </w:rPr>
        <w:t xml:space="preserve"> Page.</w:t>
      </w:r>
    </w:p>
    <w:p w:rsidR="009826CF" w:rsidRDefault="009826CF" w:rsidP="009826CF">
      <w:pPr>
        <w:pStyle w:val="ListParagraph"/>
        <w:numPr>
          <w:ilvl w:val="0"/>
          <w:numId w:val="1"/>
        </w:numPr>
        <w:spacing w:line="360" w:lineRule="auto"/>
        <w:rPr>
          <w:sz w:val="24"/>
          <w:szCs w:val="24"/>
        </w:rPr>
      </w:pPr>
      <w:r>
        <w:rPr>
          <w:sz w:val="24"/>
          <w:szCs w:val="24"/>
        </w:rPr>
        <w:t>Munro, S. (2015) ‘</w:t>
      </w:r>
      <w:proofErr w:type="gramStart"/>
      <w:r w:rsidRPr="009826CF">
        <w:rPr>
          <w:sz w:val="24"/>
          <w:szCs w:val="24"/>
        </w:rPr>
        <w:t>Responding</w:t>
      </w:r>
      <w:proofErr w:type="gramEnd"/>
      <w:r w:rsidRPr="009826CF">
        <w:rPr>
          <w:sz w:val="24"/>
          <w:szCs w:val="24"/>
        </w:rPr>
        <w:t xml:space="preserve"> to an employment tribunal claim: five tips for employers</w:t>
      </w:r>
      <w:r>
        <w:rPr>
          <w:sz w:val="24"/>
          <w:szCs w:val="24"/>
        </w:rPr>
        <w:t xml:space="preserve">’ </w:t>
      </w:r>
      <w:r w:rsidRPr="009826CF">
        <w:rPr>
          <w:i/>
          <w:sz w:val="24"/>
          <w:szCs w:val="24"/>
        </w:rPr>
        <w:t>Personnel Today</w:t>
      </w:r>
      <w:r>
        <w:rPr>
          <w:sz w:val="24"/>
          <w:szCs w:val="24"/>
        </w:rPr>
        <w:t xml:space="preserve">. [Online] Available at: </w:t>
      </w:r>
      <w:hyperlink r:id="rId34" w:history="1">
        <w:r w:rsidRPr="00843D08">
          <w:rPr>
            <w:rStyle w:val="Hyperlink"/>
            <w:sz w:val="24"/>
            <w:szCs w:val="24"/>
          </w:rPr>
          <w:t>https://www.personneltoday.com/hr/responding-to-an-employment-tribunal-claim-five-tips-for-employers/</w:t>
        </w:r>
      </w:hyperlink>
      <w:r>
        <w:rPr>
          <w:sz w:val="24"/>
          <w:szCs w:val="24"/>
        </w:rPr>
        <w:t xml:space="preserve"> (Accessed: 08 May 2021)</w:t>
      </w:r>
    </w:p>
    <w:p w:rsidR="0062167C" w:rsidRDefault="00E961CE" w:rsidP="002808CA">
      <w:pPr>
        <w:pStyle w:val="ListParagraph"/>
        <w:numPr>
          <w:ilvl w:val="0"/>
          <w:numId w:val="1"/>
        </w:numPr>
        <w:spacing w:line="360" w:lineRule="auto"/>
        <w:rPr>
          <w:sz w:val="24"/>
          <w:szCs w:val="24"/>
        </w:rPr>
      </w:pPr>
      <w:r>
        <w:rPr>
          <w:sz w:val="24"/>
          <w:szCs w:val="24"/>
        </w:rPr>
        <w:t>‘</w:t>
      </w:r>
      <w:r w:rsidR="0062167C">
        <w:rPr>
          <w:sz w:val="24"/>
          <w:szCs w:val="24"/>
        </w:rPr>
        <w:t xml:space="preserve">Nelson v BBC (No 2)’ (1979) </w:t>
      </w:r>
      <w:r w:rsidR="0062167C" w:rsidRPr="002808CA">
        <w:rPr>
          <w:i/>
          <w:sz w:val="24"/>
          <w:szCs w:val="24"/>
        </w:rPr>
        <w:t>Industrial Relations Law Reports</w:t>
      </w:r>
      <w:r w:rsidR="0062167C">
        <w:rPr>
          <w:sz w:val="24"/>
          <w:szCs w:val="24"/>
        </w:rPr>
        <w:t xml:space="preserve">. As cited in </w:t>
      </w:r>
      <w:r w:rsidR="0062167C" w:rsidRPr="002808CA">
        <w:rPr>
          <w:sz w:val="24"/>
          <w:szCs w:val="24"/>
        </w:rPr>
        <w:t>Lewis, D.</w:t>
      </w:r>
      <w:r w:rsidR="0062167C">
        <w:rPr>
          <w:sz w:val="24"/>
          <w:szCs w:val="24"/>
        </w:rPr>
        <w:t>,</w:t>
      </w:r>
      <w:r w:rsidR="0062167C" w:rsidRPr="002808CA">
        <w:rPr>
          <w:sz w:val="24"/>
          <w:szCs w:val="24"/>
        </w:rPr>
        <w:t xml:space="preserve"> and </w:t>
      </w:r>
      <w:proofErr w:type="spellStart"/>
      <w:r w:rsidR="0062167C" w:rsidRPr="002808CA">
        <w:rPr>
          <w:sz w:val="24"/>
          <w:szCs w:val="24"/>
        </w:rPr>
        <w:t>Sargeant</w:t>
      </w:r>
      <w:proofErr w:type="spellEnd"/>
      <w:r w:rsidR="0062167C" w:rsidRPr="002808CA">
        <w:rPr>
          <w:sz w:val="24"/>
          <w:szCs w:val="24"/>
        </w:rPr>
        <w:t xml:space="preserve">, M. (2020) </w:t>
      </w:r>
      <w:r w:rsidR="0062167C" w:rsidRPr="002808CA">
        <w:rPr>
          <w:i/>
          <w:sz w:val="24"/>
          <w:szCs w:val="24"/>
        </w:rPr>
        <w:t>Employment Law: The essentials</w:t>
      </w:r>
      <w:r w:rsidR="0062167C" w:rsidRPr="002808CA">
        <w:rPr>
          <w:sz w:val="24"/>
          <w:szCs w:val="24"/>
        </w:rPr>
        <w:t xml:space="preserve">. 15th </w:t>
      </w:r>
      <w:proofErr w:type="spellStart"/>
      <w:r w:rsidR="0062167C" w:rsidRPr="002808CA">
        <w:rPr>
          <w:sz w:val="24"/>
          <w:szCs w:val="24"/>
        </w:rPr>
        <w:t>Edn</w:t>
      </w:r>
      <w:proofErr w:type="spellEnd"/>
      <w:r w:rsidR="0062167C" w:rsidRPr="002808CA">
        <w:rPr>
          <w:sz w:val="24"/>
          <w:szCs w:val="24"/>
        </w:rPr>
        <w:t xml:space="preserve">. London: </w:t>
      </w:r>
      <w:proofErr w:type="spellStart"/>
      <w:r w:rsidR="0062167C" w:rsidRPr="002808CA">
        <w:rPr>
          <w:sz w:val="24"/>
          <w:szCs w:val="24"/>
        </w:rPr>
        <w:t>Kogan</w:t>
      </w:r>
      <w:proofErr w:type="spellEnd"/>
      <w:r w:rsidR="0062167C" w:rsidRPr="002808CA">
        <w:rPr>
          <w:sz w:val="24"/>
          <w:szCs w:val="24"/>
        </w:rPr>
        <w:t xml:space="preserve"> Page.</w:t>
      </w:r>
    </w:p>
    <w:p w:rsidR="0062167C" w:rsidRDefault="00E961CE" w:rsidP="00547A3A">
      <w:pPr>
        <w:pStyle w:val="ListParagraph"/>
        <w:numPr>
          <w:ilvl w:val="0"/>
          <w:numId w:val="1"/>
        </w:numPr>
        <w:spacing w:line="360" w:lineRule="auto"/>
        <w:rPr>
          <w:sz w:val="24"/>
          <w:szCs w:val="24"/>
        </w:rPr>
      </w:pPr>
      <w:r>
        <w:rPr>
          <w:sz w:val="24"/>
          <w:szCs w:val="24"/>
        </w:rPr>
        <w:t>‘</w:t>
      </w:r>
      <w:proofErr w:type="spellStart"/>
      <w:r w:rsidR="0062167C" w:rsidRPr="00547A3A">
        <w:rPr>
          <w:sz w:val="24"/>
          <w:szCs w:val="24"/>
        </w:rPr>
        <w:t>Polkey</w:t>
      </w:r>
      <w:proofErr w:type="spellEnd"/>
      <w:r w:rsidR="0062167C" w:rsidRPr="00547A3A">
        <w:rPr>
          <w:sz w:val="24"/>
          <w:szCs w:val="24"/>
        </w:rPr>
        <w:t xml:space="preserve"> v AE Dayton Services Ltd</w:t>
      </w:r>
      <w:r w:rsidR="0062167C">
        <w:rPr>
          <w:sz w:val="24"/>
          <w:szCs w:val="24"/>
        </w:rPr>
        <w:t xml:space="preserve">’ (1987) </w:t>
      </w:r>
      <w:r w:rsidR="0062167C" w:rsidRPr="00E86DB2">
        <w:rPr>
          <w:i/>
          <w:sz w:val="24"/>
          <w:szCs w:val="24"/>
        </w:rPr>
        <w:t>United Kingdom House of Lords.</w:t>
      </w:r>
      <w:r w:rsidR="0062167C">
        <w:rPr>
          <w:i/>
          <w:sz w:val="24"/>
          <w:szCs w:val="24"/>
        </w:rPr>
        <w:t xml:space="preserve"> </w:t>
      </w:r>
      <w:r w:rsidR="0062167C" w:rsidRPr="00C206BE">
        <w:rPr>
          <w:sz w:val="24"/>
          <w:szCs w:val="24"/>
        </w:rPr>
        <w:t>As cited in</w:t>
      </w:r>
      <w:r w:rsidR="0062167C">
        <w:rPr>
          <w:i/>
          <w:sz w:val="24"/>
          <w:szCs w:val="24"/>
        </w:rPr>
        <w:t xml:space="preserve"> </w:t>
      </w:r>
      <w:r w:rsidR="0062167C">
        <w:rPr>
          <w:sz w:val="24"/>
          <w:szCs w:val="24"/>
        </w:rPr>
        <w:t xml:space="preserve">Lewis, D., and </w:t>
      </w:r>
      <w:proofErr w:type="spellStart"/>
      <w:r w:rsidR="0062167C">
        <w:rPr>
          <w:sz w:val="24"/>
          <w:szCs w:val="24"/>
        </w:rPr>
        <w:t>Sargeant</w:t>
      </w:r>
      <w:proofErr w:type="spellEnd"/>
      <w:r w:rsidR="0062167C">
        <w:rPr>
          <w:sz w:val="24"/>
          <w:szCs w:val="24"/>
        </w:rPr>
        <w:t xml:space="preserve">, M. (2020) </w:t>
      </w:r>
      <w:r w:rsidR="0062167C">
        <w:rPr>
          <w:i/>
          <w:sz w:val="24"/>
          <w:szCs w:val="24"/>
        </w:rPr>
        <w:t>Employment Law: T</w:t>
      </w:r>
      <w:r w:rsidR="0062167C" w:rsidRPr="00C206BE">
        <w:rPr>
          <w:i/>
          <w:sz w:val="24"/>
          <w:szCs w:val="24"/>
        </w:rPr>
        <w:t>he essentials</w:t>
      </w:r>
      <w:r w:rsidR="0062167C">
        <w:rPr>
          <w:i/>
          <w:sz w:val="24"/>
          <w:szCs w:val="24"/>
        </w:rPr>
        <w:t xml:space="preserve">. </w:t>
      </w:r>
      <w:r w:rsidR="0062167C">
        <w:rPr>
          <w:sz w:val="24"/>
          <w:szCs w:val="24"/>
        </w:rPr>
        <w:t>15</w:t>
      </w:r>
      <w:r w:rsidR="0062167C" w:rsidRPr="00C206BE">
        <w:rPr>
          <w:sz w:val="24"/>
          <w:szCs w:val="24"/>
          <w:vertAlign w:val="superscript"/>
        </w:rPr>
        <w:t>th</w:t>
      </w:r>
      <w:r w:rsidR="0062167C">
        <w:rPr>
          <w:sz w:val="24"/>
          <w:szCs w:val="24"/>
        </w:rPr>
        <w:t xml:space="preserve"> </w:t>
      </w:r>
      <w:proofErr w:type="spellStart"/>
      <w:r w:rsidR="0062167C">
        <w:rPr>
          <w:sz w:val="24"/>
          <w:szCs w:val="24"/>
        </w:rPr>
        <w:t>Edn</w:t>
      </w:r>
      <w:proofErr w:type="spellEnd"/>
      <w:r w:rsidR="0062167C">
        <w:rPr>
          <w:sz w:val="24"/>
          <w:szCs w:val="24"/>
        </w:rPr>
        <w:t xml:space="preserve">. London: </w:t>
      </w:r>
      <w:proofErr w:type="spellStart"/>
      <w:r w:rsidR="0062167C">
        <w:rPr>
          <w:sz w:val="24"/>
          <w:szCs w:val="24"/>
        </w:rPr>
        <w:t>Kogan</w:t>
      </w:r>
      <w:proofErr w:type="spellEnd"/>
      <w:r w:rsidR="0062167C">
        <w:rPr>
          <w:sz w:val="24"/>
          <w:szCs w:val="24"/>
        </w:rPr>
        <w:t xml:space="preserve"> Page.</w:t>
      </w:r>
    </w:p>
    <w:p w:rsidR="0062167C" w:rsidRDefault="0062167C" w:rsidP="00C206BE">
      <w:pPr>
        <w:pStyle w:val="ListParagraph"/>
        <w:numPr>
          <w:ilvl w:val="0"/>
          <w:numId w:val="1"/>
        </w:numPr>
        <w:spacing w:line="360" w:lineRule="auto"/>
        <w:rPr>
          <w:sz w:val="24"/>
          <w:szCs w:val="24"/>
        </w:rPr>
      </w:pPr>
      <w:r>
        <w:rPr>
          <w:i/>
          <w:sz w:val="24"/>
          <w:szCs w:val="24"/>
        </w:rPr>
        <w:lastRenderedPageBreak/>
        <w:t xml:space="preserve">Public Interest Disclosures Act, 1998. </w:t>
      </w:r>
      <w:r w:rsidRPr="00C206BE">
        <w:rPr>
          <w:sz w:val="24"/>
          <w:szCs w:val="24"/>
        </w:rPr>
        <w:t xml:space="preserve">Available at: </w:t>
      </w:r>
      <w:hyperlink r:id="rId35" w:history="1">
        <w:r w:rsidRPr="009339B7">
          <w:rPr>
            <w:rStyle w:val="Hyperlink"/>
            <w:sz w:val="24"/>
            <w:szCs w:val="24"/>
          </w:rPr>
          <w:t>https://www.legislation.gov.uk/ukpga/1998/23/section/1</w:t>
        </w:r>
      </w:hyperlink>
      <w:r>
        <w:rPr>
          <w:sz w:val="24"/>
          <w:szCs w:val="24"/>
        </w:rPr>
        <w:t xml:space="preserve"> (Accessed: 17 April 2021)</w:t>
      </w:r>
    </w:p>
    <w:p w:rsidR="00451140" w:rsidRPr="00451140" w:rsidRDefault="00451140" w:rsidP="00C206BE">
      <w:pPr>
        <w:pStyle w:val="ListParagraph"/>
        <w:numPr>
          <w:ilvl w:val="0"/>
          <w:numId w:val="1"/>
        </w:numPr>
        <w:spacing w:line="360" w:lineRule="auto"/>
        <w:rPr>
          <w:sz w:val="24"/>
          <w:szCs w:val="24"/>
        </w:rPr>
      </w:pPr>
      <w:r w:rsidRPr="00451140">
        <w:rPr>
          <w:sz w:val="24"/>
          <w:szCs w:val="24"/>
        </w:rPr>
        <w:t xml:space="preserve">‘Savage v </w:t>
      </w:r>
      <w:proofErr w:type="spellStart"/>
      <w:r w:rsidRPr="00451140">
        <w:rPr>
          <w:sz w:val="24"/>
          <w:szCs w:val="24"/>
        </w:rPr>
        <w:t>Saxena</w:t>
      </w:r>
      <w:proofErr w:type="spellEnd"/>
      <w:r w:rsidRPr="00451140">
        <w:rPr>
          <w:sz w:val="24"/>
          <w:szCs w:val="24"/>
        </w:rPr>
        <w:t>’ (</w:t>
      </w:r>
      <w:r>
        <w:rPr>
          <w:sz w:val="24"/>
          <w:szCs w:val="24"/>
        </w:rPr>
        <w:t xml:space="preserve">1998) </w:t>
      </w:r>
      <w:r>
        <w:rPr>
          <w:i/>
          <w:sz w:val="24"/>
          <w:szCs w:val="24"/>
        </w:rPr>
        <w:t xml:space="preserve">Industrial Relations Law report. </w:t>
      </w:r>
      <w:r>
        <w:rPr>
          <w:sz w:val="24"/>
          <w:szCs w:val="24"/>
        </w:rPr>
        <w:t xml:space="preserve">As cited in: </w:t>
      </w:r>
      <w:r w:rsidRPr="00773CDE">
        <w:rPr>
          <w:sz w:val="24"/>
          <w:szCs w:val="24"/>
        </w:rPr>
        <w:t>Lewis, D.</w:t>
      </w:r>
      <w:r>
        <w:rPr>
          <w:sz w:val="24"/>
          <w:szCs w:val="24"/>
        </w:rPr>
        <w:t>,</w:t>
      </w:r>
      <w:r w:rsidRPr="00773CDE">
        <w:rPr>
          <w:sz w:val="24"/>
          <w:szCs w:val="24"/>
        </w:rPr>
        <w:t xml:space="preserve"> and </w:t>
      </w:r>
      <w:proofErr w:type="spellStart"/>
      <w:r w:rsidRPr="00773CDE">
        <w:rPr>
          <w:sz w:val="24"/>
          <w:szCs w:val="24"/>
        </w:rPr>
        <w:t>Sargeant</w:t>
      </w:r>
      <w:proofErr w:type="spellEnd"/>
      <w:r w:rsidRPr="00773CDE">
        <w:rPr>
          <w:sz w:val="24"/>
          <w:szCs w:val="24"/>
        </w:rPr>
        <w:t xml:space="preserve">, M. (2020) </w:t>
      </w:r>
      <w:r w:rsidRPr="00773CDE">
        <w:rPr>
          <w:i/>
          <w:sz w:val="24"/>
          <w:szCs w:val="24"/>
        </w:rPr>
        <w:t>Employment Law: The essentials</w:t>
      </w:r>
      <w:r w:rsidRPr="00773CDE">
        <w:rPr>
          <w:sz w:val="24"/>
          <w:szCs w:val="24"/>
        </w:rPr>
        <w:t xml:space="preserve">. 15th </w:t>
      </w:r>
      <w:proofErr w:type="spellStart"/>
      <w:r w:rsidRPr="00773CDE">
        <w:rPr>
          <w:sz w:val="24"/>
          <w:szCs w:val="24"/>
        </w:rPr>
        <w:t>Edn</w:t>
      </w:r>
      <w:proofErr w:type="spellEnd"/>
      <w:r w:rsidRPr="00773CDE">
        <w:rPr>
          <w:sz w:val="24"/>
          <w:szCs w:val="24"/>
        </w:rPr>
        <w:t xml:space="preserve">. London: </w:t>
      </w:r>
      <w:proofErr w:type="spellStart"/>
      <w:r w:rsidRPr="00773CDE">
        <w:rPr>
          <w:sz w:val="24"/>
          <w:szCs w:val="24"/>
        </w:rPr>
        <w:t>Kogan</w:t>
      </w:r>
      <w:proofErr w:type="spellEnd"/>
      <w:r w:rsidRPr="00773CDE">
        <w:rPr>
          <w:sz w:val="24"/>
          <w:szCs w:val="24"/>
        </w:rPr>
        <w:t xml:space="preserve"> Page.</w:t>
      </w:r>
    </w:p>
    <w:p w:rsidR="0062167C" w:rsidRDefault="00E961CE" w:rsidP="00A37717">
      <w:pPr>
        <w:pStyle w:val="ListParagraph"/>
        <w:numPr>
          <w:ilvl w:val="0"/>
          <w:numId w:val="1"/>
        </w:numPr>
        <w:spacing w:line="360" w:lineRule="auto"/>
        <w:rPr>
          <w:sz w:val="24"/>
          <w:szCs w:val="24"/>
        </w:rPr>
      </w:pPr>
      <w:r>
        <w:rPr>
          <w:sz w:val="24"/>
          <w:szCs w:val="24"/>
        </w:rPr>
        <w:t>‘</w:t>
      </w:r>
      <w:r w:rsidR="0062167C" w:rsidRPr="00E03EEB">
        <w:rPr>
          <w:sz w:val="24"/>
          <w:szCs w:val="24"/>
        </w:rPr>
        <w:t>Thomson v Imperial College Healthcare NHS Trust</w:t>
      </w:r>
      <w:r w:rsidR="0062167C">
        <w:rPr>
          <w:sz w:val="24"/>
          <w:szCs w:val="24"/>
        </w:rPr>
        <w:t>’ (2015)</w:t>
      </w:r>
      <w:r w:rsidR="0062167C" w:rsidRPr="00E03EEB">
        <w:rPr>
          <w:sz w:val="24"/>
          <w:szCs w:val="24"/>
        </w:rPr>
        <w:t xml:space="preserve"> EAT/0218/14</w:t>
      </w:r>
      <w:r w:rsidR="0062167C">
        <w:rPr>
          <w:sz w:val="24"/>
          <w:szCs w:val="24"/>
        </w:rPr>
        <w:t xml:space="preserve">. </w:t>
      </w:r>
      <w:proofErr w:type="spellStart"/>
      <w:r w:rsidR="0062167C">
        <w:rPr>
          <w:sz w:val="24"/>
          <w:szCs w:val="24"/>
        </w:rPr>
        <w:t>XpertHR</w:t>
      </w:r>
      <w:proofErr w:type="spellEnd"/>
      <w:r w:rsidR="0062167C">
        <w:rPr>
          <w:sz w:val="24"/>
          <w:szCs w:val="24"/>
        </w:rPr>
        <w:t xml:space="preserve"> [online] Available at: </w:t>
      </w:r>
      <w:hyperlink r:id="rId36" w:history="1">
        <w:r w:rsidR="0062167C" w:rsidRPr="00A70D30">
          <w:rPr>
            <w:rStyle w:val="Hyperlink"/>
            <w:sz w:val="24"/>
            <w:szCs w:val="24"/>
          </w:rPr>
          <w:t>https://www.xperthr.co.uk/law-reports/unfair-dismissal-dismissal-procedurally-and-substantively-unfair-where-inexperienced-chair-dismissed-for-serious-but-not-gross-misconduct/157596/?c=2254</w:t>
        </w:r>
      </w:hyperlink>
      <w:r w:rsidR="0062167C">
        <w:rPr>
          <w:sz w:val="24"/>
          <w:szCs w:val="24"/>
        </w:rPr>
        <w:t xml:space="preserve"> (Accessed: 27 April 2021)</w:t>
      </w:r>
    </w:p>
    <w:p w:rsidR="00451140" w:rsidRDefault="00451140" w:rsidP="00A37717">
      <w:pPr>
        <w:pStyle w:val="ListParagraph"/>
        <w:numPr>
          <w:ilvl w:val="0"/>
          <w:numId w:val="1"/>
        </w:numPr>
        <w:spacing w:line="360" w:lineRule="auto"/>
        <w:rPr>
          <w:sz w:val="24"/>
          <w:szCs w:val="24"/>
        </w:rPr>
      </w:pPr>
      <w:r>
        <w:rPr>
          <w:sz w:val="24"/>
          <w:szCs w:val="24"/>
        </w:rPr>
        <w:t>‘</w:t>
      </w:r>
      <w:proofErr w:type="spellStart"/>
      <w:r>
        <w:rPr>
          <w:sz w:val="24"/>
          <w:szCs w:val="24"/>
        </w:rPr>
        <w:t>Tradewind</w:t>
      </w:r>
      <w:proofErr w:type="spellEnd"/>
      <w:r>
        <w:rPr>
          <w:sz w:val="24"/>
          <w:szCs w:val="24"/>
        </w:rPr>
        <w:t xml:space="preserve"> Airways Ltd v Fletcher’ (1981) </w:t>
      </w:r>
      <w:r>
        <w:rPr>
          <w:i/>
          <w:sz w:val="24"/>
          <w:szCs w:val="24"/>
        </w:rPr>
        <w:t xml:space="preserve">Industrial Relations Law Report. </w:t>
      </w:r>
      <w:r>
        <w:rPr>
          <w:sz w:val="24"/>
          <w:szCs w:val="24"/>
        </w:rPr>
        <w:t xml:space="preserve">As cited in: </w:t>
      </w:r>
      <w:r w:rsidRPr="00773CDE">
        <w:rPr>
          <w:sz w:val="24"/>
          <w:szCs w:val="24"/>
        </w:rPr>
        <w:t>Lewis, D.</w:t>
      </w:r>
      <w:r>
        <w:rPr>
          <w:sz w:val="24"/>
          <w:szCs w:val="24"/>
        </w:rPr>
        <w:t>,</w:t>
      </w:r>
      <w:r w:rsidRPr="00773CDE">
        <w:rPr>
          <w:sz w:val="24"/>
          <w:szCs w:val="24"/>
        </w:rPr>
        <w:t xml:space="preserve"> and </w:t>
      </w:r>
      <w:proofErr w:type="spellStart"/>
      <w:r w:rsidRPr="00773CDE">
        <w:rPr>
          <w:sz w:val="24"/>
          <w:szCs w:val="24"/>
        </w:rPr>
        <w:t>Sargeant</w:t>
      </w:r>
      <w:proofErr w:type="spellEnd"/>
      <w:r w:rsidRPr="00773CDE">
        <w:rPr>
          <w:sz w:val="24"/>
          <w:szCs w:val="24"/>
        </w:rPr>
        <w:t xml:space="preserve">, M. (2020) </w:t>
      </w:r>
      <w:r w:rsidRPr="00773CDE">
        <w:rPr>
          <w:i/>
          <w:sz w:val="24"/>
          <w:szCs w:val="24"/>
        </w:rPr>
        <w:t>Employment Law: The essentials</w:t>
      </w:r>
      <w:r w:rsidRPr="00773CDE">
        <w:rPr>
          <w:sz w:val="24"/>
          <w:szCs w:val="24"/>
        </w:rPr>
        <w:t xml:space="preserve">. 15th </w:t>
      </w:r>
      <w:proofErr w:type="spellStart"/>
      <w:r w:rsidRPr="00773CDE">
        <w:rPr>
          <w:sz w:val="24"/>
          <w:szCs w:val="24"/>
        </w:rPr>
        <w:t>Edn</w:t>
      </w:r>
      <w:proofErr w:type="spellEnd"/>
      <w:r w:rsidRPr="00773CDE">
        <w:rPr>
          <w:sz w:val="24"/>
          <w:szCs w:val="24"/>
        </w:rPr>
        <w:t xml:space="preserve">. London: </w:t>
      </w:r>
      <w:proofErr w:type="spellStart"/>
      <w:r w:rsidRPr="00773CDE">
        <w:rPr>
          <w:sz w:val="24"/>
          <w:szCs w:val="24"/>
        </w:rPr>
        <w:t>Kogan</w:t>
      </w:r>
      <w:proofErr w:type="spellEnd"/>
      <w:r w:rsidRPr="00773CDE">
        <w:rPr>
          <w:sz w:val="24"/>
          <w:szCs w:val="24"/>
        </w:rPr>
        <w:t xml:space="preserve"> Page.</w:t>
      </w:r>
    </w:p>
    <w:p w:rsidR="00497FBE" w:rsidRDefault="00497FBE" w:rsidP="00497FBE">
      <w:pPr>
        <w:pStyle w:val="ListParagraph"/>
        <w:numPr>
          <w:ilvl w:val="0"/>
          <w:numId w:val="1"/>
        </w:numPr>
        <w:spacing w:line="360" w:lineRule="auto"/>
        <w:rPr>
          <w:sz w:val="24"/>
          <w:szCs w:val="24"/>
        </w:rPr>
      </w:pPr>
      <w:r>
        <w:rPr>
          <w:sz w:val="24"/>
          <w:szCs w:val="24"/>
        </w:rPr>
        <w:t xml:space="preserve">UK Government (No </w:t>
      </w:r>
      <w:proofErr w:type="spellStart"/>
      <w:r>
        <w:rPr>
          <w:sz w:val="24"/>
          <w:szCs w:val="24"/>
        </w:rPr>
        <w:t>Date</w:t>
      </w:r>
      <w:r w:rsidR="009826CF">
        <w:rPr>
          <w:sz w:val="24"/>
          <w:szCs w:val="24"/>
        </w:rPr>
        <w:t>A</w:t>
      </w:r>
      <w:proofErr w:type="spellEnd"/>
      <w:r>
        <w:rPr>
          <w:sz w:val="24"/>
          <w:szCs w:val="24"/>
        </w:rPr>
        <w:t xml:space="preserve">) </w:t>
      </w:r>
      <w:r w:rsidRPr="00497FBE">
        <w:rPr>
          <w:i/>
          <w:sz w:val="24"/>
          <w:szCs w:val="24"/>
        </w:rPr>
        <w:t>Handling an Employee’s Grievance.</w:t>
      </w:r>
      <w:r>
        <w:rPr>
          <w:sz w:val="24"/>
          <w:szCs w:val="24"/>
        </w:rPr>
        <w:t xml:space="preserve"> [Online] Available at: </w:t>
      </w:r>
      <w:hyperlink r:id="rId37" w:history="1">
        <w:r w:rsidRPr="00AB5E91">
          <w:rPr>
            <w:rStyle w:val="Hyperlink"/>
            <w:sz w:val="24"/>
            <w:szCs w:val="24"/>
          </w:rPr>
          <w:t>https://www.gov.uk/handling-employee-grievance/grievance-procedure</w:t>
        </w:r>
      </w:hyperlink>
      <w:r>
        <w:rPr>
          <w:sz w:val="24"/>
          <w:szCs w:val="24"/>
        </w:rPr>
        <w:t xml:space="preserve"> (Accessed: 07 May 2021)</w:t>
      </w:r>
    </w:p>
    <w:p w:rsidR="009826CF" w:rsidRDefault="009826CF" w:rsidP="009826CF">
      <w:pPr>
        <w:pStyle w:val="ListParagraph"/>
        <w:numPr>
          <w:ilvl w:val="0"/>
          <w:numId w:val="1"/>
        </w:numPr>
        <w:spacing w:line="360" w:lineRule="auto"/>
        <w:rPr>
          <w:sz w:val="24"/>
          <w:szCs w:val="24"/>
        </w:rPr>
      </w:pPr>
      <w:r>
        <w:rPr>
          <w:sz w:val="24"/>
          <w:szCs w:val="24"/>
        </w:rPr>
        <w:t xml:space="preserve">UK Government (No </w:t>
      </w:r>
      <w:proofErr w:type="spellStart"/>
      <w:r>
        <w:rPr>
          <w:sz w:val="24"/>
          <w:szCs w:val="24"/>
        </w:rPr>
        <w:t>DateB</w:t>
      </w:r>
      <w:proofErr w:type="spellEnd"/>
      <w:r>
        <w:rPr>
          <w:sz w:val="24"/>
          <w:szCs w:val="24"/>
        </w:rPr>
        <w:t xml:space="preserve">) Taking Disciplinary Action against an Employee. [Online] Available at: </w:t>
      </w:r>
      <w:hyperlink r:id="rId38" w:history="1">
        <w:r w:rsidRPr="00843D08">
          <w:rPr>
            <w:rStyle w:val="Hyperlink"/>
            <w:sz w:val="24"/>
            <w:szCs w:val="24"/>
          </w:rPr>
          <w:t>https://www.gov.uk/taking-disciplinary-action</w:t>
        </w:r>
      </w:hyperlink>
      <w:r>
        <w:rPr>
          <w:sz w:val="24"/>
          <w:szCs w:val="24"/>
        </w:rPr>
        <w:t xml:space="preserve"> (Accessed: 08 May 2021).</w:t>
      </w:r>
    </w:p>
    <w:p w:rsidR="0062167C" w:rsidRDefault="00AC339D" w:rsidP="00773CDE">
      <w:pPr>
        <w:pStyle w:val="ListParagraph"/>
        <w:numPr>
          <w:ilvl w:val="0"/>
          <w:numId w:val="1"/>
        </w:numPr>
        <w:spacing w:line="360" w:lineRule="auto"/>
        <w:rPr>
          <w:sz w:val="24"/>
          <w:szCs w:val="24"/>
        </w:rPr>
      </w:pPr>
      <w:r>
        <w:rPr>
          <w:sz w:val="24"/>
          <w:szCs w:val="24"/>
        </w:rPr>
        <w:t xml:space="preserve"> </w:t>
      </w:r>
      <w:r w:rsidR="00E961CE">
        <w:rPr>
          <w:sz w:val="24"/>
          <w:szCs w:val="24"/>
        </w:rPr>
        <w:t>‘</w:t>
      </w:r>
      <w:r w:rsidR="0062167C" w:rsidRPr="00B83078">
        <w:rPr>
          <w:sz w:val="24"/>
          <w:szCs w:val="24"/>
        </w:rPr>
        <w:t xml:space="preserve">Wood Group Heavy Industrial Turbines Ltd v </w:t>
      </w:r>
      <w:proofErr w:type="spellStart"/>
      <w:r w:rsidR="0062167C" w:rsidRPr="00B83078">
        <w:rPr>
          <w:sz w:val="24"/>
          <w:szCs w:val="24"/>
        </w:rPr>
        <w:t>Crossan</w:t>
      </w:r>
      <w:proofErr w:type="spellEnd"/>
      <w:r w:rsidR="0062167C" w:rsidRPr="00B83078">
        <w:rPr>
          <w:sz w:val="24"/>
          <w:szCs w:val="24"/>
        </w:rPr>
        <w:t xml:space="preserve">’ (1998) </w:t>
      </w:r>
      <w:r w:rsidR="0062167C" w:rsidRPr="00B83078">
        <w:rPr>
          <w:i/>
          <w:sz w:val="24"/>
          <w:szCs w:val="24"/>
        </w:rPr>
        <w:t>Industrial Relations Law Reports</w:t>
      </w:r>
      <w:r w:rsidR="0062167C" w:rsidRPr="00B83078">
        <w:rPr>
          <w:sz w:val="24"/>
          <w:szCs w:val="24"/>
        </w:rPr>
        <w:t>. As cited in Lewis, D.</w:t>
      </w:r>
      <w:r w:rsidR="0062167C">
        <w:rPr>
          <w:sz w:val="24"/>
          <w:szCs w:val="24"/>
        </w:rPr>
        <w:t>,</w:t>
      </w:r>
      <w:r w:rsidR="0062167C" w:rsidRPr="00B83078">
        <w:rPr>
          <w:sz w:val="24"/>
          <w:szCs w:val="24"/>
        </w:rPr>
        <w:t xml:space="preserve"> and </w:t>
      </w:r>
      <w:proofErr w:type="spellStart"/>
      <w:r w:rsidR="0062167C" w:rsidRPr="00B83078">
        <w:rPr>
          <w:sz w:val="24"/>
          <w:szCs w:val="24"/>
        </w:rPr>
        <w:t>Sargeant</w:t>
      </w:r>
      <w:proofErr w:type="spellEnd"/>
      <w:r w:rsidR="0062167C" w:rsidRPr="00B83078">
        <w:rPr>
          <w:sz w:val="24"/>
          <w:szCs w:val="24"/>
        </w:rPr>
        <w:t xml:space="preserve">, M. (2020) </w:t>
      </w:r>
      <w:r w:rsidR="0062167C" w:rsidRPr="00B83078">
        <w:rPr>
          <w:i/>
          <w:sz w:val="24"/>
          <w:szCs w:val="24"/>
        </w:rPr>
        <w:t xml:space="preserve">Employment Law: The essentials. </w:t>
      </w:r>
      <w:r w:rsidR="0062167C" w:rsidRPr="00B83078">
        <w:rPr>
          <w:sz w:val="24"/>
          <w:szCs w:val="24"/>
        </w:rPr>
        <w:t xml:space="preserve">15th </w:t>
      </w:r>
      <w:proofErr w:type="spellStart"/>
      <w:r w:rsidR="0062167C" w:rsidRPr="00B83078">
        <w:rPr>
          <w:sz w:val="24"/>
          <w:szCs w:val="24"/>
        </w:rPr>
        <w:t>Edn</w:t>
      </w:r>
      <w:proofErr w:type="spellEnd"/>
      <w:r w:rsidR="0062167C" w:rsidRPr="00B83078">
        <w:rPr>
          <w:sz w:val="24"/>
          <w:szCs w:val="24"/>
        </w:rPr>
        <w:t xml:space="preserve">. London: </w:t>
      </w:r>
      <w:proofErr w:type="spellStart"/>
      <w:r w:rsidR="0062167C" w:rsidRPr="00B83078">
        <w:rPr>
          <w:sz w:val="24"/>
          <w:szCs w:val="24"/>
        </w:rPr>
        <w:t>Kogan</w:t>
      </w:r>
      <w:proofErr w:type="spellEnd"/>
      <w:r w:rsidR="0062167C" w:rsidRPr="00B83078">
        <w:rPr>
          <w:sz w:val="24"/>
          <w:szCs w:val="24"/>
        </w:rPr>
        <w:t xml:space="preserve"> Page.</w:t>
      </w:r>
    </w:p>
    <w:p w:rsidR="009826CF" w:rsidRPr="00B83078" w:rsidRDefault="009826CF" w:rsidP="009826CF">
      <w:pPr>
        <w:pStyle w:val="ListParagraph"/>
        <w:numPr>
          <w:ilvl w:val="0"/>
          <w:numId w:val="1"/>
        </w:numPr>
        <w:spacing w:line="360" w:lineRule="auto"/>
        <w:rPr>
          <w:sz w:val="24"/>
          <w:szCs w:val="24"/>
        </w:rPr>
      </w:pPr>
      <w:proofErr w:type="spellStart"/>
      <w:r>
        <w:rPr>
          <w:sz w:val="24"/>
          <w:szCs w:val="24"/>
        </w:rPr>
        <w:t>XpertHR</w:t>
      </w:r>
      <w:proofErr w:type="spellEnd"/>
      <w:r>
        <w:rPr>
          <w:sz w:val="24"/>
          <w:szCs w:val="24"/>
        </w:rPr>
        <w:t xml:space="preserve"> (2021) </w:t>
      </w:r>
      <w:r w:rsidRPr="009826CF">
        <w:rPr>
          <w:i/>
          <w:sz w:val="24"/>
          <w:szCs w:val="24"/>
        </w:rPr>
        <w:t>Respond to an Employment Tribunal Claim</w:t>
      </w:r>
      <w:r>
        <w:rPr>
          <w:sz w:val="24"/>
          <w:szCs w:val="24"/>
        </w:rPr>
        <w:t xml:space="preserve">. [Online] Available at: </w:t>
      </w:r>
      <w:hyperlink r:id="rId39" w:history="1">
        <w:r w:rsidRPr="00843D08">
          <w:rPr>
            <w:rStyle w:val="Hyperlink"/>
            <w:sz w:val="24"/>
            <w:szCs w:val="24"/>
          </w:rPr>
          <w:t>https://www.xperthr.co.uk/tasks/respond-to-an-employment-tribunal-claim/150659/</w:t>
        </w:r>
      </w:hyperlink>
      <w:r>
        <w:rPr>
          <w:sz w:val="24"/>
          <w:szCs w:val="24"/>
        </w:rPr>
        <w:t xml:space="preserve"> (Accessed: 08 May 2021)</w:t>
      </w:r>
    </w:p>
    <w:sectPr w:rsidR="009826CF" w:rsidRPr="00B83078">
      <w:head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B6EB5" w:rsidRDefault="00FB6EB5" w:rsidP="00DB4016">
      <w:pPr>
        <w:spacing w:after="0" w:line="240" w:lineRule="auto"/>
      </w:pPr>
      <w:r>
        <w:separator/>
      </w:r>
    </w:p>
  </w:endnote>
  <w:endnote w:type="continuationSeparator" w:id="0">
    <w:p w:rsidR="00FB6EB5" w:rsidRDefault="00FB6EB5" w:rsidP="00DB4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B6EB5" w:rsidRDefault="00FB6EB5" w:rsidP="00DB4016">
      <w:pPr>
        <w:spacing w:after="0" w:line="240" w:lineRule="auto"/>
      </w:pPr>
      <w:r>
        <w:separator/>
      </w:r>
    </w:p>
  </w:footnote>
  <w:footnote w:type="continuationSeparator" w:id="0">
    <w:p w:rsidR="00FB6EB5" w:rsidRDefault="00FB6EB5" w:rsidP="00DB401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B6EB5" w:rsidRDefault="00FB6EB5">
    <w:pPr>
      <w:pStyle w:val="Header"/>
    </w:pPr>
    <w:r>
      <w:t xml:space="preserve">BMHR7003 </w:t>
    </w:r>
    <w:r>
      <w:tab/>
      <w:t>Employment Law</w:t>
    </w:r>
    <w:r>
      <w:tab/>
      <w:t>2016110</w:t>
    </w:r>
  </w:p>
  <w:p w:rsidR="00FB6EB5" w:rsidRDefault="00FB6EB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5D40738"/>
    <w:multiLevelType w:val="hybridMultilevel"/>
    <w:tmpl w:val="3E6C12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E2NTQ0MbOwNDCxNLFU0lEKTi0uzszPAykwqQUAPND+VSwAAAA="/>
  </w:docVars>
  <w:rsids>
    <w:rsidRoot w:val="002F1DE6"/>
    <w:rsid w:val="00031261"/>
    <w:rsid w:val="0005691E"/>
    <w:rsid w:val="0006255F"/>
    <w:rsid w:val="00143539"/>
    <w:rsid w:val="001D2092"/>
    <w:rsid w:val="001F69DD"/>
    <w:rsid w:val="00266A0E"/>
    <w:rsid w:val="002808CA"/>
    <w:rsid w:val="002B7975"/>
    <w:rsid w:val="002E3AF1"/>
    <w:rsid w:val="002F1DE6"/>
    <w:rsid w:val="0030177C"/>
    <w:rsid w:val="003B22A0"/>
    <w:rsid w:val="003B4D35"/>
    <w:rsid w:val="0041342D"/>
    <w:rsid w:val="00451140"/>
    <w:rsid w:val="00470062"/>
    <w:rsid w:val="00497FBE"/>
    <w:rsid w:val="004E56EE"/>
    <w:rsid w:val="00547A3A"/>
    <w:rsid w:val="005511B1"/>
    <w:rsid w:val="00595A79"/>
    <w:rsid w:val="005F3E04"/>
    <w:rsid w:val="00610C6D"/>
    <w:rsid w:val="0062167C"/>
    <w:rsid w:val="0062295A"/>
    <w:rsid w:val="006667C9"/>
    <w:rsid w:val="006874E0"/>
    <w:rsid w:val="006E15EF"/>
    <w:rsid w:val="00733AB4"/>
    <w:rsid w:val="0074518F"/>
    <w:rsid w:val="00755336"/>
    <w:rsid w:val="00773CDE"/>
    <w:rsid w:val="00780DCA"/>
    <w:rsid w:val="00781C96"/>
    <w:rsid w:val="00794136"/>
    <w:rsid w:val="00796A5D"/>
    <w:rsid w:val="007C1B06"/>
    <w:rsid w:val="007D1DE5"/>
    <w:rsid w:val="0084347A"/>
    <w:rsid w:val="00844B30"/>
    <w:rsid w:val="00851CA8"/>
    <w:rsid w:val="0086445B"/>
    <w:rsid w:val="008849C8"/>
    <w:rsid w:val="0089145F"/>
    <w:rsid w:val="008F4260"/>
    <w:rsid w:val="00961D68"/>
    <w:rsid w:val="009826CF"/>
    <w:rsid w:val="009C64DC"/>
    <w:rsid w:val="009E6155"/>
    <w:rsid w:val="009F4005"/>
    <w:rsid w:val="00A37717"/>
    <w:rsid w:val="00A60DBB"/>
    <w:rsid w:val="00AC339D"/>
    <w:rsid w:val="00AE033E"/>
    <w:rsid w:val="00AE083C"/>
    <w:rsid w:val="00AE29AC"/>
    <w:rsid w:val="00AF3FD2"/>
    <w:rsid w:val="00B159F4"/>
    <w:rsid w:val="00B74A76"/>
    <w:rsid w:val="00B83078"/>
    <w:rsid w:val="00BE0654"/>
    <w:rsid w:val="00C206BE"/>
    <w:rsid w:val="00C82AB8"/>
    <w:rsid w:val="00CB10FF"/>
    <w:rsid w:val="00CE30AD"/>
    <w:rsid w:val="00D2670F"/>
    <w:rsid w:val="00D80420"/>
    <w:rsid w:val="00D9787B"/>
    <w:rsid w:val="00DA2C2E"/>
    <w:rsid w:val="00DB2022"/>
    <w:rsid w:val="00DB4016"/>
    <w:rsid w:val="00DB5CE8"/>
    <w:rsid w:val="00DE4D2D"/>
    <w:rsid w:val="00E03EEB"/>
    <w:rsid w:val="00E86DB2"/>
    <w:rsid w:val="00E92AEF"/>
    <w:rsid w:val="00E93E85"/>
    <w:rsid w:val="00E961CE"/>
    <w:rsid w:val="00EA2804"/>
    <w:rsid w:val="00EB4DF0"/>
    <w:rsid w:val="00F3081E"/>
    <w:rsid w:val="00F724F4"/>
    <w:rsid w:val="00F93899"/>
    <w:rsid w:val="00FB286D"/>
    <w:rsid w:val="00FB6EB5"/>
    <w:rsid w:val="00FE3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C048C5C-7B57-4021-A2C7-8D0599CCF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826C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66A0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40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016"/>
  </w:style>
  <w:style w:type="paragraph" w:styleId="Footer">
    <w:name w:val="footer"/>
    <w:basedOn w:val="Normal"/>
    <w:link w:val="FooterChar"/>
    <w:uiPriority w:val="99"/>
    <w:unhideWhenUsed/>
    <w:rsid w:val="00DB40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016"/>
  </w:style>
  <w:style w:type="paragraph" w:styleId="ListParagraph">
    <w:name w:val="List Paragraph"/>
    <w:basedOn w:val="Normal"/>
    <w:uiPriority w:val="34"/>
    <w:qFormat/>
    <w:rsid w:val="00266A0E"/>
    <w:pPr>
      <w:ind w:left="720"/>
      <w:contextualSpacing/>
    </w:pPr>
  </w:style>
  <w:style w:type="character" w:styleId="Hyperlink">
    <w:name w:val="Hyperlink"/>
    <w:basedOn w:val="DefaultParagraphFont"/>
    <w:uiPriority w:val="99"/>
    <w:unhideWhenUsed/>
    <w:rsid w:val="00266A0E"/>
    <w:rPr>
      <w:color w:val="0563C1" w:themeColor="hyperlink"/>
      <w:u w:val="single"/>
    </w:rPr>
  </w:style>
  <w:style w:type="character" w:customStyle="1" w:styleId="Heading2Char">
    <w:name w:val="Heading 2 Char"/>
    <w:basedOn w:val="DefaultParagraphFont"/>
    <w:link w:val="Heading2"/>
    <w:uiPriority w:val="9"/>
    <w:rsid w:val="00266A0E"/>
    <w:rPr>
      <w:rFonts w:asciiTheme="majorHAnsi" w:eastAsiaTheme="majorEastAsia" w:hAnsiTheme="majorHAnsi" w:cstheme="majorBidi"/>
      <w:color w:val="2E74B5" w:themeColor="accent1" w:themeShade="BF"/>
      <w:sz w:val="26"/>
      <w:szCs w:val="26"/>
    </w:rPr>
  </w:style>
  <w:style w:type="character" w:styleId="FollowedHyperlink">
    <w:name w:val="FollowedHyperlink"/>
    <w:basedOn w:val="DefaultParagraphFont"/>
    <w:uiPriority w:val="99"/>
    <w:semiHidden/>
    <w:unhideWhenUsed/>
    <w:rsid w:val="00851CA8"/>
    <w:rPr>
      <w:color w:val="954F72" w:themeColor="followedHyperlink"/>
      <w:u w:val="single"/>
    </w:rPr>
  </w:style>
  <w:style w:type="character" w:customStyle="1" w:styleId="Heading1Char">
    <w:name w:val="Heading 1 Char"/>
    <w:basedOn w:val="DefaultParagraphFont"/>
    <w:link w:val="Heading1"/>
    <w:uiPriority w:val="9"/>
    <w:rsid w:val="009826CF"/>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2691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acas-code-of-practice-on-flexible-working-requests/html" TargetMode="External"/><Relationship Id="rId13" Type="http://schemas.openxmlformats.org/officeDocument/2006/relationships/hyperlink" Target="https://www.xperthr.co.uk/law-reports/failure-to-consider-surrounding-circumstances-made-dismissal-for-physical-violence-unfair/161779/?keywords=Arnold+clark&amp;searchrank=1" TargetMode="External"/><Relationship Id="rId18" Type="http://schemas.openxmlformats.org/officeDocument/2006/relationships/hyperlink" Target="https://www.cipd.co.uk/knowledge/fundamentals/relations/flexible-working/planning-hybrid-working" TargetMode="External"/><Relationship Id="rId26" Type="http://schemas.openxmlformats.org/officeDocument/2006/relationships/hyperlink" Target="https://www.peoplemanagement.co.uk/experts/legal/settlement-agreements-hr-knowledge" TargetMode="External"/><Relationship Id="rId39" Type="http://schemas.openxmlformats.org/officeDocument/2006/relationships/hyperlink" Target="https://www.xperthr.co.uk/tasks/respond-to-an-employment-tribunal-claim/150659/" TargetMode="External"/><Relationship Id="rId3" Type="http://schemas.openxmlformats.org/officeDocument/2006/relationships/settings" Target="settings.xml"/><Relationship Id="rId21" Type="http://schemas.openxmlformats.org/officeDocument/2006/relationships/hyperlink" Target="https://www.legislation.gov.uk/ukpga/2018/12/contents/enacted" TargetMode="External"/><Relationship Id="rId34" Type="http://schemas.openxmlformats.org/officeDocument/2006/relationships/hyperlink" Target="https://www.personneltoday.com/hr/responding-to-an-employment-tribunal-claim-five-tips-for-employers/" TargetMode="External"/><Relationship Id="rId42" Type="http://schemas.openxmlformats.org/officeDocument/2006/relationships/theme" Target="theme/theme1.xml"/><Relationship Id="rId7" Type="http://schemas.openxmlformats.org/officeDocument/2006/relationships/hyperlink" Target="https://www.acas.org.uk/code-of-practice-settlement-agreements/html" TargetMode="External"/><Relationship Id="rId12" Type="http://schemas.openxmlformats.org/officeDocument/2006/relationships/hyperlink" Target="https://www.acas.org.uk/dismissals/unfair-dismissal" TargetMode="External"/><Relationship Id="rId17" Type="http://schemas.openxmlformats.org/officeDocument/2006/relationships/hyperlink" Target="https://www.cipd.co.uk/knowledge/fundamentals/relations/flexible-working/factsheet" TargetMode="External"/><Relationship Id="rId25" Type="http://schemas.openxmlformats.org/officeDocument/2006/relationships/hyperlink" Target="https://www.legislation.gov.uk/uksi/2014/1398/made" TargetMode="External"/><Relationship Id="rId33" Type="http://schemas.openxmlformats.org/officeDocument/2006/relationships/hyperlink" Target="https://www.legislation.gov.uk/ukpga/1980/58" TargetMode="External"/><Relationship Id="rId38" Type="http://schemas.openxmlformats.org/officeDocument/2006/relationships/hyperlink" Target="https://www.gov.uk/taking-disciplinary-action" TargetMode="External"/><Relationship Id="rId2" Type="http://schemas.openxmlformats.org/officeDocument/2006/relationships/styles" Target="styles.xml"/><Relationship Id="rId16" Type="http://schemas.openxmlformats.org/officeDocument/2006/relationships/hyperlink" Target="https://www.cipd.co.uk/knowledge/fundamentals/emp-law/about/statutory-rates" TargetMode="External"/><Relationship Id="rId20" Type="http://schemas.openxmlformats.org/officeDocument/2006/relationships/hyperlink" Target="https://www.cipd.co.uk/knowledge/fundamentals/emp-law/employees/workplace-guide-returning-after-coronavirus" TargetMode="External"/><Relationship Id="rId29" Type="http://schemas.openxmlformats.org/officeDocument/2006/relationships/hyperlink" Target="https://www.hse.gov.uk/sicknessabsence/"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acas-guide-to-discipline-and-grievances-at-work" TargetMode="External"/><Relationship Id="rId24" Type="http://schemas.openxmlformats.org/officeDocument/2006/relationships/hyperlink" Target="https://www.legislation.gov.uk/ukpga/1996/18/section/103A" TargetMode="External"/><Relationship Id="rId32" Type="http://schemas.openxmlformats.org/officeDocument/2006/relationships/hyperlink" Target="https://www.cipd.co.uk/knowledge/fundamentals/emp-law/whistleblowing/cases" TargetMode="External"/><Relationship Id="rId37" Type="http://schemas.openxmlformats.org/officeDocument/2006/relationships/hyperlink" Target="https://www.gov.uk/handling-employee-grievance/grievance-procedure"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cipd.co.uk/knowledge/fundamentals/relations/flexible-working/questions" TargetMode="External"/><Relationship Id="rId23" Type="http://schemas.openxmlformats.org/officeDocument/2006/relationships/hyperlink" Target="https://www.legislation.gov.uk/ukpga/2002/22/section/47" TargetMode="External"/><Relationship Id="rId28" Type="http://schemas.openxmlformats.org/officeDocument/2006/relationships/hyperlink" Target="https://assets.publishing.service.gov.uk/government/uploads/system/uploads/attachment_data/file/950243/t422-eng.pdf" TargetMode="External"/><Relationship Id="rId36" Type="http://schemas.openxmlformats.org/officeDocument/2006/relationships/hyperlink" Target="https://www.xperthr.co.uk/law-reports/unfair-dismissal-dismissal-procedurally-and-substantively-unfair-where-inexperienced-chair-dismissed-for-serious-but-not-gross-misconduct/157596/?c=2254" TargetMode="External"/><Relationship Id="rId10" Type="http://schemas.openxmlformats.org/officeDocument/2006/relationships/hyperlink" Target="https://www.acas.org.uk/sites/default/files/2021-03/flexible-working-and-work-life-balance-guide.pdf" TargetMode="External"/><Relationship Id="rId19" Type="http://schemas.openxmlformats.org/officeDocument/2006/relationships/hyperlink" Target="https://peopleskillshub.cipd.co.uk/managing-people-essentials/handling-grievances" TargetMode="External"/><Relationship Id="rId31" Type="http://schemas.openxmlformats.org/officeDocument/2006/relationships/hyperlink" Target="https://ico.org.uk/media/fororganisations/documents/1128/quick_guide_to_the_employment_practices_code.pdf" TargetMode="External"/><Relationship Id="rId4" Type="http://schemas.openxmlformats.org/officeDocument/2006/relationships/webSettings" Target="webSettings.xml"/><Relationship Id="rId9" Type="http://schemas.openxmlformats.org/officeDocument/2006/relationships/hyperlink" Target="https://www.acas.org.uk/acas-code-of-practice-for-disciplinary-and-grievance-procedures/html" TargetMode="External"/><Relationship Id="rId14" Type="http://schemas.openxmlformats.org/officeDocument/2006/relationships/hyperlink" Target="https://www.cipd.co.uk/knowledge/fundamentals/emp-law/dismissal/factsheet" TargetMode="External"/><Relationship Id="rId22" Type="http://schemas.openxmlformats.org/officeDocument/2006/relationships/hyperlink" Target="https://assets.publishing.service.gov.uk/government/uploads/system/uploads/attachment_data/file/925350/special-category-data-processing-policy.pdf" TargetMode="External"/><Relationship Id="rId27" Type="http://schemas.openxmlformats.org/officeDocument/2006/relationships/hyperlink" Target="https://www.legislation.gov.uk/ukpga/1974/37/section/2" TargetMode="External"/><Relationship Id="rId30" Type="http://schemas.openxmlformats.org/officeDocument/2006/relationships/hyperlink" Target="https://ico.org.uk/media/for-organisations/documents/1064/the_employment_practices_code.pdf" TargetMode="External"/><Relationship Id="rId35" Type="http://schemas.openxmlformats.org/officeDocument/2006/relationships/hyperlink" Target="https://www.legislation.gov.uk/ukpga/1998/23/sectio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5944</Words>
  <Characters>33881</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Morgan</dc:creator>
  <cp:keywords/>
  <dc:description/>
  <cp:lastModifiedBy>Rebecca Morgan</cp:lastModifiedBy>
  <cp:revision>2</cp:revision>
  <dcterms:created xsi:type="dcterms:W3CDTF">2021-05-08T13:00:00Z</dcterms:created>
  <dcterms:modified xsi:type="dcterms:W3CDTF">2021-05-08T13:00:00Z</dcterms:modified>
</cp:coreProperties>
</file>