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731A" w:rsidRDefault="00DA731A" w:rsidP="00DA731A">
      <w:pPr>
        <w:spacing w:after="0" w:line="276" w:lineRule="auto"/>
        <w:rPr>
          <w:rFonts w:ascii="Arial" w:eastAsia="Arial" w:hAnsi="Arial" w:cs="Times New Roman"/>
          <w:b/>
          <w:bCs/>
          <w:color w:val="000000" w:themeColor="text1"/>
          <w:sz w:val="36"/>
          <w:szCs w:val="36"/>
          <w:lang w:val="en-GB"/>
        </w:rPr>
      </w:pPr>
      <w:r>
        <w:rPr>
          <w:rFonts w:ascii="Arial" w:eastAsia="Arial" w:hAnsi="Arial" w:cs="Times New Roman"/>
          <w:b/>
          <w:bCs/>
          <w:noProof/>
          <w:color w:val="000000" w:themeColor="text1"/>
          <w:sz w:val="36"/>
          <w:szCs w:val="36"/>
          <w:lang w:eastAsia="bg-BG"/>
        </w:rPr>
        <w:drawing>
          <wp:inline distT="0" distB="0" distL="0" distR="0" wp14:anchorId="0F0DF898" wp14:editId="26068D27">
            <wp:extent cx="2570117" cy="1028700"/>
            <wp:effectExtent l="0" t="0" r="190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07338" cy="1043598"/>
                    </a:xfrm>
                    <a:prstGeom prst="rect">
                      <a:avLst/>
                    </a:prstGeom>
                  </pic:spPr>
                </pic:pic>
              </a:graphicData>
            </a:graphic>
          </wp:inline>
        </w:drawing>
      </w:r>
    </w:p>
    <w:p w:rsidR="00DA731A" w:rsidRDefault="00DA731A" w:rsidP="00DA731A">
      <w:pPr>
        <w:spacing w:after="0" w:line="276" w:lineRule="auto"/>
        <w:rPr>
          <w:rFonts w:ascii="Arial" w:eastAsia="Arial" w:hAnsi="Arial" w:cs="Times New Roman"/>
          <w:b/>
          <w:bCs/>
          <w:color w:val="000000" w:themeColor="text1"/>
          <w:sz w:val="36"/>
          <w:szCs w:val="36"/>
          <w:lang w:val="en-GB"/>
        </w:rPr>
      </w:pPr>
    </w:p>
    <w:p w:rsidR="00DA731A" w:rsidRDefault="00DA731A" w:rsidP="00DA731A">
      <w:pPr>
        <w:spacing w:after="0" w:line="276" w:lineRule="auto"/>
        <w:rPr>
          <w:rFonts w:ascii="Arial" w:eastAsia="Arial" w:hAnsi="Arial" w:cs="Times New Roman"/>
          <w:b/>
          <w:bCs/>
          <w:color w:val="000000" w:themeColor="text1"/>
          <w:sz w:val="36"/>
          <w:szCs w:val="36"/>
          <w:lang w:val="en-GB"/>
        </w:rPr>
      </w:pPr>
    </w:p>
    <w:p w:rsidR="00DA731A" w:rsidRDefault="00DA731A" w:rsidP="00DA731A">
      <w:pPr>
        <w:spacing w:after="0" w:line="276" w:lineRule="auto"/>
        <w:rPr>
          <w:rFonts w:ascii="Arial" w:eastAsia="Arial" w:hAnsi="Arial" w:cs="Times New Roman"/>
          <w:b/>
          <w:bCs/>
          <w:color w:val="000000" w:themeColor="text1"/>
          <w:sz w:val="36"/>
          <w:szCs w:val="36"/>
          <w:lang w:val="en-GB"/>
        </w:rPr>
      </w:pPr>
    </w:p>
    <w:p w:rsidR="00DA731A" w:rsidRDefault="00DA731A" w:rsidP="00DA731A">
      <w:pPr>
        <w:spacing w:after="0" w:line="276" w:lineRule="auto"/>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 xml:space="preserve">Module: </w:t>
      </w:r>
      <w:r w:rsidR="008E3405">
        <w:rPr>
          <w:rFonts w:ascii="Arial" w:eastAsia="Arial" w:hAnsi="Arial" w:cs="Times New Roman"/>
          <w:b/>
          <w:bCs/>
          <w:color w:val="000000" w:themeColor="text1"/>
          <w:sz w:val="36"/>
          <w:szCs w:val="36"/>
          <w:lang w:val="en-GB"/>
        </w:rPr>
        <w:t>Accounting Fundamentals</w:t>
      </w:r>
    </w:p>
    <w:p w:rsidR="00DA731A" w:rsidRPr="00C63B24" w:rsidRDefault="008E3405" w:rsidP="00DA731A">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Module Code: LCBB4001</w:t>
      </w: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Program: BA Business Management</w:t>
      </w: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Assessment Title: Assessment 1</w:t>
      </w:r>
      <w:r w:rsidR="008E3405">
        <w:rPr>
          <w:rFonts w:ascii="Arial" w:eastAsia="Arial" w:hAnsi="Arial" w:cs="Times New Roman"/>
          <w:b/>
          <w:bCs/>
          <w:color w:val="000000" w:themeColor="text1"/>
          <w:sz w:val="36"/>
          <w:szCs w:val="36"/>
          <w:lang w:val="en-GB"/>
        </w:rPr>
        <w:t xml:space="preserve"> </w:t>
      </w: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p>
    <w:p w:rsidR="00DA731A" w:rsidRPr="00C63B24" w:rsidRDefault="00DA731A" w:rsidP="00DA731A">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 xml:space="preserve">Module Lecturer: </w:t>
      </w:r>
      <w:r w:rsidR="008E3405">
        <w:rPr>
          <w:rFonts w:ascii="Arial" w:eastAsia="Arial" w:hAnsi="Arial" w:cs="Times New Roman"/>
          <w:b/>
          <w:bCs/>
          <w:color w:val="000000" w:themeColor="text1"/>
          <w:sz w:val="36"/>
          <w:szCs w:val="36"/>
          <w:lang w:val="en-GB"/>
        </w:rPr>
        <w:t>Rita Ukachi-Lois</w:t>
      </w:r>
    </w:p>
    <w:p w:rsidR="00DA731A" w:rsidRPr="00C63B24" w:rsidRDefault="00DA731A" w:rsidP="00DA731A">
      <w:pPr>
        <w:spacing w:after="0" w:line="276" w:lineRule="auto"/>
        <w:rPr>
          <w:rFonts w:ascii="Arial" w:eastAsia="Arial" w:hAnsi="Arial" w:cs="Times New Roman"/>
          <w:color w:val="000000" w:themeColor="text1"/>
          <w:lang w:val="en-GB"/>
        </w:rPr>
      </w:pPr>
    </w:p>
    <w:p w:rsidR="00DA731A" w:rsidRPr="00C63B24" w:rsidRDefault="00DA731A" w:rsidP="00DA731A">
      <w:pPr>
        <w:spacing w:after="0" w:line="276" w:lineRule="auto"/>
        <w:jc w:val="center"/>
        <w:rPr>
          <w:rFonts w:ascii="Arial" w:eastAsia="Arial" w:hAnsi="Arial" w:cs="Times New Roman"/>
          <w:color w:val="000000" w:themeColor="text1"/>
          <w:lang w:val="en-GB"/>
        </w:rPr>
      </w:pPr>
    </w:p>
    <w:p w:rsidR="00DA731A" w:rsidRPr="00C63B24" w:rsidRDefault="00DA731A" w:rsidP="00DA731A">
      <w:pPr>
        <w:spacing w:after="0" w:line="276" w:lineRule="auto"/>
        <w:jc w:val="center"/>
        <w:rPr>
          <w:rFonts w:ascii="Arial" w:eastAsia="Arial" w:hAnsi="Arial" w:cs="Times New Roman"/>
          <w:color w:val="000000" w:themeColor="text1"/>
          <w:lang w:val="en-GB"/>
        </w:rPr>
      </w:pPr>
    </w:p>
    <w:p w:rsidR="00DA731A" w:rsidRPr="00C63B24" w:rsidRDefault="00DA731A" w:rsidP="00DA731A">
      <w:pPr>
        <w:spacing w:after="0" w:line="276" w:lineRule="auto"/>
        <w:jc w:val="center"/>
        <w:rPr>
          <w:rFonts w:ascii="Arial" w:eastAsia="Arial" w:hAnsi="Arial" w:cs="Times New Roman"/>
          <w:color w:val="000000" w:themeColor="text1"/>
          <w:lang w:val="en-GB"/>
        </w:rPr>
      </w:pPr>
    </w:p>
    <w:p w:rsidR="00DA731A" w:rsidRPr="00C63B24" w:rsidRDefault="00DA731A" w:rsidP="00DA731A">
      <w:pPr>
        <w:spacing w:after="0" w:line="276" w:lineRule="auto"/>
        <w:jc w:val="center"/>
        <w:rPr>
          <w:rFonts w:ascii="Arial" w:eastAsia="Arial" w:hAnsi="Arial" w:cs="Times New Roman"/>
          <w:color w:val="000000" w:themeColor="text1"/>
          <w:lang w:val="en-GB"/>
        </w:rPr>
      </w:pPr>
    </w:p>
    <w:p w:rsidR="00DA731A" w:rsidRPr="00C63B24" w:rsidRDefault="00DA731A" w:rsidP="00DA731A">
      <w:pPr>
        <w:spacing w:after="0" w:line="276" w:lineRule="auto"/>
        <w:jc w:val="center"/>
        <w:rPr>
          <w:rFonts w:ascii="Arial" w:eastAsia="Arial" w:hAnsi="Arial" w:cs="Times New Roman"/>
          <w:color w:val="000000" w:themeColor="text1"/>
          <w:lang w:val="en-GB"/>
        </w:rPr>
      </w:pPr>
    </w:p>
    <w:p w:rsidR="00DA731A" w:rsidRPr="00C63B24" w:rsidRDefault="00DA731A" w:rsidP="00DA731A">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Name: Rumyana Lyubomirova Popova</w:t>
      </w:r>
    </w:p>
    <w:p w:rsidR="00DA731A" w:rsidRPr="00C63B24" w:rsidRDefault="00DA731A" w:rsidP="00DA731A">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ID: 1909673</w:t>
      </w:r>
    </w:p>
    <w:p w:rsidR="00DA731A" w:rsidRDefault="00DA731A" w:rsidP="00DA731A">
      <w:pPr>
        <w:spacing w:after="0" w:line="276" w:lineRule="auto"/>
        <w:jc w:val="center"/>
        <w:rPr>
          <w:rFonts w:ascii="Arial" w:eastAsia="Arial" w:hAnsi="Arial" w:cs="Times New Roman"/>
          <w:color w:val="000000" w:themeColor="text1"/>
          <w:lang w:val="en-GB"/>
        </w:rPr>
      </w:pPr>
    </w:p>
    <w:p w:rsidR="008E3405" w:rsidRDefault="008E3405" w:rsidP="00DA731A">
      <w:pPr>
        <w:spacing w:after="0" w:line="276" w:lineRule="auto"/>
        <w:jc w:val="center"/>
        <w:rPr>
          <w:rFonts w:ascii="Arial" w:eastAsia="Arial" w:hAnsi="Arial" w:cs="Times New Roman"/>
          <w:color w:val="000000" w:themeColor="text1"/>
          <w:lang w:val="en-GB"/>
        </w:rPr>
      </w:pPr>
    </w:p>
    <w:p w:rsidR="008E3405" w:rsidRDefault="008E3405" w:rsidP="00DA731A">
      <w:pPr>
        <w:spacing w:after="0" w:line="276" w:lineRule="auto"/>
        <w:jc w:val="center"/>
        <w:rPr>
          <w:rFonts w:ascii="Arial" w:eastAsia="Arial" w:hAnsi="Arial" w:cs="Times New Roman"/>
          <w:color w:val="000000" w:themeColor="text1"/>
          <w:lang w:val="en-GB"/>
        </w:rPr>
      </w:pPr>
    </w:p>
    <w:p w:rsidR="008E3405" w:rsidRPr="008E3405" w:rsidRDefault="008E3405" w:rsidP="00060DFF">
      <w:pPr>
        <w:tabs>
          <w:tab w:val="right" w:pos="9070"/>
        </w:tabs>
        <w:spacing w:before="200" w:after="200" w:line="360" w:lineRule="auto"/>
        <w:rPr>
          <w:rFonts w:ascii="Times New Roman" w:eastAsia="Times New Roman" w:hAnsi="Times New Roman" w:cs="Times New Roman"/>
          <w:b/>
          <w:color w:val="000000"/>
          <w:sz w:val="32"/>
          <w:szCs w:val="32"/>
          <w:lang w:val="en-GB" w:eastAsia="en-IN"/>
        </w:rPr>
      </w:pPr>
      <w:r w:rsidRPr="008E3405">
        <w:rPr>
          <w:rFonts w:ascii="Times New Roman" w:eastAsia="Times New Roman" w:hAnsi="Times New Roman" w:cs="Times New Roman"/>
          <w:color w:val="000000"/>
          <w:sz w:val="24"/>
          <w:szCs w:val="24"/>
          <w:lang w:val="en-GB" w:eastAsia="en-IN"/>
        </w:rPr>
        <w:br w:type="page"/>
      </w:r>
      <w:r w:rsidR="00060DFF">
        <w:rPr>
          <w:rFonts w:ascii="Times New Roman" w:eastAsia="Times New Roman" w:hAnsi="Times New Roman" w:cs="Times New Roman"/>
          <w:color w:val="000000"/>
          <w:sz w:val="24"/>
          <w:szCs w:val="24"/>
          <w:lang w:val="en-GB" w:eastAsia="en-IN"/>
        </w:rPr>
        <w:lastRenderedPageBreak/>
        <w:tab/>
      </w:r>
    </w:p>
    <w:p w:rsidR="008E3405" w:rsidRPr="008E3405" w:rsidRDefault="008E3405" w:rsidP="008E3405">
      <w:pPr>
        <w:spacing w:before="200" w:after="200" w:line="360"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Table of Contents</w:t>
      </w:r>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r w:rsidRPr="008E3405">
        <w:rPr>
          <w:rFonts w:ascii="Times New Roman" w:eastAsia="Times New Roman" w:hAnsi="Times New Roman" w:cs="Times New Roman"/>
          <w:color w:val="000000"/>
          <w:sz w:val="24"/>
          <w:szCs w:val="24"/>
          <w:lang w:val="en-GB" w:eastAsia="en-IN"/>
        </w:rPr>
        <w:fldChar w:fldCharType="begin"/>
      </w:r>
      <w:r w:rsidRPr="008E3405">
        <w:rPr>
          <w:rFonts w:ascii="Times New Roman" w:eastAsia="Times New Roman" w:hAnsi="Times New Roman" w:cs="Times New Roman"/>
          <w:color w:val="000000"/>
          <w:sz w:val="24"/>
          <w:szCs w:val="24"/>
          <w:lang w:val="en-GB" w:eastAsia="en-IN"/>
        </w:rPr>
        <w:instrText xml:space="preserve"> TOC \o "1-3" \h \z \u </w:instrText>
      </w:r>
      <w:r w:rsidRPr="008E3405">
        <w:rPr>
          <w:rFonts w:ascii="Times New Roman" w:eastAsia="Times New Roman" w:hAnsi="Times New Roman" w:cs="Times New Roman"/>
          <w:color w:val="000000"/>
          <w:sz w:val="24"/>
          <w:szCs w:val="24"/>
          <w:lang w:val="en-GB" w:eastAsia="en-IN"/>
        </w:rPr>
        <w:fldChar w:fldCharType="separate"/>
      </w:r>
      <w:hyperlink w:anchor="_Toc109408787" w:history="1">
        <w:r w:rsidRPr="008E3405">
          <w:rPr>
            <w:rFonts w:ascii="Times New Roman" w:eastAsia="Times New Roman" w:hAnsi="Times New Roman" w:cs="Times New Roman"/>
            <w:noProof/>
            <w:color w:val="0000FF"/>
            <w:sz w:val="24"/>
            <w:szCs w:val="24"/>
            <w:u w:val="single"/>
            <w:lang w:val="en-GB" w:eastAsia="en-IN"/>
          </w:rPr>
          <w:t>Introduction</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_Toc109408787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2</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88" w:history="1">
        <w:r w:rsidRPr="008E3405">
          <w:rPr>
            <w:rFonts w:ascii="Times New Roman" w:eastAsia="Times New Roman" w:hAnsi="Times New Roman" w:cs="Times New Roman"/>
            <w:noProof/>
            <w:color w:val="0000FF"/>
            <w:sz w:val="24"/>
            <w:szCs w:val="24"/>
            <w:u w:val="single"/>
            <w:lang w:val="en-GB" w:eastAsia="en-IN"/>
          </w:rPr>
          <w:t>Question 1: Wales plc</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_Toc109408788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2</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89" w:history="1">
        <w:r w:rsidRPr="008E3405">
          <w:rPr>
            <w:rFonts w:ascii="Times New Roman" w:eastAsia="Times New Roman" w:hAnsi="Times New Roman" w:cs="Times New Roman"/>
            <w:noProof/>
            <w:color w:val="0000FF"/>
            <w:sz w:val="24"/>
            <w:szCs w:val="24"/>
            <w:u w:val="single"/>
            <w:lang w:val="en-GB" w:eastAsia="en-IN"/>
          </w:rPr>
          <w:t>a) Income statement &amp; statement of financial position</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_Toc109408789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2</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0" w:history="1">
        <w:r w:rsidRPr="008E3405">
          <w:rPr>
            <w:rFonts w:ascii="Times New Roman" w:eastAsia="Times New Roman" w:hAnsi="Times New Roman" w:cs="Times New Roman"/>
            <w:noProof/>
            <w:color w:val="0000FF"/>
            <w:sz w:val="24"/>
            <w:szCs w:val="24"/>
            <w:u w:val="single"/>
            <w:lang w:val="en-GB" w:eastAsia="en-IN"/>
          </w:rPr>
          <w:t>b) Reason behind statement of financial position is always balance</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_Toc109408790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5</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1" w:history="1">
        <w:r w:rsidRPr="008E3405">
          <w:rPr>
            <w:rFonts w:ascii="Times New Roman" w:eastAsia="Times New Roman" w:hAnsi="Times New Roman" w:cs="Times New Roman"/>
            <w:noProof/>
            <w:color w:val="0000FF"/>
            <w:sz w:val="24"/>
            <w:szCs w:val="24"/>
            <w:u w:val="single"/>
            <w:lang w:val="en-GB" w:eastAsia="en-IN"/>
          </w:rPr>
          <w:t>Question 2: Sweets Plc</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_Toc109408791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6</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2" w:history="1">
        <w:r w:rsidRPr="008E3405">
          <w:rPr>
            <w:rFonts w:ascii="Times New Roman" w:eastAsia="Times New Roman" w:hAnsi="Times New Roman" w:cs="Times New Roman"/>
            <w:noProof/>
            <w:color w:val="0000FF"/>
            <w:sz w:val="24"/>
            <w:szCs w:val="24"/>
            <w:u w:val="single"/>
            <w:lang w:val="en-GB" w:eastAsia="en-IN"/>
          </w:rPr>
          <w:t>a. Calculation of Financial Ratios</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_Toc109408792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6</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3" w:history="1">
        <w:r w:rsidRPr="008E3405">
          <w:rPr>
            <w:rFonts w:ascii="Times New Roman" w:eastAsia="Times New Roman" w:hAnsi="Times New Roman" w:cs="Times New Roman"/>
            <w:noProof/>
            <w:color w:val="0000FF"/>
            <w:sz w:val="24"/>
            <w:szCs w:val="24"/>
            <w:u w:val="single"/>
            <w:lang w:val="en-GB" w:eastAsia="en-IN"/>
          </w:rPr>
          <w:t>1- ROCE</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_Toc109408793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6</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4" w:history="1">
        <w:r w:rsidRPr="008E3405">
          <w:rPr>
            <w:rFonts w:ascii="Times New Roman" w:eastAsia="Times New Roman" w:hAnsi="Times New Roman" w:cs="Times New Roman"/>
            <w:noProof/>
            <w:color w:val="0000FF"/>
            <w:sz w:val="24"/>
            <w:szCs w:val="24"/>
            <w:u w:val="single"/>
            <w:lang w:val="en-GB" w:eastAsia="en-IN"/>
          </w:rPr>
          <w:t>2- ROE</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_Toc109408794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6</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5" w:history="1">
        <w:r w:rsidRPr="008E3405">
          <w:rPr>
            <w:rFonts w:ascii="Times New Roman" w:eastAsia="Times New Roman" w:hAnsi="Times New Roman" w:cs="Times New Roman"/>
            <w:noProof/>
            <w:color w:val="0000FF"/>
            <w:sz w:val="24"/>
            <w:szCs w:val="24"/>
            <w:u w:val="single"/>
            <w:lang w:val="en-GB" w:eastAsia="en-IN"/>
          </w:rPr>
          <w:t>3- Earnings per share</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_Toc109408795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7</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6" w:history="1">
        <w:r w:rsidRPr="008E3405">
          <w:rPr>
            <w:rFonts w:ascii="Times New Roman" w:eastAsia="Times New Roman" w:hAnsi="Times New Roman" w:cs="Times New Roman"/>
            <w:noProof/>
            <w:color w:val="0000FF"/>
            <w:sz w:val="24"/>
            <w:szCs w:val="24"/>
            <w:u w:val="single"/>
            <w:lang w:val="en-GB" w:eastAsia="en-IN"/>
          </w:rPr>
          <w:t>4- Net profit margin</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_Toc109408796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8</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7" w:history="1">
        <w:r w:rsidRPr="008E3405">
          <w:rPr>
            <w:rFonts w:ascii="Times New Roman" w:eastAsia="Times New Roman" w:hAnsi="Times New Roman" w:cs="Times New Roman"/>
            <w:noProof/>
            <w:color w:val="0000FF"/>
            <w:sz w:val="24"/>
            <w:szCs w:val="24"/>
            <w:u w:val="single"/>
            <w:lang w:val="en-GB" w:eastAsia="en-IN"/>
          </w:rPr>
          <w:t>5- Asset turnover</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_Toc109408797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8</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8" w:history="1">
        <w:r w:rsidRPr="008E3405">
          <w:rPr>
            <w:rFonts w:ascii="Times New Roman" w:eastAsia="Times New Roman" w:hAnsi="Times New Roman" w:cs="Times New Roman"/>
            <w:noProof/>
            <w:color w:val="0000FF"/>
            <w:sz w:val="24"/>
            <w:szCs w:val="24"/>
            <w:u w:val="single"/>
            <w:lang w:val="en-GB" w:eastAsia="en-IN"/>
          </w:rPr>
          <w:t>6- Stock holding days</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_Toc109408798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9</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799" w:history="1">
        <w:r w:rsidRPr="008E3405">
          <w:rPr>
            <w:rFonts w:ascii="Times New Roman" w:eastAsia="Times New Roman" w:hAnsi="Times New Roman" w:cs="Times New Roman"/>
            <w:noProof/>
            <w:color w:val="0000FF"/>
            <w:sz w:val="24"/>
            <w:szCs w:val="24"/>
            <w:u w:val="single"/>
            <w:lang w:val="en-GB" w:eastAsia="en-IN"/>
          </w:rPr>
          <w:t>7- Debtors collection period</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_Toc109408799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9</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800" w:history="1">
        <w:r w:rsidRPr="008E3405">
          <w:rPr>
            <w:rFonts w:ascii="Times New Roman" w:eastAsia="Times New Roman" w:hAnsi="Times New Roman" w:cs="Times New Roman"/>
            <w:noProof/>
            <w:color w:val="0000FF"/>
            <w:sz w:val="24"/>
            <w:szCs w:val="24"/>
            <w:u w:val="single"/>
            <w:lang w:val="en-GB" w:eastAsia="en-IN"/>
          </w:rPr>
          <w:t>8- Current ratio</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_Toc109408800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10</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801" w:history="1">
        <w:r w:rsidRPr="008E3405">
          <w:rPr>
            <w:rFonts w:ascii="Times New Roman" w:eastAsia="Times New Roman" w:hAnsi="Times New Roman" w:cs="Times New Roman"/>
            <w:noProof/>
            <w:color w:val="0000FF"/>
            <w:sz w:val="24"/>
            <w:szCs w:val="24"/>
            <w:u w:val="single"/>
            <w:lang w:val="en-GB" w:eastAsia="en-IN"/>
          </w:rPr>
          <w:t>9- Gearing ratio</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_Toc109408801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10</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802" w:history="1">
        <w:r w:rsidRPr="008E3405">
          <w:rPr>
            <w:rFonts w:ascii="Times New Roman" w:eastAsia="Times New Roman" w:hAnsi="Times New Roman" w:cs="Times New Roman"/>
            <w:noProof/>
            <w:color w:val="0000FF"/>
            <w:sz w:val="24"/>
            <w:szCs w:val="24"/>
            <w:u w:val="single"/>
            <w:lang w:val="en-GB" w:eastAsia="en-IN"/>
          </w:rPr>
          <w:t>10- Interest cover</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_Toc109408802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11</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803" w:history="1">
        <w:r w:rsidRPr="008E3405">
          <w:rPr>
            <w:rFonts w:ascii="Times New Roman" w:eastAsia="Times New Roman" w:hAnsi="Times New Roman" w:cs="Times New Roman"/>
            <w:noProof/>
            <w:color w:val="0000FF"/>
            <w:sz w:val="24"/>
            <w:szCs w:val="24"/>
            <w:u w:val="single"/>
            <w:lang w:val="en-GB" w:eastAsia="en-IN"/>
          </w:rPr>
          <w:t>b. Comment on financial performance</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_Toc109408803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11</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8E3405" w:rsidRPr="00740E2D" w:rsidRDefault="008E3405"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hyperlink w:anchor="_Toc109408804" w:history="1">
        <w:r w:rsidRPr="008E3405">
          <w:rPr>
            <w:rFonts w:ascii="Times New Roman" w:eastAsia="Times New Roman" w:hAnsi="Times New Roman" w:cs="Times New Roman"/>
            <w:noProof/>
            <w:color w:val="0000FF"/>
            <w:sz w:val="24"/>
            <w:szCs w:val="24"/>
            <w:u w:val="single"/>
            <w:lang w:val="en-GB" w:eastAsia="en-IN"/>
          </w:rPr>
          <w:t>Conclusion</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_Toc109408804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12</w:t>
        </w:r>
        <w:r w:rsidRPr="00740E2D">
          <w:rPr>
            <w:rFonts w:ascii="Times New Roman" w:eastAsia="Times New Roman" w:hAnsi="Times New Roman" w:cs="Times New Roman"/>
            <w:noProof/>
            <w:webHidden/>
            <w:color w:val="0000FF"/>
            <w:sz w:val="24"/>
            <w:szCs w:val="24"/>
            <w:u w:val="single"/>
            <w:lang w:val="en-GB" w:eastAsia="en-IN"/>
          </w:rPr>
          <w:fldChar w:fldCharType="end"/>
        </w:r>
      </w:hyperlink>
    </w:p>
    <w:p w:rsidR="00740E2D" w:rsidRPr="00740E2D" w:rsidRDefault="00740E2D" w:rsidP="008E3405">
      <w:pPr>
        <w:tabs>
          <w:tab w:val="right" w:leader="dot" w:pos="9019"/>
        </w:tabs>
        <w:spacing w:before="200" w:after="100" w:line="360" w:lineRule="auto"/>
        <w:jc w:val="both"/>
        <w:rPr>
          <w:rFonts w:ascii="Times New Roman" w:eastAsia="Times New Roman" w:hAnsi="Times New Roman" w:cs="Times New Roman"/>
          <w:noProof/>
          <w:color w:val="0000FF"/>
          <w:sz w:val="24"/>
          <w:szCs w:val="24"/>
          <w:u w:val="single"/>
          <w:lang w:val="en-GB" w:eastAsia="en-IN"/>
        </w:rPr>
      </w:pPr>
      <w:r w:rsidRPr="00740E2D">
        <w:rPr>
          <w:rFonts w:ascii="Times New Roman" w:eastAsia="Times New Roman" w:hAnsi="Times New Roman" w:cs="Times New Roman"/>
          <w:noProof/>
          <w:color w:val="0000FF"/>
          <w:sz w:val="24"/>
          <w:szCs w:val="24"/>
          <w:u w:val="single"/>
          <w:lang w:val="en-GB" w:eastAsia="en-IN"/>
        </w:rPr>
        <w:t>Excel solutions to a task</w:t>
      </w:r>
      <w:r>
        <w:rPr>
          <w:rFonts w:ascii="Times New Roman" w:eastAsia="Times New Roman" w:hAnsi="Times New Roman" w:cs="Times New Roman"/>
          <w:noProof/>
          <w:color w:val="0000FF"/>
          <w:sz w:val="24"/>
          <w:szCs w:val="24"/>
          <w:u w:val="single"/>
          <w:lang w:val="en-GB" w:eastAsia="en-IN"/>
        </w:rPr>
        <w:t xml:space="preserve"> Question 1 and Question 2 ..</w:t>
      </w:r>
      <w:bookmarkStart w:id="0" w:name="_GoBack"/>
      <w:bookmarkEnd w:id="0"/>
      <w:r w:rsidRPr="00740E2D">
        <w:rPr>
          <w:rFonts w:ascii="Times New Roman" w:eastAsia="Times New Roman" w:hAnsi="Times New Roman" w:cs="Times New Roman"/>
          <w:noProof/>
          <w:color w:val="0000FF"/>
          <w:sz w:val="24"/>
          <w:szCs w:val="24"/>
          <w:u w:val="single"/>
          <w:lang w:val="en-GB" w:eastAsia="en-IN"/>
        </w:rPr>
        <w:t>………………………………....…</w:t>
      </w:r>
      <w:r>
        <w:rPr>
          <w:rFonts w:ascii="Times New Roman" w:eastAsia="Times New Roman" w:hAnsi="Times New Roman" w:cs="Times New Roman"/>
          <w:noProof/>
          <w:color w:val="0000FF"/>
          <w:sz w:val="24"/>
          <w:szCs w:val="24"/>
          <w:u w:val="single"/>
          <w:lang w:val="en-GB" w:eastAsia="en-IN"/>
        </w:rPr>
        <w:t xml:space="preserve">… </w:t>
      </w:r>
      <w:r w:rsidRPr="00740E2D">
        <w:rPr>
          <w:rFonts w:ascii="Times New Roman" w:eastAsia="Times New Roman" w:hAnsi="Times New Roman" w:cs="Times New Roman"/>
          <w:noProof/>
          <w:color w:val="0000FF"/>
          <w:sz w:val="24"/>
          <w:szCs w:val="24"/>
          <w:u w:val="single"/>
          <w:lang w:val="en-GB" w:eastAsia="en-IN"/>
        </w:rPr>
        <w:t>13</w:t>
      </w:r>
    </w:p>
    <w:p w:rsidR="008E3405" w:rsidRPr="008E3405" w:rsidRDefault="008E3405" w:rsidP="008E3405">
      <w:pPr>
        <w:tabs>
          <w:tab w:val="right" w:leader="dot" w:pos="9019"/>
        </w:tabs>
        <w:spacing w:before="200" w:after="100" w:line="360" w:lineRule="auto"/>
        <w:jc w:val="both"/>
        <w:rPr>
          <w:rFonts w:ascii="Cambria" w:eastAsia="Times New Roman" w:hAnsi="Cambria" w:cs="Times New Roman"/>
          <w:noProof/>
          <w:lang w:val="en-US"/>
        </w:rPr>
      </w:pPr>
      <w:r w:rsidRPr="008E3405">
        <w:rPr>
          <w:rFonts w:ascii="Times New Roman" w:eastAsia="Times New Roman" w:hAnsi="Times New Roman" w:cs="Times New Roman"/>
          <w:noProof/>
          <w:color w:val="0000FF"/>
          <w:sz w:val="24"/>
          <w:szCs w:val="24"/>
          <w:u w:val="single"/>
          <w:lang w:val="en-GB" w:eastAsia="en-IN"/>
        </w:rPr>
        <w:t>Reference List</w:t>
      </w:r>
      <w:r w:rsidRPr="00740E2D">
        <w:rPr>
          <w:rFonts w:ascii="Times New Roman" w:eastAsia="Times New Roman" w:hAnsi="Times New Roman" w:cs="Times New Roman"/>
          <w:noProof/>
          <w:webHidden/>
          <w:color w:val="0000FF"/>
          <w:sz w:val="24"/>
          <w:szCs w:val="24"/>
          <w:u w:val="single"/>
          <w:lang w:val="en-GB" w:eastAsia="en-IN"/>
        </w:rPr>
        <w:tab/>
      </w:r>
      <w:r w:rsidRPr="00740E2D">
        <w:rPr>
          <w:rFonts w:ascii="Times New Roman" w:eastAsia="Times New Roman" w:hAnsi="Times New Roman" w:cs="Times New Roman"/>
          <w:noProof/>
          <w:webHidden/>
          <w:color w:val="0000FF"/>
          <w:sz w:val="24"/>
          <w:szCs w:val="24"/>
          <w:u w:val="single"/>
          <w:lang w:val="en-GB" w:eastAsia="en-IN"/>
        </w:rPr>
        <w:fldChar w:fldCharType="begin"/>
      </w:r>
      <w:r w:rsidRPr="00740E2D">
        <w:rPr>
          <w:rFonts w:ascii="Times New Roman" w:eastAsia="Times New Roman" w:hAnsi="Times New Roman" w:cs="Times New Roman"/>
          <w:noProof/>
          <w:webHidden/>
          <w:color w:val="0000FF"/>
          <w:sz w:val="24"/>
          <w:szCs w:val="24"/>
          <w:u w:val="single"/>
          <w:lang w:val="en-GB" w:eastAsia="en-IN"/>
        </w:rPr>
        <w:instrText xml:space="preserve"> PAGEREF _Toc109408805 \h </w:instrText>
      </w:r>
      <w:r w:rsidRPr="00740E2D">
        <w:rPr>
          <w:rFonts w:ascii="Times New Roman" w:eastAsia="Times New Roman" w:hAnsi="Times New Roman" w:cs="Times New Roman"/>
          <w:noProof/>
          <w:webHidden/>
          <w:color w:val="0000FF"/>
          <w:sz w:val="24"/>
          <w:szCs w:val="24"/>
          <w:u w:val="single"/>
          <w:lang w:val="en-GB" w:eastAsia="en-IN"/>
        </w:rPr>
      </w:r>
      <w:r w:rsidRPr="00740E2D">
        <w:rPr>
          <w:rFonts w:ascii="Times New Roman" w:eastAsia="Times New Roman" w:hAnsi="Times New Roman" w:cs="Times New Roman"/>
          <w:noProof/>
          <w:webHidden/>
          <w:color w:val="0000FF"/>
          <w:sz w:val="24"/>
          <w:szCs w:val="24"/>
          <w:u w:val="single"/>
          <w:lang w:val="en-GB" w:eastAsia="en-IN"/>
        </w:rPr>
        <w:fldChar w:fldCharType="separate"/>
      </w:r>
      <w:r w:rsidRPr="00740E2D">
        <w:rPr>
          <w:rFonts w:ascii="Times New Roman" w:eastAsia="Times New Roman" w:hAnsi="Times New Roman" w:cs="Times New Roman"/>
          <w:noProof/>
          <w:webHidden/>
          <w:color w:val="0000FF"/>
          <w:sz w:val="24"/>
          <w:szCs w:val="24"/>
          <w:u w:val="single"/>
          <w:lang w:val="en-GB" w:eastAsia="en-IN"/>
        </w:rPr>
        <w:t>1</w:t>
      </w:r>
      <w:r w:rsidR="00740E2D">
        <w:rPr>
          <w:rFonts w:ascii="Times New Roman" w:eastAsia="Times New Roman" w:hAnsi="Times New Roman" w:cs="Times New Roman"/>
          <w:noProof/>
          <w:webHidden/>
          <w:color w:val="0000FF"/>
          <w:sz w:val="24"/>
          <w:szCs w:val="24"/>
          <w:u w:val="single"/>
          <w:lang w:val="en-GB" w:eastAsia="en-IN"/>
        </w:rPr>
        <w:t>8</w:t>
      </w:r>
      <w:r w:rsidRPr="00740E2D">
        <w:rPr>
          <w:rFonts w:ascii="Times New Roman" w:eastAsia="Times New Roman" w:hAnsi="Times New Roman" w:cs="Times New Roman"/>
          <w:noProof/>
          <w:webHidden/>
          <w:color w:val="0000FF"/>
          <w:sz w:val="24"/>
          <w:szCs w:val="24"/>
          <w:u w:val="single"/>
          <w:lang w:val="en-GB" w:eastAsia="en-IN"/>
        </w:rPr>
        <w:fldChar w:fldCharType="end"/>
      </w:r>
    </w:p>
    <w:p w:rsidR="008E3405" w:rsidRPr="008E3405" w:rsidRDefault="008E3405" w:rsidP="008E3405">
      <w:pPr>
        <w:spacing w:before="200" w:after="200" w:line="360"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fldChar w:fldCharType="end"/>
      </w:r>
      <w:r w:rsidRPr="008E3405">
        <w:rPr>
          <w:rFonts w:ascii="Times New Roman" w:eastAsia="Times New Roman" w:hAnsi="Times New Roman" w:cs="Times New Roman"/>
          <w:color w:val="000000"/>
          <w:sz w:val="24"/>
          <w:szCs w:val="24"/>
          <w:lang w:val="en-GB" w:eastAsia="en-IN"/>
        </w:rPr>
        <w:br w:type="page"/>
      </w:r>
    </w:p>
    <w:p w:rsidR="008E3405" w:rsidRPr="008E3405" w:rsidRDefault="008E3405" w:rsidP="008E3405">
      <w:pPr>
        <w:keepNext/>
        <w:keepLines/>
        <w:spacing w:after="0" w:line="360" w:lineRule="auto"/>
        <w:jc w:val="both"/>
        <w:outlineLvl w:val="0"/>
        <w:rPr>
          <w:rFonts w:ascii="Times New Roman" w:eastAsia="Times New Roman" w:hAnsi="Times New Roman" w:cs="Times New Roman"/>
          <w:b/>
          <w:color w:val="000000"/>
          <w:sz w:val="24"/>
          <w:szCs w:val="24"/>
          <w:lang w:val="en-GB" w:eastAsia="en-IN"/>
        </w:rPr>
      </w:pPr>
      <w:bookmarkStart w:id="1" w:name="_58cgkoxcv8c6" w:colFirst="0" w:colLast="0"/>
      <w:bookmarkStart w:id="2" w:name="_Toc109408787"/>
      <w:bookmarkEnd w:id="1"/>
      <w:r w:rsidRPr="008E3405">
        <w:rPr>
          <w:rFonts w:ascii="Times New Roman" w:eastAsia="Times New Roman" w:hAnsi="Times New Roman" w:cs="Times New Roman"/>
          <w:b/>
          <w:color w:val="000000"/>
          <w:sz w:val="24"/>
          <w:szCs w:val="24"/>
          <w:lang w:val="en-GB" w:eastAsia="en-IN"/>
        </w:rPr>
        <w:lastRenderedPageBreak/>
        <w:t>Introduction</w:t>
      </w:r>
      <w:bookmarkEnd w:id="2"/>
      <w:r w:rsidRPr="008E3405">
        <w:rPr>
          <w:rFonts w:ascii="Times New Roman" w:eastAsia="Times New Roman" w:hAnsi="Times New Roman" w:cs="Times New Roman"/>
          <w:b/>
          <w:color w:val="000000"/>
          <w:sz w:val="24"/>
          <w:szCs w:val="24"/>
          <w:lang w:val="en-GB" w:eastAsia="en-IN"/>
        </w:rPr>
        <w:t> </w:t>
      </w: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color w:val="000000"/>
          <w:sz w:val="24"/>
          <w:szCs w:val="24"/>
          <w:lang w:val="en-GB"/>
        </w:rPr>
        <w:t xml:space="preserve">Business management includes coordination and organisation of business activities effectively. Effective management of business performance aids in financial viability and growth of companies. The study highlights financial statements of Wales plc and ratio analysis of Sweets </w:t>
      </w:r>
      <w:proofErr w:type="gramStart"/>
      <w:r w:rsidRPr="008E3405">
        <w:rPr>
          <w:rFonts w:ascii="Times New Roman" w:eastAsia="Times New Roman" w:hAnsi="Times New Roman" w:cs="Times New Roman"/>
          <w:color w:val="000000"/>
          <w:sz w:val="24"/>
          <w:szCs w:val="24"/>
          <w:lang w:val="en-GB"/>
        </w:rPr>
        <w:t>plc.</w:t>
      </w:r>
      <w:proofErr w:type="gramEnd"/>
      <w:r w:rsidRPr="008E3405">
        <w:rPr>
          <w:rFonts w:ascii="Times New Roman" w:eastAsia="Times New Roman" w:hAnsi="Times New Roman" w:cs="Times New Roman"/>
          <w:color w:val="000000"/>
          <w:sz w:val="24"/>
          <w:szCs w:val="24"/>
          <w:lang w:val="en-GB"/>
        </w:rPr>
        <w:t xml:space="preserve"> Reason behind statement of financial position is always balance is discussed in this work.    </w:t>
      </w:r>
    </w:p>
    <w:p w:rsidR="008E3405" w:rsidRPr="008E3405" w:rsidRDefault="008E3405" w:rsidP="008E3405">
      <w:pPr>
        <w:keepNext/>
        <w:keepLines/>
        <w:spacing w:after="0" w:line="360" w:lineRule="auto"/>
        <w:jc w:val="both"/>
        <w:outlineLvl w:val="0"/>
        <w:rPr>
          <w:rFonts w:ascii="Times New Roman" w:eastAsia="Times New Roman" w:hAnsi="Times New Roman" w:cs="Times New Roman"/>
          <w:b/>
          <w:color w:val="000000"/>
          <w:sz w:val="24"/>
          <w:szCs w:val="24"/>
          <w:lang w:val="en-GB" w:eastAsia="en-IN"/>
        </w:rPr>
      </w:pPr>
      <w:bookmarkStart w:id="3" w:name="_Toc109408788"/>
      <w:r w:rsidRPr="008E3405">
        <w:rPr>
          <w:rFonts w:ascii="Times New Roman" w:eastAsia="Times New Roman" w:hAnsi="Times New Roman" w:cs="Times New Roman"/>
          <w:b/>
          <w:color w:val="000000"/>
          <w:sz w:val="24"/>
          <w:szCs w:val="24"/>
          <w:lang w:val="en-GB" w:eastAsia="en-IN"/>
        </w:rPr>
        <w:t>Question 1: Wales plc</w:t>
      </w:r>
      <w:bookmarkEnd w:id="3"/>
      <w:r w:rsidRPr="008E3405">
        <w:rPr>
          <w:rFonts w:ascii="Times New Roman" w:eastAsia="Times New Roman" w:hAnsi="Times New Roman" w:cs="Times New Roman"/>
          <w:b/>
          <w:color w:val="000000"/>
          <w:sz w:val="24"/>
          <w:szCs w:val="24"/>
          <w:lang w:val="en-GB" w:eastAsia="en-IN"/>
        </w:rPr>
        <w:t> </w:t>
      </w:r>
    </w:p>
    <w:p w:rsidR="008E3405" w:rsidRPr="008E3405" w:rsidRDefault="008E3405" w:rsidP="008E3405">
      <w:pPr>
        <w:keepNext/>
        <w:keepLines/>
        <w:spacing w:after="0" w:line="360" w:lineRule="auto"/>
        <w:jc w:val="both"/>
        <w:outlineLvl w:val="0"/>
        <w:rPr>
          <w:rFonts w:ascii="Times New Roman" w:eastAsia="Times New Roman" w:hAnsi="Times New Roman" w:cs="Times New Roman"/>
          <w:b/>
          <w:color w:val="000000"/>
          <w:sz w:val="24"/>
          <w:szCs w:val="24"/>
          <w:lang w:val="en-GB" w:eastAsia="en-IN"/>
        </w:rPr>
      </w:pPr>
      <w:bookmarkStart w:id="4" w:name="_Toc109408789"/>
      <w:r w:rsidRPr="008E3405">
        <w:rPr>
          <w:rFonts w:ascii="Times New Roman" w:eastAsia="Times New Roman" w:hAnsi="Times New Roman" w:cs="Times New Roman"/>
          <w:b/>
          <w:color w:val="000000"/>
          <w:sz w:val="24"/>
          <w:szCs w:val="24"/>
          <w:lang w:val="en-GB" w:eastAsia="en-IN"/>
        </w:rPr>
        <w:t>a) Income statement &amp; statement of financial position</w:t>
      </w:r>
      <w:bookmarkEnd w:id="4"/>
      <w:r w:rsidRPr="008E3405">
        <w:rPr>
          <w:rFonts w:ascii="Times New Roman" w:eastAsia="Times New Roman" w:hAnsi="Times New Roman" w:cs="Times New Roman"/>
          <w:b/>
          <w:color w:val="000000"/>
          <w:sz w:val="24"/>
          <w:szCs w:val="24"/>
          <w:lang w:val="en-GB" w:eastAsia="en-IN"/>
        </w:rPr>
        <w:t> </w:t>
      </w: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color w:val="000000"/>
          <w:sz w:val="24"/>
          <w:szCs w:val="24"/>
          <w:lang w:val="en-GB"/>
        </w:rPr>
        <w:t>An</w:t>
      </w:r>
      <w:r w:rsidRPr="008E3405">
        <w:rPr>
          <w:rFonts w:ascii="Times New Roman" w:eastAsia="Times New Roman" w:hAnsi="Times New Roman" w:cs="Times New Roman"/>
          <w:b/>
          <w:bCs/>
          <w:i/>
          <w:iCs/>
          <w:color w:val="000000"/>
          <w:sz w:val="24"/>
          <w:szCs w:val="24"/>
          <w:lang w:val="en-GB"/>
        </w:rPr>
        <w:t xml:space="preserve"> income statement </w:t>
      </w:r>
      <w:r w:rsidRPr="008E3405">
        <w:rPr>
          <w:rFonts w:ascii="Times New Roman" w:eastAsia="Times New Roman" w:hAnsi="Times New Roman" w:cs="Times New Roman"/>
          <w:color w:val="000000"/>
          <w:sz w:val="24"/>
          <w:szCs w:val="24"/>
          <w:lang w:val="en-GB"/>
        </w:rPr>
        <w:t>is one of major financial statements developed by an organisation for reflecting revenues, expenses, and incomes of a reporting period. As per Wood (2015), an income statement is also known as a profit &amp; loss statement. Below is income statement of Wales plc which is developed for 31st December 2021:</w:t>
      </w:r>
    </w:p>
    <w:tbl>
      <w:tblPr>
        <w:tblW w:w="7917" w:type="dxa"/>
        <w:jc w:val="center"/>
        <w:tblLook w:val="04A0" w:firstRow="1" w:lastRow="0" w:firstColumn="1" w:lastColumn="0" w:noHBand="0" w:noVBand="1"/>
      </w:tblPr>
      <w:tblGrid>
        <w:gridCol w:w="5215"/>
        <w:gridCol w:w="1440"/>
        <w:gridCol w:w="1262"/>
      </w:tblGrid>
      <w:tr w:rsidR="008E3405" w:rsidRPr="008E3405" w:rsidTr="008E3405">
        <w:trPr>
          <w:trHeight w:val="241"/>
          <w:jc w:val="center"/>
        </w:trPr>
        <w:tc>
          <w:tcPr>
            <w:tcW w:w="7917" w:type="dxa"/>
            <w:gridSpan w:val="3"/>
            <w:tcBorders>
              <w:top w:val="single" w:sz="4" w:space="0" w:color="auto"/>
              <w:left w:val="single" w:sz="4" w:space="0" w:color="auto"/>
              <w:bottom w:val="single" w:sz="4" w:space="0" w:color="auto"/>
              <w:right w:val="single" w:sz="4" w:space="0" w:color="auto"/>
            </w:tcBorders>
            <w:shd w:val="clear" w:color="auto" w:fill="95B3D7"/>
            <w:noWrap/>
            <w:vAlign w:val="bottom"/>
            <w:hideMark/>
          </w:tcPr>
          <w:p w:rsidR="008E3405" w:rsidRPr="008E3405" w:rsidRDefault="008E3405" w:rsidP="008E3405">
            <w:pPr>
              <w:spacing w:before="200" w:after="0" w:line="240" w:lineRule="auto"/>
              <w:jc w:val="center"/>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Profit and Loss Statement </w:t>
            </w:r>
          </w:p>
        </w:tc>
      </w:tr>
      <w:tr w:rsidR="008E3405" w:rsidRPr="008E3405" w:rsidTr="008E3405">
        <w:trPr>
          <w:trHeight w:val="241"/>
          <w:jc w:val="center"/>
        </w:trPr>
        <w:tc>
          <w:tcPr>
            <w:tcW w:w="7917"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E3405" w:rsidRPr="008E3405" w:rsidRDefault="008E3405" w:rsidP="008E3405">
            <w:pPr>
              <w:spacing w:before="200" w:after="0" w:line="240" w:lineRule="auto"/>
              <w:jc w:val="center"/>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Entity: Wales plc</w:t>
            </w:r>
          </w:p>
        </w:tc>
      </w:tr>
      <w:tr w:rsidR="008E3405" w:rsidRPr="008E3405" w:rsidTr="008E3405">
        <w:trPr>
          <w:trHeight w:val="241"/>
          <w:jc w:val="center"/>
        </w:trPr>
        <w:tc>
          <w:tcPr>
            <w:tcW w:w="7917"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E3405" w:rsidRPr="008E3405" w:rsidRDefault="008E3405" w:rsidP="008E3405">
            <w:pPr>
              <w:spacing w:before="200" w:after="0" w:line="240" w:lineRule="auto"/>
              <w:jc w:val="center"/>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For the year ended "31.12.2021"</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Details </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  Sum-(£)</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  Sum-(£)</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"Revenue from sales" </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800,000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"Goods were sent to customers" as on 31.12.2021</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980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"Revenue from sales"  (Total)</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800,980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"Cost of sales or goods sold"</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578,650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"Goods were sent to customers" as on 31.12.2021</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980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Cost of sales (Total)</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579,630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 Profit (Gross)</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221,350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"Administrative expenses"</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"Distribution costs"</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28000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 Profit (Operating)</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163,350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"Salesmen commission"</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Profit Before Interest </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160,350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Costs of Financing</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"Interest paid"</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lastRenderedPageBreak/>
              <w:t>(+)  "Outstanding Interest"</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PBT "Profit Before Tax" </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156,350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(Less) "Corporation tax"</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100,000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 Profit (Net)</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56,350</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"Preference dividend paid"</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"Ordinary dividend paid"</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20,000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"Director’s remuneration"</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5,000</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41"/>
          <w:jc w:val="center"/>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Net Gain </w:t>
            </w:r>
          </w:p>
        </w:tc>
        <w:tc>
          <w:tcPr>
            <w:tcW w:w="1440"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1,350</w:t>
            </w:r>
          </w:p>
        </w:tc>
      </w:tr>
    </w:tbl>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color w:val="000000"/>
          <w:sz w:val="24"/>
          <w:szCs w:val="24"/>
          <w:lang w:val="en-GB"/>
        </w:rPr>
        <w:t>As per calculation, it can be seen that the company has £800000 in sales revenue and £578650 cost of sales. Besides, Wales plc has incurred administrative expenditure of £30000 and distribution expenses of £20000. Income statement of the company reflects net gain of £1350 at year-end. As goods amounting to £980 which were sent to customers were not recorded in ledger account of the company. Hence, this has been added to revenues, cost of sales, and trade receivables of Wales Plc. Besides, this amount has been deducted from cash balance of the company, and payment for such goods has not been received by the company yet. </w:t>
      </w: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b/>
          <w:bCs/>
          <w:i/>
          <w:iCs/>
          <w:color w:val="000000"/>
          <w:sz w:val="24"/>
          <w:szCs w:val="24"/>
          <w:lang w:val="en-GB"/>
        </w:rPr>
        <w:t xml:space="preserve">Financial position statement </w:t>
      </w:r>
      <w:r w:rsidRPr="008E3405">
        <w:rPr>
          <w:rFonts w:ascii="Times New Roman" w:eastAsia="Times New Roman" w:hAnsi="Times New Roman" w:cs="Times New Roman"/>
          <w:color w:val="000000"/>
          <w:sz w:val="24"/>
          <w:szCs w:val="24"/>
          <w:lang w:val="en-GB"/>
        </w:rPr>
        <w:t>is used by ventures for providing an overview of financial position at year-end. As per McLaney and Atrill (2016), another name for balance sheet is a financial position statement. This statement mainly highlights elements like equities, assets, and liabilities belonging to the company. Below is the financial position statement of Wales plc for the year ended 31st December 2021: </w:t>
      </w:r>
    </w:p>
    <w:tbl>
      <w:tblPr>
        <w:tblW w:w="7979" w:type="dxa"/>
        <w:jc w:val="center"/>
        <w:tblLook w:val="04A0" w:firstRow="1" w:lastRow="0" w:firstColumn="1" w:lastColumn="0" w:noHBand="0" w:noVBand="1"/>
      </w:tblPr>
      <w:tblGrid>
        <w:gridCol w:w="5575"/>
        <w:gridCol w:w="1182"/>
        <w:gridCol w:w="1222"/>
      </w:tblGrid>
      <w:tr w:rsidR="008E3405" w:rsidRPr="008E3405" w:rsidTr="008E3405">
        <w:trPr>
          <w:trHeight w:val="279"/>
          <w:jc w:val="center"/>
        </w:trPr>
        <w:tc>
          <w:tcPr>
            <w:tcW w:w="7979" w:type="dxa"/>
            <w:gridSpan w:val="3"/>
            <w:tcBorders>
              <w:top w:val="single" w:sz="4" w:space="0" w:color="auto"/>
              <w:left w:val="single" w:sz="4" w:space="0" w:color="auto"/>
              <w:bottom w:val="single" w:sz="4" w:space="0" w:color="auto"/>
              <w:right w:val="single" w:sz="4" w:space="0" w:color="auto"/>
            </w:tcBorders>
            <w:shd w:val="clear" w:color="auto" w:fill="95B3D7"/>
            <w:noWrap/>
            <w:vAlign w:val="bottom"/>
            <w:hideMark/>
          </w:tcPr>
          <w:p w:rsidR="008E3405" w:rsidRPr="008E3405" w:rsidRDefault="008E3405" w:rsidP="008E3405">
            <w:pPr>
              <w:spacing w:before="200" w:after="0" w:line="240" w:lineRule="auto"/>
              <w:jc w:val="center"/>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Financial Position Statement </w:t>
            </w:r>
          </w:p>
        </w:tc>
      </w:tr>
      <w:tr w:rsidR="008E3405" w:rsidRPr="008E3405" w:rsidTr="008E3405">
        <w:trPr>
          <w:trHeight w:val="279"/>
          <w:jc w:val="center"/>
        </w:trPr>
        <w:tc>
          <w:tcPr>
            <w:tcW w:w="7979"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E3405" w:rsidRPr="008E3405" w:rsidRDefault="008E3405" w:rsidP="008E3405">
            <w:pPr>
              <w:spacing w:before="200" w:after="0" w:line="240" w:lineRule="auto"/>
              <w:jc w:val="center"/>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Entity: Wales plc</w:t>
            </w:r>
          </w:p>
        </w:tc>
      </w:tr>
      <w:tr w:rsidR="008E3405" w:rsidRPr="008E3405" w:rsidTr="008E3405">
        <w:trPr>
          <w:trHeight w:val="279"/>
          <w:jc w:val="center"/>
        </w:trPr>
        <w:tc>
          <w:tcPr>
            <w:tcW w:w="7979"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E3405" w:rsidRPr="008E3405" w:rsidRDefault="008E3405" w:rsidP="008E3405">
            <w:pPr>
              <w:spacing w:before="200" w:after="0" w:line="240" w:lineRule="auto"/>
              <w:jc w:val="center"/>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For the year ended "31.12.2021"</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Details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 (£) Sum</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 (£) Sum</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 xml:space="preserve"> "Balance of Assets"</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"Current Assets"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"Trade receivable"</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170,125</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"Goods were sent to customers" as on 31.12.2021</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980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171,105</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"Cash and bank"</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76,250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"Goods were sent to customers" as on 31.12.2021</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980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75,270</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lastRenderedPageBreak/>
              <w:t xml:space="preserve">"Closing Inventories"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330,600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"Current Assets"  (Total)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576,975</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"Non-Current Assets"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"Plant and equipment"</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650,000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"Non-Current Assets"  (Total)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650,000</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 xml:space="preserve"> "Balance of Assets" (Total)</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1,226,975</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color w:val="000000"/>
                <w:sz w:val="24"/>
                <w:szCs w:val="24"/>
                <w:lang w:val="en-GB" w:eastAsia="en-IN"/>
              </w:rPr>
            </w:pPr>
            <w:r w:rsidRPr="008E3405">
              <w:rPr>
                <w:rFonts w:ascii="Times New Roman" w:eastAsia="Times New Roman" w:hAnsi="Times New Roman" w:cs="Times New Roman"/>
                <w:b/>
                <w:bCs/>
                <w:color w:val="000000"/>
                <w:sz w:val="24"/>
                <w:szCs w:val="24"/>
                <w:lang w:val="en-GB" w:eastAsia="en-IN"/>
              </w:rPr>
              <w:t>"Balance of Liabilities &amp; Equities"</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Equities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 ordinary share"</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500,000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Profit (Net)</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1,350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"10% £1 preference shares"</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200,000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"Retained profits at 1st January 2021"</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132,000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Equities (Total)</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833,350</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Liabilities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w:t>
            </w:r>
            <w:r w:rsidRPr="008E3405">
              <w:rPr>
                <w:rFonts w:ascii="Times New Roman" w:eastAsia="Times New Roman" w:hAnsi="Times New Roman" w:cs="Times New Roman"/>
                <w:i/>
                <w:iCs/>
                <w:color w:val="000000"/>
                <w:sz w:val="24"/>
                <w:szCs w:val="24"/>
                <w:lang w:val="en-GB" w:eastAsia="en-IN"/>
              </w:rPr>
              <w:t xml:space="preserve">Short-term Liabilities"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"Salesmen commission"</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"Trade payable"</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188,625</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"Outstanding Interest"</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"Tax Payable"</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100000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"Short-term Liabilities"  (Total)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293,625</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"Long-term Liabilities"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"4% Debentures"</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100,000</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xml:space="preserve">"Long-term Liabilities" (Total)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i/>
                <w:iCs/>
                <w:color w:val="000000"/>
                <w:sz w:val="24"/>
                <w:szCs w:val="24"/>
                <w:lang w:val="en-GB" w:eastAsia="en-IN"/>
              </w:rPr>
            </w:pPr>
            <w:r w:rsidRPr="008E3405">
              <w:rPr>
                <w:rFonts w:ascii="Times New Roman" w:eastAsia="Times New Roman" w:hAnsi="Times New Roman" w:cs="Times New Roman"/>
                <w:i/>
                <w:iCs/>
                <w:color w:val="000000"/>
                <w:sz w:val="24"/>
                <w:szCs w:val="24"/>
                <w:lang w:val="en-GB" w:eastAsia="en-IN"/>
              </w:rPr>
              <w:t>100,000</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 xml:space="preserve">Liabilities (Total)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393,625</w:t>
            </w:r>
          </w:p>
        </w:tc>
      </w:tr>
      <w:tr w:rsidR="008E3405" w:rsidRPr="008E3405" w:rsidTr="008E3405">
        <w:trPr>
          <w:trHeight w:val="279"/>
          <w:jc w:val="center"/>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 xml:space="preserve">"Balance of Liabilities &amp; Equities" (Total)  </w:t>
            </w:r>
          </w:p>
        </w:tc>
        <w:tc>
          <w:tcPr>
            <w:tcW w:w="118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both"/>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 </w:t>
            </w:r>
          </w:p>
        </w:tc>
        <w:tc>
          <w:tcPr>
            <w:tcW w:w="1222" w:type="dxa"/>
            <w:tcBorders>
              <w:top w:val="nil"/>
              <w:left w:val="nil"/>
              <w:bottom w:val="single" w:sz="4" w:space="0" w:color="auto"/>
              <w:right w:val="single" w:sz="4" w:space="0" w:color="auto"/>
            </w:tcBorders>
            <w:shd w:val="clear" w:color="auto" w:fill="auto"/>
            <w:noWrap/>
            <w:vAlign w:val="bottom"/>
            <w:hideMark/>
          </w:tcPr>
          <w:p w:rsidR="008E3405" w:rsidRPr="008E3405" w:rsidRDefault="008E3405" w:rsidP="008E3405">
            <w:pPr>
              <w:spacing w:before="200" w:after="0" w:line="240" w:lineRule="auto"/>
              <w:jc w:val="right"/>
              <w:rPr>
                <w:rFonts w:ascii="Times New Roman" w:eastAsia="Times New Roman" w:hAnsi="Times New Roman" w:cs="Times New Roman"/>
                <w:b/>
                <w:bCs/>
                <w:i/>
                <w:iCs/>
                <w:color w:val="000000"/>
                <w:sz w:val="24"/>
                <w:szCs w:val="24"/>
                <w:lang w:val="en-GB" w:eastAsia="en-IN"/>
              </w:rPr>
            </w:pPr>
            <w:r w:rsidRPr="008E3405">
              <w:rPr>
                <w:rFonts w:ascii="Times New Roman" w:eastAsia="Times New Roman" w:hAnsi="Times New Roman" w:cs="Times New Roman"/>
                <w:b/>
                <w:bCs/>
                <w:i/>
                <w:iCs/>
                <w:color w:val="000000"/>
                <w:sz w:val="24"/>
                <w:szCs w:val="24"/>
                <w:lang w:val="en-GB" w:eastAsia="en-IN"/>
              </w:rPr>
              <w:t>1,226,975</w:t>
            </w:r>
          </w:p>
        </w:tc>
      </w:tr>
    </w:tbl>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color w:val="000000"/>
          <w:sz w:val="24"/>
          <w:szCs w:val="24"/>
          <w:lang w:val="en-GB"/>
        </w:rPr>
        <w:t xml:space="preserve">As per calculations, it can be seen that Wales plc has current assets amounting to £576975, and non-current assets amounting to £650000. The company has £833350 as total equity balance </w:t>
      </w:r>
      <w:r w:rsidRPr="008E3405">
        <w:rPr>
          <w:rFonts w:ascii="Times New Roman" w:eastAsia="Times New Roman" w:hAnsi="Times New Roman" w:cs="Times New Roman"/>
          <w:color w:val="000000"/>
          <w:sz w:val="24"/>
          <w:szCs w:val="24"/>
          <w:lang w:val="en-GB"/>
        </w:rPr>
        <w:lastRenderedPageBreak/>
        <w:t>and £393625 as total liability balance. Overall value of the company at the end of 2021 is £1226975.   </w:t>
      </w:r>
    </w:p>
    <w:p w:rsidR="008E3405" w:rsidRPr="008E3405" w:rsidRDefault="008E3405" w:rsidP="008E3405">
      <w:pPr>
        <w:keepNext/>
        <w:keepLines/>
        <w:spacing w:after="0" w:line="360" w:lineRule="auto"/>
        <w:jc w:val="both"/>
        <w:outlineLvl w:val="0"/>
        <w:rPr>
          <w:rFonts w:ascii="Times New Roman" w:eastAsia="Times New Roman" w:hAnsi="Times New Roman" w:cs="Times New Roman"/>
          <w:b/>
          <w:color w:val="000000"/>
          <w:sz w:val="24"/>
          <w:szCs w:val="24"/>
          <w:lang w:val="en-GB" w:eastAsia="en-IN"/>
        </w:rPr>
      </w:pPr>
      <w:bookmarkStart w:id="5" w:name="_Toc109408790"/>
      <w:r w:rsidRPr="008E3405">
        <w:rPr>
          <w:rFonts w:ascii="Times New Roman" w:eastAsia="Times New Roman" w:hAnsi="Times New Roman" w:cs="Times New Roman"/>
          <w:b/>
          <w:color w:val="000000"/>
          <w:sz w:val="24"/>
          <w:szCs w:val="24"/>
          <w:lang w:val="en-GB" w:eastAsia="en-IN"/>
        </w:rPr>
        <w:t>b) Reason behind statement of financial position is always balance</w:t>
      </w:r>
      <w:bookmarkEnd w:id="5"/>
      <w:r w:rsidRPr="008E3405">
        <w:rPr>
          <w:rFonts w:ascii="Times New Roman" w:eastAsia="Times New Roman" w:hAnsi="Times New Roman" w:cs="Times New Roman"/>
          <w:b/>
          <w:color w:val="000000"/>
          <w:sz w:val="24"/>
          <w:szCs w:val="24"/>
          <w:lang w:val="en-GB" w:eastAsia="en-IN"/>
        </w:rPr>
        <w:t> </w:t>
      </w:r>
    </w:p>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A financial position statement is an important financial statement for companies and their stakeholders. This statement highlights financial position of the company at year-end to interested parties. Also, it is efficient for displaying what a company owns and owes (John and Dyson, 2017). As the statement includes a summary of all assets, liabilities, and equities, it is always balanced. It shows at any point in time, how much money the company would have if it sells all of its assets to pay off all the dues. The procedure of developing a financial position statement is passing journal entries, preparing ledger accounts, developing trial balances, and then preparing income statements. Afterward, financial position statement is prepared. All this process requires consideration of </w:t>
      </w:r>
      <w:r w:rsidRPr="008E3405">
        <w:rPr>
          <w:rFonts w:ascii="Times New Roman" w:eastAsia="Times New Roman" w:hAnsi="Times New Roman" w:cs="Times New Roman"/>
          <w:b/>
          <w:bCs/>
          <w:i/>
          <w:iCs/>
          <w:color w:val="000000"/>
          <w:sz w:val="24"/>
          <w:szCs w:val="24"/>
          <w:lang w:val="en-GB" w:eastAsia="en-IN"/>
        </w:rPr>
        <w:t>double entry system</w:t>
      </w:r>
      <w:r w:rsidRPr="008E3405">
        <w:rPr>
          <w:rFonts w:ascii="Times New Roman" w:eastAsia="Times New Roman" w:hAnsi="Times New Roman" w:cs="Times New Roman"/>
          <w:color w:val="000000"/>
          <w:sz w:val="24"/>
          <w:szCs w:val="24"/>
          <w:lang w:val="en-GB" w:eastAsia="en-IN"/>
        </w:rPr>
        <w:t>. As opined by Arnold and Lewis (2019), double entry is a method of bookkeeping that depends upon two-sided accounting entries. Hence, every entry into one account necessitates an equivalent and opposing entry into another account. Therefore, each transaction is recorded on debit and credit sides in primary books of accounts. For instance, Wales plc has made sales of £80000 then sales accounts were credited by £80000 and trade receivables accounts were created by the same amount. Hence, debt amount is equal to credit amount. These primary books of accounts are base of final accounts of company. This is the reason, a financial position statement is always balanced and if it is not balanced, then there must be an error in financial statement and books of accounts of the entity. </w:t>
      </w:r>
    </w:p>
    <w:p w:rsidR="008E3405" w:rsidRPr="008E3405" w:rsidRDefault="008E3405" w:rsidP="008E3405">
      <w:pPr>
        <w:spacing w:before="200" w:after="200" w:line="360" w:lineRule="auto"/>
        <w:jc w:val="both"/>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br w:type="page"/>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6" w:name="_Toc109408791"/>
      <w:r w:rsidRPr="008E3405">
        <w:rPr>
          <w:rFonts w:ascii="Times New Roman" w:eastAsia="Times New Roman" w:hAnsi="Times New Roman" w:cs="Times New Roman"/>
          <w:b/>
          <w:color w:val="000000"/>
          <w:sz w:val="24"/>
          <w:szCs w:val="24"/>
          <w:lang w:val="en-GB" w:eastAsia="en-IN"/>
        </w:rPr>
        <w:lastRenderedPageBreak/>
        <w:t>Question 2: Sweets Plc</w:t>
      </w:r>
      <w:bookmarkEnd w:id="6"/>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7" w:name="_6xscksk3e2cz" w:colFirst="0" w:colLast="0"/>
      <w:bookmarkStart w:id="8" w:name="_Toc109408792"/>
      <w:bookmarkEnd w:id="7"/>
      <w:r w:rsidRPr="008E3405">
        <w:rPr>
          <w:rFonts w:ascii="Times New Roman" w:eastAsia="Times New Roman" w:hAnsi="Times New Roman" w:cs="Times New Roman"/>
          <w:b/>
          <w:color w:val="000000"/>
          <w:sz w:val="24"/>
          <w:szCs w:val="24"/>
          <w:lang w:val="en-GB" w:eastAsia="en-IN"/>
        </w:rPr>
        <w:t>a. Calculation of Financial Ratios</w:t>
      </w:r>
      <w:bookmarkEnd w:id="8"/>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9" w:name="_2usjy57int00" w:colFirst="0" w:colLast="0"/>
      <w:bookmarkStart w:id="10" w:name="_Toc109408793"/>
      <w:bookmarkEnd w:id="9"/>
      <w:r w:rsidRPr="008E3405">
        <w:rPr>
          <w:rFonts w:ascii="Times New Roman" w:eastAsia="Times New Roman" w:hAnsi="Times New Roman" w:cs="Times New Roman"/>
          <w:b/>
          <w:color w:val="000000"/>
          <w:sz w:val="24"/>
          <w:szCs w:val="24"/>
          <w:lang w:val="en-GB" w:eastAsia="en-IN"/>
        </w:rPr>
        <w:t>1- ROCE</w:t>
      </w:r>
      <w:bookmarkEnd w:id="10"/>
    </w:p>
    <w:tbl>
      <w:tblPr>
        <w:tblW w:w="90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979"/>
        <w:gridCol w:w="1523"/>
        <w:gridCol w:w="1523"/>
      </w:tblGrid>
      <w:tr w:rsidR="008E3405" w:rsidRPr="008E3405" w:rsidTr="008E3405">
        <w:trPr>
          <w:trHeight w:val="515"/>
          <w:jc w:val="center"/>
        </w:trPr>
        <w:tc>
          <w:tcPr>
            <w:tcW w:w="9024"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ROCE of Sweet Plc</w:t>
            </w:r>
          </w:p>
        </w:tc>
      </w:tr>
      <w:tr w:rsidR="008E3405" w:rsidRPr="008E3405" w:rsidTr="008E3405">
        <w:trPr>
          <w:trHeight w:val="515"/>
          <w:jc w:val="center"/>
        </w:trPr>
        <w:tc>
          <w:tcPr>
            <w:tcW w:w="5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5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Earnings before Interest and Tax (EBIT)</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699</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805</w:t>
            </w:r>
          </w:p>
        </w:tc>
      </w:tr>
      <w:tr w:rsidR="008E3405" w:rsidRPr="008E3405" w:rsidTr="008E3405">
        <w:trPr>
          <w:trHeight w:val="515"/>
          <w:jc w:val="center"/>
        </w:trPr>
        <w:tc>
          <w:tcPr>
            <w:tcW w:w="5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Assets (TA)</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10,087</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9,736</w:t>
            </w:r>
          </w:p>
        </w:tc>
      </w:tr>
      <w:tr w:rsidR="008E3405" w:rsidRPr="008E3405" w:rsidTr="008E3405">
        <w:trPr>
          <w:trHeight w:val="515"/>
          <w:jc w:val="center"/>
        </w:trPr>
        <w:tc>
          <w:tcPr>
            <w:tcW w:w="5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Current Liabilities (TCL)</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3,046</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2,511</w:t>
            </w:r>
          </w:p>
        </w:tc>
      </w:tr>
      <w:tr w:rsidR="008E3405" w:rsidRPr="008E3405" w:rsidTr="008E3405">
        <w:trPr>
          <w:trHeight w:val="515"/>
          <w:jc w:val="center"/>
        </w:trPr>
        <w:tc>
          <w:tcPr>
            <w:tcW w:w="5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Capital Employed (TA - TCL)</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7,041</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7,225</w:t>
            </w:r>
          </w:p>
        </w:tc>
      </w:tr>
      <w:tr w:rsidR="008E3405" w:rsidRPr="008E3405" w:rsidTr="008E3405">
        <w:trPr>
          <w:trHeight w:val="515"/>
          <w:jc w:val="center"/>
        </w:trPr>
        <w:tc>
          <w:tcPr>
            <w:tcW w:w="5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Return on Capital Employed (EBIT / (TA - TCL)) * 100</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10%</w:t>
            </w:r>
          </w:p>
        </w:tc>
        <w:tc>
          <w:tcPr>
            <w:tcW w:w="15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11%</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Increase in EBIT has helped Sweet Plc to improve their return on capital employed marginally.  EBIT is divided by capital employed to obtain this ratio (Aseinimieyeofori, 2022). However, capital employed has increased too but did not affect their scope of growth due to such reasons. </w:t>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11" w:name="_evifia4q51lp" w:colFirst="0" w:colLast="0"/>
      <w:bookmarkStart w:id="12" w:name="_Toc109408794"/>
      <w:bookmarkEnd w:id="11"/>
      <w:r w:rsidRPr="008E3405">
        <w:rPr>
          <w:rFonts w:ascii="Times New Roman" w:eastAsia="Times New Roman" w:hAnsi="Times New Roman" w:cs="Times New Roman"/>
          <w:b/>
          <w:color w:val="000000"/>
          <w:sz w:val="24"/>
          <w:szCs w:val="24"/>
          <w:lang w:val="en-GB" w:eastAsia="en-IN"/>
        </w:rPr>
        <w:t>2- ROE</w:t>
      </w:r>
      <w:bookmarkEnd w:id="12"/>
    </w:p>
    <w:tbl>
      <w:tblPr>
        <w:tblW w:w="70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1590"/>
        <w:gridCol w:w="1590"/>
      </w:tblGrid>
      <w:tr w:rsidR="008E3405" w:rsidRPr="008E3405" w:rsidTr="008E3405">
        <w:trPr>
          <w:trHeight w:val="515"/>
          <w:jc w:val="center"/>
        </w:trPr>
        <w:tc>
          <w:tcPr>
            <w:tcW w:w="7035"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ROE of Sweet Plc</w:t>
            </w:r>
          </w:p>
        </w:tc>
      </w:tr>
      <w:tr w:rsidR="008E3405" w:rsidRPr="008E3405" w:rsidTr="008E3405">
        <w:trPr>
          <w:trHeight w:val="515"/>
          <w:jc w:val="center"/>
        </w:trPr>
        <w:tc>
          <w:tcPr>
            <w:tcW w:w="38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38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Net Income (NI)</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366</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431</w:t>
            </w:r>
          </w:p>
        </w:tc>
      </w:tr>
      <w:tr w:rsidR="008E3405" w:rsidRPr="008E3405" w:rsidTr="008E3405">
        <w:trPr>
          <w:trHeight w:val="515"/>
          <w:jc w:val="center"/>
        </w:trPr>
        <w:tc>
          <w:tcPr>
            <w:tcW w:w="38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Equity (TE)</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2,912</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3,088</w:t>
            </w:r>
          </w:p>
        </w:tc>
      </w:tr>
      <w:tr w:rsidR="008E3405" w:rsidRPr="008E3405" w:rsidTr="008E3405">
        <w:trPr>
          <w:trHeight w:val="515"/>
          <w:jc w:val="center"/>
        </w:trPr>
        <w:tc>
          <w:tcPr>
            <w:tcW w:w="38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Return on Equity (NI / TE) * 100</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13%</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14%</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p>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lastRenderedPageBreak/>
        <w:t xml:space="preserve">Return on equity has increased effectively due to proportionate increase in net income during 2021. This is a favourable cite for this company due to its growth during that year. Net income is divided by total equity to compute this ratio (Otekunrin </w:t>
      </w:r>
      <w:r w:rsidRPr="008E3405">
        <w:rPr>
          <w:rFonts w:ascii="Times New Roman" w:eastAsia="Times New Roman" w:hAnsi="Times New Roman" w:cs="Times New Roman"/>
          <w:i/>
          <w:color w:val="000000"/>
          <w:sz w:val="24"/>
          <w:szCs w:val="24"/>
          <w:lang w:val="en-GB" w:eastAsia="en-IN"/>
        </w:rPr>
        <w:t>et al</w:t>
      </w:r>
      <w:r w:rsidRPr="008E3405">
        <w:rPr>
          <w:rFonts w:ascii="Times New Roman" w:eastAsia="Times New Roman" w:hAnsi="Times New Roman" w:cs="Times New Roman"/>
          <w:color w:val="000000"/>
          <w:sz w:val="24"/>
          <w:szCs w:val="24"/>
          <w:lang w:val="en-GB" w:eastAsia="en-IN"/>
        </w:rPr>
        <w:t xml:space="preserve">., 2019). However, total equity has also risen by substantial margins during 2021. </w:t>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13" w:name="_ym2ry3c6sypb" w:colFirst="0" w:colLast="0"/>
      <w:bookmarkStart w:id="14" w:name="_Toc109408795"/>
      <w:bookmarkEnd w:id="13"/>
      <w:r w:rsidRPr="008E3405">
        <w:rPr>
          <w:rFonts w:ascii="Times New Roman" w:eastAsia="Times New Roman" w:hAnsi="Times New Roman" w:cs="Times New Roman"/>
          <w:b/>
          <w:color w:val="000000"/>
          <w:sz w:val="24"/>
          <w:szCs w:val="24"/>
          <w:lang w:val="en-GB" w:eastAsia="en-IN"/>
        </w:rPr>
        <w:t>3- Earnings per share</w:t>
      </w:r>
      <w:bookmarkEnd w:id="14"/>
    </w:p>
    <w:tbl>
      <w:tblPr>
        <w:tblW w:w="79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00"/>
        <w:gridCol w:w="1590"/>
        <w:gridCol w:w="1590"/>
      </w:tblGrid>
      <w:tr w:rsidR="008E3405" w:rsidRPr="008E3405" w:rsidTr="008E3405">
        <w:trPr>
          <w:trHeight w:val="515"/>
          <w:jc w:val="center"/>
        </w:trPr>
        <w:tc>
          <w:tcPr>
            <w:tcW w:w="7980"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Earnings per Share of Sweet Plc</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Net Income (NI)</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366</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431</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Dividend Paid (DP)</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242</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255</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Net Retention (NI - DP)</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124</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176</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Share Capital (SC)</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300</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300</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Price per Share (PS)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0.50</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0.50</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Average Outstanding Shares (SC / PS)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600</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600</w:t>
            </w:r>
          </w:p>
        </w:tc>
      </w:tr>
      <w:tr w:rsidR="008E3405" w:rsidRPr="008E3405" w:rsidTr="008E3405">
        <w:trPr>
          <w:trHeight w:val="515"/>
          <w:jc w:val="center"/>
        </w:trPr>
        <w:tc>
          <w:tcPr>
            <w:tcW w:w="48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Earnings per Share ((NI - DP) / (SC / PS))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0.21</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0.29</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EpS for Sweet Plc have improved since 2020 after increased returns during 2021. Proportion in increase of the dividend paid is lesser than the proportion of the increase in income. Net income after dividend paid is divided by the outstanding number of shares to obtain this ratio (Chauhan </w:t>
      </w:r>
      <w:r w:rsidRPr="008E3405">
        <w:rPr>
          <w:rFonts w:ascii="Times New Roman" w:eastAsia="Times New Roman" w:hAnsi="Times New Roman" w:cs="Times New Roman"/>
          <w:i/>
          <w:color w:val="000000"/>
          <w:sz w:val="24"/>
          <w:szCs w:val="24"/>
          <w:lang w:val="en-GB" w:eastAsia="en-IN"/>
        </w:rPr>
        <w:t>et al</w:t>
      </w:r>
      <w:r w:rsidRPr="008E3405">
        <w:rPr>
          <w:rFonts w:ascii="Times New Roman" w:eastAsia="Times New Roman" w:hAnsi="Times New Roman" w:cs="Times New Roman"/>
          <w:color w:val="000000"/>
          <w:sz w:val="24"/>
          <w:szCs w:val="24"/>
          <w:lang w:val="en-GB" w:eastAsia="en-IN"/>
        </w:rPr>
        <w:t>., 2019). Shares outstanding has also remained the same during all years.</w:t>
      </w:r>
    </w:p>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p>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p>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 </w:t>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15" w:name="_mmwo5ixq8vfo" w:colFirst="0" w:colLast="0"/>
      <w:bookmarkStart w:id="16" w:name="_Toc109408796"/>
      <w:bookmarkEnd w:id="15"/>
      <w:r w:rsidRPr="008E3405">
        <w:rPr>
          <w:rFonts w:ascii="Times New Roman" w:eastAsia="Times New Roman" w:hAnsi="Times New Roman" w:cs="Times New Roman"/>
          <w:b/>
          <w:color w:val="000000"/>
          <w:sz w:val="24"/>
          <w:szCs w:val="24"/>
          <w:lang w:val="en-GB" w:eastAsia="en-IN"/>
        </w:rPr>
        <w:lastRenderedPageBreak/>
        <w:t>4- Net profit margin</w:t>
      </w:r>
      <w:bookmarkEnd w:id="16"/>
    </w:p>
    <w:tbl>
      <w:tblPr>
        <w:tblW w:w="89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40"/>
        <w:gridCol w:w="1785"/>
        <w:gridCol w:w="1785"/>
      </w:tblGrid>
      <w:tr w:rsidR="008E3405" w:rsidRPr="008E3405" w:rsidTr="008E3405">
        <w:trPr>
          <w:trHeight w:val="515"/>
          <w:jc w:val="center"/>
        </w:trPr>
        <w:tc>
          <w:tcPr>
            <w:tcW w:w="8910"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Net Profit Margin of Sweet Plc</w:t>
            </w:r>
          </w:p>
        </w:tc>
      </w:tr>
      <w:tr w:rsidR="008E3405" w:rsidRPr="008E3405" w:rsidTr="008E3405">
        <w:trPr>
          <w:trHeight w:val="515"/>
          <w:jc w:val="center"/>
        </w:trPr>
        <w:tc>
          <w:tcPr>
            <w:tcW w:w="53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53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Net Income (NI)</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366</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431</w:t>
            </w:r>
          </w:p>
        </w:tc>
      </w:tr>
      <w:tr w:rsidR="008E3405" w:rsidRPr="008E3405" w:rsidTr="008E3405">
        <w:trPr>
          <w:trHeight w:val="515"/>
          <w:jc w:val="center"/>
        </w:trPr>
        <w:tc>
          <w:tcPr>
            <w:tcW w:w="53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Sales (TS)</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6,441</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6,738</w:t>
            </w:r>
          </w:p>
        </w:tc>
      </w:tr>
      <w:tr w:rsidR="008E3405" w:rsidRPr="008E3405" w:rsidTr="008E3405">
        <w:trPr>
          <w:trHeight w:val="515"/>
          <w:jc w:val="center"/>
        </w:trPr>
        <w:tc>
          <w:tcPr>
            <w:tcW w:w="53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Net Profit Margin (NI / TS) * 100</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6%</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6%</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Net income and total sales have increased in the same proportion. This has resulted in maintaining a consistent profit margin during both years. However, the management should look forward to enhancing growth. Net income is divided by total sales to appropriate thai ratio.</w:t>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17" w:name="_7qynfw2apmnk" w:colFirst="0" w:colLast="0"/>
      <w:bookmarkStart w:id="18" w:name="_Toc109408797"/>
      <w:bookmarkEnd w:id="17"/>
      <w:r w:rsidRPr="008E3405">
        <w:rPr>
          <w:rFonts w:ascii="Times New Roman" w:eastAsia="Times New Roman" w:hAnsi="Times New Roman" w:cs="Times New Roman"/>
          <w:b/>
          <w:color w:val="000000"/>
          <w:sz w:val="24"/>
          <w:szCs w:val="24"/>
          <w:lang w:val="en-GB" w:eastAsia="en-IN"/>
        </w:rPr>
        <w:t>5- Asset turnover</w:t>
      </w:r>
      <w:bookmarkEnd w:id="18"/>
    </w:p>
    <w:tbl>
      <w:tblPr>
        <w:tblW w:w="69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80"/>
        <w:gridCol w:w="1590"/>
        <w:gridCol w:w="1590"/>
      </w:tblGrid>
      <w:tr w:rsidR="008E3405" w:rsidRPr="008E3405" w:rsidTr="008E3405">
        <w:trPr>
          <w:trHeight w:val="515"/>
          <w:jc w:val="center"/>
        </w:trPr>
        <w:tc>
          <w:tcPr>
            <w:tcW w:w="6960"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Asset Turnover of Sweet Plc</w:t>
            </w:r>
          </w:p>
        </w:tc>
      </w:tr>
      <w:tr w:rsidR="008E3405" w:rsidRPr="008E3405" w:rsidTr="008E3405">
        <w:trPr>
          <w:trHeight w:val="515"/>
          <w:jc w:val="center"/>
        </w:trPr>
        <w:tc>
          <w:tcPr>
            <w:tcW w:w="37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37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Sales (TS)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6,441</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6,738</w:t>
            </w:r>
          </w:p>
        </w:tc>
      </w:tr>
      <w:tr w:rsidR="008E3405" w:rsidRPr="008E3405" w:rsidTr="008E3405">
        <w:trPr>
          <w:trHeight w:val="515"/>
          <w:jc w:val="center"/>
        </w:trPr>
        <w:tc>
          <w:tcPr>
            <w:tcW w:w="37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Assets (TA)</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10,087</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9,736</w:t>
            </w:r>
          </w:p>
        </w:tc>
      </w:tr>
      <w:tr w:rsidR="008E3405" w:rsidRPr="008E3405" w:rsidTr="008E3405">
        <w:trPr>
          <w:trHeight w:val="515"/>
          <w:jc w:val="center"/>
        </w:trPr>
        <w:tc>
          <w:tcPr>
            <w:tcW w:w="37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Asset Turnover (TS / TA) * 100</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64%</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69%</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Asset turnover for Sweet Plc has experienced a marginal growth during 2021. Total sales were divided by total assets to calculate this ratio (Nariswari and Nugraha, 2020). Total sales have increased by small margins but total assets for this company have decreased since past margins. </w:t>
      </w:r>
    </w:p>
    <w:p w:rsid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p>
    <w:p w:rsidR="008F1DC5" w:rsidRPr="008E3405" w:rsidRDefault="008F1DC5" w:rsidP="008E3405">
      <w:pPr>
        <w:spacing w:before="200" w:after="200" w:line="360" w:lineRule="auto"/>
        <w:jc w:val="both"/>
        <w:rPr>
          <w:rFonts w:ascii="Times New Roman" w:eastAsia="Times New Roman" w:hAnsi="Times New Roman" w:cs="Times New Roman"/>
          <w:color w:val="000000"/>
          <w:sz w:val="24"/>
          <w:szCs w:val="24"/>
          <w:lang w:val="en-GB" w:eastAsia="en-IN"/>
        </w:rPr>
      </w:pP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19" w:name="_hgq2vlpa3uv3" w:colFirst="0" w:colLast="0"/>
      <w:bookmarkStart w:id="20" w:name="_Toc109408798"/>
      <w:bookmarkEnd w:id="19"/>
      <w:r w:rsidRPr="008E3405">
        <w:rPr>
          <w:rFonts w:ascii="Times New Roman" w:eastAsia="Times New Roman" w:hAnsi="Times New Roman" w:cs="Times New Roman"/>
          <w:b/>
          <w:color w:val="000000"/>
          <w:sz w:val="24"/>
          <w:szCs w:val="24"/>
          <w:lang w:val="en-GB" w:eastAsia="en-IN"/>
        </w:rPr>
        <w:lastRenderedPageBreak/>
        <w:t>6- Stock holding days</w:t>
      </w:r>
      <w:bookmarkEnd w:id="20"/>
    </w:p>
    <w:tbl>
      <w:tblPr>
        <w:tblW w:w="74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95"/>
        <w:gridCol w:w="1545"/>
        <w:gridCol w:w="1545"/>
      </w:tblGrid>
      <w:tr w:rsidR="008E3405" w:rsidRPr="008E3405" w:rsidTr="008E3405">
        <w:trPr>
          <w:trHeight w:val="515"/>
          <w:jc w:val="center"/>
        </w:trPr>
        <w:tc>
          <w:tcPr>
            <w:tcW w:w="7485"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Stock Holding Days of Sweet Plc</w:t>
            </w:r>
          </w:p>
        </w:tc>
      </w:tr>
      <w:tr w:rsidR="008E3405" w:rsidRPr="008E3405" w:rsidTr="008E3405">
        <w:trPr>
          <w:trHeight w:val="515"/>
          <w:jc w:val="center"/>
        </w:trPr>
        <w:tc>
          <w:tcPr>
            <w:tcW w:w="43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43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Closing Inventory (I)</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659</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708</w:t>
            </w:r>
          </w:p>
        </w:tc>
      </w:tr>
      <w:tr w:rsidR="008E3405" w:rsidRPr="008E3405" w:rsidTr="008E3405">
        <w:trPr>
          <w:trHeight w:val="515"/>
          <w:jc w:val="center"/>
        </w:trPr>
        <w:tc>
          <w:tcPr>
            <w:tcW w:w="43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Number of Days in a Year (D)</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365</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365</w:t>
            </w:r>
          </w:p>
        </w:tc>
      </w:tr>
      <w:tr w:rsidR="008E3405" w:rsidRPr="008E3405" w:rsidTr="008E3405">
        <w:trPr>
          <w:trHeight w:val="515"/>
          <w:jc w:val="center"/>
        </w:trPr>
        <w:tc>
          <w:tcPr>
            <w:tcW w:w="43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Cost of Sales (CS)</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3,096</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3,235</w:t>
            </w:r>
          </w:p>
        </w:tc>
      </w:tr>
      <w:tr w:rsidR="008E3405" w:rsidRPr="008E3405" w:rsidTr="008E3405">
        <w:trPr>
          <w:trHeight w:val="515"/>
          <w:jc w:val="center"/>
        </w:trPr>
        <w:tc>
          <w:tcPr>
            <w:tcW w:w="43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Stock Holding Days ((I * D) / CS)</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78</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80</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Stock holding days have increased during 2021 for this company. Management should look forward to reducing the same. Closing inventory is multiplied by 365 days in a year and is divided by cost of sales for obtaining this ratio.</w:t>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21" w:name="_ocir73jk941c" w:colFirst="0" w:colLast="0"/>
      <w:bookmarkStart w:id="22" w:name="_Toc109408799"/>
      <w:bookmarkEnd w:id="21"/>
      <w:r w:rsidRPr="008E3405">
        <w:rPr>
          <w:rFonts w:ascii="Times New Roman" w:eastAsia="Times New Roman" w:hAnsi="Times New Roman" w:cs="Times New Roman"/>
          <w:b/>
          <w:color w:val="000000"/>
          <w:sz w:val="24"/>
          <w:szCs w:val="24"/>
          <w:lang w:val="en-GB" w:eastAsia="en-IN"/>
        </w:rPr>
        <w:t>7- Debtors collection period</w:t>
      </w:r>
      <w:bookmarkEnd w:id="22"/>
    </w:p>
    <w:tbl>
      <w:tblPr>
        <w:tblW w:w="88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15"/>
        <w:gridCol w:w="1590"/>
        <w:gridCol w:w="1590"/>
      </w:tblGrid>
      <w:tr w:rsidR="008E3405" w:rsidRPr="008E3405" w:rsidTr="008E3405">
        <w:trPr>
          <w:trHeight w:val="515"/>
          <w:jc w:val="center"/>
        </w:trPr>
        <w:tc>
          <w:tcPr>
            <w:tcW w:w="8895"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Debtors Collection Period of Sweet Plc</w:t>
            </w:r>
          </w:p>
        </w:tc>
      </w:tr>
      <w:tr w:rsidR="008E3405" w:rsidRPr="008E3405" w:rsidTr="008E3405">
        <w:trPr>
          <w:trHeight w:val="515"/>
          <w:jc w:val="center"/>
        </w:trPr>
        <w:tc>
          <w:tcPr>
            <w:tcW w:w="57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57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Account Receivable (AR)</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1,287</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1,249</w:t>
            </w:r>
          </w:p>
        </w:tc>
      </w:tr>
      <w:tr w:rsidR="008E3405" w:rsidRPr="008E3405" w:rsidTr="008E3405">
        <w:trPr>
          <w:trHeight w:val="515"/>
          <w:jc w:val="center"/>
        </w:trPr>
        <w:tc>
          <w:tcPr>
            <w:tcW w:w="57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Sales (TS)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6,441</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6,738</w:t>
            </w:r>
          </w:p>
        </w:tc>
      </w:tr>
      <w:tr w:rsidR="008E3405" w:rsidRPr="008E3405" w:rsidTr="008E3405">
        <w:trPr>
          <w:trHeight w:val="515"/>
          <w:jc w:val="center"/>
        </w:trPr>
        <w:tc>
          <w:tcPr>
            <w:tcW w:w="57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Number of Days in a Year (D)</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365</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365</w:t>
            </w:r>
          </w:p>
        </w:tc>
      </w:tr>
      <w:tr w:rsidR="008E3405" w:rsidRPr="008E3405" w:rsidTr="008E3405">
        <w:trPr>
          <w:trHeight w:val="515"/>
          <w:jc w:val="center"/>
        </w:trPr>
        <w:tc>
          <w:tcPr>
            <w:tcW w:w="57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Debtor’s Collection Period ((AR * D) / TS)</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73</w:t>
            </w:r>
          </w:p>
        </w:tc>
        <w:tc>
          <w:tcPr>
            <w:tcW w:w="15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68</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Collection days have reduced since 2021 for this company. It is a favourable site for them since there will be better flexibility of funds. Trade receivables are multiplied by 365 days and are divided by total sales during that year to compute this ratio.</w:t>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23" w:name="_57pxzge21omh" w:colFirst="0" w:colLast="0"/>
      <w:bookmarkStart w:id="24" w:name="_Toc109408800"/>
      <w:bookmarkEnd w:id="23"/>
      <w:r w:rsidRPr="008E3405">
        <w:rPr>
          <w:rFonts w:ascii="Times New Roman" w:eastAsia="Times New Roman" w:hAnsi="Times New Roman" w:cs="Times New Roman"/>
          <w:b/>
          <w:color w:val="000000"/>
          <w:sz w:val="24"/>
          <w:szCs w:val="24"/>
          <w:lang w:val="en-GB" w:eastAsia="en-IN"/>
        </w:rPr>
        <w:lastRenderedPageBreak/>
        <w:t>8- Current ratio</w:t>
      </w:r>
      <w:bookmarkEnd w:id="24"/>
    </w:p>
    <w:tbl>
      <w:tblPr>
        <w:tblW w:w="65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50"/>
        <w:gridCol w:w="1545"/>
        <w:gridCol w:w="1545"/>
      </w:tblGrid>
      <w:tr w:rsidR="008E3405" w:rsidRPr="008E3405" w:rsidTr="008E3405">
        <w:trPr>
          <w:trHeight w:val="515"/>
          <w:jc w:val="center"/>
        </w:trPr>
        <w:tc>
          <w:tcPr>
            <w:tcW w:w="6540"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Current Ratio of Sweet Plc</w:t>
            </w:r>
          </w:p>
        </w:tc>
      </w:tr>
      <w:tr w:rsidR="008E3405" w:rsidRPr="008E3405" w:rsidTr="008E3405">
        <w:trPr>
          <w:trHeight w:val="515"/>
          <w:jc w:val="center"/>
        </w:trPr>
        <w:tc>
          <w:tcPr>
            <w:tcW w:w="34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34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Current Assets (CA)</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2,355</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2,303</w:t>
            </w:r>
          </w:p>
        </w:tc>
      </w:tr>
      <w:tr w:rsidR="008E3405" w:rsidRPr="008E3405" w:rsidTr="008E3405">
        <w:trPr>
          <w:trHeight w:val="515"/>
          <w:jc w:val="center"/>
        </w:trPr>
        <w:tc>
          <w:tcPr>
            <w:tcW w:w="34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Current Liabilities (CL)</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3,046</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2,511</w:t>
            </w:r>
          </w:p>
        </w:tc>
      </w:tr>
      <w:tr w:rsidR="008E3405" w:rsidRPr="008E3405" w:rsidTr="008E3405">
        <w:trPr>
          <w:trHeight w:val="515"/>
          <w:jc w:val="center"/>
        </w:trPr>
        <w:tc>
          <w:tcPr>
            <w:tcW w:w="34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Current Ratio (CA / CL)</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0.77</w:t>
            </w:r>
          </w:p>
        </w:tc>
        <w:tc>
          <w:tcPr>
            <w:tcW w:w="15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0.92</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Current ratio has improved during 2021 with an effective reduction of current liabilities. Current assets are divided by current liabilities to compute this ratio (Khalid </w:t>
      </w:r>
      <w:r w:rsidRPr="008E3405">
        <w:rPr>
          <w:rFonts w:ascii="Times New Roman" w:eastAsia="Times New Roman" w:hAnsi="Times New Roman" w:cs="Times New Roman"/>
          <w:i/>
          <w:color w:val="000000"/>
          <w:sz w:val="24"/>
          <w:szCs w:val="24"/>
          <w:lang w:val="en-GB" w:eastAsia="en-IN"/>
        </w:rPr>
        <w:t>et al</w:t>
      </w:r>
      <w:r w:rsidRPr="008E3405">
        <w:rPr>
          <w:rFonts w:ascii="Times New Roman" w:eastAsia="Times New Roman" w:hAnsi="Times New Roman" w:cs="Times New Roman"/>
          <w:color w:val="000000"/>
          <w:sz w:val="24"/>
          <w:szCs w:val="24"/>
          <w:lang w:val="en-GB" w:eastAsia="en-IN"/>
        </w:rPr>
        <w:t xml:space="preserve">., 2018). Both current assets and liabilities have reduced. </w:t>
      </w: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25" w:name="_885zqo6wswga" w:colFirst="0" w:colLast="0"/>
      <w:bookmarkStart w:id="26" w:name="_Toc109408801"/>
      <w:bookmarkEnd w:id="25"/>
      <w:r w:rsidRPr="008E3405">
        <w:rPr>
          <w:rFonts w:ascii="Times New Roman" w:eastAsia="Times New Roman" w:hAnsi="Times New Roman" w:cs="Times New Roman"/>
          <w:b/>
          <w:color w:val="000000"/>
          <w:sz w:val="24"/>
          <w:szCs w:val="24"/>
          <w:lang w:val="en-GB" w:eastAsia="en-IN"/>
        </w:rPr>
        <w:t>9- Gearing ratio</w:t>
      </w:r>
      <w:bookmarkEnd w:id="26"/>
    </w:p>
    <w:tbl>
      <w:tblPr>
        <w:tblW w:w="75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80"/>
        <w:gridCol w:w="1560"/>
        <w:gridCol w:w="1560"/>
      </w:tblGrid>
      <w:tr w:rsidR="008E3405" w:rsidRPr="008E3405" w:rsidTr="008E3405">
        <w:trPr>
          <w:trHeight w:val="515"/>
          <w:jc w:val="center"/>
        </w:trPr>
        <w:tc>
          <w:tcPr>
            <w:tcW w:w="7500"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Gearing Ratio of Sweet Plc</w:t>
            </w:r>
          </w:p>
        </w:tc>
      </w:tr>
      <w:tr w:rsidR="008E3405" w:rsidRPr="008E3405" w:rsidTr="008E3405">
        <w:trPr>
          <w:trHeight w:val="515"/>
          <w:jc w:val="center"/>
        </w:trPr>
        <w:tc>
          <w:tcPr>
            <w:tcW w:w="43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43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Current Debt (CD)</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3046</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2511</w:t>
            </w:r>
          </w:p>
        </w:tc>
      </w:tr>
      <w:tr w:rsidR="008E3405" w:rsidRPr="008E3405" w:rsidTr="008E3405">
        <w:trPr>
          <w:trHeight w:val="515"/>
          <w:jc w:val="center"/>
        </w:trPr>
        <w:tc>
          <w:tcPr>
            <w:tcW w:w="43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Long Term Debt (LT)</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4129</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4137</w:t>
            </w:r>
          </w:p>
        </w:tc>
      </w:tr>
      <w:tr w:rsidR="008E3405" w:rsidRPr="008E3405" w:rsidTr="008E3405">
        <w:trPr>
          <w:trHeight w:val="515"/>
          <w:jc w:val="center"/>
        </w:trPr>
        <w:tc>
          <w:tcPr>
            <w:tcW w:w="43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Debt (CD + LT)</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7175</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6648</w:t>
            </w:r>
          </w:p>
        </w:tc>
      </w:tr>
      <w:tr w:rsidR="008E3405" w:rsidRPr="008E3405" w:rsidTr="008E3405">
        <w:trPr>
          <w:trHeight w:val="515"/>
          <w:jc w:val="center"/>
        </w:trPr>
        <w:tc>
          <w:tcPr>
            <w:tcW w:w="43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Total Equity (TE)</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2,912</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3,088</w:t>
            </w:r>
          </w:p>
        </w:tc>
      </w:tr>
      <w:tr w:rsidR="008E3405" w:rsidRPr="008E3405" w:rsidTr="008E3405">
        <w:trPr>
          <w:trHeight w:val="515"/>
          <w:jc w:val="center"/>
        </w:trPr>
        <w:tc>
          <w:tcPr>
            <w:tcW w:w="43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Gearing Ratio ((CD + LT) / TE)</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2.46</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2.15</w:t>
            </w:r>
          </w:p>
        </w:tc>
      </w:tr>
    </w:tbl>
    <w:p w:rsid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Gearing ratios for Sweet Plc have improved since past margins. Total debt is divided by total equity to calculate this ratio (Hilkevics and Semakina, 2019). They have experienced an increase in equity capital with a marginal reduction of debt capital.</w:t>
      </w:r>
    </w:p>
    <w:p w:rsidR="002B5E93" w:rsidRPr="008E3405" w:rsidRDefault="002B5E93" w:rsidP="008E3405">
      <w:pPr>
        <w:spacing w:before="200" w:after="200" w:line="360" w:lineRule="auto"/>
        <w:jc w:val="both"/>
        <w:rPr>
          <w:rFonts w:ascii="Times New Roman" w:eastAsia="Times New Roman" w:hAnsi="Times New Roman" w:cs="Times New Roman"/>
          <w:color w:val="000000"/>
          <w:sz w:val="24"/>
          <w:szCs w:val="24"/>
          <w:lang w:val="en-GB" w:eastAsia="en-IN"/>
        </w:rPr>
      </w:pP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bookmarkStart w:id="27" w:name="_q0z8jegofjdj" w:colFirst="0" w:colLast="0"/>
      <w:bookmarkStart w:id="28" w:name="_Toc109408802"/>
      <w:bookmarkEnd w:id="27"/>
      <w:r w:rsidRPr="008E3405">
        <w:rPr>
          <w:rFonts w:ascii="Times New Roman" w:eastAsia="Times New Roman" w:hAnsi="Times New Roman" w:cs="Times New Roman"/>
          <w:b/>
          <w:color w:val="000000"/>
          <w:sz w:val="24"/>
          <w:szCs w:val="24"/>
          <w:lang w:val="en-GB" w:eastAsia="en-IN"/>
        </w:rPr>
        <w:lastRenderedPageBreak/>
        <w:t>10- Interest cover</w:t>
      </w:r>
      <w:bookmarkEnd w:id="28"/>
    </w:p>
    <w:tbl>
      <w:tblPr>
        <w:tblW w:w="89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80"/>
        <w:gridCol w:w="1665"/>
        <w:gridCol w:w="1665"/>
      </w:tblGrid>
      <w:tr w:rsidR="008E3405" w:rsidRPr="008E3405" w:rsidTr="008E3405">
        <w:trPr>
          <w:trHeight w:val="515"/>
          <w:jc w:val="center"/>
        </w:trPr>
        <w:tc>
          <w:tcPr>
            <w:tcW w:w="8910" w:type="dxa"/>
            <w:gridSpan w:val="3"/>
            <w:tcBorders>
              <w:top w:val="single" w:sz="8" w:space="0" w:color="000000"/>
              <w:left w:val="single" w:sz="8" w:space="0" w:color="000000"/>
              <w:bottom w:val="single" w:sz="8" w:space="0" w:color="000000"/>
              <w:right w:val="single" w:sz="8" w:space="0" w:color="000000"/>
            </w:tcBorders>
            <w:shd w:val="clear" w:color="auto" w:fill="95B3D7"/>
            <w:tcMar>
              <w:top w:w="100" w:type="dxa"/>
              <w:left w:w="100" w:type="dxa"/>
              <w:bottom w:w="100" w:type="dxa"/>
              <w:right w:w="100" w:type="dxa"/>
            </w:tcMar>
            <w:vAlign w:val="bottom"/>
          </w:tcPr>
          <w:p w:rsidR="008E3405" w:rsidRPr="008E3405" w:rsidRDefault="008E3405" w:rsidP="008E3405">
            <w:pPr>
              <w:spacing w:after="0" w:line="276" w:lineRule="auto"/>
              <w:jc w:val="center"/>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Interest Cover of Sweet Plc</w:t>
            </w:r>
          </w:p>
        </w:tc>
      </w:tr>
      <w:tr w:rsidR="008E3405" w:rsidRPr="008E3405" w:rsidTr="008E3405">
        <w:trPr>
          <w:trHeight w:val="515"/>
          <w:jc w:val="center"/>
        </w:trPr>
        <w:tc>
          <w:tcPr>
            <w:tcW w:w="55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Particulars</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2020 (£m)</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2021 (£m)</w:t>
            </w:r>
          </w:p>
        </w:tc>
      </w:tr>
      <w:tr w:rsidR="008E3405" w:rsidRPr="008E3405" w:rsidTr="008E3405">
        <w:trPr>
          <w:trHeight w:val="515"/>
          <w:jc w:val="center"/>
        </w:trPr>
        <w:tc>
          <w:tcPr>
            <w:tcW w:w="55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Earnings before Interest and Tax (EBIT)</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699</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805</w:t>
            </w:r>
          </w:p>
        </w:tc>
      </w:tr>
      <w:tr w:rsidR="008E3405" w:rsidRPr="008E3405" w:rsidTr="008E3405">
        <w:trPr>
          <w:trHeight w:val="515"/>
          <w:jc w:val="center"/>
        </w:trPr>
        <w:tc>
          <w:tcPr>
            <w:tcW w:w="55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Interest Paid during the Year (IP)</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181</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226</w:t>
            </w:r>
          </w:p>
        </w:tc>
      </w:tr>
      <w:tr w:rsidR="008E3405" w:rsidRPr="008E3405" w:rsidTr="008E3405">
        <w:trPr>
          <w:trHeight w:val="515"/>
          <w:jc w:val="center"/>
        </w:trPr>
        <w:tc>
          <w:tcPr>
            <w:tcW w:w="55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Interest Cover (EBIT / IP)</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3.86</w:t>
            </w:r>
          </w:p>
        </w:tc>
        <w:tc>
          <w:tcPr>
            <w:tcW w:w="16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8E3405" w:rsidRPr="008E3405" w:rsidRDefault="008E3405" w:rsidP="008E3405">
            <w:pPr>
              <w:spacing w:after="0" w:line="276" w:lineRule="auto"/>
              <w:jc w:val="right"/>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3.56</w:t>
            </w:r>
          </w:p>
        </w:tc>
      </w:tr>
    </w:tbl>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EBIT has increased for Sweet Plc during 2021 along with the amount of interest paid by that firm. This coverage ratio has decreased effectively during 2021. However, it was calculated by dividing EBIT by interest paid during relevant periods.</w:t>
      </w:r>
    </w:p>
    <w:p w:rsidR="008E3405" w:rsidRPr="008E3405" w:rsidRDefault="008E3405" w:rsidP="008E3405">
      <w:pPr>
        <w:keepNext/>
        <w:keepLines/>
        <w:spacing w:after="0" w:line="360" w:lineRule="auto"/>
        <w:jc w:val="both"/>
        <w:outlineLvl w:val="0"/>
        <w:rPr>
          <w:rFonts w:ascii="Times New Roman" w:eastAsia="Times New Roman" w:hAnsi="Times New Roman" w:cs="Times New Roman"/>
          <w:b/>
          <w:color w:val="000000"/>
          <w:sz w:val="24"/>
          <w:szCs w:val="24"/>
          <w:lang w:val="en-GB" w:eastAsia="en-IN"/>
        </w:rPr>
      </w:pPr>
      <w:bookmarkStart w:id="29" w:name="_wgqliaku4kyp" w:colFirst="0" w:colLast="0"/>
      <w:bookmarkStart w:id="30" w:name="_Toc109408803"/>
      <w:bookmarkEnd w:id="29"/>
      <w:r w:rsidRPr="008E3405">
        <w:rPr>
          <w:rFonts w:ascii="Times New Roman" w:eastAsia="Times New Roman" w:hAnsi="Times New Roman" w:cs="Times New Roman"/>
          <w:b/>
          <w:color w:val="000000"/>
          <w:sz w:val="24"/>
          <w:szCs w:val="24"/>
          <w:lang w:val="en-GB" w:eastAsia="en-IN"/>
        </w:rPr>
        <w:t>b. Comment on financial performance</w:t>
      </w:r>
      <w:bookmarkEnd w:id="30"/>
      <w:r w:rsidRPr="008E3405">
        <w:rPr>
          <w:rFonts w:ascii="Times New Roman" w:eastAsia="Times New Roman" w:hAnsi="Times New Roman" w:cs="Times New Roman"/>
          <w:b/>
          <w:color w:val="000000"/>
          <w:sz w:val="24"/>
          <w:szCs w:val="24"/>
          <w:lang w:val="en-GB" w:eastAsia="en-IN"/>
        </w:rPr>
        <w:t> </w:t>
      </w: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color w:val="000000"/>
          <w:sz w:val="24"/>
          <w:szCs w:val="24"/>
          <w:lang w:val="en-GB"/>
        </w:rPr>
        <w:t xml:space="preserve">Maintaining sound financial performance and position is efficient for an organisation as it helps companies in operating well in the market and at the same time provide right offerings to target customers. As opined by </w:t>
      </w:r>
      <w:r w:rsidRPr="008E3405">
        <w:rPr>
          <w:rFonts w:ascii="Times New Roman" w:eastAsia="Times New Roman" w:hAnsi="Times New Roman" w:cs="Times New Roman"/>
          <w:color w:val="000000"/>
          <w:sz w:val="24"/>
          <w:szCs w:val="24"/>
          <w:shd w:val="clear" w:color="auto" w:fill="FFFFFF"/>
          <w:lang w:val="en-GB"/>
        </w:rPr>
        <w:t>Sagala (2019)</w:t>
      </w:r>
      <w:r w:rsidRPr="008E3405">
        <w:rPr>
          <w:rFonts w:ascii="Times New Roman" w:eastAsia="Times New Roman" w:hAnsi="Times New Roman" w:cs="Times New Roman"/>
          <w:color w:val="000000"/>
          <w:sz w:val="24"/>
          <w:szCs w:val="24"/>
          <w:lang w:val="en-GB"/>
        </w:rPr>
        <w:t>, maintaining sound profitability, solvency, efficiency, and liquidity position help a company in maintaining financially viable performance. As per ratio analysis of Sweets plc, it can be seen that profitability positions were slightly improving. The company was able to maintain a 1% improvement in return on capital employed &amp; return on equity whereas, net profit margin was constant at 6%.  As per ratio calculation, it can be seen that net profits were improved by £65m and sales revenues were improved by £297m. Besides, the company has effectively used capital employed for generating higher returns. Considering debtors' collection period, it has been found that less time was taken for collecting dues from customers. Hence, efficiency of Sweets plc has been improved.</w:t>
      </w: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color w:val="000000"/>
          <w:sz w:val="24"/>
          <w:szCs w:val="24"/>
          <w:lang w:val="en-GB"/>
        </w:rPr>
        <w:t xml:space="preserve">As per interest cover ratio, ability of Sweets plc to honour debt obligations has slightly declined. Also, it had taken 2 days extra for conversing inventories and sales in comparison to last year. However, results of asset turnover ratio, current ratio, and earnings per share indicate improved financial performance of the company. Considering results of gearing ratio, it can be seen that the proposition of debt capital in the capital structure of Sweets plc has slightly declined. As per </w:t>
      </w:r>
      <w:r w:rsidRPr="008E3405">
        <w:rPr>
          <w:rFonts w:ascii="Times New Roman" w:eastAsia="Times New Roman" w:hAnsi="Times New Roman" w:cs="Times New Roman"/>
          <w:color w:val="000000"/>
          <w:sz w:val="24"/>
          <w:szCs w:val="24"/>
          <w:shd w:val="clear" w:color="auto" w:fill="FFFFFF"/>
          <w:lang w:val="en-GB"/>
        </w:rPr>
        <w:t>Nariswari and Nugraha (2020)</w:t>
      </w:r>
      <w:r w:rsidRPr="008E3405">
        <w:rPr>
          <w:rFonts w:ascii="Times New Roman" w:eastAsia="Times New Roman" w:hAnsi="Times New Roman" w:cs="Times New Roman"/>
          <w:color w:val="000000"/>
          <w:sz w:val="24"/>
          <w:szCs w:val="24"/>
          <w:lang w:val="en-GB"/>
        </w:rPr>
        <w:t xml:space="preserve">, maintaining a lower debt balance in capital structure helps organisations in avoiding threat of insolvency. Overall, it can be said that Sweets plc is </w:t>
      </w:r>
      <w:r w:rsidRPr="008E3405">
        <w:rPr>
          <w:rFonts w:ascii="Times New Roman" w:eastAsia="Times New Roman" w:hAnsi="Times New Roman" w:cs="Times New Roman"/>
          <w:color w:val="000000"/>
          <w:sz w:val="24"/>
          <w:szCs w:val="24"/>
          <w:lang w:val="en-GB"/>
        </w:rPr>
        <w:lastRenderedPageBreak/>
        <w:t>improving in profitability, liquidity, and decent efficiency &amp; solvency position. Therefore, it can be said that Sweets plc has a sound financial position at end of 2021. Further, it can enhance financial performance in future by taking less time to convert inventories into sales and honouring debt obligations effectively.         </w:t>
      </w: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bookmarkStart w:id="31" w:name="_Toc109408804"/>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8E3405" w:rsidRDefault="008E3405"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t>Conclusion</w:t>
      </w:r>
      <w:bookmarkEnd w:id="31"/>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2B5E93" w:rsidRPr="008E3405" w:rsidRDefault="002B5E93" w:rsidP="002B5E93">
      <w:pPr>
        <w:keepNext/>
        <w:keepLines/>
        <w:spacing w:after="0" w:line="360" w:lineRule="auto"/>
        <w:jc w:val="center"/>
        <w:outlineLvl w:val="0"/>
        <w:rPr>
          <w:rFonts w:ascii="Times New Roman" w:eastAsia="Times New Roman" w:hAnsi="Times New Roman" w:cs="Times New Roman"/>
          <w:b/>
          <w:color w:val="000000"/>
          <w:sz w:val="24"/>
          <w:szCs w:val="24"/>
          <w:lang w:val="en-GB" w:eastAsia="en-IN"/>
        </w:rPr>
      </w:pPr>
    </w:p>
    <w:p w:rsidR="008E3405" w:rsidRPr="008E3405" w:rsidRDefault="008E3405" w:rsidP="008E3405">
      <w:pPr>
        <w:spacing w:after="0" w:line="360" w:lineRule="auto"/>
        <w:jc w:val="both"/>
        <w:rPr>
          <w:rFonts w:ascii="Times New Roman" w:eastAsia="Times New Roman" w:hAnsi="Times New Roman" w:cs="Times New Roman"/>
          <w:color w:val="000000"/>
          <w:sz w:val="24"/>
          <w:szCs w:val="24"/>
          <w:lang w:val="en-GB"/>
        </w:rPr>
      </w:pPr>
      <w:r w:rsidRPr="008E3405">
        <w:rPr>
          <w:rFonts w:ascii="Times New Roman" w:eastAsia="Times New Roman" w:hAnsi="Times New Roman" w:cs="Times New Roman"/>
          <w:color w:val="000000"/>
          <w:sz w:val="24"/>
          <w:szCs w:val="24"/>
          <w:lang w:val="en-GB"/>
        </w:rPr>
        <w:t xml:space="preserve">Effective management of business operations aids in financial and non-financial performance of companies. Income statements and financial statements are crucial financial statements for any company. A financial position statement is always balanced due to use of double entry system. In Wales plc, calculations show £1350 net gain and £1226975 financial position at year-end. As per ratio calculation, Sweets plc had a sound financial performance. </w:t>
      </w:r>
    </w:p>
    <w:p w:rsidR="00C01C36" w:rsidRPr="002B5E93" w:rsidRDefault="008E3405" w:rsidP="002B5E93">
      <w:pPr>
        <w:spacing w:before="200" w:after="20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br w:type="page"/>
      </w:r>
      <w:bookmarkStart w:id="32" w:name="_vgomj1nm49tw" w:colFirst="0" w:colLast="0"/>
      <w:bookmarkStart w:id="33" w:name="_Toc109408805"/>
      <w:bookmarkEnd w:id="32"/>
    </w:p>
    <w:p w:rsidR="00C01C36" w:rsidRPr="002B5E93" w:rsidRDefault="002B5E93" w:rsidP="00740E2D">
      <w:pPr>
        <w:keepNext/>
        <w:keepLines/>
        <w:spacing w:before="200" w:after="200" w:line="360" w:lineRule="auto"/>
        <w:jc w:val="center"/>
        <w:outlineLvl w:val="0"/>
        <w:rPr>
          <w:rFonts w:ascii="Times New Roman" w:eastAsia="Times New Roman" w:hAnsi="Times New Roman" w:cs="Times New Roman"/>
          <w:b/>
          <w:color w:val="000000"/>
          <w:sz w:val="28"/>
          <w:szCs w:val="28"/>
          <w:lang w:val="en-GB" w:eastAsia="en-IN"/>
        </w:rPr>
      </w:pPr>
      <w:r w:rsidRPr="002B5E93">
        <w:rPr>
          <w:rFonts w:ascii="Times New Roman" w:eastAsia="Times New Roman" w:hAnsi="Times New Roman" w:cs="Times New Roman"/>
          <w:b/>
          <w:color w:val="000000"/>
          <w:sz w:val="28"/>
          <w:szCs w:val="28"/>
          <w:lang w:val="en-GB" w:eastAsia="en-IN"/>
        </w:rPr>
        <w:lastRenderedPageBreak/>
        <w:t>QUESTION 1</w:t>
      </w:r>
    </w:p>
    <w:p w:rsidR="00C01C36" w:rsidRDefault="00C01C36"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r w:rsidRPr="00C01C36">
        <w:drawing>
          <wp:inline distT="0" distB="0" distL="0" distR="0" wp14:anchorId="64060F1F" wp14:editId="577F15FE">
            <wp:extent cx="5370820" cy="8098996"/>
            <wp:effectExtent l="0" t="0" r="1905"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0588" cy="8128806"/>
                    </a:xfrm>
                    <a:prstGeom prst="rect">
                      <a:avLst/>
                    </a:prstGeom>
                    <a:noFill/>
                    <a:ln>
                      <a:noFill/>
                    </a:ln>
                  </pic:spPr>
                </pic:pic>
              </a:graphicData>
            </a:graphic>
          </wp:inline>
        </w:drawing>
      </w:r>
    </w:p>
    <w:p w:rsidR="002B5E93" w:rsidRDefault="002B5E93" w:rsidP="008E3405">
      <w:pPr>
        <w:keepNext/>
        <w:keepLines/>
        <w:spacing w:before="200" w:after="200" w:line="360" w:lineRule="auto"/>
        <w:jc w:val="both"/>
        <w:outlineLvl w:val="0"/>
      </w:pPr>
    </w:p>
    <w:p w:rsidR="002B5E93" w:rsidRDefault="002B5E93" w:rsidP="008E3405">
      <w:pPr>
        <w:keepNext/>
        <w:keepLines/>
        <w:spacing w:before="200" w:after="200" w:line="360" w:lineRule="auto"/>
        <w:jc w:val="both"/>
        <w:outlineLvl w:val="0"/>
      </w:pPr>
    </w:p>
    <w:p w:rsidR="00C01C36" w:rsidRDefault="002B5E93"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r w:rsidRPr="002B5E93">
        <w:drawing>
          <wp:inline distT="0" distB="0" distL="0" distR="0">
            <wp:extent cx="5699760" cy="697992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9760" cy="6979920"/>
                    </a:xfrm>
                    <a:prstGeom prst="rect">
                      <a:avLst/>
                    </a:prstGeom>
                    <a:noFill/>
                    <a:ln>
                      <a:noFill/>
                    </a:ln>
                  </pic:spPr>
                </pic:pic>
              </a:graphicData>
            </a:graphic>
          </wp:inline>
        </w:drawing>
      </w:r>
    </w:p>
    <w:p w:rsidR="002B5E93" w:rsidRDefault="002B5E93"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2B5E93" w:rsidRDefault="002B5E93"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p>
    <w:p w:rsidR="00740E2D"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r>
        <w:rPr>
          <w:rFonts w:ascii="Times New Roman" w:eastAsia="Times New Roman" w:hAnsi="Times New Roman" w:cs="Times New Roman"/>
          <w:b/>
          <w:color w:val="000000"/>
          <w:sz w:val="24"/>
          <w:szCs w:val="24"/>
          <w:lang w:val="en-GB" w:eastAsia="en-IN"/>
        </w:rPr>
        <w:t>QUESTION 2</w:t>
      </w:r>
    </w:p>
    <w:p w:rsidR="00740E2D"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p>
    <w:p w:rsidR="00740E2D"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p>
    <w:p w:rsidR="00740E2D"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p>
    <w:p w:rsidR="008F1DC5"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r w:rsidRPr="00740E2D">
        <w:drawing>
          <wp:inline distT="0" distB="0" distL="0" distR="0">
            <wp:extent cx="5204460" cy="5158740"/>
            <wp:effectExtent l="0" t="0" r="0" b="381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4460" cy="5158740"/>
                    </a:xfrm>
                    <a:prstGeom prst="rect">
                      <a:avLst/>
                    </a:prstGeom>
                    <a:noFill/>
                    <a:ln>
                      <a:noFill/>
                    </a:ln>
                  </pic:spPr>
                </pic:pic>
              </a:graphicData>
            </a:graphic>
          </wp:inline>
        </w:drawing>
      </w: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r w:rsidRPr="00740E2D">
        <w:drawing>
          <wp:inline distT="0" distB="0" distL="0" distR="0">
            <wp:extent cx="3718560" cy="3771900"/>
            <wp:effectExtent l="0" t="0" r="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8560" cy="3771900"/>
                    </a:xfrm>
                    <a:prstGeom prst="rect">
                      <a:avLst/>
                    </a:prstGeom>
                    <a:noFill/>
                    <a:ln>
                      <a:noFill/>
                    </a:ln>
                  </pic:spPr>
                </pic:pic>
              </a:graphicData>
            </a:graphic>
          </wp:inline>
        </w:drawing>
      </w: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F1DC5" w:rsidRDefault="008F1DC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740E2D">
      <w:pPr>
        <w:keepNext/>
        <w:keepLines/>
        <w:spacing w:before="200" w:after="200" w:line="360" w:lineRule="auto"/>
        <w:jc w:val="center"/>
        <w:outlineLvl w:val="0"/>
        <w:rPr>
          <w:rFonts w:ascii="Times New Roman" w:eastAsia="Times New Roman" w:hAnsi="Times New Roman" w:cs="Times New Roman"/>
          <w:b/>
          <w:color w:val="000000"/>
          <w:sz w:val="24"/>
          <w:szCs w:val="24"/>
          <w:lang w:val="en-GB" w:eastAsia="en-IN"/>
        </w:rPr>
      </w:pPr>
      <w:r w:rsidRPr="00740E2D">
        <w:drawing>
          <wp:inline distT="0" distB="0" distL="0" distR="0">
            <wp:extent cx="4305300" cy="4762500"/>
            <wp:effectExtent l="0" t="0" r="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5300" cy="4762500"/>
                    </a:xfrm>
                    <a:prstGeom prst="rect">
                      <a:avLst/>
                    </a:prstGeom>
                    <a:noFill/>
                    <a:ln>
                      <a:noFill/>
                    </a:ln>
                  </pic:spPr>
                </pic:pic>
              </a:graphicData>
            </a:graphic>
          </wp:inline>
        </w:drawing>
      </w: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740E2D" w:rsidRDefault="00740E2D"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p>
    <w:p w:rsidR="008E3405" w:rsidRPr="008E3405" w:rsidRDefault="008E3405" w:rsidP="008E3405">
      <w:pPr>
        <w:keepNext/>
        <w:keepLines/>
        <w:spacing w:before="200" w:after="200" w:line="360" w:lineRule="auto"/>
        <w:jc w:val="both"/>
        <w:outlineLvl w:val="0"/>
        <w:rPr>
          <w:rFonts w:ascii="Times New Roman" w:eastAsia="Times New Roman" w:hAnsi="Times New Roman" w:cs="Times New Roman"/>
          <w:b/>
          <w:color w:val="000000"/>
          <w:sz w:val="24"/>
          <w:szCs w:val="24"/>
          <w:lang w:val="en-GB" w:eastAsia="en-IN"/>
        </w:rPr>
      </w:pPr>
      <w:r w:rsidRPr="008E3405">
        <w:rPr>
          <w:rFonts w:ascii="Times New Roman" w:eastAsia="Times New Roman" w:hAnsi="Times New Roman" w:cs="Times New Roman"/>
          <w:b/>
          <w:color w:val="000000"/>
          <w:sz w:val="24"/>
          <w:szCs w:val="24"/>
          <w:lang w:val="en-GB" w:eastAsia="en-IN"/>
        </w:rPr>
        <w:lastRenderedPageBreak/>
        <w:t>Reference List</w:t>
      </w:r>
      <w:bookmarkEnd w:id="33"/>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shd w:val="clear" w:color="auto" w:fill="FFFFFF"/>
          <w:lang w:val="en-GB" w:eastAsia="en-IN"/>
        </w:rPr>
      </w:pPr>
      <w:r w:rsidRPr="008E3405">
        <w:rPr>
          <w:rFonts w:ascii="Times New Roman" w:eastAsia="Times New Roman" w:hAnsi="Times New Roman" w:cs="Times New Roman"/>
          <w:color w:val="000000"/>
          <w:sz w:val="24"/>
          <w:szCs w:val="24"/>
          <w:shd w:val="clear" w:color="auto" w:fill="FFFFFF"/>
          <w:lang w:val="en-GB" w:eastAsia="en-IN"/>
        </w:rPr>
        <w:t>Arnold, G. and Lewis, D.S., (2019). </w:t>
      </w:r>
      <w:r w:rsidRPr="008E3405">
        <w:rPr>
          <w:rFonts w:ascii="Times New Roman" w:eastAsia="Times New Roman" w:hAnsi="Times New Roman" w:cs="Times New Roman"/>
          <w:i/>
          <w:iCs/>
          <w:color w:val="000000"/>
          <w:sz w:val="24"/>
          <w:szCs w:val="24"/>
          <w:shd w:val="clear" w:color="auto" w:fill="FFFFFF"/>
          <w:lang w:val="en-GB" w:eastAsia="en-IN"/>
        </w:rPr>
        <w:t>Corporate financial management, 6</w:t>
      </w:r>
      <w:r w:rsidRPr="008E3405">
        <w:rPr>
          <w:rFonts w:ascii="Times New Roman" w:eastAsia="Times New Roman" w:hAnsi="Times New Roman" w:cs="Times New Roman"/>
          <w:i/>
          <w:iCs/>
          <w:color w:val="000000"/>
          <w:sz w:val="24"/>
          <w:szCs w:val="24"/>
          <w:shd w:val="clear" w:color="auto" w:fill="FFFFFF"/>
          <w:vertAlign w:val="superscript"/>
          <w:lang w:val="en-GB" w:eastAsia="en-IN"/>
        </w:rPr>
        <w:t>th</w:t>
      </w:r>
      <w:r w:rsidRPr="008E3405">
        <w:rPr>
          <w:rFonts w:ascii="Times New Roman" w:eastAsia="Times New Roman" w:hAnsi="Times New Roman" w:cs="Times New Roman"/>
          <w:i/>
          <w:iCs/>
          <w:color w:val="000000"/>
          <w:sz w:val="24"/>
          <w:szCs w:val="24"/>
          <w:shd w:val="clear" w:color="auto" w:fill="FFFFFF"/>
          <w:lang w:val="en-GB" w:eastAsia="en-IN"/>
        </w:rPr>
        <w:t xml:space="preserve"> edition</w:t>
      </w:r>
      <w:r w:rsidRPr="008E3405">
        <w:rPr>
          <w:rFonts w:ascii="Times New Roman" w:eastAsia="Times New Roman" w:hAnsi="Times New Roman" w:cs="Times New Roman"/>
          <w:color w:val="000000"/>
          <w:sz w:val="24"/>
          <w:szCs w:val="24"/>
          <w:shd w:val="clear" w:color="auto" w:fill="FFFFFF"/>
          <w:lang w:val="en-GB" w:eastAsia="en-IN"/>
        </w:rPr>
        <w:t>. Pearson: UK.</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Aseinimieyeofori, P.A., (2022). Non-current assets investment and financial performance of listed insurance companies in Nigeria. </w:t>
      </w:r>
      <w:r w:rsidRPr="008E3405">
        <w:rPr>
          <w:rFonts w:ascii="Times New Roman" w:eastAsia="Times New Roman" w:hAnsi="Times New Roman" w:cs="Times New Roman"/>
          <w:i/>
          <w:color w:val="000000"/>
          <w:sz w:val="24"/>
          <w:szCs w:val="24"/>
          <w:lang w:val="en-GB" w:eastAsia="en-IN"/>
        </w:rPr>
        <w:t>BW Academic Journal</w:t>
      </w:r>
      <w:r w:rsidRPr="008E3405">
        <w:rPr>
          <w:rFonts w:ascii="Times New Roman" w:eastAsia="Times New Roman" w:hAnsi="Times New Roman" w:cs="Times New Roman"/>
          <w:color w:val="000000"/>
          <w:sz w:val="24"/>
          <w:szCs w:val="24"/>
          <w:lang w:val="en-GB" w:eastAsia="en-IN"/>
        </w:rPr>
        <w:t xml:space="preserve">, </w:t>
      </w:r>
      <w:r w:rsidRPr="008E3405">
        <w:rPr>
          <w:rFonts w:ascii="Times New Roman" w:eastAsia="Times New Roman" w:hAnsi="Times New Roman" w:cs="Times New Roman"/>
          <w:i/>
          <w:color w:val="000000"/>
          <w:sz w:val="24"/>
          <w:szCs w:val="24"/>
          <w:lang w:val="en-GB" w:eastAsia="en-IN"/>
        </w:rPr>
        <w:t>1</w:t>
      </w:r>
      <w:r w:rsidRPr="008E3405">
        <w:rPr>
          <w:rFonts w:ascii="Times New Roman" w:eastAsia="Times New Roman" w:hAnsi="Times New Roman" w:cs="Times New Roman"/>
          <w:color w:val="000000"/>
          <w:sz w:val="24"/>
          <w:szCs w:val="24"/>
          <w:lang w:val="en-GB" w:eastAsia="en-IN"/>
        </w:rPr>
        <w:t>(1), pp.17-17.</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Chauhan, J., Ansari, M.S., Taqi, M. and Ajmal, M., (2019). Dividend policy and its impact on performance of Indian information technology companies. </w:t>
      </w:r>
      <w:r w:rsidRPr="008E3405">
        <w:rPr>
          <w:rFonts w:ascii="Times New Roman" w:eastAsia="Times New Roman" w:hAnsi="Times New Roman" w:cs="Times New Roman"/>
          <w:i/>
          <w:color w:val="000000"/>
          <w:sz w:val="24"/>
          <w:szCs w:val="24"/>
          <w:lang w:val="en-GB" w:eastAsia="en-IN"/>
        </w:rPr>
        <w:t>International Journal of Finance and Accounting</w:t>
      </w:r>
      <w:r w:rsidRPr="008E3405">
        <w:rPr>
          <w:rFonts w:ascii="Times New Roman" w:eastAsia="Times New Roman" w:hAnsi="Times New Roman" w:cs="Times New Roman"/>
          <w:color w:val="000000"/>
          <w:sz w:val="24"/>
          <w:szCs w:val="24"/>
          <w:lang w:val="en-GB" w:eastAsia="en-IN"/>
        </w:rPr>
        <w:t xml:space="preserve">, </w:t>
      </w:r>
      <w:r w:rsidRPr="008E3405">
        <w:rPr>
          <w:rFonts w:ascii="Times New Roman" w:eastAsia="Times New Roman" w:hAnsi="Times New Roman" w:cs="Times New Roman"/>
          <w:i/>
          <w:color w:val="000000"/>
          <w:sz w:val="24"/>
          <w:szCs w:val="24"/>
          <w:lang w:val="en-GB" w:eastAsia="en-IN"/>
        </w:rPr>
        <w:t>8</w:t>
      </w:r>
      <w:r w:rsidRPr="008E3405">
        <w:rPr>
          <w:rFonts w:ascii="Times New Roman" w:eastAsia="Times New Roman" w:hAnsi="Times New Roman" w:cs="Times New Roman"/>
          <w:color w:val="000000"/>
          <w:sz w:val="24"/>
          <w:szCs w:val="24"/>
          <w:lang w:val="en-GB" w:eastAsia="en-IN"/>
        </w:rPr>
        <w:t>(1), pp.36-42.</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Hilkevics, S. and Semakina, V., (2019). The classification and comparison of business ratios analysis methods. </w:t>
      </w:r>
      <w:r w:rsidRPr="008E3405">
        <w:rPr>
          <w:rFonts w:ascii="Times New Roman" w:eastAsia="Times New Roman" w:hAnsi="Times New Roman" w:cs="Times New Roman"/>
          <w:i/>
          <w:color w:val="000000"/>
          <w:sz w:val="24"/>
          <w:szCs w:val="24"/>
          <w:lang w:val="en-GB" w:eastAsia="en-IN"/>
        </w:rPr>
        <w:t>Insights into Regional Development</w:t>
      </w:r>
      <w:r w:rsidRPr="008E3405">
        <w:rPr>
          <w:rFonts w:ascii="Times New Roman" w:eastAsia="Times New Roman" w:hAnsi="Times New Roman" w:cs="Times New Roman"/>
          <w:color w:val="000000"/>
          <w:sz w:val="24"/>
          <w:szCs w:val="24"/>
          <w:lang w:val="en-GB" w:eastAsia="en-IN"/>
        </w:rPr>
        <w:t xml:space="preserve">, </w:t>
      </w:r>
      <w:r w:rsidRPr="008E3405">
        <w:rPr>
          <w:rFonts w:ascii="Times New Roman" w:eastAsia="Times New Roman" w:hAnsi="Times New Roman" w:cs="Times New Roman"/>
          <w:i/>
          <w:color w:val="000000"/>
          <w:sz w:val="24"/>
          <w:szCs w:val="24"/>
          <w:lang w:val="en-GB" w:eastAsia="en-IN"/>
        </w:rPr>
        <w:t>1</w:t>
      </w:r>
      <w:r w:rsidRPr="008E3405">
        <w:rPr>
          <w:rFonts w:ascii="Times New Roman" w:eastAsia="Times New Roman" w:hAnsi="Times New Roman" w:cs="Times New Roman"/>
          <w:color w:val="000000"/>
          <w:sz w:val="24"/>
          <w:szCs w:val="24"/>
          <w:lang w:val="en-GB" w:eastAsia="en-IN"/>
        </w:rPr>
        <w:t>(1), pp.47-56.</w:t>
      </w:r>
    </w:p>
    <w:p w:rsidR="008E3405" w:rsidRPr="008E3405" w:rsidRDefault="008E3405" w:rsidP="008E3405">
      <w:pPr>
        <w:autoSpaceDE w:val="0"/>
        <w:autoSpaceDN w:val="0"/>
        <w:adjustRightInd w:val="0"/>
        <w:spacing w:after="0" w:line="360" w:lineRule="auto"/>
        <w:jc w:val="both"/>
        <w:rPr>
          <w:rFonts w:ascii="Times New Roman" w:eastAsia="Arial" w:hAnsi="Times New Roman" w:cs="Times New Roman"/>
          <w:color w:val="000000"/>
          <w:sz w:val="24"/>
          <w:szCs w:val="24"/>
          <w:lang w:val="en-US"/>
        </w:rPr>
      </w:pPr>
      <w:r w:rsidRPr="008E3405">
        <w:rPr>
          <w:rFonts w:ascii="Times New Roman" w:eastAsia="Arial" w:hAnsi="Times New Roman" w:cs="Times New Roman"/>
          <w:color w:val="000000"/>
          <w:sz w:val="24"/>
          <w:szCs w:val="24"/>
          <w:lang w:val="en-US"/>
        </w:rPr>
        <w:t xml:space="preserve">John R. and Dyson (2017). </w:t>
      </w:r>
      <w:r w:rsidRPr="008E3405">
        <w:rPr>
          <w:rFonts w:ascii="Times New Roman" w:eastAsia="Arial" w:hAnsi="Times New Roman" w:cs="Times New Roman"/>
          <w:i/>
          <w:iCs/>
          <w:color w:val="000000"/>
          <w:sz w:val="24"/>
          <w:szCs w:val="24"/>
          <w:lang w:val="en-US"/>
        </w:rPr>
        <w:t>Accounting for non-accounting students, 8th edition</w:t>
      </w:r>
      <w:r w:rsidRPr="008E3405">
        <w:rPr>
          <w:rFonts w:ascii="Times New Roman" w:eastAsia="Arial" w:hAnsi="Times New Roman" w:cs="Times New Roman"/>
          <w:color w:val="000000"/>
          <w:sz w:val="24"/>
          <w:szCs w:val="24"/>
          <w:lang w:val="en-US"/>
        </w:rPr>
        <w:t xml:space="preserve">, Financial Times Prentice Hall: UK. </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Khalid, R., Saif, T., Gondal, A.R. and Sarfraz, H., (2018). Working capital management and profitability. </w:t>
      </w:r>
      <w:r w:rsidRPr="008E3405">
        <w:rPr>
          <w:rFonts w:ascii="Times New Roman" w:eastAsia="Times New Roman" w:hAnsi="Times New Roman" w:cs="Times New Roman"/>
          <w:i/>
          <w:color w:val="000000"/>
          <w:sz w:val="24"/>
          <w:szCs w:val="24"/>
          <w:lang w:val="en-GB" w:eastAsia="en-IN"/>
        </w:rPr>
        <w:t>Mediterranean Journal of Basic and Applied Sciences (MJBAS)</w:t>
      </w:r>
      <w:r w:rsidRPr="008E3405">
        <w:rPr>
          <w:rFonts w:ascii="Times New Roman" w:eastAsia="Times New Roman" w:hAnsi="Times New Roman" w:cs="Times New Roman"/>
          <w:color w:val="000000"/>
          <w:sz w:val="24"/>
          <w:szCs w:val="24"/>
          <w:lang w:val="en-GB" w:eastAsia="en-IN"/>
        </w:rPr>
        <w:t xml:space="preserve">, </w:t>
      </w:r>
      <w:r w:rsidRPr="008E3405">
        <w:rPr>
          <w:rFonts w:ascii="Times New Roman" w:eastAsia="Times New Roman" w:hAnsi="Times New Roman" w:cs="Times New Roman"/>
          <w:i/>
          <w:color w:val="000000"/>
          <w:sz w:val="24"/>
          <w:szCs w:val="24"/>
          <w:lang w:val="en-GB" w:eastAsia="en-IN"/>
        </w:rPr>
        <w:t>2</w:t>
      </w:r>
      <w:r w:rsidRPr="008E3405">
        <w:rPr>
          <w:rFonts w:ascii="Times New Roman" w:eastAsia="Times New Roman" w:hAnsi="Times New Roman" w:cs="Times New Roman"/>
          <w:color w:val="000000"/>
          <w:sz w:val="24"/>
          <w:szCs w:val="24"/>
          <w:lang w:val="en-GB" w:eastAsia="en-IN"/>
        </w:rPr>
        <w:t>(2), pp.117-125.</w:t>
      </w:r>
    </w:p>
    <w:p w:rsidR="008E3405" w:rsidRPr="008E3405" w:rsidRDefault="008E3405" w:rsidP="008E3405">
      <w:pPr>
        <w:autoSpaceDE w:val="0"/>
        <w:autoSpaceDN w:val="0"/>
        <w:adjustRightInd w:val="0"/>
        <w:spacing w:before="240" w:after="240" w:line="360" w:lineRule="auto"/>
        <w:jc w:val="both"/>
        <w:rPr>
          <w:rFonts w:ascii="Times New Roman" w:eastAsia="Arial" w:hAnsi="Times New Roman" w:cs="Times New Roman"/>
          <w:color w:val="000000"/>
          <w:sz w:val="24"/>
          <w:szCs w:val="24"/>
          <w:lang w:val="en-GB"/>
        </w:rPr>
      </w:pPr>
      <w:r w:rsidRPr="008E3405">
        <w:rPr>
          <w:rFonts w:ascii="Times New Roman" w:eastAsia="Arial" w:hAnsi="Times New Roman" w:cs="Times New Roman"/>
          <w:color w:val="000000"/>
          <w:sz w:val="24"/>
          <w:szCs w:val="24"/>
          <w:lang w:val="en-GB"/>
        </w:rPr>
        <w:t xml:space="preserve">McLaney and Atrill, (2016). </w:t>
      </w:r>
      <w:r w:rsidRPr="008E3405">
        <w:rPr>
          <w:rFonts w:ascii="Times New Roman" w:eastAsia="Arial" w:hAnsi="Times New Roman" w:cs="Times New Roman"/>
          <w:i/>
          <w:iCs/>
          <w:color w:val="000000"/>
          <w:sz w:val="24"/>
          <w:szCs w:val="24"/>
          <w:lang w:val="en-GB"/>
        </w:rPr>
        <w:t>Financial accounting for decision makers, 10th edition</w:t>
      </w:r>
      <w:r w:rsidRPr="008E3405">
        <w:rPr>
          <w:rFonts w:ascii="Times New Roman" w:eastAsia="Arial" w:hAnsi="Times New Roman" w:cs="Times New Roman"/>
          <w:color w:val="000000"/>
          <w:sz w:val="24"/>
          <w:szCs w:val="24"/>
          <w:lang w:val="en-GB"/>
        </w:rPr>
        <w:t xml:space="preserve">, FT Prentice Hall: UK. </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Nariswari, T.N. and Nugraha, N.M., (2020). Profit growth: impact of net profit margin, gross profit margin and total assests turnover. </w:t>
      </w:r>
      <w:r w:rsidRPr="008E3405">
        <w:rPr>
          <w:rFonts w:ascii="Times New Roman" w:eastAsia="Times New Roman" w:hAnsi="Times New Roman" w:cs="Times New Roman"/>
          <w:i/>
          <w:color w:val="000000"/>
          <w:sz w:val="24"/>
          <w:szCs w:val="24"/>
          <w:lang w:val="en-GB" w:eastAsia="en-IN"/>
        </w:rPr>
        <w:t>International Journal of Finance &amp; Banking Studies (2147-4486)</w:t>
      </w:r>
      <w:r w:rsidRPr="008E3405">
        <w:rPr>
          <w:rFonts w:ascii="Times New Roman" w:eastAsia="Times New Roman" w:hAnsi="Times New Roman" w:cs="Times New Roman"/>
          <w:color w:val="000000"/>
          <w:sz w:val="24"/>
          <w:szCs w:val="24"/>
          <w:lang w:val="en-GB" w:eastAsia="en-IN"/>
        </w:rPr>
        <w:t xml:space="preserve">, </w:t>
      </w:r>
      <w:r w:rsidRPr="008E3405">
        <w:rPr>
          <w:rFonts w:ascii="Times New Roman" w:eastAsia="Times New Roman" w:hAnsi="Times New Roman" w:cs="Times New Roman"/>
          <w:i/>
          <w:color w:val="000000"/>
          <w:sz w:val="24"/>
          <w:szCs w:val="24"/>
          <w:lang w:val="en-GB" w:eastAsia="en-IN"/>
        </w:rPr>
        <w:t>9</w:t>
      </w:r>
      <w:r w:rsidRPr="008E3405">
        <w:rPr>
          <w:rFonts w:ascii="Times New Roman" w:eastAsia="Times New Roman" w:hAnsi="Times New Roman" w:cs="Times New Roman"/>
          <w:color w:val="000000"/>
          <w:sz w:val="24"/>
          <w:szCs w:val="24"/>
          <w:lang w:val="en-GB" w:eastAsia="en-IN"/>
        </w:rPr>
        <w:t>(4), pp.87-96.</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shd w:val="clear" w:color="auto" w:fill="FFFFFF"/>
          <w:lang w:val="en-GB" w:eastAsia="en-IN"/>
        </w:rPr>
      </w:pPr>
      <w:r w:rsidRPr="008E3405">
        <w:rPr>
          <w:rFonts w:ascii="Times New Roman" w:eastAsia="Times New Roman" w:hAnsi="Times New Roman" w:cs="Times New Roman"/>
          <w:color w:val="000000"/>
          <w:sz w:val="24"/>
          <w:szCs w:val="24"/>
          <w:shd w:val="clear" w:color="auto" w:fill="FFFFFF"/>
          <w:lang w:val="en-GB" w:eastAsia="en-IN"/>
        </w:rPr>
        <w:t>Nariswari, T.N. and Nugraha, N.M., (2020). Profit Growth: Impact of Net Profit Margin, Gross Profit Margin and Total Assests Turnover. </w:t>
      </w:r>
      <w:r w:rsidRPr="008E3405">
        <w:rPr>
          <w:rFonts w:ascii="Times New Roman" w:eastAsia="Times New Roman" w:hAnsi="Times New Roman" w:cs="Times New Roman"/>
          <w:i/>
          <w:iCs/>
          <w:color w:val="000000"/>
          <w:sz w:val="24"/>
          <w:szCs w:val="24"/>
          <w:shd w:val="clear" w:color="auto" w:fill="FFFFFF"/>
          <w:lang w:val="en-GB" w:eastAsia="en-IN"/>
        </w:rPr>
        <w:t>International Journal of Finance &amp; Banking Studies</w:t>
      </w:r>
      <w:r w:rsidRPr="008E3405">
        <w:rPr>
          <w:rFonts w:ascii="Times New Roman" w:eastAsia="Times New Roman" w:hAnsi="Times New Roman" w:cs="Times New Roman"/>
          <w:color w:val="000000"/>
          <w:sz w:val="24"/>
          <w:szCs w:val="24"/>
          <w:shd w:val="clear" w:color="auto" w:fill="FFFFFF"/>
          <w:lang w:val="en-GB" w:eastAsia="en-IN"/>
        </w:rPr>
        <w:t>, </w:t>
      </w:r>
      <w:r w:rsidRPr="008E3405">
        <w:rPr>
          <w:rFonts w:ascii="Times New Roman" w:eastAsia="Times New Roman" w:hAnsi="Times New Roman" w:cs="Times New Roman"/>
          <w:i/>
          <w:iCs/>
          <w:color w:val="000000"/>
          <w:sz w:val="24"/>
          <w:szCs w:val="24"/>
          <w:shd w:val="clear" w:color="auto" w:fill="FFFFFF"/>
          <w:lang w:val="en-GB" w:eastAsia="en-IN"/>
        </w:rPr>
        <w:t>9</w:t>
      </w:r>
      <w:r w:rsidRPr="008E3405">
        <w:rPr>
          <w:rFonts w:ascii="Times New Roman" w:eastAsia="Times New Roman" w:hAnsi="Times New Roman" w:cs="Times New Roman"/>
          <w:color w:val="000000"/>
          <w:sz w:val="24"/>
          <w:szCs w:val="24"/>
          <w:shd w:val="clear" w:color="auto" w:fill="FFFFFF"/>
          <w:lang w:val="en-GB" w:eastAsia="en-IN"/>
        </w:rPr>
        <w:t>(4), pp.87-96.</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lang w:val="en-GB" w:eastAsia="en-IN"/>
        </w:rPr>
      </w:pPr>
      <w:r w:rsidRPr="008E3405">
        <w:rPr>
          <w:rFonts w:ascii="Times New Roman" w:eastAsia="Times New Roman" w:hAnsi="Times New Roman" w:cs="Times New Roman"/>
          <w:color w:val="000000"/>
          <w:sz w:val="24"/>
          <w:szCs w:val="24"/>
          <w:lang w:val="en-GB" w:eastAsia="en-IN"/>
        </w:rPr>
        <w:t xml:space="preserve">Otekunrin, A.O., Asamu, F.F., Oye, O.O. and Olowookere, J.K., (2019). Current market price of share capital and profitability of selected firms on Nigerian stock exchange. </w:t>
      </w:r>
      <w:r w:rsidRPr="008E3405">
        <w:rPr>
          <w:rFonts w:ascii="Times New Roman" w:eastAsia="Times New Roman" w:hAnsi="Times New Roman" w:cs="Times New Roman"/>
          <w:i/>
          <w:color w:val="000000"/>
          <w:sz w:val="24"/>
          <w:szCs w:val="24"/>
          <w:lang w:val="en-GB" w:eastAsia="en-IN"/>
        </w:rPr>
        <w:t>International Journal of Civil Engineering and Technology</w:t>
      </w:r>
      <w:r w:rsidRPr="008E3405">
        <w:rPr>
          <w:rFonts w:ascii="Times New Roman" w:eastAsia="Times New Roman" w:hAnsi="Times New Roman" w:cs="Times New Roman"/>
          <w:color w:val="000000"/>
          <w:sz w:val="24"/>
          <w:szCs w:val="24"/>
          <w:lang w:val="en-GB" w:eastAsia="en-IN"/>
        </w:rPr>
        <w:t xml:space="preserve">, </w:t>
      </w:r>
      <w:r w:rsidRPr="008E3405">
        <w:rPr>
          <w:rFonts w:ascii="Times New Roman" w:eastAsia="Times New Roman" w:hAnsi="Times New Roman" w:cs="Times New Roman"/>
          <w:i/>
          <w:color w:val="000000"/>
          <w:sz w:val="24"/>
          <w:szCs w:val="24"/>
          <w:lang w:val="en-GB" w:eastAsia="en-IN"/>
        </w:rPr>
        <w:t>10</w:t>
      </w:r>
      <w:r w:rsidRPr="008E3405">
        <w:rPr>
          <w:rFonts w:ascii="Times New Roman" w:eastAsia="Times New Roman" w:hAnsi="Times New Roman" w:cs="Times New Roman"/>
          <w:color w:val="000000"/>
          <w:sz w:val="24"/>
          <w:szCs w:val="24"/>
          <w:lang w:val="en-GB" w:eastAsia="en-IN"/>
        </w:rPr>
        <w:t>(1), pp.1274-1287.</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shd w:val="clear" w:color="auto" w:fill="FFFFFF"/>
          <w:lang w:val="en-GB" w:eastAsia="en-IN"/>
        </w:rPr>
      </w:pPr>
      <w:r w:rsidRPr="008E3405">
        <w:rPr>
          <w:rFonts w:ascii="Times New Roman" w:eastAsia="Times New Roman" w:hAnsi="Times New Roman" w:cs="Times New Roman"/>
          <w:color w:val="000000"/>
          <w:sz w:val="24"/>
          <w:szCs w:val="24"/>
          <w:shd w:val="clear" w:color="auto" w:fill="FFFFFF"/>
          <w:lang w:val="en-GB" w:eastAsia="en-IN"/>
        </w:rPr>
        <w:t xml:space="preserve">Sagala, D.A.P.H., (2019). Effect of Current Ratio, Debt </w:t>
      </w:r>
      <w:proofErr w:type="gramStart"/>
      <w:r w:rsidRPr="008E3405">
        <w:rPr>
          <w:rFonts w:ascii="Times New Roman" w:eastAsia="Times New Roman" w:hAnsi="Times New Roman" w:cs="Times New Roman"/>
          <w:color w:val="000000"/>
          <w:sz w:val="24"/>
          <w:szCs w:val="24"/>
          <w:shd w:val="clear" w:color="auto" w:fill="FFFFFF"/>
          <w:lang w:val="en-GB" w:eastAsia="en-IN"/>
        </w:rPr>
        <w:t>To</w:t>
      </w:r>
      <w:proofErr w:type="gramEnd"/>
      <w:r w:rsidRPr="008E3405">
        <w:rPr>
          <w:rFonts w:ascii="Times New Roman" w:eastAsia="Times New Roman" w:hAnsi="Times New Roman" w:cs="Times New Roman"/>
          <w:color w:val="000000"/>
          <w:sz w:val="24"/>
          <w:szCs w:val="24"/>
          <w:shd w:val="clear" w:color="auto" w:fill="FFFFFF"/>
          <w:lang w:val="en-GB" w:eastAsia="en-IN"/>
        </w:rPr>
        <w:t xml:space="preserve"> Equity Ratio, Net Profit Margin, and Total Asset Turnover on Earning Per Share. In </w:t>
      </w:r>
      <w:r w:rsidRPr="008E3405">
        <w:rPr>
          <w:rFonts w:ascii="Times New Roman" w:eastAsia="Times New Roman" w:hAnsi="Times New Roman" w:cs="Times New Roman"/>
          <w:i/>
          <w:iCs/>
          <w:color w:val="000000"/>
          <w:sz w:val="24"/>
          <w:szCs w:val="24"/>
          <w:shd w:val="clear" w:color="auto" w:fill="FFFFFF"/>
          <w:lang w:val="en-GB" w:eastAsia="en-IN"/>
        </w:rPr>
        <w:t>International Conference on Global Education</w:t>
      </w:r>
      <w:r w:rsidRPr="008E3405">
        <w:rPr>
          <w:rFonts w:ascii="Times New Roman" w:eastAsia="Times New Roman" w:hAnsi="Times New Roman" w:cs="Times New Roman"/>
          <w:color w:val="000000"/>
          <w:sz w:val="24"/>
          <w:szCs w:val="24"/>
          <w:shd w:val="clear" w:color="auto" w:fill="FFFFFF"/>
          <w:lang w:val="en-GB" w:eastAsia="en-IN"/>
        </w:rPr>
        <w:t xml:space="preserve">, </w:t>
      </w:r>
      <w:r w:rsidRPr="008E3405">
        <w:rPr>
          <w:rFonts w:ascii="Times New Roman" w:eastAsia="Times New Roman" w:hAnsi="Times New Roman" w:cs="Times New Roman"/>
          <w:i/>
          <w:iCs/>
          <w:color w:val="000000"/>
          <w:sz w:val="24"/>
          <w:szCs w:val="24"/>
          <w:shd w:val="clear" w:color="auto" w:fill="FFFFFF"/>
          <w:lang w:val="en-GB" w:eastAsia="en-IN"/>
        </w:rPr>
        <w:t>2</w:t>
      </w:r>
      <w:r w:rsidRPr="008E3405">
        <w:rPr>
          <w:rFonts w:ascii="Times New Roman" w:eastAsia="Times New Roman" w:hAnsi="Times New Roman" w:cs="Times New Roman"/>
          <w:color w:val="000000"/>
          <w:sz w:val="24"/>
          <w:szCs w:val="24"/>
          <w:shd w:val="clear" w:color="auto" w:fill="FFFFFF"/>
          <w:lang w:val="en-GB" w:eastAsia="en-IN"/>
        </w:rPr>
        <w:t>(3), pp. 1507-1521.</w:t>
      </w:r>
    </w:p>
    <w:p w:rsidR="008E3405" w:rsidRPr="008E3405" w:rsidRDefault="008E3405" w:rsidP="008E3405">
      <w:pPr>
        <w:autoSpaceDE w:val="0"/>
        <w:autoSpaceDN w:val="0"/>
        <w:adjustRightInd w:val="0"/>
        <w:spacing w:before="240" w:after="240" w:line="360" w:lineRule="auto"/>
        <w:jc w:val="both"/>
        <w:rPr>
          <w:rFonts w:ascii="Times New Roman" w:eastAsia="Arial" w:hAnsi="Times New Roman" w:cs="Times New Roman"/>
          <w:color w:val="000000"/>
          <w:sz w:val="24"/>
          <w:szCs w:val="24"/>
          <w:lang w:val="en-GB"/>
        </w:rPr>
      </w:pPr>
      <w:r w:rsidRPr="008E3405">
        <w:rPr>
          <w:rFonts w:ascii="Times New Roman" w:eastAsia="Arial" w:hAnsi="Times New Roman" w:cs="Times New Roman"/>
          <w:color w:val="000000"/>
          <w:sz w:val="24"/>
          <w:szCs w:val="24"/>
          <w:lang w:val="en-GB"/>
        </w:rPr>
        <w:lastRenderedPageBreak/>
        <w:t xml:space="preserve">Wood, F., (2015). </w:t>
      </w:r>
      <w:r w:rsidRPr="008E3405">
        <w:rPr>
          <w:rFonts w:ascii="Times New Roman" w:eastAsia="Arial" w:hAnsi="Times New Roman" w:cs="Times New Roman"/>
          <w:i/>
          <w:iCs/>
          <w:color w:val="000000"/>
          <w:sz w:val="24"/>
          <w:szCs w:val="24"/>
          <w:lang w:val="en-GB"/>
        </w:rPr>
        <w:t>Frank Wood's Business Accounting, 13th Edition</w:t>
      </w:r>
      <w:r w:rsidRPr="008E3405">
        <w:rPr>
          <w:rFonts w:ascii="Times New Roman" w:eastAsia="Arial" w:hAnsi="Times New Roman" w:cs="Times New Roman"/>
          <w:color w:val="000000"/>
          <w:sz w:val="24"/>
          <w:szCs w:val="24"/>
          <w:lang w:val="en-GB"/>
        </w:rPr>
        <w:t xml:space="preserve">. Pearson Education Limited: UK. </w:t>
      </w:r>
    </w:p>
    <w:p w:rsidR="008E3405" w:rsidRPr="008E3405" w:rsidRDefault="008E3405" w:rsidP="008E3405">
      <w:pPr>
        <w:spacing w:before="240" w:after="240" w:line="360" w:lineRule="auto"/>
        <w:jc w:val="both"/>
        <w:rPr>
          <w:rFonts w:ascii="Times New Roman" w:eastAsia="Times New Roman" w:hAnsi="Times New Roman" w:cs="Times New Roman"/>
          <w:color w:val="000000"/>
          <w:sz w:val="24"/>
          <w:szCs w:val="24"/>
          <w:lang w:val="en-GB" w:eastAsia="en-IN"/>
        </w:rPr>
      </w:pPr>
    </w:p>
    <w:p w:rsidR="008E3405" w:rsidRPr="008E3405" w:rsidRDefault="008E3405" w:rsidP="008E3405">
      <w:pPr>
        <w:spacing w:before="200" w:after="200" w:line="360" w:lineRule="auto"/>
        <w:jc w:val="both"/>
        <w:rPr>
          <w:rFonts w:ascii="Times New Roman" w:eastAsia="Times New Roman" w:hAnsi="Times New Roman" w:cs="Times New Roman"/>
          <w:color w:val="000000"/>
          <w:sz w:val="24"/>
          <w:szCs w:val="24"/>
          <w:lang w:val="en-GB" w:eastAsia="en-IN"/>
        </w:rPr>
      </w:pPr>
    </w:p>
    <w:p w:rsidR="00912CC1" w:rsidRDefault="00912CC1">
      <w:pPr>
        <w:rPr>
          <w:i/>
          <w:sz w:val="40"/>
          <w:szCs w:val="40"/>
          <w:lang w:val="en-US"/>
        </w:rPr>
      </w:pPr>
    </w:p>
    <w:sectPr w:rsidR="00912CC1" w:rsidSect="00060DFF">
      <w:footerReference w:type="default" r:id="rId12"/>
      <w:pgSz w:w="11906" w:h="16838" w:code="9"/>
      <w:pgMar w:top="1418" w:right="1418" w:bottom="1418" w:left="1418"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2956" w:rsidRDefault="00132956" w:rsidP="00060DFF">
      <w:pPr>
        <w:spacing w:after="0" w:line="240" w:lineRule="auto"/>
      </w:pPr>
      <w:r>
        <w:separator/>
      </w:r>
    </w:p>
  </w:endnote>
  <w:endnote w:type="continuationSeparator" w:id="0">
    <w:p w:rsidR="00132956" w:rsidRDefault="00132956" w:rsidP="00060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8166065"/>
      <w:docPartObj>
        <w:docPartGallery w:val="Page Numbers (Bottom of Page)"/>
        <w:docPartUnique/>
      </w:docPartObj>
    </w:sdtPr>
    <w:sdtContent>
      <w:p w:rsidR="00060DFF" w:rsidRDefault="00060DFF">
        <w:pPr>
          <w:pStyle w:val="a5"/>
          <w:jc w:val="right"/>
        </w:pPr>
        <w:r>
          <w:fldChar w:fldCharType="begin"/>
        </w:r>
        <w:r>
          <w:instrText>PAGE   \* MERGEFORMAT</w:instrText>
        </w:r>
        <w:r>
          <w:fldChar w:fldCharType="separate"/>
        </w:r>
        <w:r w:rsidR="00740E2D">
          <w:rPr>
            <w:noProof/>
          </w:rPr>
          <w:t>19</w:t>
        </w:r>
        <w:r>
          <w:fldChar w:fldCharType="end"/>
        </w:r>
      </w:p>
    </w:sdtContent>
  </w:sdt>
  <w:p w:rsidR="00060DFF" w:rsidRPr="00060DFF" w:rsidRDefault="00060DFF" w:rsidP="00060DFF">
    <w:pPr>
      <w:pStyle w:val="a5"/>
      <w:jc w:val="both"/>
      <w:rPr>
        <w:lang w:val="en-US"/>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2956" w:rsidRDefault="00132956" w:rsidP="00060DFF">
      <w:pPr>
        <w:spacing w:after="0" w:line="240" w:lineRule="auto"/>
      </w:pPr>
      <w:r>
        <w:separator/>
      </w:r>
    </w:p>
  </w:footnote>
  <w:footnote w:type="continuationSeparator" w:id="0">
    <w:p w:rsidR="00132956" w:rsidRDefault="00132956" w:rsidP="00060D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718B"/>
    <w:rsid w:val="000327C3"/>
    <w:rsid w:val="00060DFF"/>
    <w:rsid w:val="00092FF3"/>
    <w:rsid w:val="00132956"/>
    <w:rsid w:val="002B2D68"/>
    <w:rsid w:val="002B5E93"/>
    <w:rsid w:val="00370A9F"/>
    <w:rsid w:val="00384E18"/>
    <w:rsid w:val="0062681F"/>
    <w:rsid w:val="00636000"/>
    <w:rsid w:val="0069591E"/>
    <w:rsid w:val="00740E2D"/>
    <w:rsid w:val="007E3DDA"/>
    <w:rsid w:val="00883966"/>
    <w:rsid w:val="008E3405"/>
    <w:rsid w:val="008F1DC5"/>
    <w:rsid w:val="00905766"/>
    <w:rsid w:val="00912CC1"/>
    <w:rsid w:val="00A26392"/>
    <w:rsid w:val="00AD67D3"/>
    <w:rsid w:val="00C01C36"/>
    <w:rsid w:val="00CA17CD"/>
    <w:rsid w:val="00CA7337"/>
    <w:rsid w:val="00D33B79"/>
    <w:rsid w:val="00DA731A"/>
    <w:rsid w:val="00DB1801"/>
    <w:rsid w:val="00E077CB"/>
    <w:rsid w:val="00EA2FDC"/>
    <w:rsid w:val="00ED6120"/>
    <w:rsid w:val="00F33C8E"/>
    <w:rsid w:val="00FC718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907D3"/>
  <w15:chartTrackingRefBased/>
  <w15:docId w15:val="{4139ADB2-D34A-41C0-970B-32D2251F2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A731A"/>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60DFF"/>
    <w:pPr>
      <w:tabs>
        <w:tab w:val="center" w:pos="4536"/>
        <w:tab w:val="right" w:pos="9072"/>
      </w:tabs>
      <w:spacing w:after="0" w:line="240" w:lineRule="auto"/>
    </w:pPr>
  </w:style>
  <w:style w:type="character" w:customStyle="1" w:styleId="a4">
    <w:name w:val="Горен колонтитул Знак"/>
    <w:basedOn w:val="a0"/>
    <w:link w:val="a3"/>
    <w:uiPriority w:val="99"/>
    <w:rsid w:val="00060DFF"/>
  </w:style>
  <w:style w:type="paragraph" w:styleId="a5">
    <w:name w:val="footer"/>
    <w:basedOn w:val="a"/>
    <w:link w:val="a6"/>
    <w:uiPriority w:val="99"/>
    <w:unhideWhenUsed/>
    <w:rsid w:val="00060DFF"/>
    <w:pPr>
      <w:tabs>
        <w:tab w:val="center" w:pos="4536"/>
        <w:tab w:val="right" w:pos="9072"/>
      </w:tabs>
      <w:spacing w:after="0" w:line="240" w:lineRule="auto"/>
    </w:pPr>
  </w:style>
  <w:style w:type="character" w:customStyle="1" w:styleId="a6">
    <w:name w:val="Долен колонтитул Знак"/>
    <w:basedOn w:val="a0"/>
    <w:link w:val="a5"/>
    <w:uiPriority w:val="99"/>
    <w:rsid w:val="00060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2283952">
      <w:bodyDiv w:val="1"/>
      <w:marLeft w:val="0"/>
      <w:marRight w:val="0"/>
      <w:marTop w:val="0"/>
      <w:marBottom w:val="0"/>
      <w:divBdr>
        <w:top w:val="none" w:sz="0" w:space="0" w:color="auto"/>
        <w:left w:val="none" w:sz="0" w:space="0" w:color="auto"/>
        <w:bottom w:val="none" w:sz="0" w:space="0" w:color="auto"/>
        <w:right w:val="none" w:sz="0" w:space="0" w:color="auto"/>
      </w:divBdr>
    </w:div>
    <w:div w:id="1135366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emf"/><Relationship Id="rId5" Type="http://schemas.openxmlformats.org/officeDocument/2006/relationships/endnotes" Target="endnotes.xml"/><Relationship Id="rId10" Type="http://schemas.openxmlformats.org/officeDocument/2006/relationships/image" Target="media/image5.emf"/><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1</Pages>
  <Words>2634</Words>
  <Characters>15014</Characters>
  <Application>Microsoft Office Word</Application>
  <DocSecurity>0</DocSecurity>
  <Lines>125</Lines>
  <Paragraphs>35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28</cp:revision>
  <dcterms:created xsi:type="dcterms:W3CDTF">2022-07-24T11:24:00Z</dcterms:created>
  <dcterms:modified xsi:type="dcterms:W3CDTF">2022-08-29T10:05:00Z</dcterms:modified>
</cp:coreProperties>
</file>