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LEADERSHIP AND MANAGEMENT SKILLS FOR THE WORKPLACE</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COMPANY: TONI &amp; GUY</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Module Code: LCLM6003</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Assignment Title: A Strategic Change Plan</w:t>
      </w:r>
    </w:p>
    <w:p w:rsidR="00000000" w:rsidDel="00000000" w:rsidP="00000000" w:rsidRDefault="00000000" w:rsidRPr="00000000" w14:paraId="0000000E">
      <w:pPr>
        <w:spacing w:line="360" w:lineRule="auto"/>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Student id: 2312338</w:t>
      </w:r>
    </w:p>
    <w:p w:rsidR="00000000" w:rsidDel="00000000" w:rsidP="00000000" w:rsidRDefault="00000000" w:rsidRPr="00000000" w14:paraId="0000000F">
      <w:pPr>
        <w:spacing w:line="360" w:lineRule="auto"/>
        <w:rPr>
          <w:rFonts w:ascii="Times New Roman" w:cs="Times New Roman" w:eastAsia="Times New Roman" w:hAnsi="Times New Roman"/>
          <w:b w:val="1"/>
          <w:bCs w:val="1"/>
          <w:color w:val="000000"/>
          <w:sz w:val="32"/>
          <w:szCs w:val="32"/>
        </w:rPr>
      </w:pPr>
      <w:r w:rsidDel="00000000" w:rsidR="00000000" w:rsidRPr="00000000">
        <w:rPr>
          <w:rFonts w:ascii="Times New Roman" w:cs="Times New Roman" w:eastAsia="Times New Roman" w:hAnsi="Times New Roman"/>
          <w:b w:val="1"/>
          <w:bCs w:val="1"/>
          <w:sz w:val="32"/>
          <w:szCs w:val="32"/>
          <w:rtl w:val="0"/>
        </w:rPr>
        <w:t xml:space="preserve">Student name :Camelia Daniela Popa</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685657047"/>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2a141qhte3v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itn0q21qyu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Background history of Toni &amp; Guy</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nngyw36yfy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Impact of internal and external environment on Toni &amp; Guy</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qjg3tv84lr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Internal environment impact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gue75ji5ee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External environment impact</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37rop2f77a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Change management in Toni &amp; Guy</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nbkmd3t5d0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Issues required strategic change</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k09lcp9nys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Ways of managing change</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rbfl4y5wwd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Leadership style and approach</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x16sd8a0j7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Role of leadership in the change process</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mxxqa72cxx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Impact of organisational culture on the change management program</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oq48e7wkp2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Change management plan</w:t>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yuzpoxhnxa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6.1 Objectives</w:t>
              <w:tab/>
              <w:t xml:space="preserve">12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qnfta7j8w0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 Financial plan</w:t>
              <w:tab/>
              <w:t xml:space="preserve">12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8sexgsvris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6.2.1 Budget</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6mn8yj6213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6.2.2 Sales forecast</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qy80i3g362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6.2.3 Contingency plan</w:t>
              <w:tab/>
              <w:t xml:space="preserve">13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bnbibjgz28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6.3 Communication plan</w:t>
              <w:tab/>
              <w:t xml:space="preserve">14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6prdrbmap5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6.4 Evaluation plan</w:t>
              <w:tab/>
              <w:t xml:space="preserve">17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1r2w1albob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Recommendations</w:t>
              <w:tab/>
              <w:t xml:space="preserve">18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gasi4oc7oy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7.1 Recommendation 1: Implementation of the Hybrid learning model</w:t>
              <w:tab/>
              <w:t xml:space="preserve">18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byy1plwxjx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7.2 Recommendation 2: Strengthening local compliance through digital record keeping</w:t>
              <w:tab/>
              <w:t xml:space="preserve">18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1bc3v1ga9zz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7.3 Recommendation 3: Apprentice wellbeing and acceleration program</w:t>
              <w:tab/>
              <w:t xml:space="preserve">19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fha4u60lmj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Conclusion</w:t>
              <w:tab/>
              <w:t xml:space="preserve">19</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hyperlink w:anchor="_7zezyjcfusg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20</w:t>
            </w:r>
          </w:hyperlink>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spacing w:line="360" w:lineRule="auto"/>
        <w:rPr>
          <w:rFonts w:ascii="Times New Roman" w:cs="Times New Roman" w:eastAsia="Times New Roman" w:hAnsi="Times New Roman"/>
          <w:b w:val="1"/>
          <w:bCs w:val="1"/>
          <w:color w:val="000000"/>
          <w:sz w:val="28"/>
          <w:szCs w:val="28"/>
        </w:rPr>
      </w:pPr>
      <w:bookmarkStart w:colFirst="0" w:colLast="0" w:name="_2a141qhte3vt" w:id="0"/>
      <w:bookmarkEnd w:id="0"/>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b w:val="1"/>
          <w:bCs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spacing w:after="0" w:before="0" w:lineRule="auto"/>
        <w:rPr>
          <w:color w:val="000000"/>
        </w:rPr>
      </w:pPr>
      <w:r w:rsidDel="00000000" w:rsidR="00000000" w:rsidRPr="00000000">
        <w:rPr>
          <w:color w:val="000000"/>
          <w:rtl w:val="0"/>
        </w:rPr>
        <w:t xml:space="preserve">1. Introduction</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Business is completely evolving, with the average company undergoing significant changes over the last few years. This rapid pace of change highlights the criticality of managing change within the organisation. As a result, changes have been implemented effectively with employees being supported throughout the process to minimise disruption, besides increasing positive outcomes. However, Nosraty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(2025) stated that the change approach highlights its importance for the organisation by preventing lost productivity, reputation damage and the negative financial impact. These challenges can be observed due to poorly managed change. The report has selected Toni &amp; Guy and will analyse the challenges faced by the brand in the current market of the UK. The brand is a reputed beauty salon chain in the UK that has a vast operation throughout the world. The study will analyse the impact of internal and external environments with change management perspectives, along with the role of leaders in this change process. Based on that, a change management plan will be recommended for the company for sustainable growth. </w:t>
      </w:r>
    </w:p>
    <w:p w:rsidR="00000000" w:rsidDel="00000000" w:rsidP="00000000" w:rsidRDefault="00000000" w:rsidRPr="00000000" w14:paraId="0000002F">
      <w:pPr>
        <w:pStyle w:val="Heading1"/>
        <w:spacing w:after="0" w:before="0" w:lineRule="auto"/>
        <w:rPr>
          <w:color w:val="000000"/>
        </w:rPr>
      </w:pPr>
      <w:bookmarkStart w:colFirst="0" w:colLast="0" w:name="_kitn0q21qyun" w:id="1"/>
      <w:bookmarkEnd w:id="1"/>
      <w:r w:rsidDel="00000000" w:rsidR="00000000" w:rsidRPr="00000000">
        <w:rPr>
          <w:color w:val="000000"/>
          <w:rtl w:val="0"/>
        </w:rPr>
        <w:t xml:space="preserve">2. Background history of Toni &amp; Guy</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Toni &amp; Guy is the renowned British hairdressing brand established in 1963 in Clapham, London, by two brothers, Toni Mascolo and Guy Mascolo (Toniandguy, 2026). Toni &amp; Guy has evolved from a single hairdressing salon to a global beauty salon known for high fashion, education and innovative cutting techniques. The brand started to expand by opening its first salon in central London in 1973, while the first hairdressing academy was opened in 1990 (Toniandguy, 2026). The company has established a legacy of about 52 years, starting from a simple salon to a brand that has enhanced its market proposition throughout the world.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114300" distT="114300" distL="114300" distR="114300">
            <wp:extent cx="4135275" cy="2190750"/>
            <wp:effectExtent b="25400" l="25400" r="25400" t="254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135275" cy="219075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Figure 1: Toni &amp; Guy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(Source: Toniandguy, 2026)</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brand is currently established by dominating the luxury and fashion-forward salon chain and education provider. Toni &amp; Guy is both a product and service-based company that has gained sustainable growth in the salon chain business. Starting from tailored hair and beauty services, the company also sells beauty and salon products named LABEL.M (Toniandguy, 2026). The company has effectively developed a strategic base for driving change in the business prospectus of the salon industry. The company has succeeded in launching 450 salons in about 38 countries around the world (Toniandguy, 2026). Apart from that, the company has also succeeded in generating revenue of £2.60 million in the year 2025, making it the most successful salon business in the UK (Growjo, 2026). Accordingly, the company has gained a sustainable value in the present salon market, leading to high validation in the hairdressing and beauty industry. </w:t>
      </w:r>
    </w:p>
    <w:p w:rsidR="00000000" w:rsidDel="00000000" w:rsidP="00000000" w:rsidRDefault="00000000" w:rsidRPr="00000000" w14:paraId="00000035">
      <w:pPr>
        <w:pStyle w:val="Heading1"/>
        <w:spacing w:after="0" w:before="0" w:lineRule="auto"/>
        <w:rPr>
          <w:color w:val="000000"/>
        </w:rPr>
      </w:pPr>
      <w:bookmarkStart w:colFirst="0" w:colLast="0" w:name="_nnngyw36yfy7" w:id="2"/>
      <w:bookmarkEnd w:id="2"/>
      <w:r w:rsidDel="00000000" w:rsidR="00000000" w:rsidRPr="00000000">
        <w:rPr>
          <w:color w:val="000000"/>
          <w:rtl w:val="0"/>
        </w:rPr>
        <w:t xml:space="preserve">3. Impact of internal and external environment on Toni &amp; Guy</w:t>
      </w:r>
    </w:p>
    <w:p w:rsidR="00000000" w:rsidDel="00000000" w:rsidP="00000000" w:rsidRDefault="00000000" w:rsidRPr="00000000" w14:paraId="00000036">
      <w:pPr>
        <w:pStyle w:val="Heading2"/>
        <w:spacing w:after="0" w:before="0" w:lineRule="auto"/>
        <w:rPr>
          <w:color w:val="000000"/>
        </w:rPr>
      </w:pPr>
      <w:bookmarkStart w:colFirst="0" w:colLast="0" w:name="_mqjg3tv84lrm" w:id="3"/>
      <w:bookmarkEnd w:id="3"/>
      <w:r w:rsidDel="00000000" w:rsidR="00000000" w:rsidRPr="00000000">
        <w:rPr>
          <w:color w:val="000000"/>
          <w:rtl w:val="0"/>
        </w:rPr>
        <w:t xml:space="preserve">3.1 Internal environment impact</w:t>
      </w:r>
    </w:p>
    <w:tbl>
      <w:tblPr>
        <w:tblStyle w:val="Table1"/>
        <w:tblW w:w="9019.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600"/>
      </w:tblPr>
      <w:tblGrid>
        <w:gridCol w:w="4509"/>
        <w:gridCol w:w="4510"/>
        <w:tblGridChange w:id="0">
          <w:tblGrid>
            <w:gridCol w:w="4509"/>
            <w:gridCol w:w="4510"/>
          </w:tblGrid>
        </w:tblGridChange>
      </w:tblGrid>
      <w:tr>
        <w:trPr>
          <w:cantSplit w:val="0"/>
          <w:tblHeader w:val="0"/>
        </w:trPr>
        <w:tc>
          <w:tcPr>
            <w:shd w:fill="4f81bd" w:val="clear"/>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Strengths</w:t>
            </w:r>
          </w:p>
        </w:tc>
        <w:tc>
          <w:tcPr>
            <w:shd w:fill="4f81bd" w:val="clear"/>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Weaknesses</w:t>
            </w:r>
          </w:p>
        </w:tc>
      </w:tr>
      <w:tr>
        <w:trPr>
          <w:cantSplit w:val="0"/>
          <w:tblHeader w:val="0"/>
        </w:trPr>
        <w:tc>
          <w:tcPr/>
          <w:p w:rsidR="00000000" w:rsidDel="00000000" w:rsidP="00000000" w:rsidRDefault="00000000" w:rsidRPr="00000000" w14:paraId="00000039">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 50 years of experience with a strong brand image </w:t>
            </w:r>
            <w:r w:rsidDel="00000000" w:rsidR="00000000" w:rsidRPr="00000000">
              <w:rPr>
                <w:rtl w:val="0"/>
              </w:rPr>
            </w:r>
          </w:p>
          <w:p w:rsidR="00000000" w:rsidDel="00000000" w:rsidP="00000000" w:rsidRDefault="00000000" w:rsidRPr="00000000" w14:paraId="0000003A">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Well-developed, extensive network of salons in about 38 nations of the world (Toniandguy, 2026)</w:t>
            </w:r>
            <w:r w:rsidDel="00000000" w:rsidR="00000000" w:rsidRPr="00000000">
              <w:rPr>
                <w:rtl w:val="0"/>
              </w:rPr>
            </w:r>
          </w:p>
          <w:p w:rsidR="00000000" w:rsidDel="00000000" w:rsidP="00000000" w:rsidRDefault="00000000" w:rsidRPr="00000000" w14:paraId="0000003B">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vast range of haircut products increases the revenue stream </w:t>
            </w:r>
            <w:r w:rsidDel="00000000" w:rsidR="00000000" w:rsidRPr="00000000">
              <w:rPr>
                <w:rtl w:val="0"/>
              </w:rPr>
            </w:r>
          </w:p>
        </w:tc>
        <w:tc>
          <w:tcPr/>
          <w:p w:rsidR="00000000" w:rsidDel="00000000" w:rsidP="00000000" w:rsidRDefault="00000000" w:rsidRPr="00000000" w14:paraId="0000003C">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Highly dependent on the franchisees, which can lead to inconsistent brand quality control (Accounting Practice Centre, 2026) </w:t>
            </w:r>
            <w:r w:rsidDel="00000000" w:rsidR="00000000" w:rsidRPr="00000000">
              <w:rPr>
                <w:rtl w:val="0"/>
              </w:rPr>
            </w:r>
          </w:p>
          <w:p w:rsidR="00000000" w:rsidDel="00000000" w:rsidP="00000000" w:rsidRDefault="00000000" w:rsidRPr="00000000" w14:paraId="0000003D">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Premium pricing that can lead to penetration in price-sensitive markets </w:t>
            </w:r>
            <w:r w:rsidDel="00000000" w:rsidR="00000000" w:rsidRPr="00000000">
              <w:rPr>
                <w:rtl w:val="0"/>
              </w:rPr>
            </w:r>
          </w:p>
          <w:p w:rsidR="00000000" w:rsidDel="00000000" w:rsidP="00000000" w:rsidRDefault="00000000" w:rsidRPr="00000000" w14:paraId="0000003E">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Low market penetration can be observed due to a lack of sustainable product ranges </w:t>
            </w:r>
            <w:r w:rsidDel="00000000" w:rsidR="00000000" w:rsidRPr="00000000">
              <w:rPr>
                <w:rtl w:val="0"/>
              </w:rPr>
            </w:r>
          </w:p>
        </w:tc>
      </w:tr>
      <w:tr>
        <w:trPr>
          <w:cantSplit w:val="0"/>
          <w:tblHeader w:val="0"/>
        </w:trPr>
        <w:tc>
          <w:tcPr>
            <w:shd w:fill="4f81bd" w:val="clear"/>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Opportunities</w:t>
            </w:r>
          </w:p>
        </w:tc>
        <w:tc>
          <w:tcPr>
            <w:shd w:fill="4f81bd" w:val="clear"/>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Threats</w:t>
            </w:r>
          </w:p>
        </w:tc>
      </w:tr>
      <w:tr>
        <w:trPr>
          <w:cantSplit w:val="0"/>
          <w:tblHeader w:val="0"/>
        </w:trPr>
        <w:tc>
          <w:tcPr/>
          <w:p w:rsidR="00000000" w:rsidDel="00000000" w:rsidP="00000000" w:rsidRDefault="00000000" w:rsidRPr="00000000" w14:paraId="00000041">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Opportunity to drive market growth through social media, influencers and mobile services. </w:t>
            </w:r>
            <w:r w:rsidDel="00000000" w:rsidR="00000000" w:rsidRPr="00000000">
              <w:rPr>
                <w:rtl w:val="0"/>
              </w:rPr>
            </w:r>
          </w:p>
          <w:p w:rsidR="00000000" w:rsidDel="00000000" w:rsidP="00000000" w:rsidRDefault="00000000" w:rsidRPr="00000000" w14:paraId="00000042">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Adoption of the green salon and eco-friendly practices </w:t>
            </w:r>
            <w:r w:rsidDel="00000000" w:rsidR="00000000" w:rsidRPr="00000000">
              <w:rPr>
                <w:rtl w:val="0"/>
              </w:rPr>
            </w:r>
          </w:p>
          <w:p w:rsidR="00000000" w:rsidDel="00000000" w:rsidP="00000000" w:rsidRDefault="00000000" w:rsidRPr="00000000" w14:paraId="00000043">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Expansion for the emerging market and increasing services within the urban centres</w:t>
            </w:r>
            <w:r w:rsidDel="00000000" w:rsidR="00000000" w:rsidRPr="00000000">
              <w:rPr>
                <w:rtl w:val="0"/>
              </w:rPr>
            </w:r>
          </w:p>
        </w:tc>
        <w:tc>
          <w:tcPr/>
          <w:p w:rsidR="00000000" w:rsidDel="00000000" w:rsidP="00000000" w:rsidRDefault="00000000" w:rsidRPr="00000000" w14:paraId="00000044">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high economic downturn in the UK can lead to an increase in the cost of discretionary services. </w:t>
            </w:r>
            <w:r w:rsidDel="00000000" w:rsidR="00000000" w:rsidRPr="00000000">
              <w:rPr>
                <w:rtl w:val="0"/>
              </w:rPr>
            </w:r>
          </w:p>
          <w:p w:rsidR="00000000" w:rsidDel="00000000" w:rsidP="00000000" w:rsidRDefault="00000000" w:rsidRPr="00000000" w14:paraId="00000045">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 competition from the salon industries such as Pascal Coste, ARROJO and Davines (CB Insights, 2026)</w:t>
            </w:r>
            <w:r w:rsidDel="00000000" w:rsidR="00000000" w:rsidRPr="00000000">
              <w:rPr>
                <w:rtl w:val="0"/>
              </w:rPr>
            </w:r>
          </w:p>
          <w:p w:rsidR="00000000" w:rsidDel="00000000" w:rsidP="00000000" w:rsidRDefault="00000000" w:rsidRPr="00000000" w14:paraId="00000046">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rising cost of living in the UK can lead to a downturn in the firm </w:t>
            </w:r>
            <w:r w:rsidDel="00000000" w:rsidR="00000000" w:rsidRPr="00000000">
              <w:rPr>
                <w:rtl w:val="0"/>
              </w:rPr>
            </w:r>
          </w:p>
        </w:tc>
      </w:tr>
    </w:tbl>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1: SWOT analysis </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strength point of Toni &amp; Guy is its current market approach, with more than 50 years of legacy in the salon industry. A vast range of products and brand value has initiated a strong potential for the company to drive change. However, the salon company can face issues due to dependency on the franchisee, with a high price range to enter the price-sensitive market. However, it has the opportunity to drive towards a digital-based model with a focus on eco-friendly services. This can be ensured through the aspect that the UK is driving towards a circular economy by reducing the usage of plastics through recycling, repairing and reusing materials (Parliament.UK, 2026b). Apart from that, volatility of the UK market with rising cost of living can impact Toni &amp; Guy's ability to build a strong change perception of the business. The salon brand can also face issues due to growing competition in the market from its rival towards sustainable growth. </w:t>
      </w:r>
    </w:p>
    <w:p w:rsidR="00000000" w:rsidDel="00000000" w:rsidP="00000000" w:rsidRDefault="00000000" w:rsidRPr="00000000" w14:paraId="00000049">
      <w:pPr>
        <w:pStyle w:val="Heading2"/>
        <w:spacing w:after="0" w:before="0" w:lineRule="auto"/>
        <w:rPr>
          <w:color w:val="000000"/>
        </w:rPr>
      </w:pPr>
      <w:bookmarkStart w:colFirst="0" w:colLast="0" w:name="_4gue75ji5eer" w:id="4"/>
      <w:bookmarkEnd w:id="4"/>
      <w:r w:rsidDel="00000000" w:rsidR="00000000" w:rsidRPr="00000000">
        <w:rPr>
          <w:color w:val="000000"/>
          <w:rtl w:val="0"/>
        </w:rPr>
        <w:t xml:space="preserve">3.2 External environment impact</w:t>
      </w:r>
    </w:p>
    <w:tbl>
      <w:tblPr>
        <w:tblStyle w:val="Table2"/>
        <w:tblW w:w="900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600"/>
      </w:tblPr>
      <w:tblGrid>
        <w:gridCol w:w="2145"/>
        <w:gridCol w:w="5025"/>
        <w:gridCol w:w="1830"/>
        <w:tblGridChange w:id="0">
          <w:tblGrid>
            <w:gridCol w:w="2145"/>
            <w:gridCol w:w="5025"/>
            <w:gridCol w:w="1830"/>
          </w:tblGrid>
        </w:tblGridChange>
      </w:tblGrid>
      <w:tr>
        <w:trPr>
          <w:cantSplit w:val="0"/>
          <w:tblHeader w:val="0"/>
        </w:trPr>
        <w:tc>
          <w:tcPr>
            <w:shd w:fill="ee0000" w:val="clear"/>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Factors</w:t>
            </w:r>
          </w:p>
        </w:tc>
        <w:tc>
          <w:tcPr>
            <w:shd w:fill="ee0000" w:val="clear"/>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Implication</w:t>
            </w:r>
          </w:p>
        </w:tc>
        <w:tc>
          <w:tcPr>
            <w:shd w:fill="ee0000" w:val="clear"/>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Impact</w:t>
            </w:r>
          </w:p>
        </w:tc>
      </w:tr>
      <w:tr>
        <w:trPr>
          <w:cantSplit w:val="0"/>
          <w:tblHeader w:val="0"/>
        </w:trPr>
        <w:tc>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Political </w:t>
            </w:r>
          </w:p>
        </w:tc>
        <w:tc>
          <w:tcPr/>
          <w:p w:rsidR="00000000" w:rsidDel="00000000" w:rsidP="00000000" w:rsidRDefault="00000000" w:rsidRPr="00000000" w14:paraId="0000004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 taxation and economic policy with a VAT rate of 20% in the UK (GOV.UK, 2026a). </w:t>
            </w:r>
            <w:r w:rsidDel="00000000" w:rsidR="00000000" w:rsidRPr="00000000">
              <w:rPr>
                <w:rtl w:val="0"/>
              </w:rPr>
            </w:r>
          </w:p>
          <w:p w:rsidR="00000000" w:rsidDel="00000000" w:rsidP="00000000" w:rsidRDefault="00000000" w:rsidRPr="00000000" w14:paraId="0000004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Post-Brexit has raised alterations in the cosmetics industry due to the incorporation of new laws named UK REACH that differ from the EU framework (GOV.UK, 2026b). </w:t>
            </w:r>
            <w:r w:rsidDel="00000000" w:rsidR="00000000" w:rsidRPr="00000000">
              <w:rPr>
                <w:rtl w:val="0"/>
              </w:rPr>
            </w:r>
          </w:p>
        </w:tc>
        <w:tc>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w:t>
            </w:r>
          </w:p>
        </w:tc>
      </w:tr>
      <w:tr>
        <w:trPr>
          <w:cantSplit w:val="0"/>
          <w:tblHeader w:val="0"/>
        </w:trPr>
        <w:tc>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Economical </w:t>
            </w:r>
          </w:p>
        </w:tc>
        <w:tc>
          <w:tcPr/>
          <w:p w:rsidR="00000000" w:rsidDel="00000000" w:rsidP="00000000" w:rsidRDefault="00000000" w:rsidRPr="00000000" w14:paraId="00000052">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growth rate of GDP in the UK is 1.3%, impacting the steady growth of the salon business in 2025 (BBC, 2026)</w:t>
            </w:r>
            <w:r w:rsidDel="00000000" w:rsidR="00000000" w:rsidRPr="00000000">
              <w:rPr>
                <w:rtl w:val="0"/>
              </w:rPr>
            </w:r>
          </w:p>
          <w:p w:rsidR="00000000" w:rsidDel="00000000" w:rsidP="00000000" w:rsidRDefault="00000000" w:rsidRPr="00000000" w14:paraId="00000053">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inflation rate has reached 3% by lowering it from 3.4% in 2025 (ONS, 2026)</w:t>
            </w:r>
            <w:r w:rsidDel="00000000" w:rsidR="00000000" w:rsidRPr="00000000">
              <w:rPr>
                <w:rtl w:val="0"/>
              </w:rPr>
            </w:r>
          </w:p>
        </w:tc>
        <w:tc>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w:t>
            </w:r>
          </w:p>
        </w:tc>
      </w:tr>
      <w:tr>
        <w:trPr>
          <w:cantSplit w:val="0"/>
          <w:tblHeader w:val="0"/>
        </w:trPr>
        <w:tc>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Social </w:t>
            </w:r>
          </w:p>
        </w:tc>
        <w:tc>
          <w:tcPr/>
          <w:p w:rsidR="00000000" w:rsidDel="00000000" w:rsidP="00000000" w:rsidRDefault="00000000" w:rsidRPr="00000000" w14:paraId="00000056">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high unemployment rate of the UK of about 5.2% impart shortage of skills in the salon industry (Parliament.UK, 2026a)</w:t>
            </w:r>
            <w:r w:rsidDel="00000000" w:rsidR="00000000" w:rsidRPr="00000000">
              <w:rPr>
                <w:rtl w:val="0"/>
              </w:rPr>
            </w:r>
          </w:p>
          <w:p w:rsidR="00000000" w:rsidDel="00000000" w:rsidP="00000000" w:rsidRDefault="00000000" w:rsidRPr="00000000" w14:paraId="00000057">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rise of self-employed practitioners and specialised beauty services has altered the business pattern of the salon industry.</w:t>
            </w:r>
            <w:r w:rsidDel="00000000" w:rsidR="00000000" w:rsidRPr="00000000">
              <w:rPr>
                <w:rtl w:val="0"/>
              </w:rPr>
            </w:r>
          </w:p>
        </w:tc>
        <w:tc>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Medium</w:t>
            </w:r>
            <w:r w:rsidDel="00000000" w:rsidR="00000000" w:rsidRPr="00000000">
              <w:rPr>
                <w:rtl w:val="0"/>
              </w:rPr>
            </w:r>
          </w:p>
        </w:tc>
      </w:tr>
      <w:tr>
        <w:trPr>
          <w:cantSplit w:val="0"/>
          <w:tblHeader w:val="0"/>
        </w:trPr>
        <w:tc>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Technological </w:t>
            </w:r>
          </w:p>
        </w:tc>
        <w:tc>
          <w:tcPr/>
          <w:p w:rsidR="00000000" w:rsidDel="00000000" w:rsidP="00000000" w:rsidRDefault="00000000" w:rsidRPr="00000000" w14:paraId="0000005A">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E-commerce or online shopping has enhanced the salon business by increasing the sales of professional products by 44% in between 2018 and 2023 (Spicer, 2025)</w:t>
            </w:r>
            <w:r w:rsidDel="00000000" w:rsidR="00000000" w:rsidRPr="00000000">
              <w:rPr>
                <w:rtl w:val="0"/>
              </w:rPr>
            </w:r>
          </w:p>
          <w:p w:rsidR="00000000" w:rsidDel="00000000" w:rsidP="00000000" w:rsidRDefault="00000000" w:rsidRPr="00000000" w14:paraId="0000005B">
            <w:pPr>
              <w:keepNext w:val="0"/>
              <w:keepLines w:val="0"/>
              <w:widowControl w:val="0"/>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Digital disruption and AI have also tentatively altered the business perception by inducing hyper-personalised services. </w:t>
            </w:r>
            <w:r w:rsidDel="00000000" w:rsidR="00000000" w:rsidRPr="00000000">
              <w:rPr>
                <w:rtl w:val="0"/>
              </w:rPr>
            </w:r>
          </w:p>
        </w:tc>
        <w:tc>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w:t>
            </w:r>
            <w:r w:rsidDel="00000000" w:rsidR="00000000" w:rsidRPr="00000000">
              <w:rPr>
                <w:rtl w:val="0"/>
              </w:rPr>
            </w:r>
          </w:p>
        </w:tc>
      </w:tr>
      <w:tr>
        <w:trPr>
          <w:cantSplit w:val="0"/>
          <w:tblHeader w:val="0"/>
        </w:trPr>
        <w:tc>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Legal </w:t>
            </w:r>
          </w:p>
        </w:tc>
        <w:tc>
          <w:tcPr/>
          <w:p w:rsidR="00000000" w:rsidDel="00000000" w:rsidP="00000000" w:rsidRDefault="00000000" w:rsidRPr="00000000" w14:paraId="0000005E">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UK Government is getting strict rules on non-surgical procedures with new mandatory licenses under the Health and Care Act 2022 (Legislation.Gov, 2026a)</w:t>
            </w:r>
            <w:r w:rsidDel="00000000" w:rsidR="00000000" w:rsidRPr="00000000">
              <w:rPr>
                <w:rtl w:val="0"/>
              </w:rPr>
            </w:r>
          </w:p>
          <w:p w:rsidR="00000000" w:rsidDel="00000000" w:rsidP="00000000" w:rsidRDefault="00000000" w:rsidRPr="00000000" w14:paraId="0000005F">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Salons need to comply with the Health and Safety at Work etc. Act 1974 for the management of risk associated with equipment (Legislation.Gov, 2026b) </w:t>
            </w:r>
            <w:r w:rsidDel="00000000" w:rsidR="00000000" w:rsidRPr="00000000">
              <w:rPr>
                <w:rtl w:val="0"/>
              </w:rPr>
            </w:r>
          </w:p>
        </w:tc>
        <w:tc>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Low</w:t>
            </w:r>
            <w:r w:rsidDel="00000000" w:rsidR="00000000" w:rsidRPr="00000000">
              <w:rPr>
                <w:rtl w:val="0"/>
              </w:rPr>
            </w:r>
          </w:p>
        </w:tc>
      </w:tr>
      <w:tr>
        <w:trPr>
          <w:cantSplit w:val="0"/>
          <w:tblHeader w:val="0"/>
        </w:trPr>
        <w:tc>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Environmental </w:t>
            </w:r>
          </w:p>
        </w:tc>
        <w:tc>
          <w:tcPr/>
          <w:p w:rsidR="00000000" w:rsidDel="00000000" w:rsidP="00000000" w:rsidRDefault="00000000" w:rsidRPr="00000000" w14:paraId="00000062">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1"/>
                <w:bCs w:val="1"/>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tax of about £200 per tonne on plastic has imparted a strategic impact on the plastic-based product usage by the salon companies (GOV.UK, 2026c) </w:t>
            </w:r>
            <w:r w:rsidDel="00000000" w:rsidR="00000000" w:rsidRPr="00000000">
              <w:rPr>
                <w:rtl w:val="0"/>
              </w:rPr>
            </w:r>
          </w:p>
          <w:p w:rsidR="00000000" w:rsidDel="00000000" w:rsidP="00000000" w:rsidRDefault="00000000" w:rsidRPr="00000000" w14:paraId="00000063">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UK Government has implemented a simpler recycling process that encouraged the Salon to separate waste as defined (GOV.UK, 2026d)</w:t>
            </w:r>
            <w:r w:rsidDel="00000000" w:rsidR="00000000" w:rsidRPr="00000000">
              <w:rPr>
                <w:rtl w:val="0"/>
              </w:rPr>
            </w:r>
          </w:p>
        </w:tc>
        <w:tc>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Medium</w:t>
            </w:r>
            <w:r w:rsidDel="00000000" w:rsidR="00000000" w:rsidRPr="00000000">
              <w:rPr>
                <w:rtl w:val="0"/>
              </w:rPr>
            </w:r>
          </w:p>
        </w:tc>
      </w:tr>
    </w:tbl>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2: PESTLE of the UK </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external aspect of the business is related to the present market growth or dilution. Accordingly, Toni &amp; Guy can face significant margin pressure due to the 20% VAT rate that is charged on the services, leading to a lowering of price flexibility and diminished profit. Besides that, the UK REACH framework enhances the compliance costs with the increasing cost of product supply. On the contrary, a low rise in GDP as compared to a rise in inflation in the UK can lead the brand to face steady and moderate growth, followed by significant margin pressure. The salon company can face a fundamental change in the business pattern, leading to the growth of self-employment, which in turn reduces skill development and growth practices. However, the labour shortage is also due to the changing pattern of the business from direct employment to self-employment. This has lowered the significance of the business. </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However, the digital disruption, e-commerce, and AI have transformed the business pattern of the salon industry from becoming a service-based model into a high-growth, physical and digitally driven business. This has prompted Toni &amp; Guy to endorse new change, leading to the growth of new market values and orientation. Hyper-personalisation services due to AI have moved the business of Toni &amp; Guy to incorporate data-driven consultations for beauty services. Lastly, the legal and environmental perspectives enable the business to drive a strategic change by providing utmost validation in business coordination towards CSR policy development. It is evident that the Simpler Recycling process may bring change to the system of the company. </w:t>
      </w:r>
    </w:p>
    <w:p w:rsidR="00000000" w:rsidDel="00000000" w:rsidP="00000000" w:rsidRDefault="00000000" w:rsidRPr="00000000" w14:paraId="00000068">
      <w:pPr>
        <w:pStyle w:val="Heading1"/>
        <w:spacing w:after="0" w:before="0" w:lineRule="auto"/>
        <w:rPr>
          <w:color w:val="000000"/>
        </w:rPr>
      </w:pPr>
      <w:bookmarkStart w:colFirst="0" w:colLast="0" w:name="_s37rop2f77ak" w:id="5"/>
      <w:bookmarkEnd w:id="5"/>
      <w:r w:rsidDel="00000000" w:rsidR="00000000" w:rsidRPr="00000000">
        <w:rPr>
          <w:color w:val="000000"/>
          <w:rtl w:val="0"/>
        </w:rPr>
        <w:t xml:space="preserve">4. Change management in Toni &amp; Guy</w:t>
      </w:r>
    </w:p>
    <w:p w:rsidR="00000000" w:rsidDel="00000000" w:rsidP="00000000" w:rsidRDefault="00000000" w:rsidRPr="00000000" w14:paraId="00000069">
      <w:pPr>
        <w:pStyle w:val="Heading2"/>
        <w:spacing w:after="0" w:before="0" w:lineRule="auto"/>
        <w:rPr>
          <w:color w:val="000000"/>
        </w:rPr>
      </w:pPr>
      <w:bookmarkStart w:colFirst="0" w:colLast="0" w:name="_8nbkmd3t5d04" w:id="6"/>
      <w:bookmarkEnd w:id="6"/>
      <w:r w:rsidDel="00000000" w:rsidR="00000000" w:rsidRPr="00000000">
        <w:rPr>
          <w:color w:val="000000"/>
          <w:rtl w:val="0"/>
        </w:rPr>
        <w:t xml:space="preserve">4.1 Issues required strategic change</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shutdown of the world economy due to the coronavirus has posed a strategic challenge for the company, which has never experienced this before. The challenge that has developed due to the growing concern of the pandemic necessitates a shift in the standard hygiene with a reduction in salon capacity (Goods Alon</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Guide, 2026). This has led to a serious turnover in validating its business role to drive change at that very moment. From a strategic change perspective, the organisation was not able to adequately prepare to adapt its hygiene standards. This has created uncertainty in maintaining continuity during a period of intense environmental pressure. </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brand has also undergone legal hurdles due to complex and potential issues under the employment tribunal. The individual has claimed an amount of £10,000 due to failure to make a reasonable adjustment regarding the disability discrimination claim (Critchell, 2024). This has lowered the brand value and vision to drive change, leading to a loss of its sustainability in the current market of the UK. </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Apart from that, the brand also faced issues due to a lack of effective practice in apprenticeships. This has been observed in the training program of Toni &amp; Guy due to misleading promises, poor treatment and long, unprecedented hours of work (Higher In, 2026). This has led to lower brand ownership and value of the business, leading to a loss of business potential in the UK market. </w:t>
      </w:r>
    </w:p>
    <w:p w:rsidR="00000000" w:rsidDel="00000000" w:rsidP="00000000" w:rsidRDefault="00000000" w:rsidRPr="00000000" w14:paraId="0000006D">
      <w:pPr>
        <w:pStyle w:val="Heading2"/>
        <w:spacing w:after="0" w:before="0" w:lineRule="auto"/>
        <w:rPr>
          <w:color w:val="000000"/>
        </w:rPr>
      </w:pPr>
      <w:bookmarkStart w:colFirst="0" w:colLast="0" w:name="_8k09lcp9nysu" w:id="7"/>
      <w:bookmarkEnd w:id="7"/>
      <w:r w:rsidDel="00000000" w:rsidR="00000000" w:rsidRPr="00000000">
        <w:rPr>
          <w:color w:val="000000"/>
          <w:rtl w:val="0"/>
        </w:rPr>
        <w:t xml:space="preserve">4.2 Ways of managing change</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growing concern for the business due to the COVID-19 pandemic has caused a strong disturbance to the business, lowering its value and financial growth in the UK market. In order to combat the situation, the brand coordinated its values and analysed each aspect, bringing the community together (Goods Alon</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Guide, 2026). The strategist of Toni &amp; Guy developed virtual groups and Zoom calls with the partners and teams in order to share and experience learning from each other. The company developed group talks regarding the changes required to overcome this situation. The company has established the fact of rebuilding the global community to drive client communication. However, a lack of technical skills has led the brand to face issues in methodologically building a strategy (Laura Husband, 2020). This has been the core issue that has driven change to the system, leading to loss of integrity and validation to change perspectives. </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drawing>
          <wp:inline distB="0" distT="0" distL="0" distR="0">
            <wp:extent cx="3091543" cy="3183890"/>
            <wp:effectExtent b="0" l="0" r="0" t="0"/>
            <wp:docPr descr="Product Group Banner 25.01" id="3" name="image3.png"/>
            <a:graphic>
              <a:graphicData uri="http://schemas.openxmlformats.org/drawingml/2006/picture">
                <pic:pic>
                  <pic:nvPicPr>
                    <pic:cNvPr descr="Product Group Banner 25.01" id="0" name="image3.png"/>
                    <pic:cNvPicPr preferRelativeResize="0"/>
                  </pic:nvPicPr>
                  <pic:blipFill>
                    <a:blip r:embed="rId7"/>
                    <a:srcRect b="0" l="0" r="46076" t="0"/>
                    <a:stretch>
                      <a:fillRect/>
                    </a:stretch>
                  </pic:blipFill>
                  <pic:spPr>
                    <a:xfrm>
                      <a:off x="0" y="0"/>
                      <a:ext cx="3091543" cy="318389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Figure 2: LABEL.M by Toni &amp; Guy</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(Source: Toni and Guy, 2026b)</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success of the LABEL.M product by Toni &amp; Guy suggests that in recent years the company have successfully managed business changes. Currently, the company have more than 780 salons in 38 different nations. The brand teaches more than 100,000 hairdressers every year. They currently won more than 85 UK-based hairdressing awards and over 150 international hairdressing awards (Toni and Guy, 2026b). In 2023, the global creative director of the company, Cos Sakkas, won the British Hairdresser of the Year Award. The legal hurdles due to discrimination have lowered the brand value of Toni &amp; Guy, and to overcome the situation, the company developed different strategies. The company has undergone a strategic change by developing extensive training that adheres to company standards and values. Apart from that, the company has induced the involvement of the general counsel for management of compliance (Franchise Direct, 2026). However, the company strengthens its proposition in business by driving a strategic action through, depending on local legal matters that endorse a strategic business proposition. </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role of business has established a strong facility to drive the role of apprenticeship under the brand. Inconsistent skill development and low engagement have developed this issue. However, Toni &amp; Guy has heavily centralised the training option through their own academies by implementing a strong blended learning approach. Apart from that, the company has also established a strategic process by adopting the formal Hair Professional Level 2 (Accounting Practice Centre, 2026). However, issues associated with driving change by making a balance among the work, training and life, along with model availability as well as management. </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Such change has been pertained and analysed using Kurt Lewin’s change management plan of unfreeze, change, and refreeze. Using the unfreeze stage, Toni &amp; Guy has implemented an approach that reduces resistance and prepares for the change. This provision allowed Toni &amp; Guy to comply with the changing perception of values through driving the employees to drive change in issues such as coronavirus, legal issues and apprenticeship issues. On the other hand, Ljepava (2022) stated that the change stage is the segment where the company or the brand enters into the transition stage, where new behaviour, structure and processes are put in place. This stage has entitled the brand to change by incorporating values into its business and incorporating processes that can easily drive change. For instance, Toni &amp; Guy induced a virtual team to enhance connectivity and develop a plan to bridge the gap generated due to the pandemic (Goods Alon</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Guide, 2026). </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114300" distT="114300" distL="114300" distR="114300">
            <wp:extent cx="4843463" cy="3057335"/>
            <wp:effectExtent b="25400" l="25400" r="25400" t="254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843463" cy="305733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Figure 3: Kurt Lewin’s change model </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Legal aspects and apprenticeship issues have been overcome through changing the training perception and rebuilding the compliance aspects of the business. The last stage is the refreeze stage, where the company Toni &amp; Guy has induced stability by reopening in a fresh manner that drives change to the business. This has encrypted a vast association of values that has driven coordination to entangle a secure and legitimate perception towards change. </w:t>
      </w:r>
    </w:p>
    <w:p w:rsidR="00000000" w:rsidDel="00000000" w:rsidP="00000000" w:rsidRDefault="00000000" w:rsidRPr="00000000" w14:paraId="00000078">
      <w:pPr>
        <w:pStyle w:val="Heading1"/>
        <w:spacing w:after="0" w:before="0" w:lineRule="auto"/>
        <w:rPr>
          <w:color w:val="000000"/>
        </w:rPr>
      </w:pPr>
      <w:bookmarkStart w:colFirst="0" w:colLast="0" w:name="_nrbfl4y5wwd8" w:id="8"/>
      <w:bookmarkEnd w:id="8"/>
      <w:r w:rsidDel="00000000" w:rsidR="00000000" w:rsidRPr="00000000">
        <w:rPr>
          <w:color w:val="000000"/>
          <w:rtl w:val="0"/>
        </w:rPr>
        <w:t xml:space="preserve">5. Leadership style and approach</w:t>
      </w:r>
    </w:p>
    <w:p w:rsidR="00000000" w:rsidDel="00000000" w:rsidP="00000000" w:rsidRDefault="00000000" w:rsidRPr="00000000" w14:paraId="00000079">
      <w:pPr>
        <w:pStyle w:val="Heading2"/>
        <w:spacing w:after="0" w:before="0" w:lineRule="auto"/>
        <w:rPr>
          <w:color w:val="000000"/>
        </w:rPr>
      </w:pPr>
      <w:bookmarkStart w:colFirst="0" w:colLast="0" w:name="_4x16sd8a0j7b" w:id="9"/>
      <w:bookmarkEnd w:id="9"/>
      <w:r w:rsidDel="00000000" w:rsidR="00000000" w:rsidRPr="00000000">
        <w:rPr>
          <w:color w:val="000000"/>
          <w:rtl w:val="0"/>
        </w:rPr>
        <w:t xml:space="preserve">5.1 Role of leadership in the change process</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Leadership plays a critical role in building success towards organisational change, which is responsible for guiding, motivating and supporting employees to face failure. It has been illustrated by the CEO of Toni &amp; Guy in 2020 that dealing with pandemics is possible only by changing the perception of leadership and communication. The concern of the leader drives towards a strategic understanding of changes required and the reason behind the change (Andrews, 2023). The identified concerns associated with the business aspects of the brand are communication with the team, along with the stability of mental and emotional health. However, the strategy of leadership in context to overcome the issue of coronavirus for the brand can be analysed using a democratic leadership approach. This leadership approach has enabled the company to engage employees and empower them to drive change in the business aspects.</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 the other hand, leadership is an indispensable opportunity that provides a successful resolution of the organisational problems. This fosters a drive for the business by integrating aggressive legal options for protecting the intellectual property in an agile manner. In addition to that, the concern of eradicating the issues of apprenticeship complaints by the students has led to a loss of integrity. However, the company has established structured training and academics with regular monitoring of the system, leading to the delivery of the results in a strategic order (Toni and Guy, 2026a). This has enhanced the provision of communication between the leaders and the trainers providing training to the newcomers. Thus, such a democratic leadership approach has revitalised the company to meet the required changes to overcome the issues. </w:t>
      </w:r>
    </w:p>
    <w:p w:rsidR="00000000" w:rsidDel="00000000" w:rsidP="00000000" w:rsidRDefault="00000000" w:rsidRPr="00000000" w14:paraId="0000007C">
      <w:pPr>
        <w:pStyle w:val="Heading2"/>
        <w:spacing w:after="0" w:before="0" w:lineRule="auto"/>
        <w:rPr>
          <w:color w:val="000000"/>
        </w:rPr>
      </w:pPr>
      <w:bookmarkStart w:colFirst="0" w:colLast="0" w:name="_amxxqa72cxx4" w:id="10"/>
      <w:bookmarkEnd w:id="10"/>
      <w:r w:rsidDel="00000000" w:rsidR="00000000" w:rsidRPr="00000000">
        <w:rPr>
          <w:color w:val="000000"/>
          <w:rtl w:val="0"/>
        </w:rPr>
        <w:t xml:space="preserve">5.2 Impact of organisational culture on the change management program</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structured change management process reshapes the organisational culture through effectively reducing resistance. This aligns the new employee behaviour with the strategic goals. As per Ghaleb and Dahiam (2024), organisational culture drives the business to effectively induce change, leading to the development of belonging and growth in perception of the business. In the case of Toni &amp; Guy, which is being characterised by high-fashion creativity, rigorous technical education, and family business legacy, it has acted effectively in the business process. These organisational perspectives are intended to drive a momentous change in the system. This culture has technically prioritised creativity and enhanced technical standards. </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change perception of the brand can easily be analysed using Edgar Schein's organisational culture model, which subdivides culture into three levels of depth. The three levels of depth are artefacts, espoused values and underlying assumptions (Eskandari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2025). Artefacts can be considered to be aspects such as classes and utilities required for training and service, used for effective service performance. Developing emotional attachments and driving contingency can effectively drive change for the business of Toni &amp; Guy. </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114300" distT="114300" distL="114300" distR="114300">
            <wp:extent cx="4643438" cy="2872052"/>
            <wp:effectExtent b="25400" l="25400" r="25400" t="2540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4643438" cy="2872052"/>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Figure 4: Edgar Schein’s organisational culture </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Besides, espoused values signify the strategies and goals as well as philosophies based on which the company performs in the business. Accordingly, Toni &amp; Guy incorporates a strong value in its business process, which is education and professional growth in the segment of hairdressing (Toni and Guy, 2026b). This drives the employees to analyse the service orientation, leading to growth in business. The last phase of organisational culture value is the underlying assumption that forecasts the beliefs of the employees that drive them to initiate a system for driving change. Accordingly, the salon brand has integrated a strategic change that has revolutionised the business perspectives towards a detailed perception of growth with specified values and action. </w:t>
      </w:r>
    </w:p>
    <w:p w:rsidR="00000000" w:rsidDel="00000000" w:rsidP="00000000" w:rsidRDefault="00000000" w:rsidRPr="00000000" w14:paraId="00000082">
      <w:pPr>
        <w:pStyle w:val="Heading1"/>
        <w:spacing w:after="0" w:before="0" w:lineRule="auto"/>
        <w:rPr>
          <w:color w:val="000000"/>
        </w:rPr>
      </w:pPr>
      <w:bookmarkStart w:colFirst="0" w:colLast="0" w:name="_9oq48e7wkp24" w:id="11"/>
      <w:bookmarkEnd w:id="11"/>
      <w:r w:rsidDel="00000000" w:rsidR="00000000" w:rsidRPr="00000000">
        <w:rPr>
          <w:color w:val="000000"/>
          <w:rtl w:val="0"/>
        </w:rPr>
        <w:t xml:space="preserve">6. Change management plan </w:t>
      </w:r>
    </w:p>
    <w:p w:rsidR="00000000" w:rsidDel="00000000" w:rsidP="00000000" w:rsidRDefault="00000000" w:rsidRPr="00000000" w14:paraId="00000083">
      <w:pPr>
        <w:pStyle w:val="Heading2"/>
        <w:spacing w:after="0" w:before="0" w:lineRule="auto"/>
        <w:rPr>
          <w:color w:val="000000"/>
        </w:rPr>
      </w:pPr>
      <w:bookmarkStart w:colFirst="0" w:colLast="0" w:name="_qyuzpoxhnxa3" w:id="12"/>
      <w:bookmarkEnd w:id="12"/>
      <w:r w:rsidDel="00000000" w:rsidR="00000000" w:rsidRPr="00000000">
        <w:rPr>
          <w:color w:val="000000"/>
          <w:rtl w:val="0"/>
        </w:rPr>
        <w:t xml:space="preserve">6.1 Objectives</w:t>
      </w:r>
    </w:p>
    <w:tbl>
      <w:tblPr>
        <w:tblStyle w:val="Table3"/>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70"/>
        <w:gridCol w:w="6630"/>
        <w:tblGridChange w:id="0">
          <w:tblGrid>
            <w:gridCol w:w="2370"/>
            <w:gridCol w:w="6630"/>
          </w:tblGrid>
        </w:tblGridChange>
      </w:tblGrid>
      <w:tr>
        <w:trPr>
          <w:cantSplit w:val="0"/>
          <w:trHeight w:val="440" w:hRule="atLeast"/>
          <w:tblHeader w:val="0"/>
        </w:trPr>
        <w:tc>
          <w:tcPr>
            <w:gridSpan w:val="2"/>
            <w:shd w:fill="f2dcdb" w:val="clear"/>
            <w:tcMar>
              <w:top w:w="100.0" w:type="dxa"/>
              <w:left w:w="100.0" w:type="dxa"/>
              <w:bottom w:w="100.0" w:type="dxa"/>
              <w:right w:w="100.0" w:type="dxa"/>
            </w:tcMar>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Objective 1: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develop strategies for overcoming the issues of pandemic, legal complexities and apprenticeship complaints faced by Toni &amp; Guy in the present UK market </w:t>
            </w:r>
          </w:p>
        </w:tc>
      </w:tr>
      <w:tr>
        <w:trPr>
          <w:cantSplit w:val="0"/>
          <w:trHeight w:val="746" w:hRule="atLeast"/>
          <w:tblHeader w:val="0"/>
        </w:trPr>
        <w:tc>
          <w:tcPr>
            <w:shd w:fill="dbeef3" w:val="clear"/>
            <w:tcMar>
              <w:top w:w="100.0" w:type="dxa"/>
              <w:left w:w="100.0" w:type="dxa"/>
              <w:bottom w:w="100.0" w:type="dxa"/>
              <w:right w:w="100.0" w:type="dxa"/>
            </w:tcMar>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Specific </w:t>
            </w:r>
          </w:p>
        </w:tc>
        <w:tc>
          <w:tcPr>
            <w:shd w:fill="dbeef3" w:val="clear"/>
            <w:tcMar>
              <w:top w:w="100.0" w:type="dxa"/>
              <w:left w:w="100.0" w:type="dxa"/>
              <w:bottom w:w="100.0" w:type="dxa"/>
              <w:right w:w="100.0" w:type="dxa"/>
            </w:tcMar>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Focus on solving pandemic, legal and apprenticeship issues at Toni &amp; Guy.</w:t>
            </w:r>
          </w:p>
        </w:tc>
      </w:tr>
      <w:tr>
        <w:trPr>
          <w:cantSplit w:val="0"/>
          <w:tblHeader w:val="0"/>
        </w:trPr>
        <w:tc>
          <w:tcPr>
            <w:shd w:fill="dbeef3" w:val="clear"/>
            <w:tcMar>
              <w:top w:w="100.0" w:type="dxa"/>
              <w:left w:w="100.0" w:type="dxa"/>
              <w:bottom w:w="100.0" w:type="dxa"/>
              <w:right w:w="100.0" w:type="dxa"/>
            </w:tcMar>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Measurable </w:t>
            </w:r>
          </w:p>
        </w:tc>
        <w:tc>
          <w:tcPr>
            <w:shd w:fill="dbeef3" w:val="clear"/>
            <w:tcMar>
              <w:top w:w="100.0" w:type="dxa"/>
              <w:left w:w="100.0" w:type="dxa"/>
              <w:bottom w:w="100.0" w:type="dxa"/>
              <w:right w:w="100.0" w:type="dxa"/>
            </w:tcMar>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Evaluated through business reports, employee feedback and industry data.</w:t>
            </w:r>
          </w:p>
        </w:tc>
      </w:tr>
      <w:tr>
        <w:trPr>
          <w:cantSplit w:val="0"/>
          <w:tblHeader w:val="0"/>
        </w:trPr>
        <w:tc>
          <w:tcPr>
            <w:shd w:fill="dbeef3" w:val="clear"/>
            <w:tcMar>
              <w:top w:w="100.0" w:type="dxa"/>
              <w:left w:w="100.0" w:type="dxa"/>
              <w:bottom w:w="100.0" w:type="dxa"/>
              <w:right w:w="100.0" w:type="dxa"/>
            </w:tcMar>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Achievable </w:t>
            </w:r>
          </w:p>
        </w:tc>
        <w:tc>
          <w:tcPr>
            <w:shd w:fill="dbeef3" w:val="clear"/>
            <w:tcMar>
              <w:top w:w="100.0" w:type="dxa"/>
              <w:left w:w="100.0" w:type="dxa"/>
              <w:bottom w:w="100.0" w:type="dxa"/>
              <w:right w:w="100.0" w:type="dxa"/>
            </w:tcMar>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Can be completed using available UK-based market data and company information.</w:t>
            </w:r>
          </w:p>
        </w:tc>
      </w:tr>
      <w:tr>
        <w:trPr>
          <w:cantSplit w:val="0"/>
          <w:tblHeader w:val="0"/>
        </w:trPr>
        <w:tc>
          <w:tcPr>
            <w:shd w:fill="dbeef3" w:val="clear"/>
            <w:tcMar>
              <w:top w:w="100.0" w:type="dxa"/>
              <w:left w:w="100.0" w:type="dxa"/>
              <w:bottom w:w="100.0" w:type="dxa"/>
              <w:right w:w="100.0" w:type="dxa"/>
            </w:tcMar>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Reliable </w:t>
            </w:r>
          </w:p>
        </w:tc>
        <w:tc>
          <w:tcPr>
            <w:shd w:fill="dbeef3" w:val="clear"/>
            <w:tcMar>
              <w:top w:w="100.0" w:type="dxa"/>
              <w:left w:w="100.0" w:type="dxa"/>
              <w:bottom w:w="100.0" w:type="dxa"/>
              <w:right w:w="100.0" w:type="dxa"/>
            </w:tcMar>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Supports organisational improvements and compliance in the UK market.</w:t>
            </w:r>
          </w:p>
        </w:tc>
      </w:tr>
      <w:tr>
        <w:trPr>
          <w:cantSplit w:val="0"/>
          <w:tblHeader w:val="0"/>
        </w:trPr>
        <w:tc>
          <w:tcPr>
            <w:shd w:fill="dbeef3" w:val="clear"/>
            <w:tcMar>
              <w:top w:w="100.0" w:type="dxa"/>
              <w:left w:w="100.0" w:type="dxa"/>
              <w:bottom w:w="100.0" w:type="dxa"/>
              <w:right w:w="100.0" w:type="dxa"/>
            </w:tcMar>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Time-bound </w:t>
            </w:r>
          </w:p>
        </w:tc>
        <w:tc>
          <w:tcPr>
            <w:shd w:fill="dbeef3" w:val="clear"/>
            <w:tcMar>
              <w:top w:w="100.0" w:type="dxa"/>
              <w:left w:w="100.0" w:type="dxa"/>
              <w:bottom w:w="100.0" w:type="dxa"/>
              <w:right w:w="100.0" w:type="dxa"/>
            </w:tcMar>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With 2027</w:t>
            </w:r>
          </w:p>
        </w:tc>
      </w:tr>
    </w:tbl>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3: SMART objective </w:t>
      </w:r>
    </w:p>
    <w:p w:rsidR="00000000" w:rsidDel="00000000" w:rsidP="00000000" w:rsidRDefault="00000000" w:rsidRPr="00000000" w14:paraId="00000091">
      <w:pPr>
        <w:pStyle w:val="Heading2"/>
        <w:spacing w:after="0" w:before="0" w:lineRule="auto"/>
        <w:rPr>
          <w:color w:val="000000"/>
        </w:rPr>
      </w:pPr>
      <w:bookmarkStart w:colFirst="0" w:colLast="0" w:name="_4qnfta7j8w0y" w:id="13"/>
      <w:bookmarkEnd w:id="13"/>
      <w:r w:rsidDel="00000000" w:rsidR="00000000" w:rsidRPr="00000000">
        <w:rPr>
          <w:color w:val="000000"/>
          <w:rtl w:val="0"/>
        </w:rPr>
        <w:t xml:space="preserve">6.2 Financial plan</w:t>
      </w:r>
    </w:p>
    <w:p w:rsidR="00000000" w:rsidDel="00000000" w:rsidP="00000000" w:rsidRDefault="00000000" w:rsidRPr="00000000" w14:paraId="00000092">
      <w:pPr>
        <w:pStyle w:val="Heading3"/>
        <w:spacing w:after="0" w:before="0" w:lineRule="auto"/>
        <w:rPr>
          <w:color w:val="000000"/>
        </w:rPr>
      </w:pPr>
      <w:bookmarkStart w:colFirst="0" w:colLast="0" w:name="_z8sexgsvrisg" w:id="14"/>
      <w:bookmarkEnd w:id="14"/>
      <w:r w:rsidDel="00000000" w:rsidR="00000000" w:rsidRPr="00000000">
        <w:rPr>
          <w:color w:val="000000"/>
          <w:rtl w:val="0"/>
        </w:rPr>
        <w:t xml:space="preserve">6.2.1 Budget </w:t>
      </w:r>
    </w:p>
    <w:tbl>
      <w:tblPr>
        <w:tblStyle w:val="Table4"/>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700"/>
        <w:gridCol w:w="3300"/>
        <w:tblGridChange w:id="0">
          <w:tblGrid>
            <w:gridCol w:w="5700"/>
            <w:gridCol w:w="3300"/>
          </w:tblGrid>
        </w:tblGridChange>
      </w:tblGrid>
      <w:tr>
        <w:trPr>
          <w:cantSplit w:val="0"/>
          <w:tblHeader w:val="0"/>
        </w:trPr>
        <w:tc>
          <w:tcPr>
            <w:shd w:fill="fdeada" w:val="clear"/>
            <w:tcMar>
              <w:top w:w="100.0" w:type="dxa"/>
              <w:left w:w="100.0" w:type="dxa"/>
              <w:bottom w:w="100.0" w:type="dxa"/>
              <w:right w:w="100.0" w:type="dxa"/>
            </w:tcMar>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ATTRUIBUTES </w:t>
            </w:r>
          </w:p>
        </w:tc>
        <w:tc>
          <w:tcPr>
            <w:shd w:fill="fdeada" w:val="clear"/>
            <w:tcMar>
              <w:top w:w="100.0" w:type="dxa"/>
              <w:left w:w="100.0" w:type="dxa"/>
              <w:bottom w:w="100.0" w:type="dxa"/>
              <w:right w:w="100.0" w:type="dxa"/>
            </w:tcMar>
          </w:tcPr>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COSTS </w:t>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Personnel and structure costs </w:t>
            </w:r>
          </w:p>
        </w:tc>
        <w:tc>
          <w:tcPr>
            <w:shd w:fill="dbe5f1" w:val="clear"/>
            <w:tcMar>
              <w:top w:w="100.0" w:type="dxa"/>
              <w:left w:w="100.0" w:type="dxa"/>
              <w:bottom w:w="100.0" w:type="dxa"/>
              <w:right w:w="100.0" w:type="dxa"/>
            </w:tcMar>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£50,000</w:t>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Legal and compliance costs </w:t>
            </w:r>
          </w:p>
        </w:tc>
        <w:tc>
          <w:tcPr>
            <w:shd w:fill="dbe5f1" w:val="clear"/>
            <w:tcMar>
              <w:top w:w="100.0" w:type="dxa"/>
              <w:left w:w="100.0" w:type="dxa"/>
              <w:bottom w:w="100.0" w:type="dxa"/>
              <w:right w:w="100.0" w:type="dxa"/>
            </w:tcMar>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£20,000</w:t>
            </w:r>
            <w:r w:rsidDel="00000000" w:rsidR="00000000" w:rsidRPr="00000000">
              <w:rPr>
                <w:rtl w:val="0"/>
              </w:rPr>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Training and development costs </w:t>
            </w:r>
          </w:p>
        </w:tc>
        <w:tc>
          <w:tcPr>
            <w:shd w:fill="dbe5f1" w:val="clear"/>
            <w:tcMar>
              <w:top w:w="100.0" w:type="dxa"/>
              <w:left w:w="100.0" w:type="dxa"/>
              <w:bottom w:w="100.0" w:type="dxa"/>
              <w:right w:w="100.0" w:type="dxa"/>
            </w:tcMar>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£25,000</w:t>
            </w:r>
            <w:r w:rsidDel="00000000" w:rsidR="00000000" w:rsidRPr="00000000">
              <w:rPr>
                <w:rtl w:val="0"/>
              </w:rPr>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Communication </w:t>
            </w:r>
          </w:p>
        </w:tc>
        <w:tc>
          <w:tcPr>
            <w:shd w:fill="dbe5f1" w:val="clear"/>
            <w:tcMar>
              <w:top w:w="100.0" w:type="dxa"/>
              <w:left w:w="100.0" w:type="dxa"/>
              <w:bottom w:w="100.0" w:type="dxa"/>
              <w:right w:w="100.0" w:type="dxa"/>
            </w:tcMar>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£10,000</w:t>
            </w:r>
            <w:r w:rsidDel="00000000" w:rsidR="00000000" w:rsidRPr="00000000">
              <w:rPr>
                <w:rtl w:val="0"/>
              </w:rPr>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Health and safety </w:t>
            </w:r>
          </w:p>
        </w:tc>
        <w:tc>
          <w:tcPr>
            <w:shd w:fill="dbe5f1" w:val="clear"/>
            <w:tcMar>
              <w:top w:w="100.0" w:type="dxa"/>
              <w:left w:w="100.0" w:type="dxa"/>
              <w:bottom w:w="100.0" w:type="dxa"/>
              <w:right w:w="100.0" w:type="dxa"/>
            </w:tcMar>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£15,000</w:t>
            </w:r>
            <w:r w:rsidDel="00000000" w:rsidR="00000000" w:rsidRPr="00000000">
              <w:rPr>
                <w:rtl w:val="0"/>
              </w:rPr>
            </w:r>
          </w:p>
        </w:tc>
      </w:tr>
      <w:tr>
        <w:trPr>
          <w:cantSplit w:val="0"/>
          <w:tblHeader w:val="0"/>
        </w:trPr>
        <w:tc>
          <w:tcPr>
            <w:shd w:fill="dbe5f1" w:val="clear"/>
            <w:tcMar>
              <w:top w:w="100.0" w:type="dxa"/>
              <w:left w:w="100.0" w:type="dxa"/>
              <w:bottom w:w="100.0" w:type="dxa"/>
              <w:right w:w="100.0" w:type="dxa"/>
            </w:tcMar>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Miscellaneous </w:t>
            </w:r>
          </w:p>
        </w:tc>
        <w:tc>
          <w:tcPr>
            <w:shd w:fill="dbe5f1" w:val="clear"/>
            <w:tcMar>
              <w:top w:w="100.0" w:type="dxa"/>
              <w:left w:w="100.0" w:type="dxa"/>
              <w:bottom w:w="100.0" w:type="dxa"/>
              <w:right w:w="100.0" w:type="dxa"/>
            </w:tcMar>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£5,000</w:t>
            </w: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Total </w:t>
            </w:r>
          </w:p>
        </w:tc>
        <w:tc>
          <w:tcPr>
            <w:tcMar>
              <w:top w:w="100.0" w:type="dxa"/>
              <w:left w:w="100.0" w:type="dxa"/>
              <w:bottom w:w="100.0" w:type="dxa"/>
              <w:right w:w="100.0" w:type="dxa"/>
            </w:tcMar>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£1,30,000</w:t>
            </w:r>
          </w:p>
        </w:tc>
      </w:tr>
    </w:tbl>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4: Budget for the change management plan program of Toni &amp; Guy </w:t>
      </w:r>
    </w:p>
    <w:p w:rsidR="00000000" w:rsidDel="00000000" w:rsidP="00000000" w:rsidRDefault="00000000" w:rsidRPr="00000000" w14:paraId="000000A4">
      <w:pPr>
        <w:pStyle w:val="Heading3"/>
        <w:spacing w:after="0" w:before="0" w:lineRule="auto"/>
        <w:rPr>
          <w:color w:val="000000"/>
        </w:rPr>
      </w:pPr>
      <w:bookmarkStart w:colFirst="0" w:colLast="0" w:name="_h6mn8yj6213f" w:id="15"/>
      <w:bookmarkEnd w:id="15"/>
      <w:r w:rsidDel="00000000" w:rsidR="00000000" w:rsidRPr="00000000">
        <w:rPr>
          <w:color w:val="000000"/>
          <w:rtl w:val="0"/>
        </w:rPr>
        <w:t xml:space="preserve">6.2.2 Sales forecast </w:t>
      </w:r>
    </w:p>
    <w:tbl>
      <w:tblPr>
        <w:tblStyle w:val="Table5"/>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
        <w:gridCol w:w="1806"/>
        <w:gridCol w:w="1806"/>
        <w:gridCol w:w="1806"/>
        <w:gridCol w:w="1806"/>
        <w:tblGridChange w:id="0">
          <w:tblGrid>
            <w:gridCol w:w="1805"/>
            <w:gridCol w:w="1806"/>
            <w:gridCol w:w="1806"/>
            <w:gridCol w:w="1806"/>
            <w:gridCol w:w="1806"/>
          </w:tblGrid>
        </w:tblGridChange>
      </w:tblGrid>
      <w:tr>
        <w:trPr>
          <w:cantSplit w:val="0"/>
          <w:tblHeader w:val="0"/>
        </w:trPr>
        <w:tc>
          <w:tcPr>
            <w:shd w:fill="ffc000" w:val="clear"/>
            <w:tcMar>
              <w:top w:w="100.0" w:type="dxa"/>
              <w:left w:w="100.0" w:type="dxa"/>
              <w:bottom w:w="100.0" w:type="dxa"/>
              <w:right w:w="100.0" w:type="dxa"/>
            </w:tcMar>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REVENUE STREAM </w:t>
            </w:r>
          </w:p>
        </w:tc>
        <w:tc>
          <w:tcPr>
            <w:shd w:fill="ffc000" w:val="clear"/>
            <w:tcMar>
              <w:top w:w="100.0" w:type="dxa"/>
              <w:left w:w="100.0" w:type="dxa"/>
              <w:bottom w:w="100.0" w:type="dxa"/>
              <w:right w:w="100.0" w:type="dxa"/>
            </w:tcMar>
          </w:tcPr>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2025</w:t>
            </w:r>
          </w:p>
        </w:tc>
        <w:tc>
          <w:tcPr>
            <w:shd w:fill="ffc000" w:val="clear"/>
            <w:tcMar>
              <w:top w:w="100.0" w:type="dxa"/>
              <w:left w:w="100.0" w:type="dxa"/>
              <w:bottom w:w="100.0" w:type="dxa"/>
              <w:right w:w="100.0" w:type="dxa"/>
            </w:tcMar>
          </w:tcPr>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2026</w:t>
            </w:r>
          </w:p>
        </w:tc>
        <w:tc>
          <w:tcPr>
            <w:shd w:fill="ffc000" w:val="clear"/>
            <w:tcMar>
              <w:top w:w="100.0" w:type="dxa"/>
              <w:left w:w="100.0" w:type="dxa"/>
              <w:bottom w:w="100.0" w:type="dxa"/>
              <w:right w:w="100.0" w:type="dxa"/>
            </w:tcMar>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2027</w:t>
            </w:r>
          </w:p>
        </w:tc>
        <w:tc>
          <w:tcPr>
            <w:shd w:fill="ffc000" w:val="clear"/>
            <w:tcMar>
              <w:top w:w="100.0" w:type="dxa"/>
              <w:left w:w="100.0" w:type="dxa"/>
              <w:bottom w:w="100.0" w:type="dxa"/>
              <w:right w:w="100.0" w:type="dxa"/>
            </w:tcMar>
          </w:tcPr>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CHANGE CATALYSTS </w:t>
            </w:r>
          </w:p>
        </w:tc>
      </w:tr>
      <w:tr>
        <w:trPr>
          <w:cantSplit w:val="0"/>
          <w:tblHeader w:val="0"/>
        </w:trPr>
        <w:tc>
          <w:tcPr>
            <w:shd w:fill="ddd9c4" w:val="clear"/>
            <w:tcMar>
              <w:top w:w="100.0" w:type="dxa"/>
              <w:left w:w="100.0" w:type="dxa"/>
              <w:bottom w:w="100.0" w:type="dxa"/>
              <w:right w:w="100.0" w:type="dxa"/>
            </w:tcMar>
          </w:tcPr>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Core salon service </w:t>
            </w:r>
          </w:p>
        </w:tc>
        <w:tc>
          <w:tcPr>
            <w:shd w:fill="ddd9c4" w:val="clear"/>
            <w:tcMar>
              <w:top w:w="100.0" w:type="dxa"/>
              <w:left w:w="100.0" w:type="dxa"/>
              <w:bottom w:w="100.0" w:type="dxa"/>
              <w:right w:w="100.0" w:type="dxa"/>
            </w:tcMar>
          </w:tcPr>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w:t>
            </w:r>
          </w:p>
        </w:tc>
        <w:tc>
          <w:tcPr>
            <w:shd w:fill="ddd9c4" w:val="clear"/>
            <w:tcMar>
              <w:top w:w="100.0" w:type="dxa"/>
              <w:left w:w="100.0" w:type="dxa"/>
              <w:bottom w:w="100.0" w:type="dxa"/>
              <w:right w:w="100.0" w:type="dxa"/>
            </w:tcMar>
          </w:tcPr>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r>
          </w:p>
        </w:tc>
        <w:tc>
          <w:tcPr>
            <w:shd w:fill="ddd9c4" w:val="clear"/>
            <w:tcMar>
              <w:top w:w="100.0" w:type="dxa"/>
              <w:left w:w="100.0" w:type="dxa"/>
              <w:bottom w:w="100.0" w:type="dxa"/>
              <w:right w:w="100.0" w:type="dxa"/>
            </w:tcMar>
          </w:tcPr>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r>
          </w:p>
        </w:tc>
        <w:tc>
          <w:tcPr>
            <w:shd w:fill="ddd9c4" w:val="clear"/>
            <w:tcMar>
              <w:top w:w="100.0" w:type="dxa"/>
              <w:left w:w="100.0" w:type="dxa"/>
              <w:bottom w:w="100.0" w:type="dxa"/>
              <w:right w:w="100.0" w:type="dxa"/>
            </w:tcMar>
          </w:tcPr>
          <w:p w:rsidR="00000000" w:rsidDel="00000000" w:rsidP="00000000" w:rsidRDefault="00000000" w:rsidRPr="00000000" w14:paraId="000000A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High-end pricing of premium service </w:t>
            </w:r>
          </w:p>
        </w:tc>
      </w:tr>
      <w:tr>
        <w:trPr>
          <w:cantSplit w:val="0"/>
          <w:tblHeader w:val="0"/>
        </w:trPr>
        <w:tc>
          <w:tcPr>
            <w:shd w:fill="ddd9c4" w:val="clear"/>
            <w:tcMar>
              <w:top w:w="100.0" w:type="dxa"/>
              <w:left w:w="100.0" w:type="dxa"/>
              <w:bottom w:w="100.0" w:type="dxa"/>
              <w:right w:w="100.0" w:type="dxa"/>
            </w:tcMar>
          </w:tcPr>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Retail products </w:t>
            </w:r>
          </w:p>
        </w:tc>
        <w:tc>
          <w:tcPr>
            <w:shd w:fill="ddd9c4" w:val="clear"/>
            <w:tcMar>
              <w:top w:w="100.0" w:type="dxa"/>
              <w:left w:w="100.0" w:type="dxa"/>
              <w:bottom w:w="100.0" w:type="dxa"/>
              <w:right w:w="100.0" w:type="dxa"/>
            </w:tcMar>
          </w:tcPr>
          <w:p w:rsidR="00000000" w:rsidDel="00000000" w:rsidP="00000000" w:rsidRDefault="00000000" w:rsidRPr="00000000" w14:paraId="000000B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w:t>
            </w:r>
          </w:p>
        </w:tc>
        <w:tc>
          <w:tcPr>
            <w:shd w:fill="ddd9c4" w:val="clear"/>
            <w:tcMar>
              <w:top w:w="100.0" w:type="dxa"/>
              <w:left w:w="100.0" w:type="dxa"/>
              <w:bottom w:w="100.0" w:type="dxa"/>
              <w:right w:w="100.0" w:type="dxa"/>
            </w:tcMar>
          </w:tcPr>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 </w:t>
            </w:r>
          </w:p>
        </w:tc>
        <w:tc>
          <w:tcPr>
            <w:shd w:fill="ddd9c4" w:val="clear"/>
            <w:tcMar>
              <w:top w:w="100.0" w:type="dxa"/>
              <w:left w:w="100.0" w:type="dxa"/>
              <w:bottom w:w="100.0" w:type="dxa"/>
              <w:right w:w="100.0" w:type="dxa"/>
            </w:tcMar>
          </w:tcPr>
          <w:p w:rsidR="00000000" w:rsidDel="00000000" w:rsidP="00000000" w:rsidRDefault="00000000" w:rsidRPr="00000000" w14:paraId="000000B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w:t>
            </w:r>
          </w:p>
        </w:tc>
        <w:tc>
          <w:tcPr>
            <w:shd w:fill="ddd9c4" w:val="clear"/>
            <w:tcMar>
              <w:top w:w="100.0" w:type="dxa"/>
              <w:left w:w="100.0" w:type="dxa"/>
              <w:bottom w:w="100.0" w:type="dxa"/>
              <w:right w:w="100.0" w:type="dxa"/>
            </w:tcMar>
          </w:tcPr>
          <w:p w:rsidR="00000000" w:rsidDel="00000000" w:rsidP="00000000" w:rsidRDefault="00000000" w:rsidRPr="00000000" w14:paraId="000000B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Digital integration with salon at home </w:t>
            </w:r>
          </w:p>
        </w:tc>
      </w:tr>
      <w:tr>
        <w:trPr>
          <w:cantSplit w:val="0"/>
          <w:tblHeader w:val="0"/>
        </w:trPr>
        <w:tc>
          <w:tcPr>
            <w:shd w:fill="ddd9c4" w:val="clear"/>
            <w:tcMar>
              <w:top w:w="100.0" w:type="dxa"/>
              <w:left w:w="100.0" w:type="dxa"/>
              <w:bottom w:w="100.0" w:type="dxa"/>
              <w:right w:w="100.0" w:type="dxa"/>
            </w:tcMar>
          </w:tcPr>
          <w:p w:rsidR="00000000" w:rsidDel="00000000" w:rsidP="00000000" w:rsidRDefault="00000000" w:rsidRPr="00000000" w14:paraId="000000B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Apprenticeship and educational program </w:t>
            </w:r>
          </w:p>
        </w:tc>
        <w:tc>
          <w:tcPr>
            <w:shd w:fill="ddd9c4" w:val="clear"/>
            <w:tcMar>
              <w:top w:w="100.0" w:type="dxa"/>
              <w:left w:w="100.0" w:type="dxa"/>
              <w:bottom w:w="100.0" w:type="dxa"/>
              <w:right w:w="100.0" w:type="dxa"/>
            </w:tcMar>
          </w:tcPr>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w:t>
            </w:r>
          </w:p>
        </w:tc>
        <w:tc>
          <w:tcPr>
            <w:shd w:fill="ddd9c4" w:val="clear"/>
            <w:tcMar>
              <w:top w:w="100.0" w:type="dxa"/>
              <w:left w:w="100.0" w:type="dxa"/>
              <w:bottom w:w="100.0" w:type="dxa"/>
              <w:right w:w="100.0" w:type="dxa"/>
            </w:tcMar>
          </w:tcPr>
          <w:p w:rsidR="00000000" w:rsidDel="00000000" w:rsidP="00000000" w:rsidRDefault="00000000" w:rsidRPr="00000000" w14:paraId="000000B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r>
          </w:p>
        </w:tc>
        <w:tc>
          <w:tcPr>
            <w:shd w:fill="ddd9c4" w:val="clear"/>
            <w:tcMar>
              <w:top w:w="100.0" w:type="dxa"/>
              <w:left w:w="100.0" w:type="dxa"/>
              <w:bottom w:w="100.0" w:type="dxa"/>
              <w:right w:w="100.0" w:type="dxa"/>
            </w:tcMar>
          </w:tcPr>
          <w:p w:rsidR="00000000" w:rsidDel="00000000" w:rsidP="00000000" w:rsidRDefault="00000000" w:rsidRPr="00000000" w14:paraId="000000B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 </w:t>
            </w:r>
          </w:p>
        </w:tc>
        <w:tc>
          <w:tcPr>
            <w:shd w:fill="ddd9c4" w:val="clear"/>
            <w:tcMar>
              <w:top w:w="100.0" w:type="dxa"/>
              <w:left w:w="100.0" w:type="dxa"/>
              <w:bottom w:w="100.0" w:type="dxa"/>
              <w:right w:w="100.0" w:type="dxa"/>
            </w:tcMar>
          </w:tcPr>
          <w:p w:rsidR="00000000" w:rsidDel="00000000" w:rsidP="00000000" w:rsidRDefault="00000000" w:rsidRPr="00000000" w14:paraId="000000B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Restructured high-quality training </w:t>
            </w:r>
          </w:p>
        </w:tc>
      </w:tr>
      <w:tr>
        <w:trPr>
          <w:cantSplit w:val="0"/>
          <w:tblHeader w:val="0"/>
        </w:trPr>
        <w:tc>
          <w:tcPr>
            <w:shd w:fill="ddd9c4" w:val="clear"/>
            <w:tcMar>
              <w:top w:w="100.0" w:type="dxa"/>
              <w:left w:w="100.0" w:type="dxa"/>
              <w:bottom w:w="100.0" w:type="dxa"/>
              <w:right w:w="100.0" w:type="dxa"/>
            </w:tcMar>
          </w:tcPr>
          <w:p w:rsidR="00000000" w:rsidDel="00000000" w:rsidP="00000000" w:rsidRDefault="00000000" w:rsidRPr="00000000" w14:paraId="000000B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Average revenue growth </w:t>
            </w:r>
          </w:p>
        </w:tc>
        <w:tc>
          <w:tcPr>
            <w:shd w:fill="ddd9c4" w:val="clear"/>
            <w:tcMar>
              <w:top w:w="100.0" w:type="dxa"/>
              <w:left w:w="100.0" w:type="dxa"/>
              <w:bottom w:w="100.0" w:type="dxa"/>
              <w:right w:w="100.0" w:type="dxa"/>
            </w:tcMar>
          </w:tcPr>
          <w:p w:rsidR="00000000" w:rsidDel="00000000" w:rsidP="00000000" w:rsidRDefault="00000000" w:rsidRPr="00000000" w14:paraId="000000B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r>
          </w:p>
        </w:tc>
        <w:tc>
          <w:tcPr>
            <w:shd w:fill="ddd9c4" w:val="clear"/>
            <w:tcMar>
              <w:top w:w="100.0" w:type="dxa"/>
              <w:left w:w="100.0" w:type="dxa"/>
              <w:bottom w:w="100.0" w:type="dxa"/>
              <w:right w:w="100.0" w:type="dxa"/>
            </w:tcMar>
          </w:tcPr>
          <w:p w:rsidR="00000000" w:rsidDel="00000000" w:rsidP="00000000" w:rsidRDefault="00000000" w:rsidRPr="00000000" w14:paraId="000000B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r>
          </w:p>
        </w:tc>
        <w:tc>
          <w:tcPr>
            <w:shd w:fill="ddd9c4" w:val="clear"/>
            <w:tcMar>
              <w:top w:w="100.0" w:type="dxa"/>
              <w:left w:w="100.0" w:type="dxa"/>
              <w:bottom w:w="100.0" w:type="dxa"/>
              <w:right w:w="100.0" w:type="dxa"/>
            </w:tcMar>
          </w:tcPr>
          <w:p w:rsidR="00000000" w:rsidDel="00000000" w:rsidP="00000000" w:rsidRDefault="00000000" w:rsidRPr="00000000" w14:paraId="000000B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w:t>
            </w:r>
          </w:p>
        </w:tc>
        <w:tc>
          <w:tcPr>
            <w:shd w:fill="ddd9c4" w:val="clear"/>
            <w:tcMar>
              <w:top w:w="100.0" w:type="dxa"/>
              <w:left w:w="100.0" w:type="dxa"/>
              <w:bottom w:w="100.0" w:type="dxa"/>
              <w:right w:w="100.0" w:type="dxa"/>
            </w:tcMar>
          </w:tcPr>
          <w:p w:rsidR="00000000" w:rsidDel="00000000" w:rsidP="00000000" w:rsidRDefault="00000000" w:rsidRPr="00000000" w14:paraId="000000B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Overall strategic shift </w:t>
            </w:r>
          </w:p>
        </w:tc>
      </w:tr>
    </w:tbl>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5: Sales forecast of Toni &amp; Guy </w:t>
      </w:r>
    </w:p>
    <w:p w:rsidR="00000000" w:rsidDel="00000000" w:rsidP="00000000" w:rsidRDefault="00000000" w:rsidRPr="00000000" w14:paraId="000000BF">
      <w:pPr>
        <w:pStyle w:val="Heading3"/>
        <w:spacing w:after="0" w:before="0" w:lineRule="auto"/>
        <w:rPr>
          <w:color w:val="000000"/>
        </w:rPr>
      </w:pPr>
      <w:bookmarkStart w:colFirst="0" w:colLast="0" w:name="_4qy80i3g362a" w:id="16"/>
      <w:bookmarkEnd w:id="16"/>
      <w:r w:rsidDel="00000000" w:rsidR="00000000" w:rsidRPr="00000000">
        <w:rPr>
          <w:color w:val="000000"/>
          <w:rtl w:val="0"/>
        </w:rPr>
        <w:t xml:space="preserve">6.2.3 Contingency plan </w:t>
      </w:r>
    </w:p>
    <w:tbl>
      <w:tblPr>
        <w:tblStyle w:val="Table6"/>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
        <w:gridCol w:w="1806"/>
        <w:gridCol w:w="1806"/>
        <w:gridCol w:w="1806"/>
        <w:gridCol w:w="1806"/>
        <w:tblGridChange w:id="0">
          <w:tblGrid>
            <w:gridCol w:w="1805"/>
            <w:gridCol w:w="1806"/>
            <w:gridCol w:w="1806"/>
            <w:gridCol w:w="1806"/>
            <w:gridCol w:w="1806"/>
          </w:tblGrid>
        </w:tblGridChange>
      </w:tblGrid>
      <w:tr>
        <w:trPr>
          <w:cantSplit w:val="0"/>
          <w:tblHeader w:val="0"/>
        </w:trPr>
        <w:tc>
          <w:tcPr>
            <w:shd w:fill="ccc1d9" w:val="clear"/>
            <w:tcMar>
              <w:top w:w="100.0" w:type="dxa"/>
              <w:left w:w="100.0" w:type="dxa"/>
              <w:bottom w:w="100.0" w:type="dxa"/>
              <w:right w:w="100.0" w:type="dxa"/>
            </w:tcMar>
          </w:tcPr>
          <w:p w:rsidR="00000000" w:rsidDel="00000000" w:rsidP="00000000" w:rsidRDefault="00000000" w:rsidRPr="00000000" w14:paraId="000000C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RISK OR ISSUES</w:t>
            </w:r>
          </w:p>
        </w:tc>
        <w:tc>
          <w:tcPr>
            <w:shd w:fill="ccc1d9" w:val="clear"/>
            <w:tcMar>
              <w:top w:w="100.0" w:type="dxa"/>
              <w:left w:w="100.0" w:type="dxa"/>
              <w:bottom w:w="100.0" w:type="dxa"/>
              <w:right w:w="100.0" w:type="dxa"/>
            </w:tcMar>
          </w:tcPr>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EVENTS</w:t>
            </w:r>
          </w:p>
        </w:tc>
        <w:tc>
          <w:tcPr>
            <w:shd w:fill="ccc1d9" w:val="clear"/>
            <w:tcMar>
              <w:top w:w="100.0" w:type="dxa"/>
              <w:left w:w="100.0" w:type="dxa"/>
              <w:bottom w:w="100.0" w:type="dxa"/>
              <w:right w:w="100.0" w:type="dxa"/>
            </w:tcMar>
          </w:tcPr>
          <w:p w:rsidR="00000000" w:rsidDel="00000000" w:rsidP="00000000" w:rsidRDefault="00000000" w:rsidRPr="00000000" w14:paraId="000000C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CONTROL MEASURES</w:t>
            </w:r>
          </w:p>
        </w:tc>
        <w:tc>
          <w:tcPr>
            <w:shd w:fill="ccc1d9" w:val="clear"/>
            <w:tcMar>
              <w:top w:w="100.0" w:type="dxa"/>
              <w:left w:w="100.0" w:type="dxa"/>
              <w:bottom w:w="100.0" w:type="dxa"/>
              <w:right w:w="100.0" w:type="dxa"/>
            </w:tcMar>
          </w:tcPr>
          <w:p w:rsidR="00000000" w:rsidDel="00000000" w:rsidP="00000000" w:rsidRDefault="00000000" w:rsidRPr="00000000" w14:paraId="000000C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CONTINGENCY ACTION</w:t>
            </w:r>
          </w:p>
        </w:tc>
        <w:tc>
          <w:tcPr>
            <w:shd w:fill="ccc1d9" w:val="clear"/>
            <w:tcMar>
              <w:top w:w="100.0" w:type="dxa"/>
              <w:left w:w="100.0" w:type="dxa"/>
              <w:bottom w:w="100.0" w:type="dxa"/>
              <w:right w:w="100.0" w:type="dxa"/>
            </w:tcMar>
          </w:tcPr>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RESPONSIBLE PERSON</w:t>
            </w:r>
          </w:p>
        </w:tc>
      </w:tr>
      <w:tr>
        <w:trPr>
          <w:cantSplit w:val="0"/>
          <w:tblHeader w:val="0"/>
        </w:trPr>
        <w:tc>
          <w:tcPr>
            <w:shd w:fill="b7dde8" w:val="clear"/>
            <w:tcMar>
              <w:top w:w="100.0" w:type="dxa"/>
              <w:left w:w="100.0" w:type="dxa"/>
              <w:bottom w:w="100.0" w:type="dxa"/>
              <w:right w:w="100.0" w:type="dxa"/>
            </w:tcMar>
          </w:tcPr>
          <w:p w:rsidR="00000000" w:rsidDel="00000000" w:rsidP="00000000" w:rsidRDefault="00000000" w:rsidRPr="00000000" w14:paraId="000000C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pandemic is giving rise to a public health crisis </w:t>
            </w:r>
          </w:p>
        </w:tc>
        <w:tc>
          <w:tcPr>
            <w:shd w:fill="b7dde8" w:val="clear"/>
            <w:tcMar>
              <w:top w:w="100.0" w:type="dxa"/>
              <w:left w:w="100.0" w:type="dxa"/>
              <w:bottom w:w="100.0" w:type="dxa"/>
              <w:right w:w="100.0" w:type="dxa"/>
            </w:tcMar>
          </w:tcPr>
          <w:p w:rsidR="00000000" w:rsidDel="00000000" w:rsidP="00000000" w:rsidRDefault="00000000" w:rsidRPr="00000000" w14:paraId="000000C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Lockdowns, loss of value and high staph infection rates, along with loss of business </w:t>
            </w:r>
          </w:p>
        </w:tc>
        <w:tc>
          <w:tcPr>
            <w:shd w:fill="b7dde8" w:val="clear"/>
            <w:tcMar>
              <w:top w:w="100.0" w:type="dxa"/>
              <w:left w:w="100.0" w:type="dxa"/>
              <w:bottom w:w="100.0" w:type="dxa"/>
              <w:right w:w="100.0" w:type="dxa"/>
            </w:tcMar>
          </w:tcPr>
          <w:p w:rsidR="00000000" w:rsidDel="00000000" w:rsidP="00000000" w:rsidRDefault="00000000" w:rsidRPr="00000000" w14:paraId="000000C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Strict hygiene protocols, stockpiling PPE kits, developing online booking and checking for the reduction of check-in times </w:t>
            </w:r>
          </w:p>
        </w:tc>
        <w:tc>
          <w:tcPr>
            <w:shd w:fill="b7dde8" w:val="clear"/>
            <w:tcMar>
              <w:top w:w="100.0" w:type="dxa"/>
              <w:left w:w="100.0" w:type="dxa"/>
              <w:bottom w:w="100.0" w:type="dxa"/>
              <w:right w:w="100.0" w:type="dxa"/>
            </w:tcMar>
          </w:tcPr>
          <w:p w:rsidR="00000000" w:rsidDel="00000000" w:rsidP="00000000" w:rsidRDefault="00000000" w:rsidRPr="00000000" w14:paraId="000000C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Implementation of the remote training for apprenticeship and activating the online retailing </w:t>
            </w:r>
            <w:r w:rsidDel="00000000" w:rsidR="00000000" w:rsidRPr="00000000">
              <w:rPr>
                <w:rtl w:val="0"/>
              </w:rPr>
            </w:r>
          </w:p>
        </w:tc>
        <w:tc>
          <w:tcPr>
            <w:shd w:fill="b7dde8" w:val="clear"/>
            <w:tcMar>
              <w:top w:w="100.0" w:type="dxa"/>
              <w:left w:w="100.0" w:type="dxa"/>
              <w:bottom w:w="100.0" w:type="dxa"/>
              <w:right w:w="100.0" w:type="dxa"/>
            </w:tcMar>
          </w:tcPr>
          <w:p w:rsidR="00000000" w:rsidDel="00000000" w:rsidP="00000000" w:rsidRDefault="00000000" w:rsidRPr="00000000" w14:paraId="000000C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Salon manager and HR manager </w:t>
            </w:r>
          </w:p>
        </w:tc>
      </w:tr>
      <w:tr>
        <w:trPr>
          <w:cantSplit w:val="0"/>
          <w:tblHeader w:val="0"/>
        </w:trPr>
        <w:tc>
          <w:tcPr>
            <w:shd w:fill="b7dde8" w:val="clear"/>
            <w:tcMar>
              <w:top w:w="100.0" w:type="dxa"/>
              <w:left w:w="100.0" w:type="dxa"/>
              <w:bottom w:w="100.0" w:type="dxa"/>
              <w:right w:w="100.0" w:type="dxa"/>
            </w:tcMar>
          </w:tcPr>
          <w:p w:rsidR="00000000" w:rsidDel="00000000" w:rsidP="00000000" w:rsidRDefault="00000000" w:rsidRPr="00000000" w14:paraId="000000C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Legal complaints and the compliances </w:t>
            </w:r>
          </w:p>
        </w:tc>
        <w:tc>
          <w:tcPr>
            <w:shd w:fill="b7dde8" w:val="clear"/>
            <w:tcMar>
              <w:top w:w="100.0" w:type="dxa"/>
              <w:left w:w="100.0" w:type="dxa"/>
              <w:bottom w:w="100.0" w:type="dxa"/>
              <w:right w:w="100.0" w:type="dxa"/>
            </w:tcMar>
          </w:tcPr>
          <w:p w:rsidR="00000000" w:rsidDel="00000000" w:rsidP="00000000" w:rsidRDefault="00000000" w:rsidRPr="00000000" w14:paraId="000000C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and safety breach with unfair dismissal and customer injury </w:t>
            </w:r>
          </w:p>
        </w:tc>
        <w:tc>
          <w:tcPr>
            <w:shd w:fill="b7dde8" w:val="clear"/>
            <w:tcMar>
              <w:top w:w="100.0" w:type="dxa"/>
              <w:left w:w="100.0" w:type="dxa"/>
              <w:bottom w:w="100.0" w:type="dxa"/>
              <w:right w:w="100.0" w:type="dxa"/>
            </w:tcMar>
          </w:tcPr>
          <w:p w:rsidR="00000000" w:rsidDel="00000000" w:rsidP="00000000" w:rsidRDefault="00000000" w:rsidRPr="00000000" w14:paraId="000000C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Regular documentation with mandatory staff training on health, safety and hygiene</w:t>
            </w:r>
          </w:p>
        </w:tc>
        <w:tc>
          <w:tcPr>
            <w:shd w:fill="b7dde8" w:val="clear"/>
            <w:tcMar>
              <w:top w:w="100.0" w:type="dxa"/>
              <w:left w:w="100.0" w:type="dxa"/>
              <w:bottom w:w="100.0" w:type="dxa"/>
              <w:right w:w="100.0" w:type="dxa"/>
            </w:tcMar>
          </w:tcPr>
          <w:p w:rsidR="00000000" w:rsidDel="00000000" w:rsidP="00000000" w:rsidRDefault="00000000" w:rsidRPr="00000000" w14:paraId="000000C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Immediate consultation of the legal counsel with full cooperation of the regulatory authorities </w:t>
            </w:r>
          </w:p>
        </w:tc>
        <w:tc>
          <w:tcPr>
            <w:shd w:fill="b7dde8" w:val="clear"/>
            <w:tcMar>
              <w:top w:w="100.0" w:type="dxa"/>
              <w:left w:w="100.0" w:type="dxa"/>
              <w:bottom w:w="100.0" w:type="dxa"/>
              <w:right w:w="100.0" w:type="dxa"/>
            </w:tcMar>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HR director </w:t>
            </w:r>
          </w:p>
        </w:tc>
      </w:tr>
      <w:tr>
        <w:trPr>
          <w:cantSplit w:val="0"/>
          <w:tblHeader w:val="0"/>
        </w:trPr>
        <w:tc>
          <w:tcPr>
            <w:shd w:fill="b7dde8" w:val="clear"/>
            <w:tcMar>
              <w:top w:w="100.0" w:type="dxa"/>
              <w:left w:w="100.0" w:type="dxa"/>
              <w:bottom w:w="100.0" w:type="dxa"/>
              <w:right w:w="100.0" w:type="dxa"/>
            </w:tcMar>
          </w:tcPr>
          <w:p w:rsidR="00000000" w:rsidDel="00000000" w:rsidP="00000000" w:rsidRDefault="00000000" w:rsidRPr="00000000" w14:paraId="000000C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Apprenticeship issues </w:t>
            </w:r>
          </w:p>
        </w:tc>
        <w:tc>
          <w:tcPr>
            <w:shd w:fill="b7dde8" w:val="clear"/>
            <w:tcMar>
              <w:top w:w="100.0" w:type="dxa"/>
              <w:left w:w="100.0" w:type="dxa"/>
              <w:bottom w:w="100.0" w:type="dxa"/>
              <w:right w:w="100.0" w:type="dxa"/>
            </w:tcMar>
          </w:tcPr>
          <w:p w:rsidR="00000000" w:rsidDel="00000000" w:rsidP="00000000" w:rsidRDefault="00000000" w:rsidRPr="00000000" w14:paraId="000000D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 turnover and lack of engagement due to a lack of effective training </w:t>
            </w:r>
          </w:p>
        </w:tc>
        <w:tc>
          <w:tcPr>
            <w:shd w:fill="b7dde8" w:val="clear"/>
            <w:tcMar>
              <w:top w:w="100.0" w:type="dxa"/>
              <w:left w:w="100.0" w:type="dxa"/>
              <w:bottom w:w="100.0" w:type="dxa"/>
              <w:right w:w="100.0" w:type="dxa"/>
            </w:tcMar>
          </w:tcPr>
          <w:p w:rsidR="00000000" w:rsidDel="00000000" w:rsidP="00000000" w:rsidRDefault="00000000" w:rsidRPr="00000000" w14:paraId="000000D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Implementation of the structured training curriculum and assigning dedicated mentors for hairstyling </w:t>
            </w:r>
          </w:p>
        </w:tc>
        <w:tc>
          <w:tcPr>
            <w:shd w:fill="b7dde8" w:val="clear"/>
            <w:tcMar>
              <w:top w:w="100.0" w:type="dxa"/>
              <w:left w:w="100.0" w:type="dxa"/>
              <w:bottom w:w="100.0" w:type="dxa"/>
              <w:right w:w="100.0" w:type="dxa"/>
            </w:tcMar>
          </w:tcPr>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Transition hands-on training in the virtual process through an illustrative demonstration </w:t>
            </w:r>
          </w:p>
        </w:tc>
        <w:tc>
          <w:tcPr>
            <w:shd w:fill="b7dde8" w:val="clear"/>
            <w:tcMar>
              <w:top w:w="100.0" w:type="dxa"/>
              <w:left w:w="100.0" w:type="dxa"/>
              <w:bottom w:w="100.0" w:type="dxa"/>
              <w:right w:w="100.0" w:type="dxa"/>
            </w:tcMar>
          </w:tcPr>
          <w:p w:rsidR="00000000" w:rsidDel="00000000" w:rsidP="00000000" w:rsidRDefault="00000000" w:rsidRPr="00000000" w14:paraId="000000D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Academy manager </w:t>
            </w:r>
          </w:p>
        </w:tc>
      </w:tr>
      <w:tr>
        <w:trPr>
          <w:cantSplit w:val="0"/>
          <w:tblHeader w:val="0"/>
        </w:trPr>
        <w:tc>
          <w:tcPr>
            <w:shd w:fill="b7dde8" w:val="clear"/>
            <w:tcMar>
              <w:top w:w="100.0" w:type="dxa"/>
              <w:left w:w="100.0" w:type="dxa"/>
              <w:bottom w:w="100.0" w:type="dxa"/>
              <w:right w:w="100.0" w:type="dxa"/>
            </w:tcMar>
          </w:tcPr>
          <w:p w:rsidR="00000000" w:rsidDel="00000000" w:rsidP="00000000" w:rsidRDefault="00000000" w:rsidRPr="00000000" w14:paraId="000000D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Operational or staffing shortage </w:t>
            </w:r>
          </w:p>
        </w:tc>
        <w:tc>
          <w:tcPr>
            <w:shd w:fill="b7dde8" w:val="clear"/>
            <w:tcMar>
              <w:top w:w="100.0" w:type="dxa"/>
              <w:left w:w="100.0" w:type="dxa"/>
              <w:bottom w:w="100.0" w:type="dxa"/>
              <w:right w:w="100.0" w:type="dxa"/>
            </w:tcMar>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Sudden illness of staff and inability to fill the service provision </w:t>
            </w:r>
          </w:p>
        </w:tc>
        <w:tc>
          <w:tcPr>
            <w:shd w:fill="b7dde8" w:val="clear"/>
            <w:tcMar>
              <w:top w:w="100.0" w:type="dxa"/>
              <w:left w:w="100.0" w:type="dxa"/>
              <w:bottom w:w="100.0" w:type="dxa"/>
              <w:right w:w="100.0" w:type="dxa"/>
            </w:tcMar>
          </w:tcPr>
          <w:p w:rsidR="00000000" w:rsidDel="00000000" w:rsidP="00000000" w:rsidRDefault="00000000" w:rsidRPr="00000000" w14:paraId="000000D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Maintaining a reserve list of freelance or casual stylists </w:t>
            </w:r>
          </w:p>
        </w:tc>
        <w:tc>
          <w:tcPr>
            <w:shd w:fill="b7dde8" w:val="clear"/>
            <w:tcMar>
              <w:top w:w="100.0" w:type="dxa"/>
              <w:left w:w="100.0" w:type="dxa"/>
              <w:bottom w:w="100.0" w:type="dxa"/>
              <w:right w:w="100.0" w:type="dxa"/>
            </w:tcMar>
          </w:tcPr>
          <w:p w:rsidR="00000000" w:rsidDel="00000000" w:rsidP="00000000" w:rsidRDefault="00000000" w:rsidRPr="00000000" w14:paraId="000000D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Prioritising the services by revenue and reallocating the apprenticeship to assist the other professionals </w:t>
            </w:r>
          </w:p>
        </w:tc>
        <w:tc>
          <w:tcPr>
            <w:shd w:fill="b7dde8" w:val="clear"/>
            <w:tcMar>
              <w:top w:w="100.0" w:type="dxa"/>
              <w:left w:w="100.0" w:type="dxa"/>
              <w:bottom w:w="100.0" w:type="dxa"/>
              <w:right w:w="100.0" w:type="dxa"/>
            </w:tcMar>
          </w:tcPr>
          <w:p w:rsidR="00000000" w:rsidDel="00000000" w:rsidP="00000000" w:rsidRDefault="00000000" w:rsidRPr="00000000" w14:paraId="000000D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Area manager </w:t>
            </w:r>
          </w:p>
        </w:tc>
      </w:tr>
    </w:tbl>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6: Contingency plan for Toni &amp; Guy </w:t>
      </w:r>
    </w:p>
    <w:p w:rsidR="00000000" w:rsidDel="00000000" w:rsidP="00000000" w:rsidRDefault="00000000" w:rsidRPr="00000000" w14:paraId="000000DA">
      <w:pPr>
        <w:pStyle w:val="Heading2"/>
        <w:spacing w:after="0" w:before="0" w:lineRule="auto"/>
        <w:rPr>
          <w:color w:val="000000"/>
        </w:rPr>
      </w:pPr>
      <w:bookmarkStart w:colFirst="0" w:colLast="0" w:name="_mbnbibjgz28k" w:id="17"/>
      <w:bookmarkEnd w:id="17"/>
      <w:r w:rsidDel="00000000" w:rsidR="00000000" w:rsidRPr="00000000">
        <w:rPr>
          <w:color w:val="000000"/>
          <w:rtl w:val="0"/>
        </w:rPr>
        <w:t xml:space="preserve">6.3 Communication plan</w:t>
      </w:r>
    </w:p>
    <w:tbl>
      <w:tblPr>
        <w:tblStyle w:val="Table7"/>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4"/>
        <w:gridCol w:w="1505"/>
        <w:gridCol w:w="1505"/>
        <w:gridCol w:w="1505"/>
        <w:gridCol w:w="1505"/>
        <w:gridCol w:w="1505"/>
        <w:tblGridChange w:id="0">
          <w:tblGrid>
            <w:gridCol w:w="1504"/>
            <w:gridCol w:w="1505"/>
            <w:gridCol w:w="1505"/>
            <w:gridCol w:w="1505"/>
            <w:gridCol w:w="1505"/>
            <w:gridCol w:w="1505"/>
          </w:tblGrid>
        </w:tblGridChange>
      </w:tblGrid>
      <w:tr>
        <w:trPr>
          <w:cantSplit w:val="0"/>
          <w:tblHeader w:val="0"/>
        </w:trPr>
        <w:tc>
          <w:tcPr>
            <w:shd w:fill="c3bd96" w:val="clear"/>
            <w:tcMar>
              <w:top w:w="100.0" w:type="dxa"/>
              <w:left w:w="100.0" w:type="dxa"/>
              <w:bottom w:w="100.0" w:type="dxa"/>
              <w:right w:w="100.0" w:type="dxa"/>
            </w:tcMar>
          </w:tcPr>
          <w:p w:rsidR="00000000" w:rsidDel="00000000" w:rsidP="00000000" w:rsidRDefault="00000000" w:rsidRPr="00000000" w14:paraId="000000D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PHASES </w:t>
            </w:r>
          </w:p>
        </w:tc>
        <w:tc>
          <w:tcPr>
            <w:shd w:fill="c3bd96" w:val="clear"/>
            <w:tcMar>
              <w:top w:w="100.0" w:type="dxa"/>
              <w:left w:w="100.0" w:type="dxa"/>
              <w:bottom w:w="100.0" w:type="dxa"/>
              <w:right w:w="100.0" w:type="dxa"/>
            </w:tcMar>
          </w:tcPr>
          <w:p w:rsidR="00000000" w:rsidDel="00000000" w:rsidP="00000000" w:rsidRDefault="00000000" w:rsidRPr="00000000" w14:paraId="000000D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ACTION ITEM </w:t>
            </w:r>
          </w:p>
        </w:tc>
        <w:tc>
          <w:tcPr>
            <w:shd w:fill="c3bd96" w:val="clear"/>
            <w:tcMar>
              <w:top w:w="100.0" w:type="dxa"/>
              <w:left w:w="100.0" w:type="dxa"/>
              <w:bottom w:w="100.0" w:type="dxa"/>
              <w:right w:w="100.0" w:type="dxa"/>
            </w:tcMar>
          </w:tcPr>
          <w:p w:rsidR="00000000" w:rsidDel="00000000" w:rsidP="00000000" w:rsidRDefault="00000000" w:rsidRPr="00000000" w14:paraId="000000D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TARGETED AUDIENCE </w:t>
            </w:r>
          </w:p>
        </w:tc>
        <w:tc>
          <w:tcPr>
            <w:shd w:fill="c3bd96" w:val="clear"/>
            <w:tcMar>
              <w:top w:w="100.0" w:type="dxa"/>
              <w:left w:w="100.0" w:type="dxa"/>
              <w:bottom w:w="100.0" w:type="dxa"/>
              <w:right w:w="100.0" w:type="dxa"/>
            </w:tcMar>
          </w:tcPr>
          <w:p w:rsidR="00000000" w:rsidDel="00000000" w:rsidP="00000000" w:rsidRDefault="00000000" w:rsidRPr="00000000" w14:paraId="000000D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CORE MESSAGE </w:t>
            </w:r>
          </w:p>
        </w:tc>
        <w:tc>
          <w:tcPr>
            <w:shd w:fill="c3bd96" w:val="clear"/>
            <w:tcMar>
              <w:top w:w="100.0" w:type="dxa"/>
              <w:left w:w="100.0" w:type="dxa"/>
              <w:bottom w:w="100.0" w:type="dxa"/>
              <w:right w:w="100.0" w:type="dxa"/>
            </w:tcMar>
          </w:tcPr>
          <w:p w:rsidR="00000000" w:rsidDel="00000000" w:rsidP="00000000" w:rsidRDefault="00000000" w:rsidRPr="00000000" w14:paraId="000000D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CHANNEL </w:t>
            </w:r>
          </w:p>
        </w:tc>
        <w:tc>
          <w:tcPr>
            <w:shd w:fill="c3bd96" w:val="clear"/>
            <w:tcMar>
              <w:top w:w="100.0" w:type="dxa"/>
              <w:left w:w="100.0" w:type="dxa"/>
              <w:bottom w:w="100.0" w:type="dxa"/>
              <w:right w:w="100.0" w:type="dxa"/>
            </w:tcMar>
          </w:tcPr>
          <w:p w:rsidR="00000000" w:rsidDel="00000000" w:rsidP="00000000" w:rsidRDefault="00000000" w:rsidRPr="00000000" w14:paraId="000000E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RESPONSIBLE PERSON </w:t>
            </w:r>
          </w:p>
        </w:tc>
      </w:tr>
      <w:tr>
        <w:trPr>
          <w:cantSplit w:val="0"/>
          <w:tblHeader w:val="0"/>
        </w:trPr>
        <w:tc>
          <w:tcPr>
            <w:shd w:fill="e5dfec" w:val="clear"/>
            <w:tcMar>
              <w:top w:w="100.0" w:type="dxa"/>
              <w:left w:w="100.0" w:type="dxa"/>
              <w:bottom w:w="100.0" w:type="dxa"/>
              <w:right w:w="100.0" w:type="dxa"/>
            </w:tcMar>
          </w:tcPr>
          <w:p w:rsidR="00000000" w:rsidDel="00000000" w:rsidP="00000000" w:rsidRDefault="00000000" w:rsidRPr="00000000" w14:paraId="000000E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Preparation </w:t>
            </w:r>
          </w:p>
        </w:tc>
        <w:tc>
          <w:tcPr>
            <w:shd w:fill="e5dfec" w:val="clear"/>
            <w:tcMar>
              <w:top w:w="100.0" w:type="dxa"/>
              <w:left w:w="100.0" w:type="dxa"/>
              <w:bottom w:w="100.0" w:type="dxa"/>
              <w:right w:w="100.0" w:type="dxa"/>
            </w:tcMar>
          </w:tcPr>
          <w:p w:rsidR="00000000" w:rsidDel="00000000" w:rsidP="00000000" w:rsidRDefault="00000000" w:rsidRPr="00000000" w14:paraId="000000E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Rebuilding and reconnecting the initiatives for the change process </w:t>
            </w:r>
          </w:p>
        </w:tc>
        <w:tc>
          <w:tcPr>
            <w:shd w:fill="e5dfec" w:val="clear"/>
            <w:tcMar>
              <w:top w:w="100.0" w:type="dxa"/>
              <w:left w:w="100.0" w:type="dxa"/>
              <w:bottom w:w="100.0" w:type="dxa"/>
              <w:right w:w="100.0" w:type="dxa"/>
            </w:tcMar>
          </w:tcPr>
          <w:p w:rsidR="00000000" w:rsidDel="00000000" w:rsidP="00000000" w:rsidRDefault="00000000" w:rsidRPr="00000000" w14:paraId="000000E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Employees of Toni &amp; Guy, salon managers and franchisees of the brand </w:t>
            </w:r>
          </w:p>
        </w:tc>
        <w:tc>
          <w:tcPr>
            <w:shd w:fill="e5dfec" w:val="clear"/>
            <w:tcMar>
              <w:top w:w="100.0" w:type="dxa"/>
              <w:left w:w="100.0" w:type="dxa"/>
              <w:bottom w:w="100.0" w:type="dxa"/>
              <w:right w:w="100.0" w:type="dxa"/>
            </w:tcMar>
          </w:tcPr>
          <w:p w:rsidR="00000000" w:rsidDel="00000000" w:rsidP="00000000" w:rsidRDefault="00000000" w:rsidRPr="00000000" w14:paraId="000000E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message is being supplied to strengthen the foundation for enhancing the service quality, apprenticeships, support and safety </w:t>
            </w:r>
          </w:p>
        </w:tc>
        <w:tc>
          <w:tcPr>
            <w:shd w:fill="e5dfec" w:val="clear"/>
            <w:tcMar>
              <w:top w:w="100.0" w:type="dxa"/>
              <w:left w:w="100.0" w:type="dxa"/>
              <w:bottom w:w="100.0" w:type="dxa"/>
              <w:right w:w="100.0" w:type="dxa"/>
            </w:tcMar>
          </w:tcPr>
          <w:p w:rsidR="00000000" w:rsidDel="00000000" w:rsidP="00000000" w:rsidRDefault="00000000" w:rsidRPr="00000000" w14:paraId="000000E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Internet and email process </w:t>
            </w:r>
          </w:p>
        </w:tc>
        <w:tc>
          <w:tcPr>
            <w:shd w:fill="e5dfec" w:val="clear"/>
            <w:tcMar>
              <w:top w:w="100.0" w:type="dxa"/>
              <w:left w:w="100.0" w:type="dxa"/>
              <w:bottom w:w="100.0" w:type="dxa"/>
              <w:right w:w="100.0" w:type="dxa"/>
            </w:tcMar>
          </w:tcPr>
          <w:p w:rsidR="00000000" w:rsidDel="00000000" w:rsidP="00000000" w:rsidRDefault="00000000" w:rsidRPr="00000000" w14:paraId="000000E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Senior management team </w:t>
            </w:r>
          </w:p>
        </w:tc>
      </w:tr>
      <w:tr>
        <w:trPr>
          <w:cantSplit w:val="0"/>
          <w:trHeight w:val="440" w:hRule="atLeast"/>
          <w:tblHeader w:val="0"/>
        </w:trPr>
        <w:tc>
          <w:tcPr>
            <w:vMerge w:val="restart"/>
            <w:shd w:fill="e5dfec" w:val="clear"/>
            <w:tcMar>
              <w:top w:w="100.0" w:type="dxa"/>
              <w:left w:w="100.0" w:type="dxa"/>
              <w:bottom w:w="100.0" w:type="dxa"/>
              <w:right w:w="100.0" w:type="dxa"/>
            </w:tcMar>
          </w:tcPr>
          <w:p w:rsidR="00000000" w:rsidDel="00000000" w:rsidP="00000000" w:rsidRDefault="00000000" w:rsidRPr="00000000" w14:paraId="000000E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Coordination </w:t>
            </w:r>
          </w:p>
        </w:tc>
        <w:tc>
          <w:tcPr>
            <w:shd w:fill="e5dfec" w:val="clear"/>
            <w:tcMar>
              <w:top w:w="100.0" w:type="dxa"/>
              <w:left w:w="100.0" w:type="dxa"/>
              <w:bottom w:w="100.0" w:type="dxa"/>
              <w:right w:w="100.0" w:type="dxa"/>
            </w:tcMar>
          </w:tcPr>
          <w:p w:rsidR="00000000" w:rsidDel="00000000" w:rsidP="00000000" w:rsidRDefault="00000000" w:rsidRPr="00000000" w14:paraId="000000E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Apprenticeship support program </w:t>
            </w:r>
          </w:p>
        </w:tc>
        <w:tc>
          <w:tcPr>
            <w:shd w:fill="e5dfec" w:val="clear"/>
            <w:tcMar>
              <w:top w:w="100.0" w:type="dxa"/>
              <w:left w:w="100.0" w:type="dxa"/>
              <w:bottom w:w="100.0" w:type="dxa"/>
              <w:right w:w="100.0" w:type="dxa"/>
            </w:tcMar>
          </w:tcPr>
          <w:p w:rsidR="00000000" w:rsidDel="00000000" w:rsidP="00000000" w:rsidRDefault="00000000" w:rsidRPr="00000000" w14:paraId="000000E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Apprenticeship and mentors </w:t>
            </w:r>
          </w:p>
        </w:tc>
        <w:tc>
          <w:tcPr>
            <w:shd w:fill="e5dfec" w:val="clear"/>
            <w:tcMar>
              <w:top w:w="100.0" w:type="dxa"/>
              <w:left w:w="100.0" w:type="dxa"/>
              <w:bottom w:w="100.0" w:type="dxa"/>
              <w:right w:w="100.0" w:type="dxa"/>
            </w:tcMar>
          </w:tcPr>
          <w:p w:rsidR="00000000" w:rsidDel="00000000" w:rsidP="00000000" w:rsidRDefault="00000000" w:rsidRPr="00000000" w14:paraId="000000E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New form of structured training pathways, along with mentorship opportunities, for ensuring career growth </w:t>
            </w:r>
          </w:p>
        </w:tc>
        <w:tc>
          <w:tcPr>
            <w:shd w:fill="e5dfec" w:val="clear"/>
            <w:tcMar>
              <w:top w:w="100.0" w:type="dxa"/>
              <w:left w:w="100.0" w:type="dxa"/>
              <w:bottom w:w="100.0" w:type="dxa"/>
              <w:right w:w="100.0" w:type="dxa"/>
            </w:tcMar>
          </w:tcPr>
          <w:p w:rsidR="00000000" w:rsidDel="00000000" w:rsidP="00000000" w:rsidRDefault="00000000" w:rsidRPr="00000000" w14:paraId="000000E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 workshops for the launch of the mentorship programs </w:t>
            </w:r>
          </w:p>
        </w:tc>
        <w:tc>
          <w:tcPr>
            <w:shd w:fill="e5dfec" w:val="clear"/>
            <w:tcMar>
              <w:top w:w="100.0" w:type="dxa"/>
              <w:left w:w="100.0" w:type="dxa"/>
              <w:bottom w:w="100.0" w:type="dxa"/>
              <w:right w:w="100.0" w:type="dxa"/>
            </w:tcMar>
          </w:tcPr>
          <w:p w:rsidR="00000000" w:rsidDel="00000000" w:rsidP="00000000" w:rsidRDefault="00000000" w:rsidRPr="00000000" w14:paraId="000000E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Director of the academy </w:t>
            </w:r>
          </w:p>
        </w:tc>
      </w:tr>
      <w:tr>
        <w:trPr>
          <w:cantSplit w:val="0"/>
          <w:trHeight w:val="440" w:hRule="atLeast"/>
          <w:tblHeader w:val="0"/>
        </w:trPr>
        <w:tc>
          <w:tcPr>
            <w:vMerge w:val="continue"/>
            <w:shd w:fill="e5dfec" w:val="clear"/>
            <w:tcMar>
              <w:top w:w="100.0" w:type="dxa"/>
              <w:left w:w="100.0" w:type="dxa"/>
              <w:bottom w:w="100.0" w:type="dxa"/>
              <w:right w:w="100.0" w:type="dxa"/>
            </w:tcMar>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c>
          <w:tcPr>
            <w:shd w:fill="e5dfec" w:val="clear"/>
            <w:tcMar>
              <w:top w:w="100.0" w:type="dxa"/>
              <w:left w:w="100.0" w:type="dxa"/>
              <w:bottom w:w="100.0" w:type="dxa"/>
              <w:right w:w="100.0" w:type="dxa"/>
            </w:tcMar>
          </w:tcPr>
          <w:p w:rsidR="00000000" w:rsidDel="00000000" w:rsidP="00000000" w:rsidRDefault="00000000" w:rsidRPr="00000000" w14:paraId="000000E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Campaign on service excellence </w:t>
            </w:r>
          </w:p>
        </w:tc>
        <w:tc>
          <w:tcPr>
            <w:shd w:fill="e5dfec" w:val="clear"/>
            <w:tcMar>
              <w:top w:w="100.0" w:type="dxa"/>
              <w:left w:w="100.0" w:type="dxa"/>
              <w:bottom w:w="100.0" w:type="dxa"/>
              <w:right w:w="100.0" w:type="dxa"/>
            </w:tcMar>
          </w:tcPr>
          <w:p w:rsidR="00000000" w:rsidDel="00000000" w:rsidP="00000000" w:rsidRDefault="00000000" w:rsidRPr="00000000" w14:paraId="000000E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Influencers and the front desk employees </w:t>
            </w:r>
          </w:p>
        </w:tc>
        <w:tc>
          <w:tcPr>
            <w:shd w:fill="e5dfec" w:val="clear"/>
            <w:tcMar>
              <w:top w:w="100.0" w:type="dxa"/>
              <w:left w:w="100.0" w:type="dxa"/>
              <w:bottom w:w="100.0" w:type="dxa"/>
              <w:right w:w="100.0" w:type="dxa"/>
            </w:tcMar>
          </w:tcPr>
          <w:p w:rsidR="00000000" w:rsidDel="00000000" w:rsidP="00000000" w:rsidRDefault="00000000" w:rsidRPr="00000000" w14:paraId="000000F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Re-commitment to incorporating high-quality salon standards and reducing service complaints </w:t>
            </w:r>
          </w:p>
        </w:tc>
        <w:tc>
          <w:tcPr>
            <w:shd w:fill="e5dfec" w:val="clear"/>
            <w:tcMar>
              <w:top w:w="100.0" w:type="dxa"/>
              <w:left w:w="100.0" w:type="dxa"/>
              <w:bottom w:w="100.0" w:type="dxa"/>
              <w:right w:w="100.0" w:type="dxa"/>
            </w:tcMar>
          </w:tcPr>
          <w:p w:rsidR="00000000" w:rsidDel="00000000" w:rsidP="00000000" w:rsidRDefault="00000000" w:rsidRPr="00000000" w14:paraId="000000F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Team meeting through Zoom </w:t>
            </w:r>
          </w:p>
        </w:tc>
        <w:tc>
          <w:tcPr>
            <w:shd w:fill="e5dfec" w:val="clear"/>
            <w:tcMar>
              <w:top w:w="100.0" w:type="dxa"/>
              <w:left w:w="100.0" w:type="dxa"/>
              <w:bottom w:w="100.0" w:type="dxa"/>
              <w:right w:w="100.0" w:type="dxa"/>
            </w:tcMar>
          </w:tcPr>
          <w:p w:rsidR="00000000" w:rsidDel="00000000" w:rsidP="00000000" w:rsidRDefault="00000000" w:rsidRPr="00000000" w14:paraId="000000F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HR director </w:t>
            </w:r>
          </w:p>
        </w:tc>
      </w:tr>
      <w:tr>
        <w:trPr>
          <w:cantSplit w:val="0"/>
          <w:trHeight w:val="440" w:hRule="atLeast"/>
          <w:tblHeader w:val="0"/>
        </w:trPr>
        <w:tc>
          <w:tcPr>
            <w:vMerge w:val="continue"/>
            <w:shd w:fill="e5dfec" w:val="clear"/>
            <w:tcMar>
              <w:top w:w="100.0" w:type="dxa"/>
              <w:left w:w="100.0" w:type="dxa"/>
              <w:bottom w:w="100.0" w:type="dxa"/>
              <w:right w:w="100.0" w:type="dxa"/>
            </w:tcMar>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c>
          <w:tcPr>
            <w:shd w:fill="e5dfec" w:val="clear"/>
            <w:tcMar>
              <w:top w:w="100.0" w:type="dxa"/>
              <w:left w:w="100.0" w:type="dxa"/>
              <w:bottom w:w="100.0" w:type="dxa"/>
              <w:right w:w="100.0" w:type="dxa"/>
            </w:tcMar>
          </w:tcPr>
          <w:p w:rsidR="00000000" w:rsidDel="00000000" w:rsidP="00000000" w:rsidRDefault="00000000" w:rsidRPr="00000000" w14:paraId="000000F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and safety updates </w:t>
            </w:r>
          </w:p>
        </w:tc>
        <w:tc>
          <w:tcPr>
            <w:shd w:fill="e5dfec" w:val="clear"/>
            <w:tcMar>
              <w:top w:w="100.0" w:type="dxa"/>
              <w:left w:w="100.0" w:type="dxa"/>
              <w:bottom w:w="100.0" w:type="dxa"/>
              <w:right w:w="100.0" w:type="dxa"/>
            </w:tcMar>
          </w:tcPr>
          <w:p w:rsidR="00000000" w:rsidDel="00000000" w:rsidP="00000000" w:rsidRDefault="00000000" w:rsidRPr="00000000" w14:paraId="000000F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Customer staff </w:t>
            </w:r>
          </w:p>
        </w:tc>
        <w:tc>
          <w:tcPr>
            <w:shd w:fill="e5dfec" w:val="clear"/>
            <w:tcMar>
              <w:top w:w="100.0" w:type="dxa"/>
              <w:left w:w="100.0" w:type="dxa"/>
              <w:bottom w:w="100.0" w:type="dxa"/>
              <w:right w:w="100.0" w:type="dxa"/>
            </w:tcMar>
          </w:tcPr>
          <w:p w:rsidR="00000000" w:rsidDel="00000000" w:rsidP="00000000" w:rsidRDefault="00000000" w:rsidRPr="00000000" w14:paraId="000000F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Updated sanitisation protocols that ensure a safe environment post-pandemic </w:t>
            </w:r>
          </w:p>
        </w:tc>
        <w:tc>
          <w:tcPr>
            <w:shd w:fill="e5dfec" w:val="clear"/>
            <w:tcMar>
              <w:top w:w="100.0" w:type="dxa"/>
              <w:left w:w="100.0" w:type="dxa"/>
              <w:bottom w:w="100.0" w:type="dxa"/>
              <w:right w:w="100.0" w:type="dxa"/>
            </w:tcMar>
          </w:tcPr>
          <w:p w:rsidR="00000000" w:rsidDel="00000000" w:rsidP="00000000" w:rsidRDefault="00000000" w:rsidRPr="00000000" w14:paraId="000000F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media and email newsletter </w:t>
            </w:r>
          </w:p>
        </w:tc>
        <w:tc>
          <w:tcPr>
            <w:shd w:fill="e5dfec" w:val="clear"/>
            <w:tcMar>
              <w:top w:w="100.0" w:type="dxa"/>
              <w:left w:w="100.0" w:type="dxa"/>
              <w:bottom w:w="100.0" w:type="dxa"/>
              <w:right w:w="100.0" w:type="dxa"/>
            </w:tcMar>
          </w:tcPr>
          <w:p w:rsidR="00000000" w:rsidDel="00000000" w:rsidP="00000000" w:rsidRDefault="00000000" w:rsidRPr="00000000" w14:paraId="000000F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Marketing manager </w:t>
            </w:r>
          </w:p>
        </w:tc>
      </w:tr>
      <w:tr>
        <w:trPr>
          <w:cantSplit w:val="0"/>
          <w:trHeight w:val="440" w:hRule="atLeast"/>
          <w:tblHeader w:val="0"/>
        </w:trPr>
        <w:tc>
          <w:tcPr>
            <w:vMerge w:val="restart"/>
            <w:shd w:fill="e5dfec" w:val="clear"/>
            <w:tcMar>
              <w:top w:w="100.0" w:type="dxa"/>
              <w:left w:w="100.0" w:type="dxa"/>
              <w:bottom w:w="100.0" w:type="dxa"/>
              <w:right w:w="100.0" w:type="dxa"/>
            </w:tcMar>
          </w:tcPr>
          <w:p w:rsidR="00000000" w:rsidDel="00000000" w:rsidP="00000000" w:rsidRDefault="00000000" w:rsidRPr="00000000" w14:paraId="000000F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Implementation </w:t>
            </w:r>
          </w:p>
        </w:tc>
        <w:tc>
          <w:tcPr>
            <w:shd w:fill="e5dfec" w:val="clear"/>
            <w:tcMar>
              <w:top w:w="100.0" w:type="dxa"/>
              <w:left w:w="100.0" w:type="dxa"/>
              <w:bottom w:w="100.0" w:type="dxa"/>
              <w:right w:w="100.0" w:type="dxa"/>
            </w:tcMar>
          </w:tcPr>
          <w:p w:rsidR="00000000" w:rsidDel="00000000" w:rsidP="00000000" w:rsidRDefault="00000000" w:rsidRPr="00000000" w14:paraId="000000F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Quality compliance training </w:t>
            </w:r>
          </w:p>
        </w:tc>
        <w:tc>
          <w:tcPr>
            <w:shd w:fill="e5dfec" w:val="clear"/>
            <w:tcMar>
              <w:top w:w="100.0" w:type="dxa"/>
              <w:left w:w="100.0" w:type="dxa"/>
              <w:bottom w:w="100.0" w:type="dxa"/>
              <w:right w:w="100.0" w:type="dxa"/>
            </w:tcMar>
          </w:tcPr>
          <w:p w:rsidR="00000000" w:rsidDel="00000000" w:rsidP="00000000" w:rsidRDefault="00000000" w:rsidRPr="00000000" w14:paraId="000000F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Salon staffs and the managers </w:t>
            </w:r>
          </w:p>
        </w:tc>
        <w:tc>
          <w:tcPr>
            <w:shd w:fill="e5dfec" w:val="clear"/>
            <w:tcMar>
              <w:top w:w="100.0" w:type="dxa"/>
              <w:left w:w="100.0" w:type="dxa"/>
              <w:bottom w:w="100.0" w:type="dxa"/>
              <w:right w:w="100.0" w:type="dxa"/>
            </w:tcMar>
          </w:tcPr>
          <w:p w:rsidR="00000000" w:rsidDel="00000000" w:rsidP="00000000" w:rsidRDefault="00000000" w:rsidRPr="00000000" w14:paraId="000000F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New and effective mandatory training on the customer service complaints resolution and the service updates. </w:t>
            </w:r>
          </w:p>
        </w:tc>
        <w:tc>
          <w:tcPr>
            <w:shd w:fill="e5dfec" w:val="clear"/>
            <w:tcMar>
              <w:top w:w="100.0" w:type="dxa"/>
              <w:left w:w="100.0" w:type="dxa"/>
              <w:bottom w:w="100.0" w:type="dxa"/>
              <w:right w:w="100.0" w:type="dxa"/>
            </w:tcMar>
          </w:tcPr>
          <w:p w:rsidR="00000000" w:rsidDel="00000000" w:rsidP="00000000" w:rsidRDefault="00000000" w:rsidRPr="00000000" w14:paraId="000000F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E-learning platform and live workshops </w:t>
            </w:r>
          </w:p>
        </w:tc>
        <w:tc>
          <w:tcPr>
            <w:shd w:fill="e5dfec" w:val="clear"/>
            <w:tcMar>
              <w:top w:w="100.0" w:type="dxa"/>
              <w:left w:w="100.0" w:type="dxa"/>
              <w:bottom w:w="100.0" w:type="dxa"/>
              <w:right w:w="100.0" w:type="dxa"/>
            </w:tcMar>
          </w:tcPr>
          <w:p w:rsidR="00000000" w:rsidDel="00000000" w:rsidP="00000000" w:rsidRDefault="00000000" w:rsidRPr="00000000" w14:paraId="000000F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Compliance officers </w:t>
            </w:r>
          </w:p>
        </w:tc>
      </w:tr>
      <w:tr>
        <w:trPr>
          <w:cantSplit w:val="0"/>
          <w:trHeight w:val="440" w:hRule="atLeast"/>
          <w:tblHeader w:val="0"/>
        </w:trPr>
        <w:tc>
          <w:tcPr>
            <w:vMerge w:val="continue"/>
            <w:shd w:fill="e5dfec" w:val="clear"/>
            <w:tcMar>
              <w:top w:w="100.0" w:type="dxa"/>
              <w:left w:w="100.0" w:type="dxa"/>
              <w:bottom w:w="100.0" w:type="dxa"/>
              <w:right w:w="100.0" w:type="dxa"/>
            </w:tcMar>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c>
          <w:tcPr>
            <w:shd w:fill="e5dfec" w:val="clear"/>
            <w:tcMar>
              <w:top w:w="100.0" w:type="dxa"/>
              <w:left w:w="100.0" w:type="dxa"/>
              <w:bottom w:w="100.0" w:type="dxa"/>
              <w:right w:w="100.0" w:type="dxa"/>
            </w:tcMar>
          </w:tcPr>
          <w:p w:rsidR="00000000" w:rsidDel="00000000" w:rsidP="00000000" w:rsidRDefault="00000000" w:rsidRPr="00000000" w14:paraId="0000010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Practicing excellence </w:t>
            </w:r>
          </w:p>
        </w:tc>
        <w:tc>
          <w:tcPr>
            <w:shd w:fill="e5dfec" w:val="clear"/>
            <w:tcMar>
              <w:top w:w="100.0" w:type="dxa"/>
              <w:left w:w="100.0" w:type="dxa"/>
              <w:bottom w:w="100.0" w:type="dxa"/>
              <w:right w:w="100.0" w:type="dxa"/>
            </w:tcMar>
          </w:tcPr>
          <w:p w:rsidR="00000000" w:rsidDel="00000000" w:rsidP="00000000" w:rsidRDefault="00000000" w:rsidRPr="00000000" w14:paraId="0000010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All the members of Toni &amp; Guy </w:t>
            </w:r>
          </w:p>
        </w:tc>
        <w:tc>
          <w:tcPr>
            <w:shd w:fill="e5dfec" w:val="clear"/>
            <w:tcMar>
              <w:top w:w="100.0" w:type="dxa"/>
              <w:left w:w="100.0" w:type="dxa"/>
              <w:bottom w:w="100.0" w:type="dxa"/>
              <w:right w:w="100.0" w:type="dxa"/>
            </w:tcMar>
          </w:tcPr>
          <w:p w:rsidR="00000000" w:rsidDel="00000000" w:rsidP="00000000" w:rsidRDefault="00000000" w:rsidRPr="00000000" w14:paraId="0000010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Celebration for the top students or apprentices who have provided excellent results in providing customer services </w:t>
            </w:r>
          </w:p>
        </w:tc>
        <w:tc>
          <w:tcPr>
            <w:shd w:fill="e5dfec" w:val="clear"/>
            <w:tcMar>
              <w:top w:w="100.0" w:type="dxa"/>
              <w:left w:w="100.0" w:type="dxa"/>
              <w:bottom w:w="100.0" w:type="dxa"/>
              <w:right w:w="100.0" w:type="dxa"/>
            </w:tcMar>
          </w:tcPr>
          <w:p w:rsidR="00000000" w:rsidDel="00000000" w:rsidP="00000000" w:rsidRDefault="00000000" w:rsidRPr="00000000" w14:paraId="0000010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 newsletter and recognition events </w:t>
            </w:r>
          </w:p>
        </w:tc>
        <w:tc>
          <w:tcPr>
            <w:shd w:fill="e5dfec" w:val="clear"/>
            <w:tcMar>
              <w:top w:w="100.0" w:type="dxa"/>
              <w:left w:w="100.0" w:type="dxa"/>
              <w:bottom w:w="100.0" w:type="dxa"/>
              <w:right w:w="100.0" w:type="dxa"/>
            </w:tcMar>
          </w:tcPr>
          <w:p w:rsidR="00000000" w:rsidDel="00000000" w:rsidP="00000000" w:rsidRDefault="00000000" w:rsidRPr="00000000" w14:paraId="0000010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Brand managers and the CEO </w:t>
            </w:r>
          </w:p>
        </w:tc>
      </w:tr>
      <w:tr>
        <w:trPr>
          <w:cantSplit w:val="0"/>
          <w:tblHeader w:val="0"/>
        </w:trPr>
        <w:tc>
          <w:tcPr>
            <w:shd w:fill="e5dfec" w:val="clear"/>
            <w:tcMar>
              <w:top w:w="100.0" w:type="dxa"/>
              <w:left w:w="100.0" w:type="dxa"/>
              <w:bottom w:w="100.0" w:type="dxa"/>
              <w:right w:w="100.0" w:type="dxa"/>
            </w:tcMar>
          </w:tcPr>
          <w:p w:rsidR="00000000" w:rsidDel="00000000" w:rsidP="00000000" w:rsidRDefault="00000000" w:rsidRPr="00000000" w14:paraId="0000010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Monitoring </w:t>
            </w:r>
          </w:p>
        </w:tc>
        <w:tc>
          <w:tcPr>
            <w:shd w:fill="e5dfec" w:val="clear"/>
            <w:tcMar>
              <w:top w:w="100.0" w:type="dxa"/>
              <w:left w:w="100.0" w:type="dxa"/>
              <w:bottom w:w="100.0" w:type="dxa"/>
              <w:right w:w="100.0" w:type="dxa"/>
            </w:tcMar>
          </w:tcPr>
          <w:p w:rsidR="00000000" w:rsidDel="00000000" w:rsidP="00000000" w:rsidRDefault="00000000" w:rsidRPr="00000000" w14:paraId="0000010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Performance Tracking </w:t>
            </w:r>
          </w:p>
        </w:tc>
        <w:tc>
          <w:tcPr>
            <w:shd w:fill="e5dfec" w:val="clear"/>
            <w:tcMar>
              <w:top w:w="100.0" w:type="dxa"/>
              <w:left w:w="100.0" w:type="dxa"/>
              <w:bottom w:w="100.0" w:type="dxa"/>
              <w:right w:w="100.0" w:type="dxa"/>
            </w:tcMar>
          </w:tcPr>
          <w:p w:rsidR="00000000" w:rsidDel="00000000" w:rsidP="00000000" w:rsidRDefault="00000000" w:rsidRPr="00000000" w14:paraId="0000010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Managers and leaders of Toni &amp; Guy </w:t>
            </w:r>
          </w:p>
        </w:tc>
        <w:tc>
          <w:tcPr>
            <w:shd w:fill="e5dfec" w:val="clear"/>
            <w:tcMar>
              <w:top w:w="100.0" w:type="dxa"/>
              <w:left w:w="100.0" w:type="dxa"/>
              <w:bottom w:w="100.0" w:type="dxa"/>
              <w:right w:w="100.0" w:type="dxa"/>
            </w:tcMar>
          </w:tcPr>
          <w:p w:rsidR="00000000" w:rsidDel="00000000" w:rsidP="00000000" w:rsidRDefault="00000000" w:rsidRPr="00000000" w14:paraId="0000010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Review of the feedback, acknowledging concerns, and adjusting strategies </w:t>
            </w:r>
          </w:p>
        </w:tc>
        <w:tc>
          <w:tcPr>
            <w:shd w:fill="e5dfec" w:val="clear"/>
            <w:tcMar>
              <w:top w:w="100.0" w:type="dxa"/>
              <w:left w:w="100.0" w:type="dxa"/>
              <w:bottom w:w="100.0" w:type="dxa"/>
              <w:right w:w="100.0" w:type="dxa"/>
            </w:tcMar>
          </w:tcPr>
          <w:p w:rsidR="00000000" w:rsidDel="00000000" w:rsidP="00000000" w:rsidRDefault="00000000" w:rsidRPr="00000000" w14:paraId="0000010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Monthly reviews and meetings with KPIs </w:t>
            </w:r>
          </w:p>
        </w:tc>
        <w:tc>
          <w:tcPr>
            <w:shd w:fill="e5dfec" w:val="clear"/>
            <w:tcMar>
              <w:top w:w="100.0" w:type="dxa"/>
              <w:left w:w="100.0" w:type="dxa"/>
              <w:bottom w:w="100.0" w:type="dxa"/>
              <w:right w:w="100.0" w:type="dxa"/>
            </w:tcMar>
          </w:tcPr>
          <w:p w:rsidR="00000000" w:rsidDel="00000000" w:rsidP="00000000" w:rsidRDefault="00000000" w:rsidRPr="00000000" w14:paraId="0000010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Regional manager </w:t>
            </w:r>
          </w:p>
        </w:tc>
      </w:tr>
    </w:tbl>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7: Communication plan for Toni &amp; Guy </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Analysis </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communication directs the process in driving change that integrates coordinated values for the brand to ensure a strategic perception of values. As opined by (), the communication plan can strategically lead to gaining success where the company entails a validation to prepare, coordinate, implement and monitor for effective growth. This has been signified through a reliable approach by technically driving the value perspectives to business. The company Toni &amp; Guy will directly coordinate its value to the influencers, strategists, and its employees, along with the clients, to drive an effective communication process. In addition to that, the reliability of the business is directed to build a strong intervention of values. This can be fetched by the company through directly monitoring changes and implementing processes. However, the area managers, brand managers and marketing executives will be the responsible persons for the effective plan and program of the business. </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Reconnecting and rebuilding the plan for communication establishment drives a simple personification of value to the customers and the external stakeholders. This signifies a more reliable opportunity for Toni &amp; Guy to drive change for overcoming the issues of the pandemic, legal constraints and apprenticeship complaints. </w:t>
      </w:r>
      <w:r w:rsidDel="00000000" w:rsidR="00000000" w:rsidRPr="00000000">
        <w:rPr>
          <w:rtl w:val="0"/>
        </w:rPr>
      </w:r>
    </w:p>
    <w:p w:rsidR="00000000" w:rsidDel="00000000" w:rsidP="00000000" w:rsidRDefault="00000000" w:rsidRPr="00000000" w14:paraId="0000010F">
      <w:pPr>
        <w:pStyle w:val="Heading2"/>
        <w:spacing w:after="0" w:before="0" w:lineRule="auto"/>
        <w:rPr>
          <w:color w:val="000000"/>
        </w:rPr>
      </w:pPr>
      <w:bookmarkStart w:colFirst="0" w:colLast="0" w:name="_z6prdrbmap55" w:id="18"/>
      <w:bookmarkEnd w:id="18"/>
      <w:r w:rsidDel="00000000" w:rsidR="00000000" w:rsidRPr="00000000">
        <w:rPr>
          <w:color w:val="000000"/>
          <w:rtl w:val="0"/>
        </w:rPr>
        <w:t xml:space="preserve">6.4 Evaluation plan</w:t>
      </w:r>
    </w:p>
    <w:tbl>
      <w:tblPr>
        <w:tblStyle w:val="Table8"/>
        <w:tblW w:w="10317.0" w:type="dxa"/>
        <w:jc w:val="left"/>
        <w:tblLayout w:type="fixed"/>
        <w:tblLook w:val="0400"/>
      </w:tblPr>
      <w:tblGrid>
        <w:gridCol w:w="1827"/>
        <w:gridCol w:w="1460"/>
        <w:gridCol w:w="1827"/>
        <w:gridCol w:w="1721"/>
        <w:gridCol w:w="1881"/>
        <w:gridCol w:w="1601"/>
        <w:tblGridChange w:id="0">
          <w:tblGrid>
            <w:gridCol w:w="1827"/>
            <w:gridCol w:w="1460"/>
            <w:gridCol w:w="1827"/>
            <w:gridCol w:w="1721"/>
            <w:gridCol w:w="1881"/>
            <w:gridCol w:w="1601"/>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c2d69b" w:val="clear"/>
            <w:tcMar>
              <w:top w:w="100.0" w:type="dxa"/>
              <w:left w:w="100.0" w:type="dxa"/>
              <w:bottom w:w="100.0" w:type="dxa"/>
              <w:right w:w="100.0" w:type="dxa"/>
            </w:tcMar>
          </w:tcPr>
          <w:p w:rsidR="00000000" w:rsidDel="00000000" w:rsidP="00000000" w:rsidRDefault="00000000" w:rsidRPr="00000000" w14:paraId="00000110">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EVALUATION AREA</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c2d69b" w:val="clear"/>
            <w:tcMar>
              <w:top w:w="100.0" w:type="dxa"/>
              <w:left w:w="100.0" w:type="dxa"/>
              <w:bottom w:w="100.0" w:type="dxa"/>
              <w:right w:w="100.0" w:type="dxa"/>
            </w:tcMar>
          </w:tcPr>
          <w:p w:rsidR="00000000" w:rsidDel="00000000" w:rsidP="00000000" w:rsidRDefault="00000000" w:rsidRPr="00000000" w14:paraId="00000111">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KEY ISSUES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c2d69b" w:val="clear"/>
            <w:tcMar>
              <w:top w:w="100.0" w:type="dxa"/>
              <w:left w:w="100.0" w:type="dxa"/>
              <w:bottom w:w="100.0" w:type="dxa"/>
              <w:right w:w="100.0" w:type="dxa"/>
            </w:tcMar>
          </w:tcPr>
          <w:p w:rsidR="00000000" w:rsidDel="00000000" w:rsidP="00000000" w:rsidRDefault="00000000" w:rsidRPr="00000000" w14:paraId="00000112">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EVALUATION METHOD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c2d69b" w:val="clear"/>
            <w:tcMar>
              <w:top w:w="100.0" w:type="dxa"/>
              <w:left w:w="100.0" w:type="dxa"/>
              <w:bottom w:w="100.0" w:type="dxa"/>
              <w:right w:w="100.0" w:type="dxa"/>
            </w:tcMar>
          </w:tcPr>
          <w:p w:rsidR="00000000" w:rsidDel="00000000" w:rsidP="00000000" w:rsidRDefault="00000000" w:rsidRPr="00000000" w14:paraId="00000113">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FREQUENCY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c2d69b" w:val="clear"/>
            <w:tcMar>
              <w:top w:w="100.0" w:type="dxa"/>
              <w:left w:w="100.0" w:type="dxa"/>
              <w:bottom w:w="100.0" w:type="dxa"/>
              <w:right w:w="100.0" w:type="dxa"/>
            </w:tcMar>
          </w:tcPr>
          <w:p w:rsidR="00000000" w:rsidDel="00000000" w:rsidP="00000000" w:rsidRDefault="00000000" w:rsidRPr="00000000" w14:paraId="00000114">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RESPONSIBLE PERSON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c2d69b" w:val="clear"/>
            <w:tcMar>
              <w:top w:w="100.0" w:type="dxa"/>
              <w:left w:w="100.0" w:type="dxa"/>
              <w:bottom w:w="100.0" w:type="dxa"/>
              <w:right w:w="100.0" w:type="dxa"/>
            </w:tcMar>
          </w:tcPr>
          <w:p w:rsidR="00000000" w:rsidDel="00000000" w:rsidP="00000000" w:rsidRDefault="00000000" w:rsidRPr="00000000" w14:paraId="00000115">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SUCCESS INDICATOR</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Pandemic resilience and safety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Fear, health and social compliances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Compliance checklists, Bi-weekly mental health and safety check-ins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Quarterly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Salon manager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 compliance with the rules and regulations of the salon </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Technical skills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Lack of client volume for practice and limited exposure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Learning session using the mannequins and digital models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1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Weekly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Senior trainer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Minimum supervision of the values and learning </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Legal and regulatory compliance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Stipend complies with safety regulations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Auditing of the timesheet and reviewing of the stipend payment record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Monthly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Salon manager and HR team </w:t>
            </w:r>
          </w:p>
        </w:tc>
        <w:tc>
          <w:tcPr>
            <w:tcBorders>
              <w:top w:color="000000" w:space="0" w:sz="8" w:val="single"/>
              <w:left w:color="000000" w:space="0" w:sz="8" w:val="single"/>
              <w:bottom w:color="000000" w:space="0" w:sz="8" w:val="single"/>
              <w:right w:color="000000" w:space="0" w:sz="8" w:val="single"/>
            </w:tcBorders>
            <w:shd w:fill="dbe5f1" w:val="clear"/>
            <w:tcMar>
              <w:top w:w="100.0" w:type="dxa"/>
              <w:left w:w="100.0" w:type="dxa"/>
              <w:bottom w:w="100.0" w:type="dxa"/>
              <w:right w:w="100.0" w:type="dxa"/>
            </w:tcMar>
          </w:tcPr>
          <w:p w:rsidR="00000000" w:rsidDel="00000000" w:rsidP="00000000" w:rsidRDefault="00000000" w:rsidRPr="00000000" w14:paraId="0000012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Compliance with the local employment laws </w:t>
            </w:r>
          </w:p>
        </w:tc>
      </w:tr>
    </w:tbl>
    <w:p w:rsidR="00000000" w:rsidDel="00000000" w:rsidP="00000000" w:rsidRDefault="00000000" w:rsidRPr="00000000" w14:paraId="00000128">
      <w:pPr>
        <w:spacing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bCs w:val="1"/>
          <w:color w:val="000000"/>
          <w:sz w:val="24"/>
          <w:szCs w:val="24"/>
          <w:rtl w:val="0"/>
        </w:rPr>
        <w:t xml:space="preserve">Table 8: Evaluation plan </w:t>
      </w:r>
      <w:r w:rsidDel="00000000" w:rsidR="00000000" w:rsidRPr="00000000">
        <w:rPr>
          <w:rtl w:val="0"/>
        </w:rPr>
      </w:r>
    </w:p>
    <w:p w:rsidR="00000000" w:rsidDel="00000000" w:rsidP="00000000" w:rsidRDefault="00000000" w:rsidRPr="00000000" w14:paraId="00000129">
      <w:pPr>
        <w:pStyle w:val="Heading1"/>
        <w:spacing w:after="0" w:before="0" w:lineRule="auto"/>
        <w:rPr>
          <w:color w:val="000000"/>
        </w:rPr>
      </w:pPr>
      <w:bookmarkStart w:colFirst="0" w:colLast="0" w:name="_41r2w1albobz" w:id="19"/>
      <w:bookmarkEnd w:id="19"/>
      <w:r w:rsidDel="00000000" w:rsidR="00000000" w:rsidRPr="00000000">
        <w:rPr>
          <w:color w:val="000000"/>
          <w:rtl w:val="0"/>
        </w:rPr>
        <w:t xml:space="preserve">7. Recommendations</w:t>
      </w:r>
    </w:p>
    <w:p w:rsidR="00000000" w:rsidDel="00000000" w:rsidP="00000000" w:rsidRDefault="00000000" w:rsidRPr="00000000" w14:paraId="0000012A">
      <w:pPr>
        <w:pStyle w:val="Heading2"/>
        <w:spacing w:after="0" w:before="0" w:lineRule="auto"/>
        <w:rPr>
          <w:color w:val="000000"/>
        </w:rPr>
      </w:pPr>
      <w:bookmarkStart w:colFirst="0" w:colLast="0" w:name="_ngasi4oc7oyg" w:id="20"/>
      <w:bookmarkEnd w:id="20"/>
      <w:r w:rsidDel="00000000" w:rsidR="00000000" w:rsidRPr="00000000">
        <w:rPr>
          <w:color w:val="000000"/>
          <w:rtl w:val="0"/>
        </w:rPr>
        <w:t xml:space="preserve">7.1 Recommendation 1: Implementation of the Hybrid learning model</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Toni &amp; Guy can develop a dedicated application based on AR and VR technology that helps the organisation to practice the practices and learning through a virtual mode. As per Pathurohman, Berger and Michael (2022), virtual denominational aspects provide a wider and deliberative action for the business to continue its operation without any halt. Thus, this hybrid learning model will facilitate businesses to drive change towards potential growth. </w:t>
      </w:r>
    </w:p>
    <w:p w:rsidR="00000000" w:rsidDel="00000000" w:rsidP="00000000" w:rsidRDefault="00000000" w:rsidRPr="00000000" w14:paraId="0000012C">
      <w:pPr>
        <w:pStyle w:val="Heading2"/>
        <w:spacing w:after="0" w:before="0" w:lineRule="auto"/>
        <w:rPr>
          <w:color w:val="000000"/>
        </w:rPr>
      </w:pPr>
      <w:bookmarkStart w:colFirst="0" w:colLast="0" w:name="_obyy1plwxjxh" w:id="21"/>
      <w:bookmarkEnd w:id="21"/>
      <w:r w:rsidDel="00000000" w:rsidR="00000000" w:rsidRPr="00000000">
        <w:rPr>
          <w:color w:val="000000"/>
          <w:rtl w:val="0"/>
        </w:rPr>
        <w:t xml:space="preserve">7.2 Recommendation 2: Strengthening local compliance through digital record keeping </w:t>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company needs to handle the legal constraints surrounding safety, health and apprenticeship regulations. Toni &amp; Guy can legitimately implement the mandatory digital compliance management system for all its units for sanitisation checks, along with control of training quality. Thus, this provides many opportunities for the system to drive a coordination of values, leading to sustainable growth of the business for Toni &amp; Guy. </w:t>
      </w:r>
    </w:p>
    <w:p w:rsidR="00000000" w:rsidDel="00000000" w:rsidP="00000000" w:rsidRDefault="00000000" w:rsidRPr="00000000" w14:paraId="0000012E">
      <w:pPr>
        <w:pStyle w:val="Heading2"/>
        <w:spacing w:after="0" w:before="0" w:lineRule="auto"/>
        <w:rPr>
          <w:color w:val="000000"/>
        </w:rPr>
      </w:pPr>
      <w:bookmarkStart w:colFirst="0" w:colLast="0" w:name="_1bc3v1ga9zz0" w:id="22"/>
      <w:bookmarkEnd w:id="22"/>
      <w:r w:rsidDel="00000000" w:rsidR="00000000" w:rsidRPr="00000000">
        <w:rPr>
          <w:color w:val="000000"/>
          <w:rtl w:val="0"/>
        </w:rPr>
        <w:t xml:space="preserve">7.3 Recommendation 3: Apprentice wellbeing and acceleration program </w:t>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well-being management system for the apprentices is intended to drive positive change leading to sustainable growth of business (Ullibarriarana-Garate, Agirre-Aramburu and Mesonero-De Miguel, 2023). Accordingly, the company can develop a dedicated mentorship initiative that pairs with the new apprenticeship with the trainer. This provides a chance for the trainer and the learner to eventually drive business towards positive growth. </w:t>
      </w:r>
    </w:p>
    <w:p w:rsidR="00000000" w:rsidDel="00000000" w:rsidP="00000000" w:rsidRDefault="00000000" w:rsidRPr="00000000" w14:paraId="00000130">
      <w:pPr>
        <w:pStyle w:val="Heading1"/>
        <w:spacing w:after="0" w:before="0" w:lineRule="auto"/>
        <w:rPr>
          <w:color w:val="000000"/>
        </w:rPr>
      </w:pPr>
      <w:bookmarkStart w:colFirst="0" w:colLast="0" w:name="_xfha4u60lmjk" w:id="23"/>
      <w:bookmarkEnd w:id="23"/>
      <w:r w:rsidDel="00000000" w:rsidR="00000000" w:rsidRPr="00000000">
        <w:rPr>
          <w:color w:val="000000"/>
          <w:rtl w:val="0"/>
        </w:rPr>
        <w:t xml:space="preserve">8. Conclusion</w:t>
      </w:r>
    </w:p>
    <w:p w:rsidR="00000000" w:rsidDel="00000000" w:rsidP="00000000" w:rsidRDefault="00000000" w:rsidRPr="00000000" w14:paraId="00000131">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present market of salon business has undergone a serious turmoil, leading to a lack of sustainable perception and value orientation. Accordingly, being a legacy salon business, Toni &amp; Guy has undergone a series of challenges, starting from the pandemic to legal hurdles and apprenticeship complaints. However, the study has analysed the challenges that the brand has faced in overcoming those issues, such as employee restrictions, less adaptability to technology and many more. Apart from that, the study has developed a change management strategy for the business in building core values and orientation, leading to sustainable growth. This has intensified the business role through validated recommendations of implementing hybrid models and strengthening local compliance. </w:t>
      </w:r>
      <w:r w:rsidDel="00000000" w:rsidR="00000000" w:rsidRPr="00000000">
        <w:br w:type="page"/>
      </w:r>
      <w:r w:rsidDel="00000000" w:rsidR="00000000" w:rsidRPr="00000000">
        <w:rPr>
          <w:rtl w:val="0"/>
        </w:rPr>
      </w:r>
    </w:p>
    <w:p w:rsidR="00000000" w:rsidDel="00000000" w:rsidP="00000000" w:rsidRDefault="00000000" w:rsidRPr="00000000" w14:paraId="00000132">
      <w:pPr>
        <w:pStyle w:val="Heading1"/>
        <w:spacing w:after="0" w:before="0" w:lineRule="auto"/>
        <w:rPr>
          <w:color w:val="000000"/>
        </w:rPr>
      </w:pPr>
      <w:bookmarkStart w:colFirst="0" w:colLast="0" w:name="_7zezyjcfusg6" w:id="24"/>
      <w:bookmarkEnd w:id="24"/>
      <w:r w:rsidDel="00000000" w:rsidR="00000000" w:rsidRPr="00000000">
        <w:rPr>
          <w:color w:val="000000"/>
          <w:rtl w:val="0"/>
        </w:rPr>
        <w:t xml:space="preserve">Reference List </w:t>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Accounting Practice Center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CIMA/CGMA Management Case Study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https://www.globalapc.com/28963/files/67ee5d1b91114_1743674651_mcs-free-starter-kit.pdf (Accessed 18 February 2026).</w:t>
      </w:r>
    </w:p>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Andrews, S.M. (2023) ‘Strategic leadership, change and growth in not-for-profit, membership-based, value-driven organisations.’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highlight w:val="white"/>
          <w:u w:val="none"/>
          <w:vertAlign w:val="baseline"/>
          <w:rtl w:val="0"/>
        </w:rPr>
        <w:t xml:space="preserve">Journal of Organizational Change Management</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highlight w:val="white"/>
          <w:u w:val="none"/>
          <w:vertAlign w:val="baseline"/>
          <w:rtl w:val="0"/>
        </w:rPr>
        <w:t xml:space="preserve">36</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(4), pp.517-540. Available at: https://doi.org/10.1108/JOCM-08-2021-0252</w:t>
      </w:r>
      <w:r w:rsidDel="00000000" w:rsidR="00000000" w:rsidRPr="00000000">
        <w:rPr>
          <w:rtl w:val="0"/>
        </w:rPr>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BBC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What's happening to the UK economy and how does it affect you?</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https://www.bbc.com/news/articles/c0j7p38jg15o</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16 February 2026).</w:t>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CB Insights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Toni &amp; Guy alternatives and competitors.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https://www.cbinsights.com/company/toni-guy/alternatives-competitors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18 February 2026).</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Critchell, M.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Hairdressers ordered to pay ex-employee almost £10K after tribunal.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https://www.essexlive.news/news/essex-news/hairdressers-ordered-pay-ex-employee-9482733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18 February 2026).</w:t>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Eskandari, D. Haghparast Ghomesheh, A., Jabbari, M. Gholami, A. and Ahmadi, O. (2025) Development of a New Index to Assessing the Safety Culture Based on the Edgar Schein Model (Audit Approach). </w:t>
      </w:r>
      <w:r w:rsidDel="00000000" w:rsidR="00000000" w:rsidRPr="00000000">
        <w:rPr>
          <w:rFonts w:ascii="Times New Roman" w:cs="Times New Roman" w:eastAsia="Times New Roman" w:hAnsi="Times New Roman"/>
          <w:b w:val="0"/>
          <w:bCs w:val="0"/>
          <w:i w:val="1"/>
          <w:iCs w:val="1"/>
          <w:smallCaps w:val="0"/>
          <w:strike w:val="0"/>
          <w:color w:val="000000"/>
          <w:sz w:val="24"/>
          <w:szCs w:val="24"/>
          <w:highlight w:val="white"/>
          <w:u w:val="none"/>
          <w:vertAlign w:val="baseline"/>
          <w:rtl w:val="0"/>
        </w:rPr>
        <w:t xml:space="preserve">The Scientific World Journal</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highlight w:val="white"/>
          <w:u w:val="none"/>
          <w:vertAlign w:val="baseline"/>
          <w:rtl w:val="0"/>
        </w:rPr>
        <w:t xml:space="preserve">2025</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(1), p.3166187. Available at: https://doi.org/10.1155/tswj/3166187</w:t>
      </w: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Franchise Direct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TONI&amp;GUY Franchise.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https://www.franchisedirect.co.uk/franchise-information/toni-guy-franchise#:~:text=38%20of%20the%20UK's%20Top,service%20will%20help%20resolve%20issues (Accessed 19 February 2026).</w:t>
      </w: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Ghaleb, B.D.S. and Dahiam, B. (2024) 'The importance of organisational culture for business success.' </w:t>
      </w:r>
      <w:r w:rsidDel="00000000" w:rsidR="00000000" w:rsidRPr="00000000">
        <w:rPr>
          <w:rFonts w:ascii="Times New Roman" w:cs="Times New Roman" w:eastAsia="Times New Roman" w:hAnsi="Times New Roman"/>
          <w:b w:val="0"/>
          <w:bCs w:val="0"/>
          <w:i w:val="1"/>
          <w:iCs w:val="1"/>
          <w:smallCaps w:val="0"/>
          <w:strike w:val="0"/>
          <w:color w:val="000000"/>
          <w:sz w:val="24"/>
          <w:szCs w:val="24"/>
          <w:highlight w:val="white"/>
          <w:u w:val="none"/>
          <w:vertAlign w:val="baseline"/>
          <w:rtl w:val="0"/>
        </w:rPr>
        <w:t xml:space="preserve">Jurnal Riset Multidisiplin Dan Inovasi Teknologi</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highlight w:val="white"/>
          <w:u w:val="none"/>
          <w:vertAlign w:val="baseline"/>
          <w:rtl w:val="0"/>
        </w:rPr>
        <w:t xml:space="preserve">2</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(03), pp.727-735. Available at: https://doi.org/10.59653/jimat.v2i03.1098</w:t>
      </w: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Goods Along Guide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Toni &amp; Guy: How a Global Company Dealt with a Global Pandemic</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https://www.goodsalonguide.com/community/news/toni-guy-how-a-global-company-dealt-with-a-global-pandemic (Accessed 18 February 2026).</w:t>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GOV.UK (2026a)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VAT rates.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https://www.gov.uk/vat-rates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17 February 2026).</w:t>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GOV.UK (2026b)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UK REACH explained.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https://www.hse.gov.uk/reach/about.htm</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17 February 2026).</w:t>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Spicer, C.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How Specialist Retailers Are Rethinking Hair Care E-Commerce in a Competitive Landscape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https://www.euromonitor.com/article/how-specialist-retailers-are-rethinking-hair-care-e-commerce-in-a-competitive-landscape#:~:text=Between%202018%20and%202023%2C%2044,higher%20efficacy%20and%20stronger%20results (Accessed 17 February 2026).</w:t>
      </w:r>
      <w:r w:rsidDel="00000000" w:rsidR="00000000" w:rsidRPr="00000000">
        <w:rPr>
          <w:rtl w:val="0"/>
        </w:rPr>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Toni and Guy (2026a)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Apprenticeships.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https://toniandguy.com/careers/apprenticeships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16 February 2026).</w:t>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Toni and Guy (2026b)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About Us.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white"/>
          <w:u w:val="none"/>
          <w:vertAlign w:val="baseline"/>
          <w:rtl w:val="0"/>
        </w:rPr>
        <w:t xml:space="preserve">https://www.toniguy.com/pages/about-us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17 February 2026).</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Toniandguy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Our Services.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Available at: https://toniandguy.com/services (Accessed 18 February 2026).</w:t>
      </w:r>
    </w:p>
    <w:p w:rsidR="00000000" w:rsidDel="00000000" w:rsidP="00000000" w:rsidRDefault="00000000" w:rsidRPr="00000000" w14:paraId="00000142">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Ullibarriarana-Garate, A., Agirre-Aramburu, I. and Mesonero-De Miguel, M. (2023). ‘Understanding the characteristics of work that foster workplace well-being in an apprenticeship programme and their effects on apprentices' employability. Exploring the gender moderation effect.’ </w:t>
      </w:r>
      <w:r w:rsidDel="00000000" w:rsidR="00000000" w:rsidRPr="00000000">
        <w:rPr>
          <w:rFonts w:ascii="Times New Roman" w:cs="Times New Roman" w:eastAsia="Times New Roman" w:hAnsi="Times New Roman"/>
          <w:i w:val="1"/>
          <w:iCs w:val="1"/>
          <w:color w:val="000000"/>
          <w:sz w:val="24"/>
          <w:szCs w:val="24"/>
          <w:highlight w:val="white"/>
          <w:rtl w:val="0"/>
        </w:rPr>
        <w:t xml:space="preserve">Higher Education, Skills and Work-Based Learning</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iCs w:val="1"/>
          <w:color w:val="000000"/>
          <w:sz w:val="24"/>
          <w:szCs w:val="24"/>
          <w:highlight w:val="white"/>
          <w:rtl w:val="0"/>
        </w:rPr>
        <w:t xml:space="preserve">13</w:t>
      </w:r>
      <w:r w:rsidDel="00000000" w:rsidR="00000000" w:rsidRPr="00000000">
        <w:rPr>
          <w:rFonts w:ascii="Times New Roman" w:cs="Times New Roman" w:eastAsia="Times New Roman" w:hAnsi="Times New Roman"/>
          <w:color w:val="000000"/>
          <w:sz w:val="24"/>
          <w:szCs w:val="24"/>
          <w:highlight w:val="white"/>
          <w:rtl w:val="0"/>
        </w:rPr>
        <w:t xml:space="preserve">(5), pp.886-910. Available at: https://doi.org/10.1108/HESWBL-12-2022-0268</w:t>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pP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both"/>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bCs w:val="0"/>
      <w:i w:val="0"/>
      <w:iCs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bCs w:val="0"/>
      <w:i w:val="0"/>
      <w:iCs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bCs w:val="0"/>
      <w:i w:val="1"/>
      <w:iCs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bCs w:val="0"/>
      <w:i w:val="0"/>
      <w:iCs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bCs w:val="0"/>
      <w:i w:val="0"/>
      <w:iCs w:val="0"/>
      <w:smallCaps w:val="0"/>
      <w:strike w:val="0"/>
      <w:color w:val="666666"/>
      <w:sz w:val="30"/>
      <w:szCs w:val="30"/>
      <w:u w:val="none"/>
      <w:shd w:fill="auto" w:val="clear"/>
      <w:vertAlign w:val="baseline"/>
    </w:rPr>
  </w:style>
  <w:style w:type="table" w:styleId="Table1">
    <w:basedOn w:val="TableNormal"/>
    <w:pPr>
      <w:spacing w:line="240" w:lineRule="auto"/>
    </w:pPr>
    <w:tblPr>
      <w:tblStyleRowBandSize w:val="1"/>
      <w:tblStyleColBandSize w:val="1"/>
      <w:tblCellMar>
        <w:top w:w="0.0" w:type="dxa"/>
        <w:left w:w="115.0" w:type="dxa"/>
        <w:bottom w:w="0.0" w:type="dxa"/>
        <w:right w:w="115.0" w:type="dxa"/>
      </w:tblCellMar>
    </w:tblPr>
    <w:tcPr>
      <w:shd w:fill="dbe5f1" w:val="clear"/>
    </w:tcPr>
    <w:tblStylePr w:type="band1Horz">
      <w:tcPr>
        <w:shd w:fill="b8cce4" w:val="clear"/>
      </w:tcPr>
    </w:tblStylePr>
    <w:tblStylePr w:type="band1Vert">
      <w:tcPr>
        <w:shd w:fill="b8cce4"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f81bd"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f81bd"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f81bd"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f81bd" w:val="clear"/>
      </w:tcPr>
    </w:tblStylePr>
  </w:style>
  <w:style w:type="table" w:styleId="Table2">
    <w:basedOn w:val="TableNormal"/>
    <w:pPr>
      <w:spacing w:line="240" w:lineRule="auto"/>
    </w:pPr>
    <w:tblPr>
      <w:tblStyleRowBandSize w:val="1"/>
      <w:tblStyleColBandSize w:val="1"/>
      <w:tblCellMar>
        <w:top w:w="0.0" w:type="dxa"/>
        <w:left w:w="115.0" w:type="dxa"/>
        <w:bottom w:w="0.0" w:type="dxa"/>
        <w:right w:w="115.0" w:type="dxa"/>
      </w:tblCellMar>
    </w:tblPr>
    <w:tcPr>
      <w:shd w:fill="f2dcdb" w:val="clear"/>
    </w:tcPr>
    <w:tblStylePr w:type="band1Horz">
      <w:tcPr>
        <w:shd w:fill="e5b9b7" w:val="clear"/>
      </w:tcPr>
    </w:tblStylePr>
    <w:tblStylePr w:type="band1Vert">
      <w:tcPr>
        <w:shd w:fill="e5b9b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c0504d"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c0504d"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c0504d"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c0504d" w:val="clear"/>
      </w:tcPr>
    </w:tblStyle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