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A73225" w:rsidRDefault="43D72918" w14:paraId="5E5787A5" w14:textId="5521332E">
      <w:r>
        <w:t>The Mabinogion</w:t>
      </w:r>
      <w:r w:rsidR="56C482BB">
        <w:t xml:space="preserve"> is the name given to a collection of eleven Welsh medieval tales</w:t>
      </w:r>
      <w:r w:rsidR="5E1E5A32">
        <w:t xml:space="preserve"> from roughly the years 1380 to 1410 C.E.</w:t>
      </w:r>
      <w:r w:rsidR="0788F99F">
        <w:t xml:space="preserve"> Of the eleven tales found in the collection</w:t>
      </w:r>
      <w:r w:rsidR="042AD7A1">
        <w:t>, only four of them create a distinct group</w:t>
      </w:r>
      <w:r w:rsidR="7D71065F">
        <w:t xml:space="preserve">, as only four refer to themselves as ‘Mabinogi’ and each one </w:t>
      </w:r>
      <w:bookmarkStart w:name="_Int_7gtJMkOf" w:id="0"/>
      <w:r w:rsidR="7D71065F">
        <w:t>ends</w:t>
      </w:r>
      <w:bookmarkEnd w:id="0"/>
      <w:r w:rsidR="7D71065F">
        <w:t xml:space="preserve"> with the phrase “and so ends this branch of the Mabinogi</w:t>
      </w:r>
      <w:r w:rsidR="1E1BFBE2">
        <w:t xml:space="preserve">”. It is from this that the four tales are </w:t>
      </w:r>
      <w:r w:rsidR="1FE0BA44">
        <w:t>generally referred to as the Four Branches of the Mabinogi.</w:t>
      </w:r>
    </w:p>
    <w:p w:rsidR="1221EF9B" w:rsidRDefault="1221EF9B" w14:paraId="10C999D5" w14:textId="4058253A"/>
    <w:p w:rsidR="0143462B" w:rsidP="1221EF9B" w:rsidRDefault="0143462B" w14:paraId="23E458D1" w14:textId="6DFFEF2E">
      <w:pPr>
        <w:rPr>
          <w:b/>
          <w:bCs/>
        </w:rPr>
      </w:pPr>
      <w:r w:rsidRPr="1221EF9B">
        <w:rPr>
          <w:b/>
          <w:bCs/>
        </w:rPr>
        <w:t>First Branch</w:t>
      </w:r>
      <w:r w:rsidRPr="1221EF9B" w:rsidR="015FC3A6">
        <w:rPr>
          <w:b/>
          <w:bCs/>
        </w:rPr>
        <w:t>:</w:t>
      </w:r>
    </w:p>
    <w:p w:rsidR="00E793A6" w:rsidRDefault="00E793A6" w14:paraId="098410F9" w14:textId="7D198468">
      <w:r>
        <w:t>The first branch of the Mabinogi follows Pwyll, the prince of Dyfed</w:t>
      </w:r>
      <w:r w:rsidR="6E0B089D">
        <w:t xml:space="preserve">. It begins with Pwyll </w:t>
      </w:r>
      <w:r w:rsidR="72EDCE98">
        <w:t xml:space="preserve">leaving from his court at Arberth for a hunting trip and encountering a </w:t>
      </w:r>
      <w:r w:rsidR="76D5C498">
        <w:t xml:space="preserve">pack of dogs that he had not seen before </w:t>
      </w:r>
      <w:r w:rsidR="5B7DF977">
        <w:t>which killed a stag. Pwyll drove the pack away and fed the dead stag to his own dogs.</w:t>
      </w:r>
      <w:r w:rsidR="66CBE128">
        <w:t xml:space="preserve"> This is followed by a man approaching him who </w:t>
      </w:r>
      <w:r w:rsidR="5E758FB1">
        <w:t xml:space="preserve">refers to Pwyll as discourteous for his actions and introduces himself as Arawn, king of Annwfn. </w:t>
      </w:r>
      <w:bookmarkStart w:name="_Int_sbdI706d" w:id="1"/>
      <w:r w:rsidR="5E758FB1">
        <w:t>In order to</w:t>
      </w:r>
      <w:bookmarkEnd w:id="1"/>
      <w:r w:rsidR="5E758FB1">
        <w:t xml:space="preserve"> win A</w:t>
      </w:r>
      <w:r w:rsidR="7ABFC7E8">
        <w:t xml:space="preserve">rawn’s friendship, Pwyll agrees to spend a year </w:t>
      </w:r>
      <w:r w:rsidR="04CFFA5C">
        <w:t>taking Arawn’s place and form in Annwfn</w:t>
      </w:r>
      <w:r w:rsidR="6192B073">
        <w:t xml:space="preserve"> so that he may rid Arawn of another king that fights against him</w:t>
      </w:r>
      <w:r w:rsidR="014E34F3">
        <w:t xml:space="preserve"> by striking him down at a meeting at the end of the year. As a part of their agreement, Arawn also takes Pwyll’s place in Dyfed</w:t>
      </w:r>
      <w:r w:rsidR="30A2D063">
        <w:t>.</w:t>
      </w:r>
      <w:r w:rsidR="1C685A5D">
        <w:t xml:space="preserve"> On Pwyll’s arrival to Arawn’s court, he is attended</w:t>
      </w:r>
      <w:r w:rsidR="2C659994">
        <w:t xml:space="preserve"> to by Chamberlain’s and knights and the hall prepared </w:t>
      </w:r>
      <w:r w:rsidR="6B827C52">
        <w:t>for a war-band's arrival, alongside the queen. When Pwyll begins to speak with the</w:t>
      </w:r>
      <w:r w:rsidR="157C6331">
        <w:t xml:space="preserve"> queen, he regards her as “the most noble woman and the most gracious of disposition and discourse he had ever seen.”</w:t>
      </w:r>
      <w:r w:rsidRPr="1221EF9B">
        <w:rPr>
          <w:rStyle w:val="FootnoteReference"/>
        </w:rPr>
        <w:footnoteReference w:id="1"/>
      </w:r>
      <w:r w:rsidR="53F56172">
        <w:t xml:space="preserve"> They spend their time together eating, drinking singing together before </w:t>
      </w:r>
      <w:r w:rsidR="6BAFC920">
        <w:t>going to bed, where Pwyll refuses to face or speak to the queen</w:t>
      </w:r>
      <w:r w:rsidR="3D9D60B5">
        <w:t>. Every day and night for the following year, Pwyll spent in</w:t>
      </w:r>
      <w:r w:rsidR="2A435378">
        <w:t xml:space="preserve"> a similar manner</w:t>
      </w:r>
      <w:r w:rsidR="706618A1">
        <w:t xml:space="preserve"> – feasting, hunting, singer and carousing</w:t>
      </w:r>
      <w:r w:rsidR="79FA2B6B">
        <w:t xml:space="preserve"> during the day, but never sharing affection with the queen during the night</w:t>
      </w:r>
      <w:r w:rsidR="3AFED5FC">
        <w:t>. On the day of the meeting</w:t>
      </w:r>
      <w:r w:rsidR="0FE65A74">
        <w:t>, Pwyll follows the instructions he was previously given</w:t>
      </w:r>
      <w:r w:rsidR="212151FB">
        <w:t xml:space="preserve"> by Arawn and only struck the opposing king</w:t>
      </w:r>
      <w:r w:rsidR="50B2AB83">
        <w:t xml:space="preserve"> once, refused to </w:t>
      </w:r>
      <w:r w:rsidR="5D0C38BC">
        <w:t>strike him again</w:t>
      </w:r>
      <w:r w:rsidR="79F47D6F">
        <w:t xml:space="preserve"> and then secured the allegiance of the noblemen.</w:t>
      </w:r>
      <w:r w:rsidR="1898FDC6">
        <w:t xml:space="preserve"> Then, he met once more with Arawn, and they traded back each other’s forms and returned to their respecti</w:t>
      </w:r>
      <w:r w:rsidR="7EAE1278">
        <w:t>ve lands, now as friends. When Arawn returns to Annwfn,</w:t>
      </w:r>
      <w:r w:rsidR="5394C0D6">
        <w:t xml:space="preserve"> he does as Pwyll did for a year and carouses with his wife and noblemen before going to bed with his wife</w:t>
      </w:r>
      <w:r w:rsidR="4F152942">
        <w:t xml:space="preserve"> and converses and makes love to her.</w:t>
      </w:r>
      <w:r w:rsidR="66210C3E">
        <w:t xml:space="preserve"> She questions him on this sudden change of character and Arawn shares the truth of the past year.</w:t>
      </w:r>
      <w:r w:rsidR="3B93263C">
        <w:t xml:space="preserve"> In </w:t>
      </w:r>
      <w:r w:rsidR="0A37D931">
        <w:t xml:space="preserve">Dyfed, </w:t>
      </w:r>
      <w:r w:rsidR="613D3037">
        <w:t xml:space="preserve">Pwyll </w:t>
      </w:r>
      <w:r w:rsidR="0A37D931">
        <w:t xml:space="preserve">questions his noblemen on how he has ruled for the last year and is told </w:t>
      </w:r>
      <w:r w:rsidR="0D33D101">
        <w:t>of his perception, kindness and charity.</w:t>
      </w:r>
      <w:r w:rsidR="5A97D0FF">
        <w:t xml:space="preserve"> He shares the truth of the past year and vows to continue with the rule that Arawn had brought.</w:t>
      </w:r>
      <w:r w:rsidR="006C5C03">
        <w:t xml:space="preserve"> Pwyll and Arawn began to build their friendship and would send each other gifts, and Pwyll became known as Pwyll Pen Annwfn.</w:t>
      </w:r>
    </w:p>
    <w:p w:rsidR="006C5C03" w:rsidRDefault="006C5C03" w14:paraId="28409CAF" w14:textId="0CB76A5B">
      <w:r>
        <w:t>(</w:t>
      </w:r>
      <w:r w:rsidRPr="1221EF9B">
        <w:rPr>
          <w:i/>
          <w:iCs/>
        </w:rPr>
        <w:t>The Mabinogion, translated by Sioned Davies, pp. 3-8)</w:t>
      </w:r>
    </w:p>
    <w:p w:rsidR="006C5C03" w:rsidP="1221EF9B" w:rsidRDefault="006C5C03" w14:paraId="57447A42" w14:textId="05EB2A63">
      <w:pPr>
        <w:rPr>
          <w:color w:val="FF0000"/>
        </w:rPr>
      </w:pPr>
      <w:r w:rsidRPr="1221EF9B">
        <w:rPr>
          <w:color w:val="FF0000"/>
        </w:rPr>
        <w:t>-Needs to be trimmed down</w:t>
      </w:r>
    </w:p>
    <w:p w:rsidR="2ADA055B" w:rsidP="1221EF9B" w:rsidRDefault="2ADA055B" w14:paraId="571EE996" w14:textId="0685562A">
      <w:r w:rsidR="2ADA055B">
        <w:rPr/>
        <w:t xml:space="preserve">As </w:t>
      </w:r>
      <w:r w:rsidR="5BE5390A">
        <w:rPr/>
        <w:t xml:space="preserve">a part of Arawn’s deal with Pwyll, he promises to give Pwyll </w:t>
      </w:r>
      <w:r w:rsidR="05C9432A">
        <w:rPr/>
        <w:t>the most beautiful woman he had ever seen</w:t>
      </w:r>
      <w:r w:rsidR="3739B043">
        <w:rPr/>
        <w:t xml:space="preserve"> to sleep with</w:t>
      </w:r>
      <w:r w:rsidR="46594067">
        <w:rPr/>
        <w:t>.</w:t>
      </w:r>
      <w:r w:rsidR="543FA072">
        <w:rPr/>
        <w:t xml:space="preserve"> This might suggest that women were considered ‘commodities’ that could be added into </w:t>
      </w:r>
      <w:r w:rsidR="41E9609F">
        <w:rPr/>
        <w:t>negotiations to make them more appealing.</w:t>
      </w:r>
      <w:r w:rsidR="144E2B58">
        <w:rPr/>
        <w:t xml:space="preserve"> Albeit Pwyll never actually took advantage of </w:t>
      </w:r>
      <w:r w:rsidR="023D961E">
        <w:rPr/>
        <w:t xml:space="preserve">or tried to make love to </w:t>
      </w:r>
      <w:r w:rsidR="023D961E">
        <w:rPr/>
        <w:t>Arawn’s</w:t>
      </w:r>
      <w:r w:rsidR="023D961E">
        <w:rPr/>
        <w:t xml:space="preserve"> wife</w:t>
      </w:r>
      <w:r w:rsidR="00D367A1">
        <w:rPr/>
        <w:t xml:space="preserve">, so </w:t>
      </w:r>
      <w:r w:rsidR="00737EAD">
        <w:rPr/>
        <w:t xml:space="preserve">there </w:t>
      </w:r>
      <w:bookmarkStart w:name="_Int_dvlnoU6P" w:id="2"/>
      <w:r w:rsidR="00737EAD">
        <w:rPr/>
        <w:t>is at least shown</w:t>
      </w:r>
      <w:bookmarkEnd w:id="2"/>
      <w:r w:rsidR="00737EAD">
        <w:rPr/>
        <w:t xml:space="preserve"> a small amount of respect towards women.</w:t>
      </w:r>
      <w:r w:rsidR="004F31EC">
        <w:rPr/>
        <w:t xml:space="preserve"> (</w:t>
      </w:r>
      <w:r w:rsidRPr="0E61CB3E" w:rsidR="004F31EC">
        <w:rPr>
          <w:color w:val="FF0000"/>
        </w:rPr>
        <w:t>Needs rephrasing</w:t>
      </w:r>
      <w:r w:rsidR="004F31EC">
        <w:rPr/>
        <w:t>)</w:t>
      </w:r>
      <w:r w:rsidR="00BD72FB">
        <w:rPr/>
        <w:t xml:space="preserve"> </w:t>
      </w:r>
      <w:r w:rsidR="00C602CB">
        <w:rPr/>
        <w:t xml:space="preserve">Although, under the belief that a woman would be </w:t>
      </w:r>
      <w:r w:rsidR="008C3AFF">
        <w:rPr/>
        <w:t xml:space="preserve">a man’s property, </w:t>
      </w:r>
      <w:r w:rsidR="00A62525">
        <w:rPr/>
        <w:t xml:space="preserve">then you could infer that </w:t>
      </w:r>
      <w:r w:rsidR="00A62525">
        <w:rPr/>
        <w:t>Pwyll</w:t>
      </w:r>
      <w:r w:rsidR="00A62525">
        <w:rPr/>
        <w:t xml:space="preserve"> did not touch the queen </w:t>
      </w:r>
      <w:bookmarkStart w:name="_Int_SxIbN3QX" w:id="880609716"/>
      <w:r w:rsidR="00A62525">
        <w:rPr/>
        <w:t>in an attempt to</w:t>
      </w:r>
      <w:bookmarkEnd w:id="880609716"/>
      <w:r w:rsidR="00A62525">
        <w:rPr/>
        <w:t xml:space="preserve"> </w:t>
      </w:r>
      <w:r w:rsidR="006077A6">
        <w:rPr/>
        <w:t xml:space="preserve">not ‘vandalise’ </w:t>
      </w:r>
      <w:r w:rsidR="006077A6">
        <w:rPr/>
        <w:t>Arawn’s</w:t>
      </w:r>
      <w:r w:rsidR="006077A6">
        <w:rPr/>
        <w:t xml:space="preserve"> property. (</w:t>
      </w:r>
      <w:r w:rsidRPr="0E61CB3E" w:rsidR="006077A6">
        <w:rPr>
          <w:color w:val="FF0000"/>
        </w:rPr>
        <w:t>Also rephrase</w:t>
      </w:r>
      <w:r w:rsidR="006077A6">
        <w:rPr/>
        <w:t>)</w:t>
      </w:r>
      <w:r w:rsidR="00090E67">
        <w:rPr/>
        <w:t xml:space="preserve"> </w:t>
      </w:r>
      <w:r w:rsidR="00ED494E">
        <w:rPr/>
        <w:t>However, the</w:t>
      </w:r>
      <w:r w:rsidR="00090E67">
        <w:rPr/>
        <w:t xml:space="preserve"> queen comments on </w:t>
      </w:r>
      <w:r w:rsidR="00090E67">
        <w:rPr/>
        <w:t>Pwyll</w:t>
      </w:r>
      <w:r w:rsidR="00ED494E">
        <w:rPr/>
        <w:t xml:space="preserve"> resisting the temptation of flesh, </w:t>
      </w:r>
      <w:r w:rsidR="006F7CAD">
        <w:rPr/>
        <w:t xml:space="preserve">so it is </w:t>
      </w:r>
      <w:r w:rsidR="006F7CAD">
        <w:rPr/>
        <w:t>most likely that</w:t>
      </w:r>
      <w:r w:rsidR="006F7CAD">
        <w:rPr/>
        <w:t xml:space="preserve"> </w:t>
      </w:r>
      <w:r w:rsidR="006F7CAD">
        <w:rPr/>
        <w:t>Pwyll’s</w:t>
      </w:r>
      <w:r w:rsidR="006F7CAD">
        <w:rPr/>
        <w:t xml:space="preserve"> does just simply respect her</w:t>
      </w:r>
      <w:r w:rsidR="006A31BB">
        <w:rPr/>
        <w:t>.</w:t>
      </w:r>
    </w:p>
    <w:p w:rsidR="0E61CB3E" w:rsidRDefault="0E61CB3E" w14:paraId="5F7565EC" w14:textId="0F2C78F2"/>
    <w:p w:rsidR="29031BE8" w:rsidRDefault="29031BE8" w14:paraId="4BEA48D3" w14:textId="22FABA53">
      <w:r w:rsidR="29031BE8">
        <w:rPr/>
        <w:t xml:space="preserve">The First Branch </w:t>
      </w:r>
      <w:bookmarkStart w:name="_Int_uLlcFj8p" w:id="956810693"/>
      <w:r w:rsidR="29031BE8">
        <w:rPr/>
        <w:t>continues on</w:t>
      </w:r>
      <w:bookmarkEnd w:id="956810693"/>
      <w:r w:rsidR="29031BE8">
        <w:rPr/>
        <w:t xml:space="preserve"> with the story of </w:t>
      </w:r>
      <w:r w:rsidR="255CA7C3">
        <w:rPr/>
        <w:t>Pwyll encountering a mysterious woman atop a horse</w:t>
      </w:r>
      <w:r w:rsidR="1439FBBD">
        <w:rPr/>
        <w:t xml:space="preserve"> that </w:t>
      </w:r>
      <w:r w:rsidR="1439FBBD">
        <w:rPr/>
        <w:t>seemingly cannot</w:t>
      </w:r>
      <w:r w:rsidR="1439FBBD">
        <w:rPr/>
        <w:t xml:space="preserve"> be caught up to by any other regular horse. </w:t>
      </w:r>
    </w:p>
    <w:p w:rsidR="00EB2D4A" w:rsidP="1221EF9B" w:rsidRDefault="00EB2D4A" w14:paraId="37CB7E32" w14:textId="77777777"/>
    <w:p w:rsidR="00EB2D4A" w:rsidP="1221EF9B" w:rsidRDefault="00EB2D4A" w14:paraId="7FF72471" w14:textId="60E2F1BA">
      <w:pPr>
        <w:rPr>
          <w:b/>
          <w:bCs/>
        </w:rPr>
      </w:pPr>
      <w:r w:rsidRPr="00EB2D4A">
        <w:rPr>
          <w:b/>
          <w:bCs/>
        </w:rPr>
        <w:t>Second Branch:</w:t>
      </w:r>
    </w:p>
    <w:p w:rsidR="00EB2D4A" w:rsidP="1221EF9B" w:rsidRDefault="00EB2D4A" w14:paraId="75680E8D" w14:textId="77777777">
      <w:pPr>
        <w:rPr>
          <w:b/>
          <w:bCs/>
        </w:rPr>
      </w:pPr>
    </w:p>
    <w:p w:rsidR="00EB2D4A" w:rsidP="1221EF9B" w:rsidRDefault="00EB2D4A" w14:paraId="76F14AB1" w14:textId="77777777">
      <w:pPr>
        <w:rPr>
          <w:b/>
          <w:bCs/>
        </w:rPr>
      </w:pPr>
    </w:p>
    <w:p w:rsidR="00EB2D4A" w:rsidP="1221EF9B" w:rsidRDefault="00EB2D4A" w14:paraId="11A6235C" w14:textId="2997532A">
      <w:pPr>
        <w:rPr>
          <w:b/>
          <w:bCs/>
        </w:rPr>
      </w:pPr>
      <w:r>
        <w:rPr>
          <w:b/>
          <w:bCs/>
        </w:rPr>
        <w:t>Third Branch:</w:t>
      </w:r>
    </w:p>
    <w:p w:rsidR="00EB2D4A" w:rsidP="1221EF9B" w:rsidRDefault="00EB2D4A" w14:paraId="11DA17F4" w14:textId="77777777">
      <w:pPr>
        <w:rPr>
          <w:b/>
          <w:bCs/>
        </w:rPr>
      </w:pPr>
    </w:p>
    <w:p w:rsidR="00EB2D4A" w:rsidP="1221EF9B" w:rsidRDefault="00EB2D4A" w14:paraId="7B829C5C" w14:textId="77777777">
      <w:pPr>
        <w:rPr>
          <w:b/>
          <w:bCs/>
        </w:rPr>
      </w:pPr>
    </w:p>
    <w:p w:rsidRPr="00EB2D4A" w:rsidR="00EB2D4A" w:rsidP="1221EF9B" w:rsidRDefault="00EB2D4A" w14:paraId="3A1D7979" w14:textId="2468C886">
      <w:pPr>
        <w:rPr>
          <w:b/>
          <w:bCs/>
        </w:rPr>
      </w:pPr>
      <w:r>
        <w:rPr>
          <w:b/>
          <w:bCs/>
        </w:rPr>
        <w:t>Fourth Branch:</w:t>
      </w:r>
    </w:p>
    <w:sectPr w:rsidRPr="00EB2D4A" w:rsidR="00EB2D4A">
      <w:headerReference w:type="default" r:id="rId7"/>
      <w:footerReference w:type="default" r:id="rId8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04CC3" w:rsidRDefault="00D04CC3" w14:paraId="1DDDAA61" w14:textId="77777777">
      <w:pPr>
        <w:spacing w:after="0" w:line="240" w:lineRule="auto"/>
      </w:pPr>
      <w:r>
        <w:separator/>
      </w:r>
    </w:p>
  </w:endnote>
  <w:endnote w:type="continuationSeparator" w:id="0">
    <w:p w:rsidR="00D04CC3" w:rsidRDefault="00D04CC3" w14:paraId="715023D1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58072E" w:rsidTr="2758072E" w14:paraId="69D79BF5" w14:textId="77777777">
      <w:trPr>
        <w:trHeight w:val="300"/>
      </w:trPr>
      <w:tc>
        <w:tcPr>
          <w:tcW w:w="3005" w:type="dxa"/>
        </w:tcPr>
        <w:p w:rsidR="2758072E" w:rsidP="2758072E" w:rsidRDefault="2758072E" w14:paraId="44F36224" w14:textId="13FDD19B">
          <w:pPr>
            <w:pStyle w:val="Header"/>
            <w:ind w:left="-115"/>
          </w:pPr>
        </w:p>
      </w:tc>
      <w:tc>
        <w:tcPr>
          <w:tcW w:w="3005" w:type="dxa"/>
        </w:tcPr>
        <w:p w:rsidR="2758072E" w:rsidP="2758072E" w:rsidRDefault="2758072E" w14:paraId="548EEA5A" w14:textId="59724382">
          <w:pPr>
            <w:pStyle w:val="Header"/>
            <w:jc w:val="center"/>
          </w:pPr>
        </w:p>
      </w:tc>
      <w:tc>
        <w:tcPr>
          <w:tcW w:w="3005" w:type="dxa"/>
        </w:tcPr>
        <w:p w:rsidR="2758072E" w:rsidP="2758072E" w:rsidRDefault="2758072E" w14:paraId="1E7F9772" w14:textId="2DBF8DCC">
          <w:pPr>
            <w:pStyle w:val="Header"/>
            <w:ind w:right="-115"/>
            <w:jc w:val="right"/>
          </w:pPr>
        </w:p>
      </w:tc>
    </w:tr>
  </w:tbl>
  <w:p w:rsidR="2758072E" w:rsidP="2758072E" w:rsidRDefault="2758072E" w14:paraId="66AAC9DC" w14:textId="0E6ECF5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04CC3" w:rsidRDefault="00D04CC3" w14:paraId="1BAF9A99" w14:textId="77777777">
      <w:pPr>
        <w:spacing w:after="0" w:line="240" w:lineRule="auto"/>
      </w:pPr>
      <w:r>
        <w:separator/>
      </w:r>
    </w:p>
  </w:footnote>
  <w:footnote w:type="continuationSeparator" w:id="0">
    <w:p w:rsidR="00D04CC3" w:rsidRDefault="00D04CC3" w14:paraId="07FFBD8E" w14:textId="77777777">
      <w:pPr>
        <w:spacing w:after="0" w:line="240" w:lineRule="auto"/>
      </w:pPr>
      <w:r>
        <w:continuationSeparator/>
      </w:r>
    </w:p>
  </w:footnote>
  <w:footnote w:id="1">
    <w:p w:rsidR="1221EF9B" w:rsidP="1221EF9B" w:rsidRDefault="1221EF9B" w14:paraId="6E3907FD" w14:textId="02311A4D">
      <w:pPr>
        <w:pStyle w:val="FootnoteText"/>
      </w:pPr>
      <w:r w:rsidRPr="1221EF9B">
        <w:rPr>
          <w:rStyle w:val="FootnoteReference"/>
        </w:rPr>
        <w:footnoteRef/>
      </w:r>
      <w:r>
        <w:t xml:space="preserve"> The Mabinogion, translated by Sioned Davies, p. 5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9015"/>
    </w:tblGrid>
    <w:tr w:rsidR="2758072E" w:rsidTr="2758072E" w14:paraId="793D5CCF" w14:textId="77777777">
      <w:trPr>
        <w:trHeight w:val="300"/>
      </w:trPr>
      <w:tc>
        <w:tcPr>
          <w:tcW w:w="9015" w:type="dxa"/>
          <w:shd w:val="clear" w:color="auto" w:fill="DAE8F8"/>
        </w:tcPr>
        <w:p w:rsidR="2758072E" w:rsidP="2758072E" w:rsidRDefault="2758072E" w14:paraId="5BD66566" w14:textId="409DB1DA">
          <w:pPr>
            <w:pStyle w:val="Header"/>
            <w:ind w:left="-115"/>
          </w:pPr>
          <w:r>
            <w:t>Compare and contrast the role and status of women in the Four Branches of the Mabinogi and Táin Bó Cúailnge</w:t>
          </w:r>
        </w:p>
      </w:tc>
    </w:tr>
  </w:tbl>
  <w:p w:rsidR="2758072E" w:rsidP="2758072E" w:rsidRDefault="2758072E" w14:paraId="7F107E53" w14:textId="22416491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SxIbN3QX" int2:invalidationBookmarkName="" int2:hashCode="SD6DFtosDOG94/" int2:id="Wc7rXo6j">
      <int2:state int2:type="style" int2:value="Rejected"/>
    </int2:bookmark>
    <int2:bookmark int2:bookmarkName="_Int_uLlcFj8p" int2:invalidationBookmarkName="" int2:hashCode="bvdKSslt4AXfJs" int2:id="ZEXnNaAZ">
      <int2:state int2:type="style" int2:value="Rejected"/>
    </int2:bookmark>
    <int2:bookmark int2:bookmarkName="_Int_sbdI706d" int2:invalidationBookmarkName="" int2:hashCode="3KKjJeR/dxf+gy" int2:id="EHm6zChp">
      <int2:state int2:type="style" int2:value="Rejected"/>
    </int2:bookmark>
    <int2:bookmark int2:bookmarkName="_Int_7gtJMkOf" int2:invalidationBookmarkName="" int2:hashCode="CCUngu9GvggFSa" int2:id="dAp4JrtG">
      <int2:state int2:type="gram" int2:value="Rejected"/>
    </int2:bookmark>
    <int2:bookmark int2:bookmarkName="_Int_dvlnoU6P" int2:invalidationBookmarkName="" int2:hashCode="aSRpwvskK6QCAK" int2:id="eWCS512R">
      <int2:state int2:type="styl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20ADCF4"/>
    <w:rsid w:val="00090E67"/>
    <w:rsid w:val="0042FE1A"/>
    <w:rsid w:val="004F31EC"/>
    <w:rsid w:val="005E4CB0"/>
    <w:rsid w:val="006077A6"/>
    <w:rsid w:val="006A31BB"/>
    <w:rsid w:val="006C5C03"/>
    <w:rsid w:val="006D6712"/>
    <w:rsid w:val="006F7CAD"/>
    <w:rsid w:val="00737EAD"/>
    <w:rsid w:val="008C3AFF"/>
    <w:rsid w:val="00A62525"/>
    <w:rsid w:val="00A73225"/>
    <w:rsid w:val="00A846CD"/>
    <w:rsid w:val="00BD72FB"/>
    <w:rsid w:val="00C602CB"/>
    <w:rsid w:val="00D04CC3"/>
    <w:rsid w:val="00D367A1"/>
    <w:rsid w:val="00DF4820"/>
    <w:rsid w:val="00E793A6"/>
    <w:rsid w:val="00EB1CDF"/>
    <w:rsid w:val="00EB2D4A"/>
    <w:rsid w:val="00ED494E"/>
    <w:rsid w:val="0143462B"/>
    <w:rsid w:val="014E34F3"/>
    <w:rsid w:val="015FC3A6"/>
    <w:rsid w:val="020ADCF4"/>
    <w:rsid w:val="023D961E"/>
    <w:rsid w:val="0354AA2B"/>
    <w:rsid w:val="042AD7A1"/>
    <w:rsid w:val="04CFFA5C"/>
    <w:rsid w:val="05C528DE"/>
    <w:rsid w:val="05C9432A"/>
    <w:rsid w:val="063D45A1"/>
    <w:rsid w:val="0788F99F"/>
    <w:rsid w:val="09F9C8C1"/>
    <w:rsid w:val="0A37D931"/>
    <w:rsid w:val="0A6FBF48"/>
    <w:rsid w:val="0CCB63BC"/>
    <w:rsid w:val="0D33D101"/>
    <w:rsid w:val="0E61CB3E"/>
    <w:rsid w:val="0FE65A74"/>
    <w:rsid w:val="106E4AE4"/>
    <w:rsid w:val="11207873"/>
    <w:rsid w:val="1221EF9B"/>
    <w:rsid w:val="12B9F81C"/>
    <w:rsid w:val="12E48451"/>
    <w:rsid w:val="14120ECC"/>
    <w:rsid w:val="1439FBBD"/>
    <w:rsid w:val="144E2B58"/>
    <w:rsid w:val="146A50B3"/>
    <w:rsid w:val="14E05955"/>
    <w:rsid w:val="157C6331"/>
    <w:rsid w:val="1898FDC6"/>
    <w:rsid w:val="1C685A5D"/>
    <w:rsid w:val="1CA7A8B8"/>
    <w:rsid w:val="1D82C53E"/>
    <w:rsid w:val="1E1BFBE2"/>
    <w:rsid w:val="1E354603"/>
    <w:rsid w:val="1E58BFB2"/>
    <w:rsid w:val="1F294A22"/>
    <w:rsid w:val="1FE0BA44"/>
    <w:rsid w:val="200EED1E"/>
    <w:rsid w:val="212151FB"/>
    <w:rsid w:val="218CC743"/>
    <w:rsid w:val="255CA7C3"/>
    <w:rsid w:val="258E841E"/>
    <w:rsid w:val="25E24F69"/>
    <w:rsid w:val="25F5FC7C"/>
    <w:rsid w:val="2758072E"/>
    <w:rsid w:val="27764157"/>
    <w:rsid w:val="29031BE8"/>
    <w:rsid w:val="2A3E1E1B"/>
    <w:rsid w:val="2A435378"/>
    <w:rsid w:val="2ADA055B"/>
    <w:rsid w:val="2AE6DCF3"/>
    <w:rsid w:val="2C659994"/>
    <w:rsid w:val="304AAC4D"/>
    <w:rsid w:val="30A2D063"/>
    <w:rsid w:val="33200FB0"/>
    <w:rsid w:val="36182D87"/>
    <w:rsid w:val="3655E822"/>
    <w:rsid w:val="3739B043"/>
    <w:rsid w:val="383E2609"/>
    <w:rsid w:val="3879DBEC"/>
    <w:rsid w:val="3986FA3C"/>
    <w:rsid w:val="399CD73B"/>
    <w:rsid w:val="3A3AC69F"/>
    <w:rsid w:val="3AFED5FC"/>
    <w:rsid w:val="3B93263C"/>
    <w:rsid w:val="3CB1526E"/>
    <w:rsid w:val="3D2A8761"/>
    <w:rsid w:val="3D9D60B5"/>
    <w:rsid w:val="3E5F30B6"/>
    <w:rsid w:val="3EEBD28D"/>
    <w:rsid w:val="3FA17BCB"/>
    <w:rsid w:val="3FB7438A"/>
    <w:rsid w:val="40B6A2CE"/>
    <w:rsid w:val="41E9609F"/>
    <w:rsid w:val="4285BA3E"/>
    <w:rsid w:val="4347769C"/>
    <w:rsid w:val="43D72918"/>
    <w:rsid w:val="44B0C17F"/>
    <w:rsid w:val="44D9284F"/>
    <w:rsid w:val="46594067"/>
    <w:rsid w:val="498F366E"/>
    <w:rsid w:val="49A7BCD3"/>
    <w:rsid w:val="4BE9F8A1"/>
    <w:rsid w:val="4CD90EC1"/>
    <w:rsid w:val="4E4A0678"/>
    <w:rsid w:val="4F152942"/>
    <w:rsid w:val="4FAF3297"/>
    <w:rsid w:val="50B2AB83"/>
    <w:rsid w:val="525DE963"/>
    <w:rsid w:val="53554933"/>
    <w:rsid w:val="5394C0D6"/>
    <w:rsid w:val="53F56172"/>
    <w:rsid w:val="543FA072"/>
    <w:rsid w:val="5631003E"/>
    <w:rsid w:val="56C482BB"/>
    <w:rsid w:val="576AC13B"/>
    <w:rsid w:val="59079A31"/>
    <w:rsid w:val="5A97D0FF"/>
    <w:rsid w:val="5B7DF977"/>
    <w:rsid w:val="5BE5390A"/>
    <w:rsid w:val="5D0C38BC"/>
    <w:rsid w:val="5DEA5159"/>
    <w:rsid w:val="5E1E5A32"/>
    <w:rsid w:val="5E758FB1"/>
    <w:rsid w:val="613D3037"/>
    <w:rsid w:val="6192B073"/>
    <w:rsid w:val="619906DA"/>
    <w:rsid w:val="61C07C20"/>
    <w:rsid w:val="626C0CCA"/>
    <w:rsid w:val="64A84AFF"/>
    <w:rsid w:val="64B5E1DA"/>
    <w:rsid w:val="66210C3E"/>
    <w:rsid w:val="66CBE128"/>
    <w:rsid w:val="67762656"/>
    <w:rsid w:val="691611B1"/>
    <w:rsid w:val="69BF651C"/>
    <w:rsid w:val="69D1C41C"/>
    <w:rsid w:val="6A1F7973"/>
    <w:rsid w:val="6B827C52"/>
    <w:rsid w:val="6BAFC920"/>
    <w:rsid w:val="6D48E8FB"/>
    <w:rsid w:val="6E0B089D"/>
    <w:rsid w:val="6E9BB312"/>
    <w:rsid w:val="6F7E9ABC"/>
    <w:rsid w:val="6F919B47"/>
    <w:rsid w:val="706618A1"/>
    <w:rsid w:val="72118368"/>
    <w:rsid w:val="726B264C"/>
    <w:rsid w:val="72EDCE98"/>
    <w:rsid w:val="736A6102"/>
    <w:rsid w:val="73E7B6A2"/>
    <w:rsid w:val="74F4FCDF"/>
    <w:rsid w:val="756640F0"/>
    <w:rsid w:val="76D5C498"/>
    <w:rsid w:val="79448561"/>
    <w:rsid w:val="79F47D6F"/>
    <w:rsid w:val="79FA2B6B"/>
    <w:rsid w:val="7A2AB23A"/>
    <w:rsid w:val="7A46DF2B"/>
    <w:rsid w:val="7ABFC7E8"/>
    <w:rsid w:val="7CD47225"/>
    <w:rsid w:val="7D71065F"/>
    <w:rsid w:val="7E704123"/>
    <w:rsid w:val="7EAE12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0ADCF4"/>
  <w15:chartTrackingRefBased/>
  <w15:docId w15:val="{731FB11E-F0D1-4E63-A184-F635A45F84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2758072E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2758072E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FootnoteText">
    <w:name w:val="footnote text"/>
    <w:basedOn w:val="Normal"/>
    <w:uiPriority w:val="99"/>
    <w:semiHidden/>
    <w:unhideWhenUsed/>
    <w:rsid w:val="1221EF9B"/>
    <w:pPr>
      <w:spacing w:after="0" w:line="240" w:lineRule="auto"/>
    </w:pPr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1221EF9B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microsoft.com/office/2020/10/relationships/intelligence" Target="intelligence2.xml" Id="rId11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Ewan Adshead (2501199)</dc:creator>
  <keywords/>
  <dc:description/>
  <lastModifiedBy>Ewan Adshead (2501199)</lastModifiedBy>
  <revision>19</revision>
  <dcterms:created xsi:type="dcterms:W3CDTF">2026-04-01T16:44:00.0000000Z</dcterms:created>
  <dcterms:modified xsi:type="dcterms:W3CDTF">2026-04-02T13:50:08.3432202Z</dcterms:modified>
</coreProperties>
</file>