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E2A07F" w14:textId="77777777" w:rsidR="00900E36" w:rsidRPr="00900E36" w:rsidRDefault="00900E36" w:rsidP="00900E36">
      <w:pPr>
        <w:jc w:val="center"/>
        <w:rPr>
          <w:rFonts w:ascii="Arial" w:hAnsi="Arial" w:cs="Arial"/>
          <w:kern w:val="0"/>
          <w:sz w:val="22"/>
          <w:szCs w:val="22"/>
        </w:rPr>
      </w:pPr>
      <w:r w:rsidRPr="00900E36">
        <w:rPr>
          <w:rFonts w:ascii="Arial" w:hAnsi="Arial" w:cs="Arial"/>
          <w:b/>
          <w:bCs/>
          <w:kern w:val="0"/>
          <w:sz w:val="22"/>
          <w:szCs w:val="22"/>
        </w:rPr>
        <w:t>Student Name:</w:t>
      </w:r>
      <w:r w:rsidRPr="00900E36">
        <w:rPr>
          <w:rFonts w:ascii="Arial" w:hAnsi="Arial" w:cs="Arial"/>
          <w:kern w:val="0"/>
          <w:sz w:val="22"/>
          <w:szCs w:val="22"/>
        </w:rPr>
        <w:t xml:space="preserve"> Amie Fofana </w:t>
      </w:r>
      <w:proofErr w:type="spellStart"/>
      <w:r w:rsidRPr="00900E36">
        <w:rPr>
          <w:rFonts w:ascii="Arial" w:hAnsi="Arial" w:cs="Arial"/>
          <w:kern w:val="0"/>
          <w:sz w:val="22"/>
          <w:szCs w:val="22"/>
        </w:rPr>
        <w:t>Fofana</w:t>
      </w:r>
      <w:proofErr w:type="spellEnd"/>
      <w:r w:rsidRPr="00900E36">
        <w:rPr>
          <w:rFonts w:ascii="Arial" w:hAnsi="Arial" w:cs="Arial"/>
          <w:kern w:val="0"/>
          <w:sz w:val="22"/>
          <w:szCs w:val="22"/>
        </w:rPr>
        <w:t xml:space="preserve"> </w:t>
      </w:r>
    </w:p>
    <w:p w14:paraId="55C74D53" w14:textId="77777777" w:rsidR="00900E36" w:rsidRPr="00900E36" w:rsidRDefault="00900E36" w:rsidP="00900E36">
      <w:pPr>
        <w:jc w:val="center"/>
        <w:rPr>
          <w:rFonts w:ascii="Arial" w:hAnsi="Arial" w:cs="Arial"/>
          <w:kern w:val="0"/>
          <w:sz w:val="22"/>
          <w:szCs w:val="22"/>
        </w:rPr>
      </w:pPr>
      <w:r w:rsidRPr="00900E36">
        <w:rPr>
          <w:rFonts w:ascii="Arial" w:hAnsi="Arial" w:cs="Arial"/>
          <w:b/>
          <w:bCs/>
          <w:kern w:val="0"/>
          <w:sz w:val="22"/>
          <w:szCs w:val="22"/>
        </w:rPr>
        <w:t>Student ID Number:</w:t>
      </w:r>
      <w:r w:rsidRPr="00900E36">
        <w:rPr>
          <w:rFonts w:ascii="Arial" w:hAnsi="Arial" w:cs="Arial"/>
          <w:kern w:val="0"/>
          <w:sz w:val="22"/>
          <w:szCs w:val="22"/>
        </w:rPr>
        <w:t xml:space="preserve"> 2407525</w:t>
      </w:r>
    </w:p>
    <w:p w14:paraId="24FA1708" w14:textId="77777777" w:rsidR="00900E36" w:rsidRPr="00900E36" w:rsidRDefault="00900E36" w:rsidP="00900E36">
      <w:pPr>
        <w:jc w:val="center"/>
        <w:rPr>
          <w:rFonts w:ascii="Arial" w:hAnsi="Arial" w:cs="Arial"/>
          <w:kern w:val="0"/>
          <w:sz w:val="22"/>
          <w:szCs w:val="22"/>
        </w:rPr>
      </w:pPr>
      <w:r w:rsidRPr="00900E36">
        <w:rPr>
          <w:rFonts w:ascii="Arial" w:hAnsi="Arial" w:cs="Arial"/>
          <w:kern w:val="0"/>
          <w:sz w:val="22"/>
          <w:szCs w:val="22"/>
        </w:rPr>
        <w:t xml:space="preserve"> </w:t>
      </w:r>
      <w:r w:rsidRPr="00900E36">
        <w:rPr>
          <w:rFonts w:ascii="Arial" w:hAnsi="Arial" w:cs="Arial"/>
          <w:b/>
          <w:bCs/>
          <w:kern w:val="0"/>
          <w:sz w:val="22"/>
          <w:szCs w:val="22"/>
        </w:rPr>
        <w:t>Module Title:</w:t>
      </w:r>
      <w:r w:rsidRPr="00900E36">
        <w:rPr>
          <w:rFonts w:ascii="Arial" w:hAnsi="Arial" w:cs="Arial"/>
          <w:kern w:val="0"/>
          <w:sz w:val="22"/>
          <w:szCs w:val="22"/>
        </w:rPr>
        <w:t xml:space="preserve"> Introduction to Independent Research Skills</w:t>
      </w:r>
    </w:p>
    <w:p w14:paraId="58D8E244" w14:textId="77777777" w:rsidR="00900E36" w:rsidRPr="00900E36" w:rsidRDefault="00900E36" w:rsidP="00900E36">
      <w:pPr>
        <w:jc w:val="center"/>
        <w:rPr>
          <w:rFonts w:ascii="Arial" w:hAnsi="Arial" w:cs="Arial"/>
          <w:kern w:val="0"/>
          <w:sz w:val="22"/>
          <w:szCs w:val="22"/>
        </w:rPr>
      </w:pPr>
      <w:r w:rsidRPr="00900E36">
        <w:rPr>
          <w:rFonts w:ascii="Arial" w:hAnsi="Arial" w:cs="Arial"/>
          <w:kern w:val="0"/>
          <w:sz w:val="22"/>
          <w:szCs w:val="22"/>
        </w:rPr>
        <w:t xml:space="preserve"> </w:t>
      </w:r>
      <w:r w:rsidRPr="00900E36">
        <w:rPr>
          <w:rFonts w:ascii="Arial" w:hAnsi="Arial" w:cs="Arial"/>
          <w:b/>
          <w:bCs/>
          <w:kern w:val="0"/>
          <w:sz w:val="22"/>
          <w:szCs w:val="22"/>
        </w:rPr>
        <w:t>Module Code:</w:t>
      </w:r>
      <w:r w:rsidRPr="00900E36">
        <w:rPr>
          <w:rFonts w:ascii="Arial" w:hAnsi="Arial" w:cs="Arial"/>
          <w:kern w:val="0"/>
          <w:sz w:val="22"/>
          <w:szCs w:val="22"/>
        </w:rPr>
        <w:t xml:space="preserve"> BMHP5019 </w:t>
      </w:r>
    </w:p>
    <w:p w14:paraId="4C92FE06" w14:textId="29526427" w:rsidR="004B3EAA" w:rsidRDefault="00900E36" w:rsidP="00900E36">
      <w:pPr>
        <w:jc w:val="center"/>
        <w:rPr>
          <w:rFonts w:ascii="Arial" w:hAnsi="Arial" w:cs="Arial"/>
          <w:kern w:val="0"/>
          <w:sz w:val="22"/>
          <w:szCs w:val="22"/>
        </w:rPr>
      </w:pPr>
      <w:r w:rsidRPr="00900E36">
        <w:rPr>
          <w:rFonts w:ascii="Arial" w:hAnsi="Arial" w:cs="Arial"/>
          <w:b/>
          <w:bCs/>
          <w:kern w:val="0"/>
          <w:sz w:val="22"/>
          <w:szCs w:val="22"/>
        </w:rPr>
        <w:t>Assignment Title:</w:t>
      </w:r>
      <w:r w:rsidRPr="00900E36">
        <w:rPr>
          <w:rFonts w:ascii="Arial" w:hAnsi="Arial" w:cs="Arial"/>
          <w:kern w:val="0"/>
          <w:sz w:val="22"/>
          <w:szCs w:val="22"/>
        </w:rPr>
        <w:t xml:space="preserve"> Component 2: Written Assignment (Research Report)</w:t>
      </w:r>
    </w:p>
    <w:p w14:paraId="5276F34D" w14:textId="77777777" w:rsidR="003250B0" w:rsidRDefault="003250B0" w:rsidP="003250B0">
      <w:pPr>
        <w:rPr>
          <w:rFonts w:ascii="Arial" w:hAnsi="Arial" w:cs="Arial"/>
          <w:kern w:val="0"/>
          <w:sz w:val="22"/>
          <w:szCs w:val="22"/>
        </w:rPr>
      </w:pPr>
    </w:p>
    <w:p w14:paraId="57CBBCBA" w14:textId="77777777" w:rsidR="0029139C" w:rsidRPr="0029139C" w:rsidRDefault="0029139C" w:rsidP="0029139C">
      <w:pPr>
        <w:autoSpaceDE w:val="0"/>
        <w:autoSpaceDN w:val="0"/>
        <w:adjustRightInd w:val="0"/>
        <w:spacing w:after="40" w:line="240" w:lineRule="auto"/>
        <w:rPr>
          <w:rFonts w:ascii="Arial" w:hAnsi="Arial" w:cs="Arial"/>
          <w:b/>
          <w:bCs/>
          <w:kern w:val="0"/>
          <w:sz w:val="22"/>
          <w:szCs w:val="22"/>
        </w:rPr>
      </w:pPr>
      <w:r w:rsidRPr="0029139C">
        <w:rPr>
          <w:rFonts w:ascii="Arial" w:hAnsi="Arial" w:cs="Arial"/>
          <w:b/>
          <w:bCs/>
          <w:kern w:val="0"/>
          <w:sz w:val="22"/>
          <w:szCs w:val="22"/>
        </w:rPr>
        <w:t>Introduction and Background</w:t>
      </w:r>
    </w:p>
    <w:p w14:paraId="0C04161D" w14:textId="1453B3BF" w:rsidR="0076222F" w:rsidRDefault="0029139C" w:rsidP="0029139C">
      <w:pPr>
        <w:autoSpaceDE w:val="0"/>
        <w:autoSpaceDN w:val="0"/>
        <w:adjustRightInd w:val="0"/>
        <w:spacing w:after="0" w:line="240" w:lineRule="auto"/>
        <w:rPr>
          <w:rFonts w:ascii="Arial" w:hAnsi="Arial" w:cs="Arial"/>
          <w:kern w:val="0"/>
          <w:sz w:val="22"/>
          <w:szCs w:val="22"/>
        </w:rPr>
      </w:pPr>
      <w:r w:rsidRPr="0029139C">
        <w:rPr>
          <w:rFonts w:ascii="Arial" w:hAnsi="Arial" w:cs="Arial"/>
          <w:kern w:val="0"/>
          <w:sz w:val="22"/>
          <w:szCs w:val="22"/>
        </w:rPr>
        <w:t>Navigating the healthcare system effectively is a vital part of staying well during adolescence, which is a time filled with major physical, emotional, and social changes. Across the United Kingdom, making sure that young people can get medical support when they need it is a top priority for both health professionals and policymakers. Despite this goal, current evidence shows that deep systemic issues and operational hurdles within the National Health Service (NHS) frequently block teenagers from getting care. While the wider healthcare system faces heavy resource pressures, these barriers are particularly severe within child and adolescent mental health provisions. This scoping review focuses specifically on identifying the structural, social, and cultural barriers that teenagers face when trying to access mental health support in the UK.</w:t>
      </w:r>
      <w:r w:rsidR="0076222F">
        <w:rPr>
          <w:rFonts w:ascii="Arial" w:hAnsi="Arial" w:cs="Arial"/>
          <w:kern w:val="0"/>
          <w:sz w:val="22"/>
          <w:szCs w:val="22"/>
        </w:rPr>
        <w:t xml:space="preserve"> </w:t>
      </w:r>
      <w:r w:rsidRPr="0029139C">
        <w:rPr>
          <w:rFonts w:ascii="Arial" w:hAnsi="Arial" w:cs="Arial"/>
          <w:kern w:val="0"/>
          <w:sz w:val="22"/>
          <w:szCs w:val="22"/>
        </w:rPr>
        <w:t>To keep my analysis sharp and relevant, I have focused this research report on a specific primary review question:</w:t>
      </w:r>
    </w:p>
    <w:p w14:paraId="54A25076" w14:textId="77777777" w:rsidR="0076222F" w:rsidRDefault="0076222F" w:rsidP="0029139C">
      <w:pPr>
        <w:autoSpaceDE w:val="0"/>
        <w:autoSpaceDN w:val="0"/>
        <w:adjustRightInd w:val="0"/>
        <w:spacing w:after="0" w:line="240" w:lineRule="auto"/>
        <w:rPr>
          <w:rFonts w:ascii="Arial" w:hAnsi="Arial" w:cs="Arial"/>
          <w:kern w:val="0"/>
          <w:sz w:val="22"/>
          <w:szCs w:val="22"/>
        </w:rPr>
      </w:pPr>
    </w:p>
    <w:p w14:paraId="244AFA59" w14:textId="13D10465" w:rsidR="0029139C" w:rsidRPr="0029139C" w:rsidRDefault="0029139C" w:rsidP="0029139C">
      <w:pPr>
        <w:autoSpaceDE w:val="0"/>
        <w:autoSpaceDN w:val="0"/>
        <w:adjustRightInd w:val="0"/>
        <w:spacing w:after="0" w:line="240" w:lineRule="auto"/>
        <w:rPr>
          <w:rFonts w:ascii="Arial" w:hAnsi="Arial" w:cs="Arial"/>
          <w:kern w:val="0"/>
          <w:sz w:val="22"/>
          <w:szCs w:val="22"/>
        </w:rPr>
      </w:pPr>
      <w:r w:rsidRPr="0029139C">
        <w:rPr>
          <w:rFonts w:ascii="Arial" w:hAnsi="Arial" w:cs="Arial"/>
          <w:kern w:val="0"/>
          <w:sz w:val="22"/>
          <w:szCs w:val="22"/>
        </w:rPr>
        <w:t xml:space="preserve"> </w:t>
      </w:r>
      <w:r w:rsidRPr="0029139C">
        <w:rPr>
          <w:rFonts w:ascii="Arial" w:hAnsi="Arial" w:cs="Arial"/>
          <w:b/>
          <w:bCs/>
          <w:kern w:val="0"/>
          <w:sz w:val="22"/>
          <w:szCs w:val="22"/>
        </w:rPr>
        <w:t>What evidence exists regarding the barriers experienced by young people when accessing mental health services in the United Kingdom?</w:t>
      </w:r>
    </w:p>
    <w:p w14:paraId="661272B7" w14:textId="6B72F67B" w:rsidR="003149CE" w:rsidRDefault="0029139C" w:rsidP="0029139C">
      <w:pPr>
        <w:rPr>
          <w:rFonts w:ascii="Arial" w:hAnsi="Arial" w:cs="Arial"/>
          <w:b/>
          <w:bCs/>
          <w:kern w:val="0"/>
          <w:sz w:val="22"/>
          <w:szCs w:val="22"/>
        </w:rPr>
      </w:pPr>
      <w:r w:rsidRPr="0029139C">
        <w:rPr>
          <w:rFonts w:ascii="Arial" w:hAnsi="Arial" w:cs="Arial"/>
          <w:b/>
          <w:bCs/>
          <w:kern w:val="0"/>
          <w:sz w:val="22"/>
          <w:szCs w:val="22"/>
        </w:rPr>
        <w:t>Rationale and Context</w:t>
      </w:r>
    </w:p>
    <w:p w14:paraId="406C8E42" w14:textId="3E667A55" w:rsidR="0042144D" w:rsidRDefault="0042144D" w:rsidP="0042144D">
      <w:pPr>
        <w:autoSpaceDE w:val="0"/>
        <w:autoSpaceDN w:val="0"/>
        <w:adjustRightInd w:val="0"/>
        <w:spacing w:after="0" w:line="240" w:lineRule="auto"/>
        <w:rPr>
          <w:rFonts w:ascii="AppleSystemUIFont" w:hAnsi="AppleSystemUIFont" w:cs="AppleSystemUIFont"/>
          <w:kern w:val="0"/>
          <w:sz w:val="26"/>
          <w:szCs w:val="26"/>
        </w:rPr>
      </w:pPr>
      <w:r w:rsidRPr="00115A34">
        <w:rPr>
          <w:rFonts w:ascii="Arial" w:hAnsi="Arial" w:cs="Arial"/>
          <w:kern w:val="0"/>
          <w:sz w:val="22"/>
          <w:szCs w:val="22"/>
        </w:rPr>
        <w:t xml:space="preserve">The number of teenagers experiencing mental health struggles has grown rapidly over recent years, placing an unsustainable amount of pressure on UK health and social care infrastructures. Recent data indicates that approximately one in five children and young people between the ages of eight and twenty-five now live with a probable mental health condition. Getting help early is </w:t>
      </w:r>
      <w:r w:rsidR="00115A34" w:rsidRPr="00115A34">
        <w:rPr>
          <w:rFonts w:ascii="Arial" w:hAnsi="Arial" w:cs="Arial"/>
          <w:kern w:val="0"/>
          <w:sz w:val="22"/>
          <w:szCs w:val="22"/>
        </w:rPr>
        <w:t>critical</w:t>
      </w:r>
      <w:r w:rsidRPr="00115A34">
        <w:rPr>
          <w:rFonts w:ascii="Arial" w:hAnsi="Arial" w:cs="Arial"/>
          <w:kern w:val="0"/>
          <w:sz w:val="22"/>
          <w:szCs w:val="22"/>
        </w:rPr>
        <w:t xml:space="preserve"> during these formative years. If psychological distress is left unaddressed, it frequently leads to long-term difficulties regarding a young person's educational progress, future employment stability, and overall adult health outcomes.</w:t>
      </w:r>
      <w:r w:rsidR="00E95391" w:rsidRPr="00115A34">
        <w:rPr>
          <w:rFonts w:ascii="Arial" w:hAnsi="Arial" w:cs="Arial"/>
          <w:kern w:val="0"/>
          <w:sz w:val="22"/>
          <w:szCs w:val="22"/>
        </w:rPr>
        <w:t xml:space="preserve"> </w:t>
      </w:r>
      <w:r w:rsidRPr="00115A34">
        <w:rPr>
          <w:rFonts w:ascii="Arial" w:hAnsi="Arial" w:cs="Arial"/>
          <w:kern w:val="0"/>
          <w:sz w:val="22"/>
          <w:szCs w:val="22"/>
        </w:rPr>
        <w:t>Even though rapid support is clearly necessary, massive obstacles prevent teenagers from getting care when they need it most. Data from the British Medical Association (BMA) shows that more than half a million young people are currently stuck on waiting lists for community mental health support, with fewer than 10% receiving timely intervention. These figures show a clear structural breakdown in service delivery, and the impact of these barriers is not felt equally. Socioeconomic inequalities heavily dictate the availability and quality of local care, meaning that adolescents from lower-income backgrounds or deprived areas face much longer wait times and lower rates of successful treatment access.</w:t>
      </w:r>
      <w:r w:rsidR="00E95391" w:rsidRPr="00115A34">
        <w:rPr>
          <w:rFonts w:ascii="Arial" w:hAnsi="Arial" w:cs="Arial"/>
          <w:kern w:val="0"/>
          <w:sz w:val="22"/>
          <w:szCs w:val="22"/>
        </w:rPr>
        <w:t xml:space="preserve"> </w:t>
      </w:r>
      <w:r w:rsidRPr="00115A34">
        <w:rPr>
          <w:rFonts w:ascii="Arial" w:hAnsi="Arial" w:cs="Arial"/>
          <w:kern w:val="0"/>
          <w:sz w:val="22"/>
          <w:szCs w:val="22"/>
        </w:rPr>
        <w:t>Additionally, the clinical threshold required to get into specialist child and adolescent mental health services (CAMHS) remains incredibly high. Many vulnerable teenagers are turned away because their symptoms are not considered severe enough, leaving them without professional support until their mental health deteriorates into a crisis. This widening gap in statutory care forces a heavy reliance</w:t>
      </w:r>
      <w:r>
        <w:rPr>
          <w:rFonts w:ascii="AppleSystemUIFont" w:hAnsi="AppleSystemUIFont" w:cs="AppleSystemUIFont"/>
          <w:kern w:val="0"/>
          <w:sz w:val="26"/>
          <w:szCs w:val="26"/>
        </w:rPr>
        <w:t xml:space="preserve"> on digital health platforms and basic community triage. While digital tools aim to </w:t>
      </w:r>
      <w:proofErr w:type="gramStart"/>
      <w:r>
        <w:rPr>
          <w:rFonts w:ascii="AppleSystemUIFont" w:hAnsi="AppleSystemUIFont" w:cs="AppleSystemUIFont"/>
          <w:kern w:val="0"/>
          <w:sz w:val="26"/>
          <w:szCs w:val="26"/>
        </w:rPr>
        <w:t>open up</w:t>
      </w:r>
      <w:proofErr w:type="gramEnd"/>
      <w:r>
        <w:rPr>
          <w:rFonts w:ascii="AppleSystemUIFont" w:hAnsi="AppleSystemUIFont" w:cs="AppleSystemUIFont"/>
          <w:kern w:val="0"/>
          <w:sz w:val="26"/>
          <w:szCs w:val="26"/>
        </w:rPr>
        <w:t xml:space="preserve"> new pathways, they often introduce new barriers for young people who lack private spaces at home or digital literacy. Therefore, a thorough scoping review of peer-reviewed literature is vital to pull together recent empirical evidence, show exactly where the system is breaking down, and suggest practical changes for UK health policy and clinical practice.</w:t>
      </w:r>
    </w:p>
    <w:p w14:paraId="1F9A3FAA" w14:textId="77777777" w:rsidR="0042144D" w:rsidRPr="00B438EB" w:rsidRDefault="0042144D" w:rsidP="0042144D">
      <w:pPr>
        <w:autoSpaceDE w:val="0"/>
        <w:autoSpaceDN w:val="0"/>
        <w:adjustRightInd w:val="0"/>
        <w:spacing w:after="40" w:line="240" w:lineRule="auto"/>
        <w:rPr>
          <w:rFonts w:ascii="Arial" w:hAnsi="Arial" w:cs="Arial"/>
          <w:b/>
          <w:bCs/>
          <w:kern w:val="0"/>
          <w:sz w:val="22"/>
          <w:szCs w:val="22"/>
        </w:rPr>
      </w:pPr>
      <w:r w:rsidRPr="00B438EB">
        <w:rPr>
          <w:rFonts w:ascii="Arial" w:hAnsi="Arial" w:cs="Arial"/>
          <w:b/>
          <w:bCs/>
          <w:kern w:val="0"/>
          <w:sz w:val="22"/>
          <w:szCs w:val="22"/>
        </w:rPr>
        <w:lastRenderedPageBreak/>
        <w:t>Methods</w:t>
      </w:r>
    </w:p>
    <w:p w14:paraId="7B890D62" w14:textId="3C464959"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 xml:space="preserve">To answer the primary review question with appropriate academic depth, I have structured this scoping review around an established secondary research framework. Using a secondary methodology is highly effective for this topic because it allows for the systematic mapping of diverse literature, the identification of core structural patterns across the UK healthcare system, and the pinpointing of explicit gaps in contemporary research regarding youth mental health barriers. By </w:t>
      </w:r>
      <w:r w:rsidR="00C46923" w:rsidRPr="00B438EB">
        <w:rPr>
          <w:rFonts w:ascii="Arial" w:hAnsi="Arial" w:cs="Arial"/>
          <w:kern w:val="0"/>
          <w:sz w:val="22"/>
          <w:szCs w:val="22"/>
        </w:rPr>
        <w:t>analysing</w:t>
      </w:r>
      <w:r w:rsidRPr="00B438EB">
        <w:rPr>
          <w:rFonts w:ascii="Arial" w:hAnsi="Arial" w:cs="Arial"/>
          <w:kern w:val="0"/>
          <w:sz w:val="22"/>
          <w:szCs w:val="22"/>
        </w:rPr>
        <w:t xml:space="preserve"> data that has already been gathered and </w:t>
      </w:r>
      <w:proofErr w:type="gramStart"/>
      <w:r w:rsidRPr="00B438EB">
        <w:rPr>
          <w:rFonts w:ascii="Arial" w:hAnsi="Arial" w:cs="Arial"/>
          <w:kern w:val="0"/>
          <w:sz w:val="22"/>
          <w:szCs w:val="22"/>
        </w:rPr>
        <w:t>peer-reviewed</w:t>
      </w:r>
      <w:proofErr w:type="gramEnd"/>
      <w:r w:rsidRPr="00B438EB">
        <w:rPr>
          <w:rFonts w:ascii="Arial" w:hAnsi="Arial" w:cs="Arial"/>
          <w:kern w:val="0"/>
          <w:sz w:val="22"/>
          <w:szCs w:val="22"/>
        </w:rPr>
        <w:t>, I can cross-examine findings from different regional contexts across the UK to build a comprehensive overview of the current crisis. I gathered all secondary data using transparent, predefined database search protocols to maintain strict academic rigour, eliminate researcher bias, and ensure that the entire retrieval process can be easily replicated by subsequent researchers.</w:t>
      </w:r>
    </w:p>
    <w:p w14:paraId="3DE74D46" w14:textId="77777777" w:rsidR="00C46923" w:rsidRPr="00B438EB" w:rsidRDefault="00C46923" w:rsidP="0042144D">
      <w:pPr>
        <w:autoSpaceDE w:val="0"/>
        <w:autoSpaceDN w:val="0"/>
        <w:adjustRightInd w:val="0"/>
        <w:spacing w:after="40" w:line="240" w:lineRule="auto"/>
        <w:rPr>
          <w:rFonts w:ascii="Arial" w:hAnsi="Arial" w:cs="Arial"/>
          <w:b/>
          <w:bCs/>
          <w:kern w:val="0"/>
          <w:sz w:val="22"/>
          <w:szCs w:val="22"/>
        </w:rPr>
      </w:pPr>
    </w:p>
    <w:p w14:paraId="53D36462" w14:textId="33A0E112" w:rsidR="0042144D" w:rsidRPr="00B438EB" w:rsidRDefault="0042144D" w:rsidP="0042144D">
      <w:pPr>
        <w:autoSpaceDE w:val="0"/>
        <w:autoSpaceDN w:val="0"/>
        <w:adjustRightInd w:val="0"/>
        <w:spacing w:after="40" w:line="240" w:lineRule="auto"/>
        <w:rPr>
          <w:rFonts w:ascii="Arial" w:hAnsi="Arial" w:cs="Arial"/>
          <w:b/>
          <w:bCs/>
          <w:kern w:val="0"/>
          <w:sz w:val="22"/>
          <w:szCs w:val="22"/>
        </w:rPr>
      </w:pPr>
      <w:r w:rsidRPr="00B438EB">
        <w:rPr>
          <w:rFonts w:ascii="Arial" w:hAnsi="Arial" w:cs="Arial"/>
          <w:b/>
          <w:bCs/>
          <w:kern w:val="0"/>
          <w:sz w:val="22"/>
          <w:szCs w:val="22"/>
        </w:rPr>
        <w:t>Search Strategy and Data Sources</w:t>
      </w:r>
    </w:p>
    <w:p w14:paraId="6FBEE023" w14:textId="2A5820D5"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 xml:space="preserve">I utilized electronic databases focused on public health, social care, clinical medicine, and psychological research to locate relevant primary and secondary peer-reviewed studies. The specific databases searched were PubMed, CINAHL (Cumulative Index to Nursing and Allied Health Literature), and Google Scholar. I chose these three distinct platforms to ensure broad coverage of both clinical medical data and social care perspectives. PubMed provided access to high-quality </w:t>
      </w:r>
      <w:r w:rsidR="00C46923" w:rsidRPr="00B438EB">
        <w:rPr>
          <w:rFonts w:ascii="Arial" w:hAnsi="Arial" w:cs="Arial"/>
          <w:kern w:val="0"/>
          <w:sz w:val="22"/>
          <w:szCs w:val="22"/>
        </w:rPr>
        <w:t>behavioural</w:t>
      </w:r>
      <w:r w:rsidRPr="00B438EB">
        <w:rPr>
          <w:rFonts w:ascii="Arial" w:hAnsi="Arial" w:cs="Arial"/>
          <w:kern w:val="0"/>
          <w:sz w:val="22"/>
          <w:szCs w:val="22"/>
        </w:rPr>
        <w:t xml:space="preserve"> and psychiatric literature, CINAHL offered insights into nursing and frontline service delivery experiences, and Google Scholar served as a comprehensive safety net to capture wider multi-disciplinary public health studies.</w:t>
      </w:r>
    </w:p>
    <w:p w14:paraId="08A98512" w14:textId="77777777"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To execute these searches effectively, I created a focused search string using a combination of Boolean operators (AND/OR) and free-text keywords adapted to match the specific indexing systems of each database:</w:t>
      </w:r>
    </w:p>
    <w:p w14:paraId="5F98456A" w14:textId="77777777" w:rsidR="003B0024"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 xml:space="preserve"> </w:t>
      </w:r>
    </w:p>
    <w:p w14:paraId="6A62BBCF" w14:textId="4F2B043C"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b/>
          <w:bCs/>
          <w:kern w:val="0"/>
          <w:sz w:val="22"/>
          <w:szCs w:val="22"/>
        </w:rPr>
        <w:t>Population terms:</w:t>
      </w:r>
      <w:r w:rsidRPr="00B438EB">
        <w:rPr>
          <w:rFonts w:ascii="Arial" w:hAnsi="Arial" w:cs="Arial"/>
          <w:kern w:val="0"/>
          <w:sz w:val="22"/>
          <w:szCs w:val="22"/>
        </w:rPr>
        <w:t xml:space="preserve"> teenagers</w:t>
      </w:r>
      <w:r w:rsidR="00C46923" w:rsidRPr="00B438EB">
        <w:rPr>
          <w:rFonts w:ascii="Arial" w:hAnsi="Arial" w:cs="Arial"/>
          <w:kern w:val="0"/>
          <w:sz w:val="22"/>
          <w:szCs w:val="22"/>
        </w:rPr>
        <w:t xml:space="preserve"> </w:t>
      </w:r>
      <w:r w:rsidRPr="00B438EB">
        <w:rPr>
          <w:rFonts w:ascii="Arial" w:hAnsi="Arial" w:cs="Arial"/>
          <w:kern w:val="0"/>
          <w:sz w:val="22"/>
          <w:szCs w:val="22"/>
        </w:rPr>
        <w:t>OR</w:t>
      </w:r>
      <w:r w:rsidR="00C46923" w:rsidRPr="00B438EB">
        <w:rPr>
          <w:rFonts w:ascii="Arial" w:hAnsi="Arial" w:cs="Arial"/>
          <w:kern w:val="0"/>
          <w:sz w:val="22"/>
          <w:szCs w:val="22"/>
        </w:rPr>
        <w:t xml:space="preserve"> </w:t>
      </w:r>
      <w:r w:rsidRPr="00B438EB">
        <w:rPr>
          <w:rFonts w:ascii="Arial" w:hAnsi="Arial" w:cs="Arial"/>
          <w:kern w:val="0"/>
          <w:sz w:val="22"/>
          <w:szCs w:val="22"/>
        </w:rPr>
        <w:t>adolescents</w:t>
      </w:r>
      <w:r w:rsidR="00C46923" w:rsidRPr="00B438EB">
        <w:rPr>
          <w:rFonts w:ascii="Arial" w:hAnsi="Arial" w:cs="Arial"/>
          <w:kern w:val="0"/>
          <w:sz w:val="22"/>
          <w:szCs w:val="22"/>
        </w:rPr>
        <w:t xml:space="preserve"> </w:t>
      </w:r>
      <w:r w:rsidRPr="00B438EB">
        <w:rPr>
          <w:rFonts w:ascii="Arial" w:hAnsi="Arial" w:cs="Arial"/>
          <w:kern w:val="0"/>
          <w:sz w:val="22"/>
          <w:szCs w:val="22"/>
        </w:rPr>
        <w:t>OR young people</w:t>
      </w:r>
      <w:r w:rsidR="00F411C8" w:rsidRPr="00B438EB">
        <w:rPr>
          <w:rFonts w:ascii="Arial" w:hAnsi="Arial" w:cs="Arial"/>
          <w:kern w:val="0"/>
          <w:sz w:val="22"/>
          <w:szCs w:val="22"/>
        </w:rPr>
        <w:t xml:space="preserve"> </w:t>
      </w:r>
      <w:r w:rsidRPr="00B438EB">
        <w:rPr>
          <w:rFonts w:ascii="Arial" w:hAnsi="Arial" w:cs="Arial"/>
          <w:kern w:val="0"/>
          <w:sz w:val="22"/>
          <w:szCs w:val="22"/>
        </w:rPr>
        <w:t>OR youth</w:t>
      </w:r>
    </w:p>
    <w:p w14:paraId="314C36E1" w14:textId="77777777" w:rsidR="003B0024" w:rsidRPr="00B438EB" w:rsidRDefault="003B0024" w:rsidP="0042144D">
      <w:pPr>
        <w:autoSpaceDE w:val="0"/>
        <w:autoSpaceDN w:val="0"/>
        <w:adjustRightInd w:val="0"/>
        <w:spacing w:after="0" w:line="240" w:lineRule="auto"/>
        <w:rPr>
          <w:rFonts w:ascii="Arial" w:hAnsi="Arial" w:cs="Arial"/>
          <w:kern w:val="0"/>
          <w:sz w:val="22"/>
          <w:szCs w:val="22"/>
        </w:rPr>
      </w:pPr>
    </w:p>
    <w:p w14:paraId="68CBDDD9" w14:textId="6FABEA66"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 xml:space="preserve"> </w:t>
      </w:r>
      <w:r w:rsidRPr="00B438EB">
        <w:rPr>
          <w:rFonts w:ascii="Arial" w:hAnsi="Arial" w:cs="Arial"/>
          <w:b/>
          <w:bCs/>
          <w:kern w:val="0"/>
          <w:sz w:val="22"/>
          <w:szCs w:val="22"/>
        </w:rPr>
        <w:t>Context terms:</w:t>
      </w:r>
      <w:r w:rsidRPr="00B438EB">
        <w:rPr>
          <w:rFonts w:ascii="Arial" w:hAnsi="Arial" w:cs="Arial"/>
          <w:kern w:val="0"/>
          <w:sz w:val="22"/>
          <w:szCs w:val="22"/>
        </w:rPr>
        <w:t xml:space="preserve"> mental health services</w:t>
      </w:r>
      <w:r w:rsidR="00F411C8" w:rsidRPr="00B438EB">
        <w:rPr>
          <w:rFonts w:ascii="Arial" w:hAnsi="Arial" w:cs="Arial"/>
          <w:kern w:val="0"/>
          <w:sz w:val="22"/>
          <w:szCs w:val="22"/>
        </w:rPr>
        <w:t xml:space="preserve"> </w:t>
      </w:r>
      <w:r w:rsidRPr="00B438EB">
        <w:rPr>
          <w:rFonts w:ascii="Arial" w:hAnsi="Arial" w:cs="Arial"/>
          <w:kern w:val="0"/>
          <w:sz w:val="22"/>
          <w:szCs w:val="22"/>
        </w:rPr>
        <w:t>OR CAMHS</w:t>
      </w:r>
      <w:r w:rsidR="00F411C8" w:rsidRPr="00B438EB">
        <w:rPr>
          <w:rFonts w:ascii="Arial" w:hAnsi="Arial" w:cs="Arial"/>
          <w:kern w:val="0"/>
          <w:sz w:val="22"/>
          <w:szCs w:val="22"/>
        </w:rPr>
        <w:t xml:space="preserve"> </w:t>
      </w:r>
      <w:r w:rsidRPr="00B438EB">
        <w:rPr>
          <w:rFonts w:ascii="Arial" w:hAnsi="Arial" w:cs="Arial"/>
          <w:kern w:val="0"/>
          <w:sz w:val="22"/>
          <w:szCs w:val="22"/>
        </w:rPr>
        <w:t>OR psychological support</w:t>
      </w:r>
      <w:r w:rsidR="00F411C8" w:rsidRPr="00B438EB">
        <w:rPr>
          <w:rFonts w:ascii="Arial" w:hAnsi="Arial" w:cs="Arial"/>
          <w:kern w:val="0"/>
          <w:sz w:val="22"/>
          <w:szCs w:val="22"/>
        </w:rPr>
        <w:t xml:space="preserve"> </w:t>
      </w:r>
      <w:r w:rsidRPr="00B438EB">
        <w:rPr>
          <w:rFonts w:ascii="Arial" w:hAnsi="Arial" w:cs="Arial"/>
          <w:kern w:val="0"/>
          <w:sz w:val="22"/>
          <w:szCs w:val="22"/>
        </w:rPr>
        <w:t>OR child and adolescent mental health</w:t>
      </w:r>
    </w:p>
    <w:p w14:paraId="23BBBB4E" w14:textId="77777777" w:rsidR="003B0024"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 xml:space="preserve"> </w:t>
      </w:r>
    </w:p>
    <w:p w14:paraId="700AAC04" w14:textId="72B2F9A0"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b/>
          <w:bCs/>
          <w:kern w:val="0"/>
          <w:sz w:val="22"/>
          <w:szCs w:val="22"/>
        </w:rPr>
        <w:t>Barriers terms:</w:t>
      </w:r>
      <w:r w:rsidRPr="00B438EB">
        <w:rPr>
          <w:rFonts w:ascii="Arial" w:hAnsi="Arial" w:cs="Arial"/>
          <w:kern w:val="0"/>
          <w:sz w:val="22"/>
          <w:szCs w:val="22"/>
        </w:rPr>
        <w:t xml:space="preserve"> obstacles</w:t>
      </w:r>
      <w:r w:rsidR="00F411C8" w:rsidRPr="00B438EB">
        <w:rPr>
          <w:rFonts w:ascii="Arial" w:hAnsi="Arial" w:cs="Arial"/>
          <w:kern w:val="0"/>
          <w:sz w:val="22"/>
          <w:szCs w:val="22"/>
        </w:rPr>
        <w:t xml:space="preserve"> </w:t>
      </w:r>
      <w:r w:rsidRPr="00B438EB">
        <w:rPr>
          <w:rFonts w:ascii="Arial" w:hAnsi="Arial" w:cs="Arial"/>
          <w:kern w:val="0"/>
          <w:sz w:val="22"/>
          <w:szCs w:val="22"/>
        </w:rPr>
        <w:t>OR barriers</w:t>
      </w:r>
      <w:r w:rsidR="00F411C8" w:rsidRPr="00B438EB">
        <w:rPr>
          <w:rFonts w:ascii="Arial" w:hAnsi="Arial" w:cs="Arial"/>
          <w:kern w:val="0"/>
          <w:sz w:val="22"/>
          <w:szCs w:val="22"/>
        </w:rPr>
        <w:t xml:space="preserve"> </w:t>
      </w:r>
      <w:r w:rsidRPr="00B438EB">
        <w:rPr>
          <w:rFonts w:ascii="Arial" w:hAnsi="Arial" w:cs="Arial"/>
          <w:kern w:val="0"/>
          <w:sz w:val="22"/>
          <w:szCs w:val="22"/>
        </w:rPr>
        <w:t>OR waiting times</w:t>
      </w:r>
      <w:r w:rsidR="00F411C8" w:rsidRPr="00B438EB">
        <w:rPr>
          <w:rFonts w:ascii="Arial" w:hAnsi="Arial" w:cs="Arial"/>
          <w:kern w:val="0"/>
          <w:sz w:val="22"/>
          <w:szCs w:val="22"/>
        </w:rPr>
        <w:t xml:space="preserve"> </w:t>
      </w:r>
      <w:r w:rsidRPr="00B438EB">
        <w:rPr>
          <w:rFonts w:ascii="Arial" w:hAnsi="Arial" w:cs="Arial"/>
          <w:kern w:val="0"/>
          <w:sz w:val="22"/>
          <w:szCs w:val="22"/>
        </w:rPr>
        <w:t>OR stigma</w:t>
      </w:r>
      <w:r w:rsidR="00F411C8" w:rsidRPr="00B438EB">
        <w:rPr>
          <w:rFonts w:ascii="Arial" w:hAnsi="Arial" w:cs="Arial"/>
          <w:kern w:val="0"/>
          <w:sz w:val="22"/>
          <w:szCs w:val="22"/>
        </w:rPr>
        <w:t xml:space="preserve"> </w:t>
      </w:r>
      <w:r w:rsidRPr="00B438EB">
        <w:rPr>
          <w:rFonts w:ascii="Arial" w:hAnsi="Arial" w:cs="Arial"/>
          <w:kern w:val="0"/>
          <w:sz w:val="22"/>
          <w:szCs w:val="22"/>
        </w:rPr>
        <w:t>OR access</w:t>
      </w:r>
      <w:r w:rsidR="00F411C8" w:rsidRPr="00B438EB">
        <w:rPr>
          <w:rFonts w:ascii="Arial" w:hAnsi="Arial" w:cs="Arial"/>
          <w:kern w:val="0"/>
          <w:sz w:val="22"/>
          <w:szCs w:val="22"/>
        </w:rPr>
        <w:t xml:space="preserve"> </w:t>
      </w:r>
      <w:r w:rsidRPr="00B438EB">
        <w:rPr>
          <w:rFonts w:ascii="Arial" w:hAnsi="Arial" w:cs="Arial"/>
          <w:kern w:val="0"/>
          <w:sz w:val="22"/>
          <w:szCs w:val="22"/>
        </w:rPr>
        <w:t>OR referral thresholds</w:t>
      </w:r>
    </w:p>
    <w:p w14:paraId="438CC96B" w14:textId="77777777" w:rsidR="003B0024"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 xml:space="preserve"> </w:t>
      </w:r>
    </w:p>
    <w:p w14:paraId="1D442C95" w14:textId="4D69E70E"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b/>
          <w:bCs/>
          <w:kern w:val="0"/>
          <w:sz w:val="22"/>
          <w:szCs w:val="22"/>
        </w:rPr>
        <w:t>Geographic terms:</w:t>
      </w:r>
      <w:r w:rsidRPr="00B438EB">
        <w:rPr>
          <w:rFonts w:ascii="Arial" w:hAnsi="Arial" w:cs="Arial"/>
          <w:kern w:val="0"/>
          <w:sz w:val="22"/>
          <w:szCs w:val="22"/>
        </w:rPr>
        <w:t xml:space="preserve"> United Kingdom</w:t>
      </w:r>
      <w:r w:rsidR="003B0024" w:rsidRPr="00B438EB">
        <w:rPr>
          <w:rFonts w:ascii="Arial" w:hAnsi="Arial" w:cs="Arial"/>
          <w:kern w:val="0"/>
          <w:sz w:val="22"/>
          <w:szCs w:val="22"/>
        </w:rPr>
        <w:t xml:space="preserve"> </w:t>
      </w:r>
      <w:r w:rsidRPr="00B438EB">
        <w:rPr>
          <w:rFonts w:ascii="Arial" w:hAnsi="Arial" w:cs="Arial"/>
          <w:kern w:val="0"/>
          <w:sz w:val="22"/>
          <w:szCs w:val="22"/>
        </w:rPr>
        <w:t>OR UK</w:t>
      </w:r>
      <w:r w:rsidR="009A5972" w:rsidRPr="00B438EB">
        <w:rPr>
          <w:rFonts w:ascii="Arial" w:hAnsi="Arial" w:cs="Arial"/>
          <w:kern w:val="0"/>
          <w:sz w:val="22"/>
          <w:szCs w:val="22"/>
        </w:rPr>
        <w:t xml:space="preserve"> </w:t>
      </w:r>
      <w:r w:rsidRPr="00B438EB">
        <w:rPr>
          <w:rFonts w:ascii="Arial" w:hAnsi="Arial" w:cs="Arial"/>
          <w:kern w:val="0"/>
          <w:sz w:val="22"/>
          <w:szCs w:val="22"/>
        </w:rPr>
        <w:t>OR England</w:t>
      </w:r>
      <w:r w:rsidR="009A5972" w:rsidRPr="00B438EB">
        <w:rPr>
          <w:rFonts w:ascii="Arial" w:hAnsi="Arial" w:cs="Arial"/>
          <w:kern w:val="0"/>
          <w:sz w:val="22"/>
          <w:szCs w:val="22"/>
        </w:rPr>
        <w:t xml:space="preserve"> </w:t>
      </w:r>
      <w:r w:rsidRPr="00B438EB">
        <w:rPr>
          <w:rFonts w:ascii="Arial" w:hAnsi="Arial" w:cs="Arial"/>
          <w:kern w:val="0"/>
          <w:sz w:val="22"/>
          <w:szCs w:val="22"/>
        </w:rPr>
        <w:t>OR Scotland</w:t>
      </w:r>
      <w:r w:rsidR="009A5972" w:rsidRPr="00B438EB">
        <w:rPr>
          <w:rFonts w:ascii="Arial" w:hAnsi="Arial" w:cs="Arial"/>
          <w:kern w:val="0"/>
          <w:sz w:val="22"/>
          <w:szCs w:val="22"/>
        </w:rPr>
        <w:t xml:space="preserve"> </w:t>
      </w:r>
      <w:r w:rsidRPr="00B438EB">
        <w:rPr>
          <w:rFonts w:ascii="Arial" w:hAnsi="Arial" w:cs="Arial"/>
          <w:kern w:val="0"/>
          <w:sz w:val="22"/>
          <w:szCs w:val="22"/>
        </w:rPr>
        <w:t>OR Wales OR Northern Ireland</w:t>
      </w:r>
      <w:r w:rsidR="003A4F1F" w:rsidRPr="00B438EB">
        <w:rPr>
          <w:rFonts w:ascii="Arial" w:hAnsi="Arial" w:cs="Arial"/>
          <w:kern w:val="0"/>
          <w:sz w:val="22"/>
          <w:szCs w:val="22"/>
        </w:rPr>
        <w:t xml:space="preserve"> </w:t>
      </w:r>
      <w:r w:rsidRPr="00B438EB">
        <w:rPr>
          <w:rFonts w:ascii="Arial" w:hAnsi="Arial" w:cs="Arial"/>
          <w:kern w:val="0"/>
          <w:sz w:val="22"/>
          <w:szCs w:val="22"/>
        </w:rPr>
        <w:t>I limited the database searches strictly to literature published between the years 2021 and 2026. I intentionally selected this five-year window to ensure the scoping review captures the contemporary systemic challenges that young people face right now. This specific timeframe accounts for the severe operational shifts caused by post-pandemic resource reallocations, the sudden inflation of community waitlists, and the most current structural state of the National Health Service.</w:t>
      </w:r>
    </w:p>
    <w:p w14:paraId="63B83D40" w14:textId="77777777" w:rsidR="003A4F1F" w:rsidRPr="00B438EB" w:rsidRDefault="003A4F1F" w:rsidP="0042144D">
      <w:pPr>
        <w:autoSpaceDE w:val="0"/>
        <w:autoSpaceDN w:val="0"/>
        <w:adjustRightInd w:val="0"/>
        <w:spacing w:after="40" w:line="240" w:lineRule="auto"/>
        <w:rPr>
          <w:rFonts w:ascii="Arial" w:hAnsi="Arial" w:cs="Arial"/>
          <w:b/>
          <w:bCs/>
          <w:kern w:val="0"/>
          <w:sz w:val="22"/>
          <w:szCs w:val="22"/>
        </w:rPr>
      </w:pPr>
    </w:p>
    <w:p w14:paraId="5B6F0DB8" w14:textId="0C4C3C76" w:rsidR="0042144D" w:rsidRPr="00B438EB" w:rsidRDefault="0042144D" w:rsidP="0042144D">
      <w:pPr>
        <w:autoSpaceDE w:val="0"/>
        <w:autoSpaceDN w:val="0"/>
        <w:adjustRightInd w:val="0"/>
        <w:spacing w:after="40" w:line="240" w:lineRule="auto"/>
        <w:rPr>
          <w:rFonts w:ascii="Arial" w:hAnsi="Arial" w:cs="Arial"/>
          <w:b/>
          <w:bCs/>
          <w:kern w:val="0"/>
          <w:sz w:val="22"/>
          <w:szCs w:val="22"/>
        </w:rPr>
      </w:pPr>
      <w:r w:rsidRPr="00B438EB">
        <w:rPr>
          <w:rFonts w:ascii="Arial" w:hAnsi="Arial" w:cs="Arial"/>
          <w:b/>
          <w:bCs/>
          <w:kern w:val="0"/>
          <w:sz w:val="22"/>
          <w:szCs w:val="22"/>
        </w:rPr>
        <w:t>Inclusion and Exclusion Criteria</w:t>
      </w:r>
    </w:p>
    <w:p w14:paraId="4E6E3185" w14:textId="77777777"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I applied clear, rigid eligibility rules to screen all retrieved papers. This ensured that the final dataset remained tightly focused on current UK clinical, educational, and social care environments, rather than drawing conclusions from incompatible international healthcare setups.</w:t>
      </w:r>
    </w:p>
    <w:p w14:paraId="76DCEE8B" w14:textId="77777777" w:rsidR="003A30AB" w:rsidRPr="00B438EB" w:rsidRDefault="003A30AB" w:rsidP="0042144D">
      <w:pPr>
        <w:autoSpaceDE w:val="0"/>
        <w:autoSpaceDN w:val="0"/>
        <w:adjustRightInd w:val="0"/>
        <w:spacing w:after="40" w:line="240" w:lineRule="auto"/>
        <w:rPr>
          <w:rFonts w:ascii="Arial" w:hAnsi="Arial" w:cs="Arial"/>
          <w:b/>
          <w:bCs/>
          <w:kern w:val="0"/>
          <w:sz w:val="22"/>
          <w:szCs w:val="22"/>
        </w:rPr>
      </w:pPr>
    </w:p>
    <w:p w14:paraId="746EA7CF" w14:textId="72D1D4C8" w:rsidR="0042144D" w:rsidRPr="00B438EB" w:rsidRDefault="0042144D" w:rsidP="0042144D">
      <w:pPr>
        <w:autoSpaceDE w:val="0"/>
        <w:autoSpaceDN w:val="0"/>
        <w:adjustRightInd w:val="0"/>
        <w:spacing w:after="40" w:line="240" w:lineRule="auto"/>
        <w:rPr>
          <w:rFonts w:ascii="Arial" w:hAnsi="Arial" w:cs="Arial"/>
          <w:b/>
          <w:bCs/>
          <w:kern w:val="0"/>
          <w:sz w:val="22"/>
          <w:szCs w:val="22"/>
        </w:rPr>
      </w:pPr>
      <w:r w:rsidRPr="00B438EB">
        <w:rPr>
          <w:rFonts w:ascii="Arial" w:hAnsi="Arial" w:cs="Arial"/>
          <w:b/>
          <w:bCs/>
          <w:kern w:val="0"/>
          <w:sz w:val="22"/>
          <w:szCs w:val="22"/>
        </w:rPr>
        <w:t>Inclusion Criteria</w:t>
      </w:r>
    </w:p>
    <w:p w14:paraId="5428B100" w14:textId="77777777"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Studies were successfully included in this review if they met the following five conditions:</w:t>
      </w:r>
    </w:p>
    <w:p w14:paraId="381B3022" w14:textId="77777777" w:rsidR="0042144D" w:rsidRPr="00B438EB" w:rsidRDefault="0042144D" w:rsidP="0042144D">
      <w:pPr>
        <w:autoSpaceDE w:val="0"/>
        <w:autoSpaceDN w:val="0"/>
        <w:adjustRightInd w:val="0"/>
        <w:spacing w:after="0" w:line="240" w:lineRule="auto"/>
        <w:rPr>
          <w:rFonts w:ascii="Arial" w:hAnsi="Arial" w:cs="Arial"/>
          <w:kern w:val="0"/>
          <w:sz w:val="22"/>
          <w:szCs w:val="22"/>
        </w:rPr>
      </w:pPr>
      <w:r w:rsidRPr="00B438EB">
        <w:rPr>
          <w:rFonts w:ascii="Arial" w:hAnsi="Arial" w:cs="Arial"/>
          <w:kern w:val="0"/>
          <w:sz w:val="22"/>
          <w:szCs w:val="22"/>
        </w:rPr>
        <w:t>1. They were peer-reviewed journal articles containing primary empirical data (either quantitative, qualitative, or mixed-methods) or secondary systematic reviews.</w:t>
      </w:r>
    </w:p>
    <w:p w14:paraId="061247BF" w14:textId="77777777" w:rsidR="0042144D" w:rsidRPr="00381BA2" w:rsidRDefault="0042144D" w:rsidP="0042144D">
      <w:pPr>
        <w:autoSpaceDE w:val="0"/>
        <w:autoSpaceDN w:val="0"/>
        <w:adjustRightInd w:val="0"/>
        <w:spacing w:after="0" w:line="240" w:lineRule="auto"/>
        <w:rPr>
          <w:rFonts w:ascii="Arial" w:hAnsi="Arial" w:cs="Arial"/>
          <w:kern w:val="0"/>
          <w:sz w:val="22"/>
          <w:szCs w:val="22"/>
        </w:rPr>
      </w:pPr>
      <w:r w:rsidRPr="00381BA2">
        <w:rPr>
          <w:rFonts w:ascii="Arial" w:hAnsi="Arial" w:cs="Arial"/>
          <w:kern w:val="0"/>
          <w:sz w:val="22"/>
          <w:szCs w:val="22"/>
        </w:rPr>
        <w:t>2. The participant sample focused strictly on young populations aged between 8 and 25 years, capturing the full transition from middle childhood through to early adulthood.</w:t>
      </w:r>
    </w:p>
    <w:p w14:paraId="06571121"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lastRenderedPageBreak/>
        <w:t>3. The core research objectives explored explicit barriers, obstacles, or friction points that prevent or delay access to formal mental health care pathways.</w:t>
      </w:r>
    </w:p>
    <w:p w14:paraId="5538CEF1"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4. The research was conducted entirely within the United Kingdom healthcare context, ensuring relevance to NHS and local authority frameworks.</w:t>
      </w:r>
    </w:p>
    <w:p w14:paraId="7F67D6FA"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5. The paper was published in English between January 2021 and the current year of 2026.</w:t>
      </w:r>
    </w:p>
    <w:p w14:paraId="3EB315D2" w14:textId="77777777" w:rsidR="00295E47" w:rsidRPr="00477F2E" w:rsidRDefault="00295E47" w:rsidP="0042144D">
      <w:pPr>
        <w:autoSpaceDE w:val="0"/>
        <w:autoSpaceDN w:val="0"/>
        <w:adjustRightInd w:val="0"/>
        <w:spacing w:after="40" w:line="240" w:lineRule="auto"/>
        <w:rPr>
          <w:rFonts w:ascii="Arial" w:hAnsi="Arial" w:cs="Arial"/>
          <w:b/>
          <w:bCs/>
          <w:kern w:val="0"/>
          <w:sz w:val="22"/>
          <w:szCs w:val="22"/>
        </w:rPr>
      </w:pPr>
    </w:p>
    <w:p w14:paraId="4DAF3672" w14:textId="15216F2F"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Exclusion Criteria</w:t>
      </w:r>
    </w:p>
    <w:p w14:paraId="55C8968B"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Studies were completely excluded from the review if they met any of the following conditions:</w:t>
      </w:r>
    </w:p>
    <w:p w14:paraId="0B443841"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1. They consisted of grey literature, non-peer-reviewed policy briefs, general organizational guidance reports, opinion pieces, or editorial commentaries.</w:t>
      </w:r>
    </w:p>
    <w:p w14:paraId="532EBC5A"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2. The participant sample focused primarily on adult populations over the age of 25 or relied purely on parental viewpoints without direct input from the young people themselves.</w:t>
      </w:r>
    </w:p>
    <w:p w14:paraId="42FC9F03"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3. The text explored general healthcare access, physical disabilities, or emergency medical treatments without a specific, primary focus on psychological or psychiatric support.</w:t>
      </w:r>
    </w:p>
    <w:p w14:paraId="706D1984"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4. The empirical research was conducted outside of the United Kingdom, rendering the operational conclusions irrelevant due to differing insurance or state-funded healthcare models.</w:t>
      </w:r>
    </w:p>
    <w:p w14:paraId="2478DE95"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5. The paper was published prior to 2021, meaning it lacked insights into post-pandemic structural realities.</w:t>
      </w:r>
    </w:p>
    <w:p w14:paraId="2B43015A" w14:textId="77777777" w:rsidR="00295E47" w:rsidRPr="00477F2E" w:rsidRDefault="00295E47" w:rsidP="0042144D">
      <w:pPr>
        <w:autoSpaceDE w:val="0"/>
        <w:autoSpaceDN w:val="0"/>
        <w:adjustRightInd w:val="0"/>
        <w:spacing w:after="40" w:line="240" w:lineRule="auto"/>
        <w:rPr>
          <w:rFonts w:ascii="Arial" w:hAnsi="Arial" w:cs="Arial"/>
          <w:b/>
          <w:bCs/>
          <w:kern w:val="0"/>
          <w:sz w:val="22"/>
          <w:szCs w:val="22"/>
        </w:rPr>
      </w:pPr>
    </w:p>
    <w:p w14:paraId="4BFFB6E5" w14:textId="7758F885"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Data Screening and Extraction</w:t>
      </w:r>
    </w:p>
    <w:p w14:paraId="2C1854F2"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My selection process involved a rigorous, multi-stage screening strategy designed to minimize the risk of missing relevant data while maintaining focus. In the initial stage, I exported all matching citations from PubMed, CINAHL, and Google Scholar into a reference management tool, where I systematically identified and removed duplicate citations resulting from database overlap.</w:t>
      </w:r>
    </w:p>
    <w:p w14:paraId="3C7F9504"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In the second stage, I conducted a title and abstract screening against the predefined inclusion and exclusion criteria. This step allowed me to rapidly eliminate clearly irrelevant papers, such as those focusing on international medical systems or adult demographics.</w:t>
      </w:r>
    </w:p>
    <w:p w14:paraId="058490C6"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In the final screening stage, I retrieved the full-text documents of all remaining candidate articles and read them in their entirety to verify their eligibility. This multi-tiered filtering process narrowed the initial search results down to the final five core studies utilized in this report.</w:t>
      </w:r>
    </w:p>
    <w:p w14:paraId="49B2B8FF"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For the final included studies, I completed data extraction systematically using a standardized charting form to ensure consistency. The specific details extracted from each paper included:</w:t>
      </w:r>
    </w:p>
    <w:p w14:paraId="686FE9E6"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The author(s) and exact year of publication to establish a timeline of the evidence.</w:t>
      </w:r>
    </w:p>
    <w:p w14:paraId="286CFF89"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The specific study design and methodology used by the original researchers.</w:t>
      </w:r>
    </w:p>
    <w:p w14:paraId="78940295"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The participant characteristics, including sample size, age range, and socioeconomic backgrounds.</w:t>
      </w:r>
    </w:p>
    <w:p w14:paraId="613409D5"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The explicit types of access barriers identified (structural, operational, socio-cultural, or relational).</w:t>
      </w:r>
    </w:p>
    <w:p w14:paraId="246A2C63"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The key outcomes and recommendations relevant to UK health policy and clinical practice.</w:t>
      </w:r>
    </w:p>
    <w:p w14:paraId="068B1197" w14:textId="77777777" w:rsidR="00295E47" w:rsidRPr="00477F2E" w:rsidRDefault="00295E47" w:rsidP="0042144D">
      <w:pPr>
        <w:autoSpaceDE w:val="0"/>
        <w:autoSpaceDN w:val="0"/>
        <w:adjustRightInd w:val="0"/>
        <w:spacing w:after="40" w:line="240" w:lineRule="auto"/>
        <w:rPr>
          <w:rFonts w:ascii="Arial" w:hAnsi="Arial" w:cs="Arial"/>
          <w:b/>
          <w:bCs/>
          <w:kern w:val="0"/>
          <w:sz w:val="22"/>
          <w:szCs w:val="22"/>
        </w:rPr>
      </w:pPr>
    </w:p>
    <w:p w14:paraId="18359D0C" w14:textId="44979710"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Ethical Considerations</w:t>
      </w:r>
    </w:p>
    <w:p w14:paraId="5BD688FC"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Because I relied entirely on secondary analysis of previously published, peer-reviewed literature for this scoping review, I did not need to seek formal approval from a university research ethics committee. No primary data collection, recruitment, or direct interaction with human participants took place during this project.</w:t>
      </w:r>
    </w:p>
    <w:p w14:paraId="50520B28"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However, I strictly maintained academic integrity throughout the entire research process. I took great care to accurately represent the methodologies, statistical results, and qualitative conclusions of the original researchers without taking statements out of context. Furthermore, I utilized clear, comprehensive Harvard referencing throughout the text to </w:t>
      </w:r>
      <w:r w:rsidRPr="00477F2E">
        <w:rPr>
          <w:rFonts w:ascii="Arial" w:hAnsi="Arial" w:cs="Arial"/>
          <w:kern w:val="0"/>
          <w:sz w:val="22"/>
          <w:szCs w:val="22"/>
        </w:rPr>
        <w:lastRenderedPageBreak/>
        <w:t>acknowledge the original authors and ensure full transparency, completely avoiding any form of academic misconduct.</w:t>
      </w:r>
    </w:p>
    <w:p w14:paraId="7682CEAD" w14:textId="77777777"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Results</w:t>
      </w:r>
    </w:p>
    <w:p w14:paraId="133FB830"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My structured database search and subsequent screening against the strict eligibility criteria identified five core peer-reviewed studies based entirely within the United Kingdom. These papers provide a detailed analysis of the specific structural, operational, and socio-cultural barriers young people experience when attempting to access public and community-based mental health services.</w:t>
      </w:r>
    </w:p>
    <w:p w14:paraId="68AA2A68" w14:textId="77777777" w:rsidR="00F85FE1" w:rsidRPr="00477F2E" w:rsidRDefault="00F85FE1" w:rsidP="0042144D">
      <w:pPr>
        <w:autoSpaceDE w:val="0"/>
        <w:autoSpaceDN w:val="0"/>
        <w:adjustRightInd w:val="0"/>
        <w:spacing w:after="40" w:line="240" w:lineRule="auto"/>
        <w:rPr>
          <w:rFonts w:ascii="Arial" w:hAnsi="Arial" w:cs="Arial"/>
          <w:b/>
          <w:bCs/>
          <w:kern w:val="0"/>
          <w:sz w:val="22"/>
          <w:szCs w:val="22"/>
        </w:rPr>
      </w:pPr>
    </w:p>
    <w:p w14:paraId="0E89CE4D" w14:textId="15047FDE"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Summary of Selected Literature</w:t>
      </w:r>
    </w:p>
    <w:p w14:paraId="57BC10AD" w14:textId="77777777" w:rsidR="0042144D" w:rsidRPr="00477F2E" w:rsidRDefault="0042144D" w:rsidP="0042144D">
      <w:pPr>
        <w:autoSpaceDE w:val="0"/>
        <w:autoSpaceDN w:val="0"/>
        <w:adjustRightInd w:val="0"/>
        <w:spacing w:after="40" w:line="240" w:lineRule="auto"/>
        <w:rPr>
          <w:rFonts w:ascii="Arial" w:hAnsi="Arial" w:cs="Arial"/>
          <w:b/>
          <w:bCs/>
          <w:kern w:val="0"/>
          <w:sz w:val="22"/>
          <w:szCs w:val="22"/>
        </w:rPr>
      </w:pPr>
      <w:proofErr w:type="spellStart"/>
      <w:r w:rsidRPr="00477F2E">
        <w:rPr>
          <w:rFonts w:ascii="Arial" w:hAnsi="Arial" w:cs="Arial"/>
          <w:b/>
          <w:bCs/>
          <w:kern w:val="0"/>
          <w:sz w:val="22"/>
          <w:szCs w:val="22"/>
        </w:rPr>
        <w:t>Sayal</w:t>
      </w:r>
      <w:proofErr w:type="spellEnd"/>
      <w:r w:rsidRPr="00477F2E">
        <w:rPr>
          <w:rFonts w:ascii="Arial" w:hAnsi="Arial" w:cs="Arial"/>
          <w:b/>
          <w:bCs/>
          <w:kern w:val="0"/>
          <w:sz w:val="22"/>
          <w:szCs w:val="22"/>
        </w:rPr>
        <w:t xml:space="preserve"> et al. (2026)</w:t>
      </w:r>
    </w:p>
    <w:p w14:paraId="118C53BF" w14:textId="77777777" w:rsidR="00A24258" w:rsidRPr="00477F2E" w:rsidRDefault="00A24258" w:rsidP="0042144D">
      <w:pPr>
        <w:autoSpaceDE w:val="0"/>
        <w:autoSpaceDN w:val="0"/>
        <w:adjustRightInd w:val="0"/>
        <w:spacing w:after="0" w:line="240" w:lineRule="auto"/>
        <w:rPr>
          <w:rFonts w:ascii="Arial" w:hAnsi="Arial" w:cs="Arial"/>
          <w:kern w:val="0"/>
          <w:sz w:val="22"/>
          <w:szCs w:val="22"/>
        </w:rPr>
      </w:pPr>
    </w:p>
    <w:p w14:paraId="64D8993B" w14:textId="66637BAC" w:rsidR="0042144D" w:rsidRPr="00477F2E" w:rsidRDefault="0042144D" w:rsidP="0042144D">
      <w:pPr>
        <w:autoSpaceDE w:val="0"/>
        <w:autoSpaceDN w:val="0"/>
        <w:adjustRightInd w:val="0"/>
        <w:spacing w:after="0" w:line="240" w:lineRule="auto"/>
        <w:rPr>
          <w:rFonts w:ascii="Arial" w:hAnsi="Arial" w:cs="Arial"/>
          <w:kern w:val="0"/>
          <w:sz w:val="22"/>
          <w:szCs w:val="22"/>
        </w:rPr>
      </w:pPr>
      <w:proofErr w:type="spellStart"/>
      <w:r w:rsidRPr="00477F2E">
        <w:rPr>
          <w:rFonts w:ascii="Arial" w:hAnsi="Arial" w:cs="Arial"/>
          <w:kern w:val="0"/>
          <w:sz w:val="22"/>
          <w:szCs w:val="22"/>
        </w:rPr>
        <w:t>Sayal</w:t>
      </w:r>
      <w:proofErr w:type="spellEnd"/>
      <w:r w:rsidRPr="00477F2E">
        <w:rPr>
          <w:rFonts w:ascii="Arial" w:hAnsi="Arial" w:cs="Arial"/>
          <w:kern w:val="0"/>
          <w:sz w:val="22"/>
          <w:szCs w:val="22"/>
        </w:rPr>
        <w:t xml:space="preserve"> et al. (2026) conducted a large-scale quantitative cohort study (N = 1,420) focusing specifically on adolescents aged 11 to 18 residing within socioeconomically deprived urban areas across the United Kingdom. The primary objective of their research was to evaluate how demographic factors and geographical location influence entry into specialist care pathways. The researchers identified severe systemic and socioeconomic barriers, demonstrating that young people from low-income backgrounds face prolonged waiting lists and are significantly less likely to achieve a successful transition from primary triage into specialist child and adolescent services. The data highlighted a profound geographic inequity, often referred to as a postcode lottery, where the availability of local mental health provisions is heavily restricted by regional funding allocations. Furthermore, the study emphasized that basic structural hurdles, such as a lack of reliable local public transport and the financial strain of traveling to centralized clinics, act as immediate physical barriers that prevent vulnerable families from attending initial assessment appointments. The researchers concluded that without specific regional funding corrections, public care pathways will naturally continue to exclude the poorest sections of the adolescent population.</w:t>
      </w:r>
    </w:p>
    <w:p w14:paraId="0012D22E" w14:textId="77777777" w:rsidR="00F85FE1" w:rsidRPr="00477F2E" w:rsidRDefault="00F85FE1" w:rsidP="0042144D">
      <w:pPr>
        <w:autoSpaceDE w:val="0"/>
        <w:autoSpaceDN w:val="0"/>
        <w:adjustRightInd w:val="0"/>
        <w:spacing w:after="40" w:line="240" w:lineRule="auto"/>
        <w:rPr>
          <w:rFonts w:ascii="Arial" w:hAnsi="Arial" w:cs="Arial"/>
          <w:b/>
          <w:bCs/>
          <w:kern w:val="0"/>
          <w:sz w:val="22"/>
          <w:szCs w:val="22"/>
        </w:rPr>
      </w:pPr>
    </w:p>
    <w:p w14:paraId="647B6B36" w14:textId="6EC1136B"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Watson et al. (2026)</w:t>
      </w:r>
    </w:p>
    <w:p w14:paraId="6DCCDD57"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Using a qualitative framework analysis, Watson et al. (2026) investigated the lived experiences of 45 young people aged 13 to 21 who attempted to utilize community-based mental health hubs. This study focused heavily on the socio-cultural and relational friction that occurs during the initial help-seeking phase. The findings revealed that deep-seated social stigma and a pervasive fear of invalidation by medical professionals serve as profound psychological deterrents to initial service contact. Participants consistently reported that rigid, cold administrative referral procedures made them feel processed rather than supported. The qualitative data showed that many young people anticipate rejection from the system, viewing the formal intake processes as an institutional barrier designed to keep them out rather than invite them in. This fear of administrative rejection frequently caused individuals to delay seeking help until their psychological distress reached a state of acute crisis. The study emphasizes the critical need to redesign intake protocols to be more youth-friendly, moving away from intimidating clinical language and toward open-source, conversational triage models.</w:t>
      </w:r>
    </w:p>
    <w:p w14:paraId="46A2CDE1" w14:textId="77777777" w:rsidR="00F85FE1" w:rsidRPr="00477F2E" w:rsidRDefault="00F85FE1" w:rsidP="0042144D">
      <w:pPr>
        <w:autoSpaceDE w:val="0"/>
        <w:autoSpaceDN w:val="0"/>
        <w:adjustRightInd w:val="0"/>
        <w:spacing w:after="40" w:line="240" w:lineRule="auto"/>
        <w:rPr>
          <w:rFonts w:ascii="Arial" w:hAnsi="Arial" w:cs="Arial"/>
          <w:b/>
          <w:bCs/>
          <w:kern w:val="0"/>
          <w:sz w:val="22"/>
          <w:szCs w:val="22"/>
        </w:rPr>
      </w:pPr>
    </w:p>
    <w:p w14:paraId="675453EE" w14:textId="6FFFE28A" w:rsidR="0042144D" w:rsidRPr="00477F2E" w:rsidRDefault="0042144D" w:rsidP="0042144D">
      <w:pPr>
        <w:autoSpaceDE w:val="0"/>
        <w:autoSpaceDN w:val="0"/>
        <w:adjustRightInd w:val="0"/>
        <w:spacing w:after="40" w:line="240" w:lineRule="auto"/>
        <w:rPr>
          <w:rFonts w:ascii="Arial" w:hAnsi="Arial" w:cs="Arial"/>
          <w:b/>
          <w:bCs/>
          <w:kern w:val="0"/>
          <w:sz w:val="22"/>
          <w:szCs w:val="22"/>
        </w:rPr>
      </w:pPr>
      <w:proofErr w:type="spellStart"/>
      <w:r w:rsidRPr="00477F2E">
        <w:rPr>
          <w:rFonts w:ascii="Arial" w:hAnsi="Arial" w:cs="Arial"/>
          <w:b/>
          <w:bCs/>
          <w:kern w:val="0"/>
          <w:sz w:val="22"/>
          <w:szCs w:val="22"/>
        </w:rPr>
        <w:t>Spyridonis</w:t>
      </w:r>
      <w:proofErr w:type="spellEnd"/>
      <w:r w:rsidRPr="00477F2E">
        <w:rPr>
          <w:rFonts w:ascii="Arial" w:hAnsi="Arial" w:cs="Arial"/>
          <w:b/>
          <w:bCs/>
          <w:kern w:val="0"/>
          <w:sz w:val="22"/>
          <w:szCs w:val="22"/>
        </w:rPr>
        <w:t xml:space="preserve"> et al. (2022)</w:t>
      </w:r>
    </w:p>
    <w:p w14:paraId="2924BF15"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proofErr w:type="spellStart"/>
      <w:r w:rsidRPr="00477F2E">
        <w:rPr>
          <w:rFonts w:ascii="Arial" w:hAnsi="Arial" w:cs="Arial"/>
          <w:kern w:val="0"/>
          <w:sz w:val="22"/>
          <w:szCs w:val="22"/>
        </w:rPr>
        <w:t>Spyridonis</w:t>
      </w:r>
      <w:proofErr w:type="spellEnd"/>
      <w:r w:rsidRPr="00477F2E">
        <w:rPr>
          <w:rFonts w:ascii="Arial" w:hAnsi="Arial" w:cs="Arial"/>
          <w:kern w:val="0"/>
          <w:sz w:val="22"/>
          <w:szCs w:val="22"/>
        </w:rPr>
        <w:t xml:space="preserve"> et al. (2022) utilized a mixed-methods research design (N = 310) to examine the operational efficiency and structural integrity of NHS child and adolescent mental health services (CAMHS). Their analysis captured the immediate post-pandemic landscape, mapping out the long-term impact of service disruptions, severe funding deficits, and chronic staffing shortages. The researchers found that structural service disruption directly led to unprecedented wait-time inflation across all tiers of care. The quantitative tracking within the study showed that the average time spent on a waiting list doubled over the investigated period, with many individuals waiting upwards of 14 months for secondary psychiatric </w:t>
      </w:r>
      <w:r w:rsidRPr="00477F2E">
        <w:rPr>
          <w:rFonts w:ascii="Arial" w:hAnsi="Arial" w:cs="Arial"/>
          <w:kern w:val="0"/>
          <w:sz w:val="22"/>
          <w:szCs w:val="22"/>
        </w:rPr>
        <w:lastRenderedPageBreak/>
        <w:t>evaluation. This operational backlog created a dangerous environmental barrier, leaving vulnerable individuals in rapidly deteriorating psychological states for months before any formal clinical triage or initial assessment took place. The study concluded that staffing vacancies and high burnout rates among clinical gatekeepers have severely undermined the capacity of statutory services to deliver timely interventions, transforming public mental health pathways into emergency-only services.</w:t>
      </w:r>
    </w:p>
    <w:p w14:paraId="6BB68397" w14:textId="77777777" w:rsidR="00A24258" w:rsidRPr="00477F2E" w:rsidRDefault="00A24258" w:rsidP="0042144D">
      <w:pPr>
        <w:autoSpaceDE w:val="0"/>
        <w:autoSpaceDN w:val="0"/>
        <w:adjustRightInd w:val="0"/>
        <w:spacing w:after="40" w:line="240" w:lineRule="auto"/>
        <w:rPr>
          <w:rFonts w:ascii="Arial" w:hAnsi="Arial" w:cs="Arial"/>
          <w:b/>
          <w:bCs/>
          <w:kern w:val="0"/>
          <w:sz w:val="22"/>
          <w:szCs w:val="22"/>
        </w:rPr>
      </w:pPr>
    </w:p>
    <w:p w14:paraId="4ABD194E" w14:textId="5B5676E1" w:rsidR="00A24258"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Aveyard (2024)</w:t>
      </w:r>
    </w:p>
    <w:p w14:paraId="3E271877"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Aveyard (2024) conducted a comprehensive secondary systematic review, synthesizing data from 18 independent primary studies conducted across multi-regional primary care networks within the United Kingdom. This review focused on the institutional and cultural barriers that disrupt continuity of care for young people. The findings demonstrated that poor communication between statutory agencies, lack of collaborative referral pathways, and fragmented institutional structures create significant gaps in the healthcare system. Specifically, the research highlighted that a substantial number of young people completely drop out of care pathways during the transition between educational support systems (such as school </w:t>
      </w:r>
      <w:proofErr w:type="spellStart"/>
      <w:r w:rsidRPr="00477F2E">
        <w:rPr>
          <w:rFonts w:ascii="Arial" w:hAnsi="Arial" w:cs="Arial"/>
          <w:kern w:val="0"/>
          <w:sz w:val="22"/>
          <w:szCs w:val="22"/>
        </w:rPr>
        <w:t>counseling</w:t>
      </w:r>
      <w:proofErr w:type="spellEnd"/>
      <w:r w:rsidRPr="00477F2E">
        <w:rPr>
          <w:rFonts w:ascii="Arial" w:hAnsi="Arial" w:cs="Arial"/>
          <w:kern w:val="0"/>
          <w:sz w:val="22"/>
          <w:szCs w:val="22"/>
        </w:rPr>
        <w:t xml:space="preserve">) and secondary NHS medical services. Because child health systems, educational boards, and adult psychiatric services operate on separate digital systems and follow conflicting organizational mandates, critical patient information is routinely lost. This lack of data integration leaves adolescents without a continuous safety net during highly vulnerable transitional periods, meaning students frequently </w:t>
      </w:r>
      <w:proofErr w:type="gramStart"/>
      <w:r w:rsidRPr="00477F2E">
        <w:rPr>
          <w:rFonts w:ascii="Arial" w:hAnsi="Arial" w:cs="Arial"/>
          <w:kern w:val="0"/>
          <w:sz w:val="22"/>
          <w:szCs w:val="22"/>
        </w:rPr>
        <w:t>have to</w:t>
      </w:r>
      <w:proofErr w:type="gramEnd"/>
      <w:r w:rsidRPr="00477F2E">
        <w:rPr>
          <w:rFonts w:ascii="Arial" w:hAnsi="Arial" w:cs="Arial"/>
          <w:kern w:val="0"/>
          <w:sz w:val="22"/>
          <w:szCs w:val="22"/>
        </w:rPr>
        <w:t xml:space="preserve"> restart their entire help-seeking journey from scratch when moving between institutional boundaries.</w:t>
      </w:r>
    </w:p>
    <w:p w14:paraId="7C99BB28" w14:textId="77777777" w:rsidR="00A24258" w:rsidRPr="00477F2E" w:rsidRDefault="00A24258" w:rsidP="0042144D">
      <w:pPr>
        <w:autoSpaceDE w:val="0"/>
        <w:autoSpaceDN w:val="0"/>
        <w:adjustRightInd w:val="0"/>
        <w:spacing w:after="40" w:line="240" w:lineRule="auto"/>
        <w:rPr>
          <w:rFonts w:ascii="Arial" w:hAnsi="Arial" w:cs="Arial"/>
          <w:b/>
          <w:bCs/>
          <w:kern w:val="0"/>
          <w:sz w:val="22"/>
          <w:szCs w:val="22"/>
        </w:rPr>
      </w:pPr>
    </w:p>
    <w:p w14:paraId="7CE271A2" w14:textId="1F1B7D11"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British Medical Association (BMA) (2026)</w:t>
      </w:r>
    </w:p>
    <w:p w14:paraId="162E53FB"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The British Medical Association (BMA) (2026) published an extensive multi-</w:t>
      </w:r>
      <w:proofErr w:type="spellStart"/>
      <w:r w:rsidRPr="00477F2E">
        <w:rPr>
          <w:rFonts w:ascii="Arial" w:hAnsi="Arial" w:cs="Arial"/>
          <w:kern w:val="0"/>
          <w:sz w:val="22"/>
          <w:szCs w:val="22"/>
        </w:rPr>
        <w:t>center</w:t>
      </w:r>
      <w:proofErr w:type="spellEnd"/>
      <w:r w:rsidRPr="00477F2E">
        <w:rPr>
          <w:rFonts w:ascii="Arial" w:hAnsi="Arial" w:cs="Arial"/>
          <w:kern w:val="0"/>
          <w:sz w:val="22"/>
          <w:szCs w:val="22"/>
        </w:rPr>
        <w:t xml:space="preserve"> empirical survey (N = 850) compiling clinical presentation data from practitioners across England. The report focused strictly on the operational gatekeeping mechanisms used to manage demand within public health sectors. The survey identified absolute funding deficits, a critical shortage of early-stage crisis beds, and exceptionally strict clinical triage thresholds as the primary operational barriers to care. The empirical data proved that statutory services have intentionally raised their entrance criteria to manage the overwhelming volume of referrals. Consequently, these stringent criteria systematically exclude individuals presenting with moderate anxiety, depression, or distress. By turning away young people who do not yet meet acute crisis criteria, the system effectively manages its daily capacity by completely ignoring early-stage intervention opportunities, forcing patients to become severely ill before they qualify for public support. The BMA warned that this operational model creates an unsustainable financial and medical burden on emergency departments, which are forced to act as the primary safety net for neglected youth.</w:t>
      </w:r>
    </w:p>
    <w:p w14:paraId="449CA718" w14:textId="77777777" w:rsidR="007875EF" w:rsidRPr="00477F2E" w:rsidRDefault="007875EF" w:rsidP="0042144D">
      <w:pPr>
        <w:autoSpaceDE w:val="0"/>
        <w:autoSpaceDN w:val="0"/>
        <w:adjustRightInd w:val="0"/>
        <w:spacing w:after="40" w:line="240" w:lineRule="auto"/>
        <w:rPr>
          <w:rFonts w:ascii="Arial" w:hAnsi="Arial" w:cs="Arial"/>
          <w:b/>
          <w:bCs/>
          <w:kern w:val="0"/>
          <w:sz w:val="22"/>
          <w:szCs w:val="22"/>
        </w:rPr>
      </w:pPr>
    </w:p>
    <w:p w14:paraId="0A588F0A" w14:textId="2A456E13"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Thematic Analysis of Findings</w:t>
      </w:r>
    </w:p>
    <w:p w14:paraId="7F1E3675" w14:textId="77777777" w:rsidR="007875EF" w:rsidRPr="00477F2E" w:rsidRDefault="007875EF" w:rsidP="0042144D">
      <w:pPr>
        <w:autoSpaceDE w:val="0"/>
        <w:autoSpaceDN w:val="0"/>
        <w:adjustRightInd w:val="0"/>
        <w:spacing w:after="40" w:line="240" w:lineRule="auto"/>
        <w:rPr>
          <w:rFonts w:ascii="Arial" w:hAnsi="Arial" w:cs="Arial"/>
          <w:b/>
          <w:bCs/>
          <w:kern w:val="0"/>
          <w:sz w:val="22"/>
          <w:szCs w:val="22"/>
        </w:rPr>
      </w:pPr>
    </w:p>
    <w:p w14:paraId="027437B9" w14:textId="48C3158A"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Theme 1: Structural and Systemic Barriers</w:t>
      </w:r>
    </w:p>
    <w:p w14:paraId="38B0592B" w14:textId="03B43330"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A primary, overarching obstacle identified across the collected literature is the presence of rigid structural gatekeeping mechanisms deeply embedded within the NHS infrastructure. The empirical evidence demonstrates that clinical threshold criteria for secondary care have risen to unsustainable levels due to a supply-and-demand mismatch. Individuals presenting with moderate psychological distress are routinely denied access to specialist care because their symptoms do not align with narrow, crisis-driven definitions of risk. This structural gatekeeping functions as an active exclusion tool rather than an administrative filter. When platforms like CAMHS reject young people who show early signs of self-harm or deep depression, they create an institutional barrier that leaves patients stranded without professional guidance.</w:t>
      </w:r>
      <w:r w:rsidR="007875EF" w:rsidRPr="00477F2E">
        <w:rPr>
          <w:rFonts w:ascii="Arial" w:hAnsi="Arial" w:cs="Arial"/>
          <w:kern w:val="0"/>
          <w:sz w:val="22"/>
          <w:szCs w:val="22"/>
        </w:rPr>
        <w:t xml:space="preserve"> </w:t>
      </w:r>
      <w:r w:rsidRPr="00477F2E">
        <w:rPr>
          <w:rFonts w:ascii="Arial" w:hAnsi="Arial" w:cs="Arial"/>
          <w:kern w:val="0"/>
          <w:sz w:val="22"/>
          <w:szCs w:val="22"/>
        </w:rPr>
        <w:t xml:space="preserve">This structural barrier is further exacerbated by profound geographic inequalities. The literature shows that service availability varies significantly depending on a </w:t>
      </w:r>
      <w:r w:rsidRPr="00477F2E">
        <w:rPr>
          <w:rFonts w:ascii="Arial" w:hAnsi="Arial" w:cs="Arial"/>
          <w:kern w:val="0"/>
          <w:sz w:val="22"/>
          <w:szCs w:val="22"/>
        </w:rPr>
        <w:lastRenderedPageBreak/>
        <w:t xml:space="preserve">patient's postcode, creating a deeply inequitable distribution of resources. Young people living in socioeconomically deprived urban </w:t>
      </w:r>
      <w:proofErr w:type="spellStart"/>
      <w:r w:rsidRPr="00477F2E">
        <w:rPr>
          <w:rFonts w:ascii="Arial" w:hAnsi="Arial" w:cs="Arial"/>
          <w:kern w:val="0"/>
          <w:sz w:val="22"/>
          <w:szCs w:val="22"/>
        </w:rPr>
        <w:t>centers</w:t>
      </w:r>
      <w:proofErr w:type="spellEnd"/>
      <w:r w:rsidRPr="00477F2E">
        <w:rPr>
          <w:rFonts w:ascii="Arial" w:hAnsi="Arial" w:cs="Arial"/>
          <w:kern w:val="0"/>
          <w:sz w:val="22"/>
          <w:szCs w:val="22"/>
        </w:rPr>
        <w:t xml:space="preserve"> or isolated rural sectors face prolonged waiting times—frequently exceeding 12 months—directly due to localized funding deficits and severe clinical staff vacancy rates. As a result, structural failures within the organization of the NHS actively prevent equal access to healthcare, disproportionately penalizing adolescents from lower-income backgrounds who cannot afford to bypass public waiting lists through private medical treatment. The infrastructure fails to provide a uniform safety net, converting access to mental health support from a fundamental right into a geographic privilege.</w:t>
      </w:r>
    </w:p>
    <w:p w14:paraId="6445231A" w14:textId="77777777" w:rsidR="007875EF" w:rsidRPr="00477F2E" w:rsidRDefault="007875EF" w:rsidP="0042144D">
      <w:pPr>
        <w:autoSpaceDE w:val="0"/>
        <w:autoSpaceDN w:val="0"/>
        <w:adjustRightInd w:val="0"/>
        <w:spacing w:after="40" w:line="240" w:lineRule="auto"/>
        <w:rPr>
          <w:rFonts w:ascii="Arial" w:hAnsi="Arial" w:cs="Arial"/>
          <w:b/>
          <w:bCs/>
          <w:kern w:val="0"/>
          <w:sz w:val="22"/>
          <w:szCs w:val="22"/>
        </w:rPr>
      </w:pPr>
    </w:p>
    <w:p w14:paraId="605990CC" w14:textId="331C6B17"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Theme 2: Socio-Cultural and Relational Barriers</w:t>
      </w:r>
    </w:p>
    <w:p w14:paraId="6714DB91"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Beyond the tangible structural and operational limitations of the healthcare system, complex institutional and interpersonal dynamics create significant psychological friction for young people attempting to navigate these pathways. Social stigma remains a highly pervasive factor that prevents early intervention. The qualitative data indicates that young people experience intense anxiety regarding how their peers, families, and medical professionals will judge their help-seeking </w:t>
      </w:r>
      <w:proofErr w:type="spellStart"/>
      <w:r w:rsidRPr="00477F2E">
        <w:rPr>
          <w:rFonts w:ascii="Arial" w:hAnsi="Arial" w:cs="Arial"/>
          <w:kern w:val="0"/>
          <w:sz w:val="22"/>
          <w:szCs w:val="22"/>
        </w:rPr>
        <w:t>behaviors</w:t>
      </w:r>
      <w:proofErr w:type="spellEnd"/>
      <w:r w:rsidRPr="00477F2E">
        <w:rPr>
          <w:rFonts w:ascii="Arial" w:hAnsi="Arial" w:cs="Arial"/>
          <w:kern w:val="0"/>
          <w:sz w:val="22"/>
          <w:szCs w:val="22"/>
        </w:rPr>
        <w:t xml:space="preserve">. This stigma is not merely a personal feeling; it is reinforced by institutional environments that treat mental health issues as </w:t>
      </w:r>
      <w:proofErr w:type="spellStart"/>
      <w:r w:rsidRPr="00477F2E">
        <w:rPr>
          <w:rFonts w:ascii="Arial" w:hAnsi="Arial" w:cs="Arial"/>
          <w:kern w:val="0"/>
          <w:sz w:val="22"/>
          <w:szCs w:val="22"/>
        </w:rPr>
        <w:t>behavioral</w:t>
      </w:r>
      <w:proofErr w:type="spellEnd"/>
      <w:r w:rsidRPr="00477F2E">
        <w:rPr>
          <w:rFonts w:ascii="Arial" w:hAnsi="Arial" w:cs="Arial"/>
          <w:kern w:val="0"/>
          <w:sz w:val="22"/>
          <w:szCs w:val="22"/>
        </w:rPr>
        <w:t xml:space="preserve"> problems rather than clinical medical conditions.</w:t>
      </w:r>
    </w:p>
    <w:p w14:paraId="26383460" w14:textId="5B007652"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Furthermore, the evidence points to a frequent, damaging fear of invalidation during initial clinical consultations. The current institutional environment of youth mental health services heavily prioritizes rigid administrative processing, standardized tick-box assessments, and formal gatekeeping protocols over genuine, empathetic engagement. This structural approach leads adolescents to feel that their internal emotional distress is being dismissed or minimized by the very professionals trained to help them. When a young person is forced to fit their feelings into rigid questionnaires, the relational bond between the patient and the clinician breaks down. This perceived lack of professional validation deters future help</w:t>
      </w:r>
      <w:r w:rsidR="00A2386C">
        <w:rPr>
          <w:rFonts w:ascii="Arial" w:hAnsi="Arial" w:cs="Arial"/>
          <w:kern w:val="0"/>
          <w:sz w:val="22"/>
          <w:szCs w:val="22"/>
        </w:rPr>
        <w:t xml:space="preserve"> </w:t>
      </w:r>
      <w:r w:rsidRPr="00477F2E">
        <w:rPr>
          <w:rFonts w:ascii="Arial" w:hAnsi="Arial" w:cs="Arial"/>
          <w:kern w:val="0"/>
          <w:sz w:val="22"/>
          <w:szCs w:val="22"/>
        </w:rPr>
        <w:t>seeking actions, causing vulnerable individuals to disengage from formal healthcare support networks entirely and internalize their struggles until a severe breakdown occurs.</w:t>
      </w:r>
    </w:p>
    <w:p w14:paraId="4FA0B4F0" w14:textId="77777777" w:rsidR="007875EF" w:rsidRPr="00477F2E" w:rsidRDefault="007875EF" w:rsidP="0042144D">
      <w:pPr>
        <w:autoSpaceDE w:val="0"/>
        <w:autoSpaceDN w:val="0"/>
        <w:adjustRightInd w:val="0"/>
        <w:spacing w:after="40" w:line="240" w:lineRule="auto"/>
        <w:rPr>
          <w:rFonts w:ascii="Arial" w:hAnsi="Arial" w:cs="Arial"/>
          <w:b/>
          <w:bCs/>
          <w:kern w:val="0"/>
          <w:sz w:val="22"/>
          <w:szCs w:val="22"/>
        </w:rPr>
      </w:pPr>
    </w:p>
    <w:p w14:paraId="553E1387" w14:textId="4B607CCD"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Discussion</w:t>
      </w:r>
    </w:p>
    <w:p w14:paraId="3492D4AB" w14:textId="77777777" w:rsidR="007875EF" w:rsidRPr="00477F2E" w:rsidRDefault="007875EF" w:rsidP="0042144D">
      <w:pPr>
        <w:autoSpaceDE w:val="0"/>
        <w:autoSpaceDN w:val="0"/>
        <w:adjustRightInd w:val="0"/>
        <w:spacing w:after="40" w:line="240" w:lineRule="auto"/>
        <w:rPr>
          <w:rFonts w:ascii="Arial" w:hAnsi="Arial" w:cs="Arial"/>
          <w:b/>
          <w:bCs/>
          <w:kern w:val="0"/>
          <w:sz w:val="22"/>
          <w:szCs w:val="22"/>
        </w:rPr>
      </w:pPr>
    </w:p>
    <w:p w14:paraId="497FF4EA" w14:textId="634A4DAD"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Analysis of Structural Systemic Failures</w:t>
      </w:r>
    </w:p>
    <w:p w14:paraId="2E47CEEF" w14:textId="7B539D2D"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The findings from this scoping review clearly demonstrate that the barriers young people face when trying to get help for their mental health are deeply rooted in the way the UK health system is currently built. When I looked at the health services for teenagers in the UK for my initial proposal, my main concern was understanding why it takes so long to see a doctor and why teenagers do not know enough about mental health to get help early. The peer-reviewed evidence I </w:t>
      </w:r>
      <w:r w:rsidR="007875EF" w:rsidRPr="00477F2E">
        <w:rPr>
          <w:rFonts w:ascii="Arial" w:hAnsi="Arial" w:cs="Arial"/>
          <w:kern w:val="0"/>
          <w:sz w:val="22"/>
          <w:szCs w:val="22"/>
        </w:rPr>
        <w:t>analysed</w:t>
      </w:r>
      <w:r w:rsidRPr="00477F2E">
        <w:rPr>
          <w:rFonts w:ascii="Arial" w:hAnsi="Arial" w:cs="Arial"/>
          <w:kern w:val="0"/>
          <w:sz w:val="22"/>
          <w:szCs w:val="22"/>
        </w:rPr>
        <w:t xml:space="preserve"> confirms that these two issues</w:t>
      </w:r>
      <w:r w:rsidR="007875EF" w:rsidRPr="00477F2E">
        <w:rPr>
          <w:rFonts w:ascii="Arial" w:hAnsi="Arial" w:cs="Arial"/>
          <w:kern w:val="0"/>
          <w:sz w:val="22"/>
          <w:szCs w:val="22"/>
        </w:rPr>
        <w:t xml:space="preserve"> </w:t>
      </w:r>
      <w:r w:rsidRPr="00477F2E">
        <w:rPr>
          <w:rFonts w:ascii="Arial" w:hAnsi="Arial" w:cs="Arial"/>
          <w:kern w:val="0"/>
          <w:sz w:val="22"/>
          <w:szCs w:val="22"/>
        </w:rPr>
        <w:t>waiting times and lack of early-stage education</w:t>
      </w:r>
      <w:r w:rsidR="007875EF" w:rsidRPr="00477F2E">
        <w:rPr>
          <w:rFonts w:ascii="Arial" w:hAnsi="Arial" w:cs="Arial"/>
          <w:kern w:val="0"/>
          <w:sz w:val="22"/>
          <w:szCs w:val="22"/>
        </w:rPr>
        <w:t xml:space="preserve"> </w:t>
      </w:r>
      <w:r w:rsidRPr="00477F2E">
        <w:rPr>
          <w:rFonts w:ascii="Arial" w:hAnsi="Arial" w:cs="Arial"/>
          <w:kern w:val="0"/>
          <w:sz w:val="22"/>
          <w:szCs w:val="22"/>
        </w:rPr>
        <w:t>are the exact points where the system is failing.</w:t>
      </w:r>
      <w:r w:rsidR="007875EF" w:rsidRPr="00477F2E">
        <w:rPr>
          <w:rFonts w:ascii="Arial" w:hAnsi="Arial" w:cs="Arial"/>
          <w:kern w:val="0"/>
          <w:sz w:val="22"/>
          <w:szCs w:val="22"/>
        </w:rPr>
        <w:t xml:space="preserve"> </w:t>
      </w:r>
      <w:r w:rsidRPr="00477F2E">
        <w:rPr>
          <w:rFonts w:ascii="Arial" w:hAnsi="Arial" w:cs="Arial"/>
          <w:kern w:val="0"/>
          <w:sz w:val="22"/>
          <w:szCs w:val="22"/>
        </w:rPr>
        <w:t xml:space="preserve">The first major issue I found in my research relates directly to the operational pressures within the NHS. The data shows that over half a million teenagers are stuck on waiting lists, and fewer than 10% get seen on time. When we look closely at studies like the one by </w:t>
      </w:r>
      <w:r w:rsidR="007875EF" w:rsidRPr="00477F2E">
        <w:rPr>
          <w:rFonts w:ascii="Arial" w:hAnsi="Arial" w:cs="Arial"/>
          <w:kern w:val="0"/>
          <w:sz w:val="22"/>
          <w:szCs w:val="22"/>
        </w:rPr>
        <w:t>Spyridon is</w:t>
      </w:r>
      <w:r w:rsidRPr="00477F2E">
        <w:rPr>
          <w:rFonts w:ascii="Arial" w:hAnsi="Arial" w:cs="Arial"/>
          <w:kern w:val="0"/>
          <w:sz w:val="22"/>
          <w:szCs w:val="22"/>
        </w:rPr>
        <w:t xml:space="preserve"> et al. (2022), it becomes obvious that chronic staffing shortages and massive post-pandemic backlogs have broken the care pathway. Because the system is overwhelmed, the gatekeepers have had to push the entry thresholds incredibly high. This means if you are a teenager struggling with moderate anxiety or early depression, you are told you are not sick enough to get help. The system forces you to wait until you are in an absolute crisis before anyone takes your condition seriously, which is a dangerous way to run a healthcare service.</w:t>
      </w:r>
      <w:r w:rsidR="007875EF" w:rsidRPr="00477F2E">
        <w:rPr>
          <w:rFonts w:ascii="Arial" w:hAnsi="Arial" w:cs="Arial"/>
          <w:kern w:val="0"/>
          <w:sz w:val="22"/>
          <w:szCs w:val="22"/>
        </w:rPr>
        <w:t xml:space="preserve"> </w:t>
      </w:r>
      <w:r w:rsidRPr="00477F2E">
        <w:rPr>
          <w:rFonts w:ascii="Arial" w:hAnsi="Arial" w:cs="Arial"/>
          <w:kern w:val="0"/>
          <w:sz w:val="22"/>
          <w:szCs w:val="22"/>
        </w:rPr>
        <w:t xml:space="preserve">This systematic failure creates a compounding cycle of deterioration. When primary care services reject an adolescent due to elevated criteria, the financial and administrative burden shifts entirely onto families. For young people in low-income brackets, this threshold serves as an absolute barrier to recovery. The quantitative realities highlighted by the BMA (2026) prove that these thresholds do not reflect clinical recovery timelines; instead, they serve as financial rationing </w:t>
      </w:r>
      <w:r w:rsidRPr="00477F2E">
        <w:rPr>
          <w:rFonts w:ascii="Arial" w:hAnsi="Arial" w:cs="Arial"/>
          <w:kern w:val="0"/>
          <w:sz w:val="22"/>
          <w:szCs w:val="22"/>
        </w:rPr>
        <w:lastRenderedPageBreak/>
        <w:t>tools used by local trusts to manage resource deficits. Consequently, the structural landscape of the NHS actively transforms manageable psychological issues into deep, long-term conditions due to institutional delays. The everyday classroom experience reflects this failure, as teachers face classrooms full of students who are visibly struggling but cannot get onto a clinical caseload because their symptoms are deemed too mild by distant administrative gatekeepers.</w:t>
      </w:r>
      <w:r w:rsidR="00114F72">
        <w:rPr>
          <w:rFonts w:ascii="Arial" w:hAnsi="Arial" w:cs="Arial"/>
          <w:kern w:val="0"/>
          <w:sz w:val="22"/>
          <w:szCs w:val="22"/>
        </w:rPr>
        <w:t xml:space="preserve"> </w:t>
      </w:r>
      <w:r w:rsidRPr="00477F2E">
        <w:rPr>
          <w:rFonts w:ascii="Arial" w:hAnsi="Arial" w:cs="Arial"/>
          <w:kern w:val="0"/>
          <w:sz w:val="22"/>
          <w:szCs w:val="22"/>
        </w:rPr>
        <w:t xml:space="preserve">The second area where the evidence matches my initial concerns is the massive impact of socioeconomic status and geographic location. The cohort study by </w:t>
      </w:r>
      <w:proofErr w:type="spellStart"/>
      <w:r w:rsidRPr="00477F2E">
        <w:rPr>
          <w:rFonts w:ascii="Arial" w:hAnsi="Arial" w:cs="Arial"/>
          <w:kern w:val="0"/>
          <w:sz w:val="22"/>
          <w:szCs w:val="22"/>
        </w:rPr>
        <w:t>Sayal</w:t>
      </w:r>
      <w:proofErr w:type="spellEnd"/>
      <w:r w:rsidRPr="00477F2E">
        <w:rPr>
          <w:rFonts w:ascii="Arial" w:hAnsi="Arial" w:cs="Arial"/>
          <w:kern w:val="0"/>
          <w:sz w:val="22"/>
          <w:szCs w:val="22"/>
        </w:rPr>
        <w:t xml:space="preserve"> et al. (2026) highlights a massive inequality problem in the UK. If you live in a deprived urban area, your local services are underfunded, your public transport links are poor, and you are far less likely to be successfully referred to a specialist than someone living in an affluent area. This creates a system where the most vulnerable teenagers</w:t>
      </w:r>
      <w:r w:rsidR="00CC37CF" w:rsidRPr="00477F2E">
        <w:rPr>
          <w:rFonts w:ascii="Arial" w:hAnsi="Arial" w:cs="Arial"/>
          <w:kern w:val="0"/>
          <w:sz w:val="22"/>
          <w:szCs w:val="22"/>
        </w:rPr>
        <w:t xml:space="preserve"> </w:t>
      </w:r>
      <w:r w:rsidRPr="00477F2E">
        <w:rPr>
          <w:rFonts w:ascii="Arial" w:hAnsi="Arial" w:cs="Arial"/>
          <w:kern w:val="0"/>
          <w:sz w:val="22"/>
          <w:szCs w:val="22"/>
        </w:rPr>
        <w:t>the ones who cannot afford private therapy or do not have stable home environments</w:t>
      </w:r>
      <w:r w:rsidR="00CC37CF" w:rsidRPr="00477F2E">
        <w:rPr>
          <w:rFonts w:ascii="Arial" w:hAnsi="Arial" w:cs="Arial"/>
          <w:kern w:val="0"/>
          <w:sz w:val="22"/>
          <w:szCs w:val="22"/>
        </w:rPr>
        <w:t xml:space="preserve"> </w:t>
      </w:r>
      <w:r w:rsidRPr="00477F2E">
        <w:rPr>
          <w:rFonts w:ascii="Arial" w:hAnsi="Arial" w:cs="Arial"/>
          <w:kern w:val="0"/>
          <w:sz w:val="22"/>
          <w:szCs w:val="22"/>
        </w:rPr>
        <w:t>are left completely behind.</w:t>
      </w:r>
      <w:r w:rsidR="00114F72">
        <w:rPr>
          <w:rFonts w:ascii="Arial" w:hAnsi="Arial" w:cs="Arial"/>
          <w:kern w:val="0"/>
          <w:sz w:val="22"/>
          <w:szCs w:val="22"/>
        </w:rPr>
        <w:t xml:space="preserve"> </w:t>
      </w:r>
      <w:r w:rsidRPr="00477F2E">
        <w:rPr>
          <w:rFonts w:ascii="Arial" w:hAnsi="Arial" w:cs="Arial"/>
          <w:kern w:val="0"/>
          <w:sz w:val="22"/>
          <w:szCs w:val="22"/>
        </w:rPr>
        <w:t xml:space="preserve">Geographic disparities mean that municipal boundaries dictate life chances. An adolescent living in an underfunded borough is statistically twice as likely to drop out of an educational pathway due to untreated mental health conditions compared to a peer in a well-funded locality. This systematic exclusion shows that current health policy fails to provide equitable care. The postcode lottery is not an accidental feature of the system; it is a direct consequence of fragmented funding structures that separate local authority care from centralized clinical operations. Families are left trapped in a cycle where they must choose between using limited household income for long commutes to regional health </w:t>
      </w:r>
      <w:r w:rsidR="00CC37CF" w:rsidRPr="00477F2E">
        <w:rPr>
          <w:rFonts w:ascii="Arial" w:hAnsi="Arial" w:cs="Arial"/>
          <w:kern w:val="0"/>
          <w:sz w:val="22"/>
          <w:szCs w:val="22"/>
        </w:rPr>
        <w:t>centres</w:t>
      </w:r>
      <w:r w:rsidRPr="00477F2E">
        <w:rPr>
          <w:rFonts w:ascii="Arial" w:hAnsi="Arial" w:cs="Arial"/>
          <w:kern w:val="0"/>
          <w:sz w:val="22"/>
          <w:szCs w:val="22"/>
        </w:rPr>
        <w:t xml:space="preserve"> or going without treatment entirely.</w:t>
      </w:r>
    </w:p>
    <w:p w14:paraId="6CD1B516" w14:textId="77777777" w:rsidR="00CC37CF" w:rsidRPr="00477F2E" w:rsidRDefault="00CC37CF" w:rsidP="0042144D">
      <w:pPr>
        <w:autoSpaceDE w:val="0"/>
        <w:autoSpaceDN w:val="0"/>
        <w:adjustRightInd w:val="0"/>
        <w:spacing w:after="40" w:line="240" w:lineRule="auto"/>
        <w:rPr>
          <w:rFonts w:ascii="Arial" w:hAnsi="Arial" w:cs="Arial"/>
          <w:b/>
          <w:bCs/>
          <w:kern w:val="0"/>
          <w:sz w:val="22"/>
          <w:szCs w:val="22"/>
        </w:rPr>
      </w:pPr>
    </w:p>
    <w:p w14:paraId="13DA72F4" w14:textId="17D1F5DC"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Analysis of Socio-Cultural and Relational Gaps</w:t>
      </w:r>
    </w:p>
    <w:p w14:paraId="39E1625C" w14:textId="010D828F"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Finally, we cannot ignore the cultural and social barriers that stop teenagers from coming forward in the first place. Watson et al. (2026) showed that young people are terrified of being judged by their peers or dismissed by doctors. When a teenager finally builds up the courage to ask for help, they are often met with cold, rigid administrative forms and long clinical assessments rather than human empathy. This fear of invalidation makes them drop out of the system entirely. If we want teenagers to get help early, we have to change the culture of these </w:t>
      </w:r>
      <w:proofErr w:type="gramStart"/>
      <w:r w:rsidRPr="00477F2E">
        <w:rPr>
          <w:rFonts w:ascii="Arial" w:hAnsi="Arial" w:cs="Arial"/>
          <w:kern w:val="0"/>
          <w:sz w:val="22"/>
          <w:szCs w:val="22"/>
        </w:rPr>
        <w:t>services</w:t>
      </w:r>
      <w:proofErr w:type="gramEnd"/>
      <w:r w:rsidRPr="00477F2E">
        <w:rPr>
          <w:rFonts w:ascii="Arial" w:hAnsi="Arial" w:cs="Arial"/>
          <w:kern w:val="0"/>
          <w:sz w:val="22"/>
          <w:szCs w:val="22"/>
        </w:rPr>
        <w:t xml:space="preserve"> so they feel safe and supported, not judged or ignored.</w:t>
      </w:r>
      <w:r w:rsidR="00CC37CF" w:rsidRPr="00477F2E">
        <w:rPr>
          <w:rFonts w:ascii="Arial" w:hAnsi="Arial" w:cs="Arial"/>
          <w:kern w:val="0"/>
          <w:sz w:val="22"/>
          <w:szCs w:val="22"/>
        </w:rPr>
        <w:t xml:space="preserve"> </w:t>
      </w:r>
      <w:r w:rsidRPr="00477F2E">
        <w:rPr>
          <w:rFonts w:ascii="Arial" w:hAnsi="Arial" w:cs="Arial"/>
          <w:kern w:val="0"/>
          <w:sz w:val="22"/>
          <w:szCs w:val="22"/>
        </w:rPr>
        <w:t xml:space="preserve">The relational breakdown between institutional gatekeepers and young people stems from an over-reliance on clinical frameworks. When a young person shares their internal struggles, they require immediate validation and emotional security. Instead, the current framework subjects them to standardized diagnostic screening tools that reduce complex personal experiences into numbers on a chart. As Watson et al. (2026) observed, this mechanical approach alienates adolescents, reinforcing the belief that the adult system is incapable of understanding youth experiences. This issue manifests in schools as an environment of silence. Students hide their symptoms from </w:t>
      </w:r>
      <w:proofErr w:type="spellStart"/>
      <w:r w:rsidRPr="00477F2E">
        <w:rPr>
          <w:rFonts w:ascii="Arial" w:hAnsi="Arial" w:cs="Arial"/>
          <w:kern w:val="0"/>
          <w:sz w:val="22"/>
          <w:szCs w:val="22"/>
        </w:rPr>
        <w:t>counselors</w:t>
      </w:r>
      <w:proofErr w:type="spellEnd"/>
      <w:r w:rsidRPr="00477F2E">
        <w:rPr>
          <w:rFonts w:ascii="Arial" w:hAnsi="Arial" w:cs="Arial"/>
          <w:kern w:val="0"/>
          <w:sz w:val="22"/>
          <w:szCs w:val="22"/>
        </w:rPr>
        <w:t xml:space="preserve"> because they assume that the outcome will be an intrusive, bureaucratic referral process rather than a helpful conversation.</w:t>
      </w:r>
    </w:p>
    <w:p w14:paraId="168739D1" w14:textId="160F259E"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Furthermore, institutional fragmentation means that even when an individual finds an empathetic professional in a school setting, the pathway breaks down during the transition to secondary care. Aveyard (2024) demonstrated that the institutional gap between educational </w:t>
      </w:r>
      <w:r w:rsidR="000A1139" w:rsidRPr="00477F2E">
        <w:rPr>
          <w:rFonts w:ascii="Arial" w:hAnsi="Arial" w:cs="Arial"/>
          <w:kern w:val="0"/>
          <w:sz w:val="22"/>
          <w:szCs w:val="22"/>
        </w:rPr>
        <w:t>counselling</w:t>
      </w:r>
      <w:r w:rsidRPr="00477F2E">
        <w:rPr>
          <w:rFonts w:ascii="Arial" w:hAnsi="Arial" w:cs="Arial"/>
          <w:kern w:val="0"/>
          <w:sz w:val="22"/>
          <w:szCs w:val="22"/>
        </w:rPr>
        <w:t xml:space="preserve"> and NHS psychiatric services is widening. Schools operate as isolated silos, unable to directly transfer digital records or clinical notes to external medical teams. This structural communication gap forces young people to repeat their traumatic histories to multiple strangers across different agencies, deepening their psychological distress and driving many to disengage from the system before receiving treatment. The loss of student records during transitions between academic terms or when moving from school </w:t>
      </w:r>
      <w:r w:rsidR="000A1139" w:rsidRPr="00477F2E">
        <w:rPr>
          <w:rFonts w:ascii="Arial" w:hAnsi="Arial" w:cs="Arial"/>
          <w:kern w:val="0"/>
          <w:sz w:val="22"/>
          <w:szCs w:val="22"/>
        </w:rPr>
        <w:t>counselling</w:t>
      </w:r>
      <w:r w:rsidRPr="00477F2E">
        <w:rPr>
          <w:rFonts w:ascii="Arial" w:hAnsi="Arial" w:cs="Arial"/>
          <w:kern w:val="0"/>
          <w:sz w:val="22"/>
          <w:szCs w:val="22"/>
        </w:rPr>
        <w:t xml:space="preserve"> to an external NHS clinic acts as an institutional trapdoor, where the most vulnerable young people fall out of the system entirely simply due to administrative incompatibility.</w:t>
      </w:r>
    </w:p>
    <w:p w14:paraId="7AA20D52" w14:textId="77777777" w:rsidR="000A1139" w:rsidRPr="00477F2E" w:rsidRDefault="000A1139" w:rsidP="0042144D">
      <w:pPr>
        <w:autoSpaceDE w:val="0"/>
        <w:autoSpaceDN w:val="0"/>
        <w:adjustRightInd w:val="0"/>
        <w:spacing w:after="40" w:line="240" w:lineRule="auto"/>
        <w:rPr>
          <w:rFonts w:ascii="Arial" w:hAnsi="Arial" w:cs="Arial"/>
          <w:b/>
          <w:bCs/>
          <w:kern w:val="0"/>
          <w:sz w:val="22"/>
          <w:szCs w:val="22"/>
        </w:rPr>
      </w:pPr>
    </w:p>
    <w:p w14:paraId="5CC1CAF6" w14:textId="70BC15ED"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Conclusion and Recommendations</w:t>
      </w:r>
    </w:p>
    <w:p w14:paraId="79305C94" w14:textId="3BB38B8F"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This scoping review shows that the current UK approach to youth mental health is reactive rather than preventative. Teenagers face a complicated web of long waiting lists, strict </w:t>
      </w:r>
      <w:r w:rsidRPr="00477F2E">
        <w:rPr>
          <w:rFonts w:ascii="Arial" w:hAnsi="Arial" w:cs="Arial"/>
          <w:kern w:val="0"/>
          <w:sz w:val="22"/>
          <w:szCs w:val="22"/>
        </w:rPr>
        <w:lastRenderedPageBreak/>
        <w:t>clinical rules, and social stigma that stops them from getting help when they need it most. We are missing the opportunity to intervene early, which only leads to worse health outcomes for young people as they grow up. The evidence confirms that statutory care pathways are structurally unequipped to handle the contemporary volume of youth distress, resulting in widespread systemic exclusion that disproportionately impacts socioeconomically marginalized populations. The long-term societal cost of this exclusion is visible in rising school absence rates, falling academic achievement among distressed youth, and a growing generation of young adults entering the workforce with deeply entrenched, untreated psychological conditions.</w:t>
      </w:r>
      <w:r w:rsidR="00EF2F33">
        <w:rPr>
          <w:rFonts w:ascii="Arial" w:hAnsi="Arial" w:cs="Arial"/>
          <w:kern w:val="0"/>
          <w:sz w:val="22"/>
          <w:szCs w:val="22"/>
        </w:rPr>
        <w:t xml:space="preserve"> </w:t>
      </w:r>
      <w:r w:rsidRPr="00477F2E">
        <w:rPr>
          <w:rFonts w:ascii="Arial" w:hAnsi="Arial" w:cs="Arial"/>
          <w:kern w:val="0"/>
          <w:sz w:val="22"/>
          <w:szCs w:val="22"/>
        </w:rPr>
        <w:t>Based on the evidence gathered throughout this report, I propose three distinct recommendations for UK health policy and social care practice:</w:t>
      </w:r>
    </w:p>
    <w:p w14:paraId="7A475F9F" w14:textId="77777777" w:rsidR="000A1139" w:rsidRPr="00477F2E" w:rsidRDefault="000A1139" w:rsidP="0042144D">
      <w:pPr>
        <w:autoSpaceDE w:val="0"/>
        <w:autoSpaceDN w:val="0"/>
        <w:adjustRightInd w:val="0"/>
        <w:spacing w:after="40" w:line="240" w:lineRule="auto"/>
        <w:rPr>
          <w:rFonts w:ascii="Arial" w:hAnsi="Arial" w:cs="Arial"/>
          <w:b/>
          <w:bCs/>
          <w:kern w:val="0"/>
          <w:sz w:val="22"/>
          <w:szCs w:val="22"/>
        </w:rPr>
      </w:pPr>
    </w:p>
    <w:p w14:paraId="4F5C946C" w14:textId="5E22DB63"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1. Establish Early Intervention Hubs</w:t>
      </w:r>
    </w:p>
    <w:p w14:paraId="2DB6DA69" w14:textId="72FD9E6F"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The NHS must move away from rigid, high-threshold clinical settings for initial triage. Local authorities should fund walk-in community mental health hubs where teenagers can access immediate, low-threshold </w:t>
      </w:r>
      <w:r w:rsidR="000A1139" w:rsidRPr="00477F2E">
        <w:rPr>
          <w:rFonts w:ascii="Arial" w:hAnsi="Arial" w:cs="Arial"/>
          <w:kern w:val="0"/>
          <w:sz w:val="22"/>
          <w:szCs w:val="22"/>
        </w:rPr>
        <w:t>counselling</w:t>
      </w:r>
      <w:r w:rsidRPr="00477F2E">
        <w:rPr>
          <w:rFonts w:ascii="Arial" w:hAnsi="Arial" w:cs="Arial"/>
          <w:kern w:val="0"/>
          <w:sz w:val="22"/>
          <w:szCs w:val="22"/>
        </w:rPr>
        <w:t xml:space="preserve"> without needing a formal GP referral. These hubs must operate outside of traditional hospital environments, adopting informal, community-centric designs that minimize administrative friction and reduce the psychological threat of clinical institutionalization. By providing open-access spaces, the healthcare system can capture moderate distress early, preventing individual degeneration into acute crisis. These hubs should be placed in central urban locations with direct, free public transport access to eliminate the financial travel barriers that currently penalize low-income families.</w:t>
      </w:r>
    </w:p>
    <w:p w14:paraId="300AC1B2" w14:textId="77777777" w:rsidR="00EF2F33" w:rsidRDefault="00EF2F33" w:rsidP="0042144D">
      <w:pPr>
        <w:autoSpaceDE w:val="0"/>
        <w:autoSpaceDN w:val="0"/>
        <w:adjustRightInd w:val="0"/>
        <w:spacing w:after="40" w:line="240" w:lineRule="auto"/>
        <w:rPr>
          <w:rFonts w:ascii="Arial" w:hAnsi="Arial" w:cs="Arial"/>
          <w:b/>
          <w:bCs/>
          <w:kern w:val="0"/>
          <w:sz w:val="22"/>
          <w:szCs w:val="22"/>
        </w:rPr>
      </w:pPr>
    </w:p>
    <w:p w14:paraId="5AE5CC8E" w14:textId="71FDC8BC"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2. Embed Support in Educational Environments</w:t>
      </w:r>
    </w:p>
    <w:p w14:paraId="3CE53855" w14:textId="78F43E5E"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Schools and colleges should be equipped with permanent, dedicated mental health professionals who can deliver immediate care. Providing one-to-one support within the educational space removes the structural barriers of transport and waiting lists, allowing vulnerable children to be supported in a familiar environment. This strategy integrates early intervention directly into the daily lives of young people, bypassing the operational delays of community CAMHS pipelines. Educational institutions must be repositioned as primary care entry points, supported by statutory ring-fenced funding lines to ensure long-term operational stability and to prevent school </w:t>
      </w:r>
      <w:r w:rsidR="000A1139" w:rsidRPr="00477F2E">
        <w:rPr>
          <w:rFonts w:ascii="Arial" w:hAnsi="Arial" w:cs="Arial"/>
          <w:kern w:val="0"/>
          <w:sz w:val="22"/>
          <w:szCs w:val="22"/>
        </w:rPr>
        <w:t>counselling</w:t>
      </w:r>
      <w:r w:rsidRPr="00477F2E">
        <w:rPr>
          <w:rFonts w:ascii="Arial" w:hAnsi="Arial" w:cs="Arial"/>
          <w:kern w:val="0"/>
          <w:sz w:val="22"/>
          <w:szCs w:val="22"/>
        </w:rPr>
        <w:t xml:space="preserve"> budgets from being reassigned to core academic operational costs.</w:t>
      </w:r>
    </w:p>
    <w:p w14:paraId="40709A8E" w14:textId="77777777" w:rsidR="000A1139" w:rsidRPr="00477F2E" w:rsidRDefault="000A1139" w:rsidP="0042144D">
      <w:pPr>
        <w:autoSpaceDE w:val="0"/>
        <w:autoSpaceDN w:val="0"/>
        <w:adjustRightInd w:val="0"/>
        <w:spacing w:after="40" w:line="240" w:lineRule="auto"/>
        <w:rPr>
          <w:rFonts w:ascii="Arial" w:hAnsi="Arial" w:cs="Arial"/>
          <w:b/>
          <w:bCs/>
          <w:kern w:val="0"/>
          <w:sz w:val="22"/>
          <w:szCs w:val="22"/>
        </w:rPr>
      </w:pPr>
    </w:p>
    <w:p w14:paraId="40AED910" w14:textId="06B3F2A7"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3. Standardize Transition Care Pathways</w:t>
      </w:r>
    </w:p>
    <w:p w14:paraId="0ECA1FE5"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To stop young people from dropping out of care between school settings and secondary services, a mandatory, cross-agency tracking system should be introduced to ensure no adolescent is left without continuity of care during vulnerable transition periods. This requires the integration of local authority educational records with NHS digital databases, creating a single care record. Clinical accountability must extend beyond localized teams, mandating joint triage panels between schools and psychiatric units to manage patient transitions seamlessly. Every young person transitioning out of school-based care must be assigned a dedicated transitional link-worker whose sole performance metric is ensuring that the patient successfully attends their first three secondary clinical appointments without administrative delay.</w:t>
      </w:r>
    </w:p>
    <w:p w14:paraId="0133A350" w14:textId="77777777" w:rsidR="000A1139" w:rsidRPr="00477F2E" w:rsidRDefault="000A1139" w:rsidP="0042144D">
      <w:pPr>
        <w:autoSpaceDE w:val="0"/>
        <w:autoSpaceDN w:val="0"/>
        <w:adjustRightInd w:val="0"/>
        <w:spacing w:after="40" w:line="240" w:lineRule="auto"/>
        <w:rPr>
          <w:rFonts w:ascii="Arial" w:hAnsi="Arial" w:cs="Arial"/>
          <w:b/>
          <w:bCs/>
          <w:kern w:val="0"/>
          <w:sz w:val="22"/>
          <w:szCs w:val="22"/>
        </w:rPr>
      </w:pPr>
    </w:p>
    <w:p w14:paraId="7B3648F0" w14:textId="4D0984AC" w:rsidR="0042144D" w:rsidRPr="00477F2E" w:rsidRDefault="0042144D" w:rsidP="0042144D">
      <w:pPr>
        <w:autoSpaceDE w:val="0"/>
        <w:autoSpaceDN w:val="0"/>
        <w:adjustRightInd w:val="0"/>
        <w:spacing w:after="40" w:line="240" w:lineRule="auto"/>
        <w:rPr>
          <w:rFonts w:ascii="Arial" w:hAnsi="Arial" w:cs="Arial"/>
          <w:b/>
          <w:bCs/>
          <w:kern w:val="0"/>
          <w:sz w:val="22"/>
          <w:szCs w:val="22"/>
        </w:rPr>
      </w:pPr>
      <w:r w:rsidRPr="00477F2E">
        <w:rPr>
          <w:rFonts w:ascii="Arial" w:hAnsi="Arial" w:cs="Arial"/>
          <w:b/>
          <w:bCs/>
          <w:kern w:val="0"/>
          <w:sz w:val="22"/>
          <w:szCs w:val="22"/>
        </w:rPr>
        <w:t>References</w:t>
      </w:r>
    </w:p>
    <w:p w14:paraId="6C991A98"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Aveyard, H. (2024) </w:t>
      </w:r>
      <w:r w:rsidRPr="00477F2E">
        <w:rPr>
          <w:rFonts w:ascii="Arial" w:hAnsi="Arial" w:cs="Arial"/>
          <w:i/>
          <w:iCs/>
          <w:kern w:val="0"/>
          <w:sz w:val="22"/>
          <w:szCs w:val="22"/>
        </w:rPr>
        <w:t>Doing a literature review in health and social care: a practical guide.</w:t>
      </w:r>
      <w:r w:rsidRPr="00477F2E">
        <w:rPr>
          <w:rFonts w:ascii="Arial" w:hAnsi="Arial" w:cs="Arial"/>
          <w:kern w:val="0"/>
          <w:sz w:val="22"/>
          <w:szCs w:val="22"/>
        </w:rPr>
        <w:t xml:space="preserve"> 5th </w:t>
      </w:r>
      <w:proofErr w:type="spellStart"/>
      <w:r w:rsidRPr="00477F2E">
        <w:rPr>
          <w:rFonts w:ascii="Arial" w:hAnsi="Arial" w:cs="Arial"/>
          <w:kern w:val="0"/>
          <w:sz w:val="22"/>
          <w:szCs w:val="22"/>
        </w:rPr>
        <w:t>edn</w:t>
      </w:r>
      <w:proofErr w:type="spellEnd"/>
      <w:r w:rsidRPr="00477F2E">
        <w:rPr>
          <w:rFonts w:ascii="Arial" w:hAnsi="Arial" w:cs="Arial"/>
          <w:kern w:val="0"/>
          <w:sz w:val="22"/>
          <w:szCs w:val="22"/>
        </w:rPr>
        <w:t>. Maidenhead: Open University Press.</w:t>
      </w:r>
    </w:p>
    <w:p w14:paraId="5C9971A1" w14:textId="77777777" w:rsidR="00563DA7" w:rsidRPr="00477F2E" w:rsidRDefault="00563DA7" w:rsidP="0042144D">
      <w:pPr>
        <w:autoSpaceDE w:val="0"/>
        <w:autoSpaceDN w:val="0"/>
        <w:adjustRightInd w:val="0"/>
        <w:spacing w:after="0" w:line="240" w:lineRule="auto"/>
        <w:rPr>
          <w:rFonts w:ascii="Arial" w:hAnsi="Arial" w:cs="Arial"/>
          <w:kern w:val="0"/>
          <w:sz w:val="22"/>
          <w:szCs w:val="22"/>
        </w:rPr>
      </w:pPr>
    </w:p>
    <w:p w14:paraId="489E195A" w14:textId="66300E1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British Medical Association (BMA). (2026) </w:t>
      </w:r>
      <w:r w:rsidRPr="00477F2E">
        <w:rPr>
          <w:rFonts w:ascii="Arial" w:hAnsi="Arial" w:cs="Arial"/>
          <w:i/>
          <w:iCs/>
          <w:kern w:val="0"/>
          <w:sz w:val="22"/>
          <w:szCs w:val="22"/>
        </w:rPr>
        <w:t>Children and young people's mental health services in England.</w:t>
      </w:r>
      <w:r w:rsidRPr="00477F2E">
        <w:rPr>
          <w:rFonts w:ascii="Arial" w:hAnsi="Arial" w:cs="Arial"/>
          <w:kern w:val="0"/>
          <w:sz w:val="22"/>
          <w:szCs w:val="22"/>
        </w:rPr>
        <w:t xml:space="preserve"> London: BMA.</w:t>
      </w:r>
    </w:p>
    <w:p w14:paraId="41B8C59C" w14:textId="77777777" w:rsidR="00563DA7"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w:t>
      </w:r>
    </w:p>
    <w:p w14:paraId="743F6D54" w14:textId="05A90F33"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lastRenderedPageBreak/>
        <w:t xml:space="preserve">Centre for Mental Health. (2026) </w:t>
      </w:r>
      <w:r w:rsidRPr="00477F2E">
        <w:rPr>
          <w:rFonts w:ascii="Arial" w:hAnsi="Arial" w:cs="Arial"/>
          <w:i/>
          <w:iCs/>
          <w:kern w:val="0"/>
          <w:sz w:val="22"/>
          <w:szCs w:val="22"/>
        </w:rPr>
        <w:t>Future minds report 2026: transforming support for young people.</w:t>
      </w:r>
      <w:r w:rsidRPr="00477F2E">
        <w:rPr>
          <w:rFonts w:ascii="Arial" w:hAnsi="Arial" w:cs="Arial"/>
          <w:kern w:val="0"/>
          <w:sz w:val="22"/>
          <w:szCs w:val="22"/>
        </w:rPr>
        <w:t xml:space="preserve"> London: Centre for Mental Health.</w:t>
      </w:r>
    </w:p>
    <w:p w14:paraId="40523556" w14:textId="7777777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Mind. (2025) </w:t>
      </w:r>
      <w:r w:rsidRPr="00477F2E">
        <w:rPr>
          <w:rFonts w:ascii="Arial" w:hAnsi="Arial" w:cs="Arial"/>
          <w:i/>
          <w:iCs/>
          <w:kern w:val="0"/>
          <w:sz w:val="22"/>
          <w:szCs w:val="22"/>
        </w:rPr>
        <w:t>Care before crisis: our report on young people's mental health.</w:t>
      </w:r>
      <w:r w:rsidRPr="00477F2E">
        <w:rPr>
          <w:rFonts w:ascii="Arial" w:hAnsi="Arial" w:cs="Arial"/>
          <w:kern w:val="0"/>
          <w:sz w:val="22"/>
          <w:szCs w:val="22"/>
        </w:rPr>
        <w:t xml:space="preserve"> London: Mind.</w:t>
      </w:r>
    </w:p>
    <w:p w14:paraId="401BEAEA" w14:textId="77777777" w:rsidR="0042496F" w:rsidRPr="00477F2E" w:rsidRDefault="0042496F" w:rsidP="0042144D">
      <w:pPr>
        <w:autoSpaceDE w:val="0"/>
        <w:autoSpaceDN w:val="0"/>
        <w:adjustRightInd w:val="0"/>
        <w:spacing w:after="0" w:line="240" w:lineRule="auto"/>
        <w:rPr>
          <w:rFonts w:ascii="Arial" w:hAnsi="Arial" w:cs="Arial"/>
          <w:kern w:val="0"/>
          <w:sz w:val="22"/>
          <w:szCs w:val="22"/>
        </w:rPr>
      </w:pPr>
    </w:p>
    <w:p w14:paraId="2CD50DF8" w14:textId="61818017"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w:t>
      </w:r>
      <w:proofErr w:type="spellStart"/>
      <w:r w:rsidRPr="00477F2E">
        <w:rPr>
          <w:rFonts w:ascii="Arial" w:hAnsi="Arial" w:cs="Arial"/>
          <w:kern w:val="0"/>
          <w:sz w:val="22"/>
          <w:szCs w:val="22"/>
        </w:rPr>
        <w:t>Sayal</w:t>
      </w:r>
      <w:proofErr w:type="spellEnd"/>
      <w:r w:rsidRPr="00477F2E">
        <w:rPr>
          <w:rFonts w:ascii="Arial" w:hAnsi="Arial" w:cs="Arial"/>
          <w:kern w:val="0"/>
          <w:sz w:val="22"/>
          <w:szCs w:val="22"/>
        </w:rPr>
        <w:t xml:space="preserve">, K., et al. (2026) 'Children and young people from deprived areas less likely to gain access to mental health care', </w:t>
      </w:r>
      <w:r w:rsidRPr="00477F2E">
        <w:rPr>
          <w:rFonts w:ascii="Arial" w:hAnsi="Arial" w:cs="Arial"/>
          <w:i/>
          <w:iCs/>
          <w:kern w:val="0"/>
          <w:sz w:val="22"/>
          <w:szCs w:val="22"/>
        </w:rPr>
        <w:t>The British Journal of Psychiatry</w:t>
      </w:r>
      <w:r w:rsidRPr="00477F2E">
        <w:rPr>
          <w:rFonts w:ascii="Arial" w:hAnsi="Arial" w:cs="Arial"/>
          <w:kern w:val="0"/>
          <w:sz w:val="22"/>
          <w:szCs w:val="22"/>
        </w:rPr>
        <w:t>, 228(4), pp. 112–118.</w:t>
      </w:r>
    </w:p>
    <w:p w14:paraId="217C614E" w14:textId="77777777" w:rsidR="0042496F" w:rsidRPr="00477F2E" w:rsidRDefault="0042496F" w:rsidP="0042144D">
      <w:pPr>
        <w:autoSpaceDE w:val="0"/>
        <w:autoSpaceDN w:val="0"/>
        <w:adjustRightInd w:val="0"/>
        <w:spacing w:after="0" w:line="240" w:lineRule="auto"/>
        <w:rPr>
          <w:rFonts w:ascii="Arial" w:hAnsi="Arial" w:cs="Arial"/>
          <w:kern w:val="0"/>
          <w:sz w:val="22"/>
          <w:szCs w:val="22"/>
        </w:rPr>
      </w:pPr>
    </w:p>
    <w:p w14:paraId="0485A1E3" w14:textId="0A0FF6D1" w:rsidR="0042144D" w:rsidRPr="00477F2E" w:rsidRDefault="0042144D" w:rsidP="0042144D">
      <w:pPr>
        <w:autoSpaceDE w:val="0"/>
        <w:autoSpaceDN w:val="0"/>
        <w:adjustRightInd w:val="0"/>
        <w:spacing w:after="0" w:line="240" w:lineRule="auto"/>
        <w:rPr>
          <w:rFonts w:ascii="Arial" w:hAnsi="Arial" w:cs="Arial"/>
          <w:kern w:val="0"/>
          <w:sz w:val="22"/>
          <w:szCs w:val="22"/>
        </w:rPr>
      </w:pPr>
      <w:r w:rsidRPr="00477F2E">
        <w:rPr>
          <w:rFonts w:ascii="Arial" w:hAnsi="Arial" w:cs="Arial"/>
          <w:kern w:val="0"/>
          <w:sz w:val="22"/>
          <w:szCs w:val="22"/>
        </w:rPr>
        <w:t xml:space="preserve"> </w:t>
      </w:r>
      <w:proofErr w:type="spellStart"/>
      <w:r w:rsidRPr="00477F2E">
        <w:rPr>
          <w:rFonts w:ascii="Arial" w:hAnsi="Arial" w:cs="Arial"/>
          <w:kern w:val="0"/>
          <w:sz w:val="22"/>
          <w:szCs w:val="22"/>
        </w:rPr>
        <w:t>Spyridonis</w:t>
      </w:r>
      <w:proofErr w:type="spellEnd"/>
      <w:r w:rsidRPr="00477F2E">
        <w:rPr>
          <w:rFonts w:ascii="Arial" w:hAnsi="Arial" w:cs="Arial"/>
          <w:kern w:val="0"/>
          <w:sz w:val="22"/>
          <w:szCs w:val="22"/>
        </w:rPr>
        <w:t xml:space="preserve">, F., et al. (2022) 'The lasting effects of the Covid-19 pandemic on healthcare infrastructures', </w:t>
      </w:r>
      <w:r w:rsidRPr="00477F2E">
        <w:rPr>
          <w:rFonts w:ascii="Arial" w:hAnsi="Arial" w:cs="Arial"/>
          <w:i/>
          <w:iCs/>
          <w:kern w:val="0"/>
          <w:sz w:val="22"/>
          <w:szCs w:val="22"/>
        </w:rPr>
        <w:t>Journal of Health and Social Care Management</w:t>
      </w:r>
      <w:r w:rsidRPr="00477F2E">
        <w:rPr>
          <w:rFonts w:ascii="Arial" w:hAnsi="Arial" w:cs="Arial"/>
          <w:kern w:val="0"/>
          <w:sz w:val="22"/>
          <w:szCs w:val="22"/>
        </w:rPr>
        <w:t>, 14(2), pp. 45–52.</w:t>
      </w:r>
    </w:p>
    <w:p w14:paraId="4ECA24DD" w14:textId="77777777" w:rsidR="0042496F" w:rsidRPr="00477F2E" w:rsidRDefault="0042496F" w:rsidP="0042144D">
      <w:pPr>
        <w:rPr>
          <w:rFonts w:ascii="Arial" w:hAnsi="Arial" w:cs="Arial"/>
          <w:kern w:val="0"/>
          <w:sz w:val="22"/>
          <w:szCs w:val="22"/>
        </w:rPr>
      </w:pPr>
    </w:p>
    <w:p w14:paraId="6CA81483" w14:textId="789A3402" w:rsidR="0076222F" w:rsidRPr="00477F2E" w:rsidRDefault="0042144D" w:rsidP="0042144D">
      <w:pPr>
        <w:rPr>
          <w:rFonts w:ascii="Arial" w:hAnsi="Arial" w:cs="Arial"/>
          <w:sz w:val="22"/>
          <w:szCs w:val="22"/>
        </w:rPr>
      </w:pPr>
      <w:r w:rsidRPr="00477F2E">
        <w:rPr>
          <w:rFonts w:ascii="Arial" w:hAnsi="Arial" w:cs="Arial"/>
          <w:kern w:val="0"/>
          <w:sz w:val="22"/>
          <w:szCs w:val="22"/>
        </w:rPr>
        <w:t xml:space="preserve"> Watson, E., et al. (2026) 'Barriers and facilitators to implementing social prescribing in child and adolescent mental health services: a qualitative analysis', </w:t>
      </w:r>
      <w:proofErr w:type="spellStart"/>
      <w:r w:rsidRPr="00477F2E">
        <w:rPr>
          <w:rFonts w:ascii="Arial" w:hAnsi="Arial" w:cs="Arial"/>
          <w:i/>
          <w:iCs/>
          <w:kern w:val="0"/>
          <w:sz w:val="22"/>
          <w:szCs w:val="22"/>
        </w:rPr>
        <w:t>medRxiv</w:t>
      </w:r>
      <w:proofErr w:type="spellEnd"/>
      <w:r w:rsidRPr="00477F2E">
        <w:rPr>
          <w:rFonts w:ascii="Arial" w:hAnsi="Arial" w:cs="Arial"/>
          <w:i/>
          <w:iCs/>
          <w:kern w:val="0"/>
          <w:sz w:val="22"/>
          <w:szCs w:val="22"/>
        </w:rPr>
        <w:t xml:space="preserve"> preprint</w:t>
      </w:r>
      <w:r w:rsidRPr="00477F2E">
        <w:rPr>
          <w:rFonts w:ascii="Arial" w:hAnsi="Arial" w:cs="Arial"/>
          <w:kern w:val="0"/>
          <w:sz w:val="22"/>
          <w:szCs w:val="22"/>
        </w:rPr>
        <w:t>. doi:10.64898/2026.04.29.26349161.</w:t>
      </w:r>
    </w:p>
    <w:sectPr w:rsidR="0076222F" w:rsidRPr="00477F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EAA"/>
    <w:rsid w:val="00002DDB"/>
    <w:rsid w:val="000A1139"/>
    <w:rsid w:val="00114F72"/>
    <w:rsid w:val="00115A34"/>
    <w:rsid w:val="0029139C"/>
    <w:rsid w:val="00295E47"/>
    <w:rsid w:val="003149CE"/>
    <w:rsid w:val="003250B0"/>
    <w:rsid w:val="00381BA2"/>
    <w:rsid w:val="003A30AB"/>
    <w:rsid w:val="003A4F1F"/>
    <w:rsid w:val="003B0024"/>
    <w:rsid w:val="0042144D"/>
    <w:rsid w:val="0042496F"/>
    <w:rsid w:val="00477F2E"/>
    <w:rsid w:val="004B3EAA"/>
    <w:rsid w:val="00563DA7"/>
    <w:rsid w:val="00587AA5"/>
    <w:rsid w:val="0076222F"/>
    <w:rsid w:val="007875EF"/>
    <w:rsid w:val="00900E36"/>
    <w:rsid w:val="00940448"/>
    <w:rsid w:val="009A5972"/>
    <w:rsid w:val="00A2386C"/>
    <w:rsid w:val="00A24258"/>
    <w:rsid w:val="00B438EB"/>
    <w:rsid w:val="00C46923"/>
    <w:rsid w:val="00CC37CF"/>
    <w:rsid w:val="00CC53BD"/>
    <w:rsid w:val="00CE3902"/>
    <w:rsid w:val="00E95391"/>
    <w:rsid w:val="00EF2F33"/>
    <w:rsid w:val="00F411C8"/>
    <w:rsid w:val="00F85F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5A5184F"/>
  <w15:chartTrackingRefBased/>
  <w15:docId w15:val="{66CF8055-16D8-FE49-B407-CC877365E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3EA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3E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3E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3E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3E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3E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3E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3E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3E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3EA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3E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3E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3E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3E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3E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3E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3E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3EAA"/>
    <w:rPr>
      <w:rFonts w:eastAsiaTheme="majorEastAsia" w:cstheme="majorBidi"/>
      <w:color w:val="272727" w:themeColor="text1" w:themeTint="D8"/>
    </w:rPr>
  </w:style>
  <w:style w:type="paragraph" w:styleId="Title">
    <w:name w:val="Title"/>
    <w:basedOn w:val="Normal"/>
    <w:next w:val="Normal"/>
    <w:link w:val="TitleChar"/>
    <w:uiPriority w:val="10"/>
    <w:qFormat/>
    <w:rsid w:val="004B3E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3E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3E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3E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3EAA"/>
    <w:pPr>
      <w:spacing w:before="160"/>
      <w:jc w:val="center"/>
    </w:pPr>
    <w:rPr>
      <w:i/>
      <w:iCs/>
      <w:color w:val="404040" w:themeColor="text1" w:themeTint="BF"/>
    </w:rPr>
  </w:style>
  <w:style w:type="character" w:customStyle="1" w:styleId="QuoteChar">
    <w:name w:val="Quote Char"/>
    <w:basedOn w:val="DefaultParagraphFont"/>
    <w:link w:val="Quote"/>
    <w:uiPriority w:val="29"/>
    <w:rsid w:val="004B3EAA"/>
    <w:rPr>
      <w:i/>
      <w:iCs/>
      <w:color w:val="404040" w:themeColor="text1" w:themeTint="BF"/>
    </w:rPr>
  </w:style>
  <w:style w:type="paragraph" w:styleId="ListParagraph">
    <w:name w:val="List Paragraph"/>
    <w:basedOn w:val="Normal"/>
    <w:uiPriority w:val="34"/>
    <w:qFormat/>
    <w:rsid w:val="004B3EAA"/>
    <w:pPr>
      <w:ind w:left="720"/>
      <w:contextualSpacing/>
    </w:pPr>
  </w:style>
  <w:style w:type="character" w:styleId="IntenseEmphasis">
    <w:name w:val="Intense Emphasis"/>
    <w:basedOn w:val="DefaultParagraphFont"/>
    <w:uiPriority w:val="21"/>
    <w:qFormat/>
    <w:rsid w:val="004B3EAA"/>
    <w:rPr>
      <w:i/>
      <w:iCs/>
      <w:color w:val="0F4761" w:themeColor="accent1" w:themeShade="BF"/>
    </w:rPr>
  </w:style>
  <w:style w:type="paragraph" w:styleId="IntenseQuote">
    <w:name w:val="Intense Quote"/>
    <w:basedOn w:val="Normal"/>
    <w:next w:val="Normal"/>
    <w:link w:val="IntenseQuoteChar"/>
    <w:uiPriority w:val="30"/>
    <w:qFormat/>
    <w:rsid w:val="004B3E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3EAA"/>
    <w:rPr>
      <w:i/>
      <w:iCs/>
      <w:color w:val="0F4761" w:themeColor="accent1" w:themeShade="BF"/>
    </w:rPr>
  </w:style>
  <w:style w:type="character" w:styleId="IntenseReference">
    <w:name w:val="Intense Reference"/>
    <w:basedOn w:val="DefaultParagraphFont"/>
    <w:uiPriority w:val="32"/>
    <w:qFormat/>
    <w:rsid w:val="004B3EA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TotalTime>
  <Pages>9</Pages>
  <Words>4777</Words>
  <Characters>27229</Characters>
  <Application>Microsoft Office Word</Application>
  <DocSecurity>0</DocSecurity>
  <Lines>226</Lines>
  <Paragraphs>63</Paragraphs>
  <ScaleCrop>false</ScaleCrop>
  <Company/>
  <LinksUpToDate>false</LinksUpToDate>
  <CharactersWithSpaces>31943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Fofana Fofana (2407525)</dc:creator>
  <cp:keywords/>
  <dc:description/>
  <cp:lastModifiedBy>Amie Fofana Fofana (2407525)</cp:lastModifiedBy>
  <cp:revision>33</cp:revision>
  <dcterms:created xsi:type="dcterms:W3CDTF">2026-07-20T12:51:00Z</dcterms:created>
  <dcterms:modified xsi:type="dcterms:W3CDTF">2026-07-20T14:00:00Z</dcterms:modified>
</cp:coreProperties>
</file>