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6309" w:rsidRPr="00FE7642" w:rsidRDefault="00666309" w:rsidP="00666309">
      <w:pPr>
        <w:rPr>
          <w:rFonts w:cs="Arial"/>
          <w:b/>
          <w:sz w:val="32"/>
          <w:szCs w:val="32"/>
        </w:rPr>
      </w:pPr>
    </w:p>
    <w:p w:rsidR="00CA12DC" w:rsidRPr="00FE7642" w:rsidRDefault="00E62475" w:rsidP="00CA12DC">
      <w:pPr>
        <w:jc w:val="center"/>
        <w:rPr>
          <w:rFonts w:cs="Arial"/>
          <w:b/>
          <w:sz w:val="32"/>
          <w:szCs w:val="32"/>
        </w:rPr>
      </w:pPr>
      <w:r w:rsidRPr="00FE7642">
        <w:rPr>
          <w:rFonts w:cs="Arial"/>
          <w:b/>
          <w:sz w:val="32"/>
          <w:szCs w:val="32"/>
        </w:rPr>
        <w:t>UNIVERSITY OF WALES TRINITY SAINT DAVID</w:t>
      </w:r>
    </w:p>
    <w:p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rsidR="00CA12DC" w:rsidRPr="00FE7642" w:rsidRDefault="00CA12DC" w:rsidP="00CA12DC">
      <w:pPr>
        <w:jc w:val="center"/>
        <w:rPr>
          <w:rFonts w:cs="Arial"/>
          <w:b/>
          <w:sz w:val="32"/>
          <w:szCs w:val="32"/>
        </w:rPr>
      </w:pPr>
      <w:r w:rsidRPr="00FE7642">
        <w:rPr>
          <w:rFonts w:cs="Arial"/>
          <w:b/>
          <w:sz w:val="32"/>
          <w:szCs w:val="32"/>
        </w:rPr>
        <w:t>FOR RECOGNITION BY THE HEA AGAINST THE</w:t>
      </w:r>
    </w:p>
    <w:p w:rsidR="00CA12DC" w:rsidRPr="00FE7642" w:rsidRDefault="00CA12DC" w:rsidP="00CA12DC">
      <w:pPr>
        <w:jc w:val="center"/>
        <w:rPr>
          <w:rFonts w:cs="Arial"/>
          <w:b/>
          <w:sz w:val="32"/>
          <w:szCs w:val="32"/>
        </w:rPr>
      </w:pPr>
      <w:r w:rsidRPr="00FE7642">
        <w:rPr>
          <w:rFonts w:cs="Arial"/>
          <w:b/>
          <w:sz w:val="32"/>
          <w:szCs w:val="32"/>
        </w:rPr>
        <w:t>UK PROFESSIONAL STANDARDS FRAMEWORK</w:t>
      </w:r>
    </w:p>
    <w:p w:rsidR="00CA12DC" w:rsidRPr="00FE7642" w:rsidRDefault="00CA12DC" w:rsidP="00CA12DC">
      <w:pPr>
        <w:jc w:val="center"/>
        <w:rPr>
          <w:rFonts w:cs="Arial"/>
          <w:b/>
          <w:sz w:val="32"/>
          <w:szCs w:val="32"/>
        </w:rPr>
      </w:pPr>
    </w:p>
    <w:p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rsidR="00CA12DC" w:rsidRPr="00FE7642" w:rsidRDefault="00CA12DC" w:rsidP="00CA12DC">
      <w:pPr>
        <w:rPr>
          <w:rFonts w:cs="Arial"/>
          <w:sz w:val="24"/>
          <w:szCs w:val="24"/>
        </w:rPr>
      </w:pPr>
    </w:p>
    <w:p w:rsidR="00CA12DC" w:rsidRPr="00FE7642" w:rsidRDefault="00CA12DC" w:rsidP="00CA12DC">
      <w:pPr>
        <w:rPr>
          <w:rFonts w:cs="Arial"/>
          <w:b/>
          <w:sz w:val="32"/>
          <w:szCs w:val="32"/>
          <w:u w:val="single"/>
        </w:rPr>
      </w:pPr>
      <w:r w:rsidRPr="00FE7642">
        <w:rPr>
          <w:rFonts w:cs="Arial"/>
          <w:b/>
          <w:sz w:val="32"/>
          <w:szCs w:val="32"/>
          <w:u w:val="single"/>
        </w:rPr>
        <w:t>SECTION ONE:</w:t>
      </w:r>
    </w:p>
    <w:p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rsidTr="001C6B3E">
        <w:tc>
          <w:tcPr>
            <w:tcW w:w="5353" w:type="dxa"/>
          </w:tcPr>
          <w:p w:rsidR="00CA12DC" w:rsidRPr="00FE7642" w:rsidRDefault="00CA12DC" w:rsidP="000F1367">
            <w:pPr>
              <w:rPr>
                <w:rFonts w:cs="Arial"/>
                <w:b/>
                <w:sz w:val="24"/>
                <w:szCs w:val="24"/>
              </w:rPr>
            </w:pPr>
            <w:r w:rsidRPr="00FE7642">
              <w:rPr>
                <w:rFonts w:cs="Arial"/>
                <w:b/>
                <w:sz w:val="24"/>
                <w:szCs w:val="24"/>
              </w:rPr>
              <w:t>NAME</w:t>
            </w:r>
          </w:p>
        </w:tc>
        <w:tc>
          <w:tcPr>
            <w:tcW w:w="5387" w:type="dxa"/>
          </w:tcPr>
          <w:p w:rsidR="00CA12DC" w:rsidRPr="00FE7642" w:rsidRDefault="0077291C" w:rsidP="000F1367">
            <w:pPr>
              <w:rPr>
                <w:rFonts w:cs="Arial"/>
                <w:sz w:val="24"/>
                <w:szCs w:val="24"/>
              </w:rPr>
            </w:pPr>
            <w:r>
              <w:rPr>
                <w:rFonts w:cs="Arial"/>
                <w:sz w:val="24"/>
                <w:szCs w:val="24"/>
              </w:rPr>
              <w:t>Sam Lloyd-Parry</w:t>
            </w:r>
          </w:p>
          <w:p w:rsidR="00CA12DC" w:rsidRPr="00FE7642" w:rsidRDefault="00CA12DC" w:rsidP="000F1367">
            <w:pPr>
              <w:rPr>
                <w:rFonts w:cs="Arial"/>
                <w:sz w:val="24"/>
                <w:szCs w:val="24"/>
              </w:rPr>
            </w:pPr>
          </w:p>
        </w:tc>
      </w:tr>
      <w:tr w:rsidR="00CA12DC" w:rsidRPr="00FE7642" w:rsidTr="001C6B3E">
        <w:tc>
          <w:tcPr>
            <w:tcW w:w="5353" w:type="dxa"/>
          </w:tcPr>
          <w:p w:rsidR="000E3A5B" w:rsidRPr="00FE7642" w:rsidRDefault="00CA12DC" w:rsidP="000F1367">
            <w:pPr>
              <w:rPr>
                <w:rFonts w:cs="Arial"/>
                <w:b/>
                <w:sz w:val="24"/>
                <w:szCs w:val="24"/>
              </w:rPr>
            </w:pPr>
            <w:r w:rsidRPr="00FE7642">
              <w:rPr>
                <w:rFonts w:cs="Arial"/>
                <w:b/>
                <w:sz w:val="24"/>
                <w:szCs w:val="24"/>
              </w:rPr>
              <w:t>FACULTY/CENTRE/SCHOOL/</w:t>
            </w:r>
          </w:p>
          <w:p w:rsidR="00CA12DC" w:rsidRPr="00FE7642" w:rsidRDefault="00CA12DC" w:rsidP="000F1367">
            <w:pPr>
              <w:rPr>
                <w:rFonts w:cs="Arial"/>
                <w:b/>
                <w:sz w:val="24"/>
                <w:szCs w:val="24"/>
              </w:rPr>
            </w:pPr>
            <w:r w:rsidRPr="00FE7642">
              <w:rPr>
                <w:rFonts w:cs="Arial"/>
                <w:b/>
                <w:sz w:val="24"/>
                <w:szCs w:val="24"/>
              </w:rPr>
              <w:t>DEPARTMENT</w:t>
            </w:r>
          </w:p>
        </w:tc>
        <w:tc>
          <w:tcPr>
            <w:tcW w:w="5387" w:type="dxa"/>
          </w:tcPr>
          <w:p w:rsidR="00CA12DC" w:rsidRDefault="0077291C" w:rsidP="000F1367">
            <w:pPr>
              <w:rPr>
                <w:rFonts w:cs="Arial"/>
                <w:sz w:val="24"/>
                <w:szCs w:val="24"/>
              </w:rPr>
            </w:pPr>
            <w:r>
              <w:rPr>
                <w:rFonts w:cs="Arial"/>
                <w:sz w:val="24"/>
                <w:szCs w:val="24"/>
              </w:rPr>
              <w:t xml:space="preserve">Coleg Sir </w:t>
            </w:r>
            <w:proofErr w:type="spellStart"/>
            <w:r>
              <w:rPr>
                <w:rFonts w:cs="Arial"/>
                <w:sz w:val="24"/>
                <w:szCs w:val="24"/>
              </w:rPr>
              <w:t>Gâr</w:t>
            </w:r>
            <w:proofErr w:type="spellEnd"/>
          </w:p>
          <w:p w:rsidR="0077291C" w:rsidRPr="00FE7642" w:rsidRDefault="0077291C" w:rsidP="000F1367">
            <w:pPr>
              <w:rPr>
                <w:rFonts w:cs="Arial"/>
                <w:sz w:val="24"/>
                <w:szCs w:val="24"/>
              </w:rPr>
            </w:pPr>
            <w:r>
              <w:rPr>
                <w:rFonts w:cs="Arial"/>
                <w:sz w:val="24"/>
                <w:szCs w:val="24"/>
              </w:rPr>
              <w:t xml:space="preserve">School of Social Justice and Inclusion </w:t>
            </w:r>
            <w:proofErr w:type="spellStart"/>
            <w:r>
              <w:rPr>
                <w:rFonts w:cs="Arial"/>
                <w:sz w:val="24"/>
                <w:szCs w:val="24"/>
              </w:rPr>
              <w:t>Yr</w:t>
            </w:r>
            <w:proofErr w:type="spellEnd"/>
            <w:r>
              <w:rPr>
                <w:rFonts w:cs="Arial"/>
                <w:sz w:val="24"/>
                <w:szCs w:val="24"/>
              </w:rPr>
              <w:t xml:space="preserve"> </w:t>
            </w:r>
            <w:proofErr w:type="spellStart"/>
            <w:r>
              <w:rPr>
                <w:rFonts w:cs="Arial"/>
                <w:sz w:val="24"/>
                <w:szCs w:val="24"/>
              </w:rPr>
              <w:t>Arthrofa</w:t>
            </w:r>
            <w:proofErr w:type="spellEnd"/>
          </w:p>
          <w:p w:rsidR="00CA12DC" w:rsidRPr="00FE7642" w:rsidRDefault="00CA12DC" w:rsidP="000F1367">
            <w:pPr>
              <w:rPr>
                <w:rFonts w:cs="Arial"/>
                <w:sz w:val="24"/>
                <w:szCs w:val="24"/>
              </w:rPr>
            </w:pPr>
          </w:p>
        </w:tc>
      </w:tr>
      <w:tr w:rsidR="00CA12DC" w:rsidRPr="00FE7642" w:rsidTr="001C6B3E">
        <w:tc>
          <w:tcPr>
            <w:tcW w:w="5353" w:type="dxa"/>
          </w:tcPr>
          <w:p w:rsidR="00CA12DC" w:rsidRPr="00FE7642" w:rsidRDefault="00CA12DC" w:rsidP="000F1367">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Lecturer/Head of School/Other</w:t>
            </w:r>
            <w:r w:rsidR="000E3A5B" w:rsidRPr="00FE7642">
              <w:rPr>
                <w:rFonts w:cs="Arial"/>
                <w:sz w:val="24"/>
                <w:szCs w:val="24"/>
              </w:rPr>
              <w:t xml:space="preserve"> </w:t>
            </w:r>
            <w:r w:rsidR="000E3A5B" w:rsidRPr="00FE7642">
              <w:rPr>
                <w:rFonts w:cs="Arial"/>
                <w:sz w:val="20"/>
                <w:szCs w:val="20"/>
              </w:rPr>
              <w:t>(please specify)</w:t>
            </w:r>
          </w:p>
          <w:p w:rsidR="00CA12DC" w:rsidRPr="00FE7642" w:rsidRDefault="00CA12DC" w:rsidP="000F1367">
            <w:pPr>
              <w:rPr>
                <w:rFonts w:cs="Arial"/>
                <w:b/>
                <w:sz w:val="24"/>
                <w:szCs w:val="24"/>
              </w:rPr>
            </w:pPr>
          </w:p>
        </w:tc>
        <w:tc>
          <w:tcPr>
            <w:tcW w:w="5387" w:type="dxa"/>
          </w:tcPr>
          <w:p w:rsidR="00CA12DC" w:rsidRPr="00FE7642" w:rsidRDefault="00CA12DC" w:rsidP="000F1367">
            <w:pPr>
              <w:rPr>
                <w:rFonts w:cs="Arial"/>
                <w:sz w:val="24"/>
                <w:szCs w:val="24"/>
              </w:rPr>
            </w:pPr>
          </w:p>
          <w:p w:rsidR="00CA12DC" w:rsidRPr="00FE7642" w:rsidRDefault="0077291C" w:rsidP="000F1367">
            <w:pPr>
              <w:rPr>
                <w:rFonts w:cs="Arial"/>
                <w:sz w:val="24"/>
                <w:szCs w:val="24"/>
              </w:rPr>
            </w:pPr>
            <w:r>
              <w:rPr>
                <w:rFonts w:cs="Arial"/>
                <w:sz w:val="24"/>
                <w:szCs w:val="24"/>
              </w:rPr>
              <w:t>Lecturer</w:t>
            </w:r>
          </w:p>
        </w:tc>
      </w:tr>
      <w:tr w:rsidR="00CA12DC" w:rsidRPr="00FE7642" w:rsidTr="001C6B3E">
        <w:tc>
          <w:tcPr>
            <w:tcW w:w="5353" w:type="dxa"/>
          </w:tcPr>
          <w:p w:rsidR="00CA12DC" w:rsidRPr="00FE7642" w:rsidRDefault="00CA12DC" w:rsidP="000F1367">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rsidR="00CA12DC" w:rsidRPr="00FE7642" w:rsidRDefault="00CA12DC" w:rsidP="000F1367">
            <w:pPr>
              <w:rPr>
                <w:rFonts w:cs="Arial"/>
                <w:b/>
                <w:sz w:val="24"/>
                <w:szCs w:val="24"/>
              </w:rPr>
            </w:pPr>
          </w:p>
        </w:tc>
        <w:tc>
          <w:tcPr>
            <w:tcW w:w="5387" w:type="dxa"/>
          </w:tcPr>
          <w:p w:rsidR="00CA12DC" w:rsidRPr="00FE7642" w:rsidRDefault="00CA12DC" w:rsidP="000F1367">
            <w:pPr>
              <w:rPr>
                <w:rFonts w:cs="Arial"/>
                <w:sz w:val="24"/>
                <w:szCs w:val="24"/>
              </w:rPr>
            </w:pPr>
          </w:p>
          <w:p w:rsidR="00CA12DC" w:rsidRPr="00FE7642" w:rsidRDefault="0077291C" w:rsidP="000F1367">
            <w:pPr>
              <w:rPr>
                <w:rFonts w:cs="Arial"/>
                <w:sz w:val="24"/>
                <w:szCs w:val="24"/>
              </w:rPr>
            </w:pPr>
            <w:r>
              <w:rPr>
                <w:rFonts w:cs="Arial"/>
                <w:sz w:val="24"/>
                <w:szCs w:val="24"/>
              </w:rPr>
              <w:t>Programme Director</w:t>
            </w:r>
          </w:p>
        </w:tc>
      </w:tr>
      <w:tr w:rsidR="00CA12DC" w:rsidRPr="00FE7642" w:rsidTr="001C6B3E">
        <w:tc>
          <w:tcPr>
            <w:tcW w:w="5353" w:type="dxa"/>
          </w:tcPr>
          <w:p w:rsidR="00CA12DC" w:rsidRPr="00FE7642" w:rsidRDefault="00E452F4" w:rsidP="000F1367">
            <w:pPr>
              <w:rPr>
                <w:rFonts w:cs="Arial"/>
                <w:b/>
                <w:sz w:val="24"/>
                <w:szCs w:val="24"/>
              </w:rPr>
            </w:pPr>
            <w:r>
              <w:rPr>
                <w:rFonts w:cs="Arial"/>
                <w:b/>
                <w:sz w:val="24"/>
                <w:szCs w:val="24"/>
              </w:rPr>
              <w:t>LENGTH OF SERVICE AT UWTSD</w:t>
            </w:r>
          </w:p>
          <w:p w:rsidR="00CA12DC" w:rsidRPr="00FE7642" w:rsidRDefault="00CA12DC" w:rsidP="000F1367">
            <w:pPr>
              <w:rPr>
                <w:rFonts w:cs="Arial"/>
                <w:b/>
                <w:sz w:val="24"/>
                <w:szCs w:val="24"/>
              </w:rPr>
            </w:pPr>
            <w:r w:rsidRPr="00FE7642">
              <w:rPr>
                <w:rFonts w:cs="Arial"/>
                <w:b/>
                <w:sz w:val="24"/>
                <w:szCs w:val="24"/>
              </w:rPr>
              <w:t>(Applicants must have at least one year’s service to evidence a CPD record)</w:t>
            </w:r>
          </w:p>
          <w:p w:rsidR="00CA12DC" w:rsidRPr="00FE7642" w:rsidRDefault="00CA12DC" w:rsidP="000F1367">
            <w:pPr>
              <w:rPr>
                <w:rFonts w:cs="Arial"/>
                <w:b/>
                <w:sz w:val="24"/>
                <w:szCs w:val="24"/>
              </w:rPr>
            </w:pPr>
          </w:p>
        </w:tc>
        <w:tc>
          <w:tcPr>
            <w:tcW w:w="5387" w:type="dxa"/>
          </w:tcPr>
          <w:p w:rsidR="00CA12DC" w:rsidRPr="00FE7642" w:rsidRDefault="00CA12DC" w:rsidP="000F1367">
            <w:pPr>
              <w:rPr>
                <w:rFonts w:cs="Arial"/>
                <w:b/>
                <w:sz w:val="24"/>
                <w:szCs w:val="24"/>
              </w:rPr>
            </w:pPr>
            <w:r w:rsidRPr="00FE7642">
              <w:rPr>
                <w:rFonts w:cs="Arial"/>
                <w:b/>
                <w:sz w:val="24"/>
                <w:szCs w:val="24"/>
              </w:rPr>
              <w:t>YEARS:</w:t>
            </w:r>
            <w:r w:rsidRPr="00FE7642">
              <w:rPr>
                <w:rFonts w:cs="Arial"/>
                <w:sz w:val="24"/>
                <w:szCs w:val="24"/>
              </w:rPr>
              <w:t xml:space="preserve">                 </w:t>
            </w:r>
            <w:r w:rsidRPr="00FE7642">
              <w:rPr>
                <w:rFonts w:cs="Arial"/>
                <w:b/>
                <w:sz w:val="24"/>
                <w:szCs w:val="24"/>
              </w:rPr>
              <w:t>MONTHS:</w:t>
            </w:r>
          </w:p>
          <w:p w:rsidR="00CA12DC" w:rsidRPr="00FE7642" w:rsidRDefault="0077291C" w:rsidP="000F1367">
            <w:pPr>
              <w:rPr>
                <w:rFonts w:cs="Arial"/>
                <w:sz w:val="24"/>
                <w:szCs w:val="24"/>
              </w:rPr>
            </w:pPr>
            <w:r>
              <w:rPr>
                <w:rFonts w:cs="Arial"/>
                <w:sz w:val="24"/>
                <w:szCs w:val="24"/>
              </w:rPr>
              <w:t>7                              8</w:t>
            </w:r>
          </w:p>
        </w:tc>
      </w:tr>
    </w:tbl>
    <w:p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rsidTr="001C6B3E">
        <w:tc>
          <w:tcPr>
            <w:tcW w:w="10740" w:type="dxa"/>
          </w:tcPr>
          <w:p w:rsidR="000E3A5B" w:rsidRPr="00FE7642" w:rsidRDefault="000E3A5B" w:rsidP="0056012A">
            <w:pPr>
              <w:rPr>
                <w:rFonts w:cs="Arial"/>
                <w:b/>
                <w:sz w:val="24"/>
                <w:szCs w:val="24"/>
              </w:rPr>
            </w:pPr>
          </w:p>
          <w:p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rsidR="00A87D25" w:rsidRPr="00FE7642" w:rsidRDefault="00A87D25" w:rsidP="000E3A5B">
            <w:pPr>
              <w:jc w:val="center"/>
              <w:rPr>
                <w:rFonts w:cs="Arial"/>
                <w:b/>
                <w:sz w:val="24"/>
                <w:szCs w:val="24"/>
                <w:u w:val="single"/>
              </w:rPr>
            </w:pPr>
          </w:p>
          <w:p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rsidR="00A87D25" w:rsidRPr="00FE7642" w:rsidRDefault="00A87D25" w:rsidP="00A87D25">
            <w:pPr>
              <w:rPr>
                <w:rFonts w:cs="Arial"/>
                <w:sz w:val="24"/>
                <w:szCs w:val="24"/>
              </w:rPr>
            </w:pPr>
          </w:p>
          <w:p w:rsidR="00A87D25" w:rsidRPr="00FE7642" w:rsidRDefault="00A87D25" w:rsidP="00A87D25">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p w:rsidR="00A87D25" w:rsidRPr="00FE7642" w:rsidRDefault="00A87D25" w:rsidP="00A87D25">
            <w:pPr>
              <w:rPr>
                <w:rFonts w:cs="Arial"/>
                <w:sz w:val="24"/>
                <w:szCs w:val="24"/>
              </w:rPr>
            </w:pPr>
          </w:p>
          <w:p w:rsidR="000E3A5B" w:rsidRPr="00FE7642" w:rsidRDefault="000E3A5B" w:rsidP="000F1367">
            <w:pPr>
              <w:jc w:val="center"/>
              <w:rPr>
                <w:rFonts w:cs="Arial"/>
                <w:sz w:val="24"/>
                <w:szCs w:val="24"/>
              </w:rPr>
            </w:pPr>
          </w:p>
        </w:tc>
      </w:tr>
    </w:tbl>
    <w:p w:rsidR="001C6B3E" w:rsidRPr="00FE7642" w:rsidRDefault="001C6B3E">
      <w:pPr>
        <w:rPr>
          <w:rFonts w:cs="Arial"/>
        </w:rPr>
      </w:pPr>
    </w:p>
    <w:p w:rsidR="001C6B3E" w:rsidRDefault="001C6B3E">
      <w:pPr>
        <w:rPr>
          <w:rFonts w:cs="Arial"/>
        </w:rPr>
      </w:pPr>
    </w:p>
    <w:p w:rsidR="00FE7642" w:rsidRDefault="00FE7642">
      <w:pPr>
        <w:rPr>
          <w:rFonts w:cs="Arial"/>
        </w:rPr>
      </w:pPr>
    </w:p>
    <w:p w:rsidR="00FE7642" w:rsidRDefault="00FE7642">
      <w:pPr>
        <w:rPr>
          <w:rFonts w:cs="Arial"/>
        </w:rPr>
      </w:pPr>
    </w:p>
    <w:p w:rsidR="00FE7642" w:rsidRDefault="00FE7642">
      <w:pPr>
        <w:rPr>
          <w:rFonts w:cs="Arial"/>
        </w:rPr>
      </w:pPr>
    </w:p>
    <w:p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rsidTr="001C6B3E">
        <w:tc>
          <w:tcPr>
            <w:tcW w:w="10740" w:type="dxa"/>
          </w:tcPr>
          <w:p w:rsidR="000E3A5B" w:rsidRPr="00FE7642" w:rsidRDefault="000E3A5B" w:rsidP="00407E26">
            <w:pPr>
              <w:jc w:val="both"/>
              <w:rPr>
                <w:rFonts w:cs="Arial"/>
                <w:b/>
                <w:sz w:val="24"/>
                <w:szCs w:val="24"/>
              </w:rPr>
            </w:pPr>
          </w:p>
          <w:p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rsidR="000E3A5B" w:rsidRPr="00FE7642" w:rsidRDefault="000E3A5B" w:rsidP="00407E26">
            <w:pPr>
              <w:jc w:val="both"/>
              <w:rPr>
                <w:rFonts w:cs="Arial"/>
                <w:sz w:val="24"/>
                <w:szCs w:val="24"/>
              </w:rPr>
            </w:pPr>
          </w:p>
          <w:p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rsidR="00C86610" w:rsidRPr="00FE7642" w:rsidRDefault="00C86610" w:rsidP="00407E26">
            <w:pPr>
              <w:pStyle w:val="ListParagraph"/>
              <w:spacing w:after="0" w:line="240" w:lineRule="auto"/>
              <w:jc w:val="both"/>
              <w:rPr>
                <w:rFonts w:ascii="Arial" w:hAnsi="Arial" w:cs="Arial"/>
                <w:b/>
                <w:sz w:val="24"/>
                <w:szCs w:val="24"/>
              </w:rPr>
            </w:pPr>
          </w:p>
          <w:p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and demonstrate that you reflect on your teaching practice and the students’ learning experience.</w:t>
            </w:r>
          </w:p>
          <w:p w:rsidR="001C6B3E" w:rsidRPr="00FE7642" w:rsidRDefault="001C6B3E" w:rsidP="00407E26">
            <w:pPr>
              <w:pStyle w:val="ListParagraph"/>
              <w:spacing w:line="240" w:lineRule="auto"/>
              <w:jc w:val="both"/>
              <w:rPr>
                <w:rFonts w:ascii="Arial" w:hAnsi="Arial" w:cs="Arial"/>
                <w:sz w:val="24"/>
                <w:szCs w:val="24"/>
              </w:rPr>
            </w:pPr>
          </w:p>
          <w:p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rsidR="00407E26" w:rsidRPr="00407E26" w:rsidRDefault="00407E26" w:rsidP="00407E26">
            <w:pPr>
              <w:pStyle w:val="ListParagraph"/>
              <w:rPr>
                <w:rFonts w:ascii="Arial" w:hAnsi="Arial" w:cs="Arial"/>
                <w:sz w:val="24"/>
                <w:szCs w:val="24"/>
              </w:rPr>
            </w:pPr>
          </w:p>
          <w:p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rsidR="001C6B3E" w:rsidRPr="00FE7642" w:rsidRDefault="001C6B3E" w:rsidP="00407E26">
            <w:pPr>
              <w:pStyle w:val="ListParagraph"/>
              <w:spacing w:line="240" w:lineRule="auto"/>
              <w:jc w:val="both"/>
              <w:rPr>
                <w:rFonts w:ascii="Arial" w:hAnsi="Arial" w:cs="Arial"/>
                <w:sz w:val="24"/>
                <w:szCs w:val="24"/>
              </w:rPr>
            </w:pPr>
          </w:p>
          <w:p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rsidR="00CB2CBF" w:rsidRPr="00FE7642" w:rsidRDefault="00CB2CBF" w:rsidP="00407E26">
            <w:pPr>
              <w:pStyle w:val="ListParagraph"/>
              <w:jc w:val="both"/>
              <w:rPr>
                <w:rFonts w:ascii="Arial" w:hAnsi="Arial" w:cs="Arial"/>
                <w:b/>
                <w:sz w:val="24"/>
                <w:szCs w:val="24"/>
              </w:rPr>
            </w:pPr>
          </w:p>
          <w:p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rsidR="00CA12DC" w:rsidRPr="00FE7642" w:rsidRDefault="00CA12DC" w:rsidP="00CA12DC">
      <w:pPr>
        <w:rPr>
          <w:rFonts w:cs="Arial"/>
          <w:sz w:val="24"/>
          <w:szCs w:val="24"/>
        </w:rPr>
      </w:pPr>
    </w:p>
    <w:p w:rsidR="00CA12DC" w:rsidRPr="00FE7642" w:rsidRDefault="00CA12DC" w:rsidP="00CA12DC">
      <w:pPr>
        <w:ind w:left="2880" w:hanging="2880"/>
        <w:jc w:val="both"/>
        <w:rPr>
          <w:rFonts w:cs="Arial"/>
          <w:b/>
          <w:sz w:val="32"/>
          <w:szCs w:val="32"/>
        </w:rPr>
      </w:pPr>
      <w:r w:rsidRPr="00FE7642">
        <w:rPr>
          <w:rFonts w:cs="Arial"/>
          <w:b/>
          <w:sz w:val="32"/>
          <w:szCs w:val="32"/>
        </w:rPr>
        <w:t>SECTION TWO:</w:t>
      </w:r>
      <w:r w:rsidRPr="00FE7642">
        <w:rPr>
          <w:rFonts w:cs="Arial"/>
          <w:b/>
          <w:sz w:val="32"/>
          <w:szCs w:val="32"/>
        </w:rPr>
        <w:tab/>
        <w:t>Your reflective account of your Continuing Professional Development</w:t>
      </w: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rsidR="00CA12DC" w:rsidRPr="00FE7642" w:rsidRDefault="00CA12DC" w:rsidP="00CA12DC">
      <w:pPr>
        <w:jc w:val="both"/>
        <w:rPr>
          <w:rFonts w:cs="Arial"/>
          <w:sz w:val="24"/>
          <w:szCs w:val="24"/>
        </w:rPr>
      </w:pPr>
    </w:p>
    <w:p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rsidR="004F687F" w:rsidRPr="00FE7642" w:rsidRDefault="004F687F"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t xml:space="preserve">Your application should show successful </w:t>
      </w:r>
      <w:r w:rsidR="00534CB0" w:rsidRPr="00FE7642">
        <w:rPr>
          <w:rFonts w:cs="Arial"/>
          <w:sz w:val="24"/>
          <w:szCs w:val="24"/>
        </w:rPr>
        <w:t xml:space="preserve">engagement in appropriate teaching practices related to the Areas of Activity, successful </w:t>
      </w:r>
      <w:r w:rsidRPr="00FE7642">
        <w:rPr>
          <w:rFonts w:cs="Arial"/>
          <w:sz w:val="24"/>
          <w:szCs w:val="24"/>
        </w:rPr>
        <w:t>incorporation of subject and pedagogic research as part of an integrated approach to academic practice</w:t>
      </w:r>
      <w:r w:rsidR="00534CB0" w:rsidRPr="00FE7642">
        <w:rPr>
          <w:rFonts w:cs="Arial"/>
          <w:sz w:val="24"/>
          <w:szCs w:val="24"/>
        </w:rPr>
        <w:t>, and</w:t>
      </w:r>
      <w:r w:rsidRPr="00FE7642">
        <w:rPr>
          <w:rFonts w:cs="Arial"/>
          <w:sz w:val="24"/>
          <w:szCs w:val="24"/>
        </w:rPr>
        <w:t xml:space="preserve"> successful engagement in </w:t>
      </w:r>
      <w:r w:rsidR="00534CB0" w:rsidRPr="00FE7642">
        <w:rPr>
          <w:rFonts w:cs="Arial"/>
          <w:sz w:val="24"/>
          <w:szCs w:val="24"/>
        </w:rPr>
        <w:t xml:space="preserve">professional development in </w:t>
      </w:r>
      <w:r w:rsidRPr="00FE7642">
        <w:rPr>
          <w:rFonts w:cs="Arial"/>
          <w:sz w:val="24"/>
          <w:szCs w:val="24"/>
        </w:rPr>
        <w:t>relation to tea</w:t>
      </w:r>
      <w:r w:rsidR="004F687F" w:rsidRPr="00FE7642">
        <w:rPr>
          <w:rFonts w:cs="Arial"/>
          <w:sz w:val="24"/>
          <w:szCs w:val="24"/>
        </w:rPr>
        <w:t xml:space="preserve">ching, learning, </w:t>
      </w:r>
      <w:r w:rsidRPr="00FE7642">
        <w:rPr>
          <w:rFonts w:cs="Arial"/>
          <w:sz w:val="24"/>
          <w:szCs w:val="24"/>
        </w:rPr>
        <w:t>assessment</w:t>
      </w:r>
      <w:r w:rsidR="004F687F" w:rsidRPr="00FE7642">
        <w:rPr>
          <w:rFonts w:cs="Arial"/>
          <w:sz w:val="24"/>
          <w:szCs w:val="24"/>
        </w:rPr>
        <w:t>, scholarship</w:t>
      </w:r>
      <w:r w:rsidRPr="00FE7642">
        <w:rPr>
          <w:rFonts w:cs="Arial"/>
          <w:sz w:val="24"/>
          <w:szCs w:val="24"/>
        </w:rPr>
        <w:t xml:space="preserve"> and</w:t>
      </w:r>
      <w:r w:rsidR="004F687F" w:rsidRPr="00FE7642">
        <w:rPr>
          <w:rFonts w:cs="Arial"/>
          <w:sz w:val="24"/>
          <w:szCs w:val="24"/>
        </w:rPr>
        <w:t>, as</w:t>
      </w:r>
      <w:r w:rsidRPr="00FE7642">
        <w:rPr>
          <w:rFonts w:cs="Arial"/>
          <w:sz w:val="24"/>
          <w:szCs w:val="24"/>
        </w:rPr>
        <w:t xml:space="preserve"> appropriate</w:t>
      </w:r>
      <w:r w:rsidR="004F687F" w:rsidRPr="00FE7642">
        <w:rPr>
          <w:rFonts w:cs="Arial"/>
          <w:sz w:val="24"/>
          <w:szCs w:val="24"/>
        </w:rPr>
        <w:t>,</w:t>
      </w:r>
      <w:r w:rsidRPr="00FE7642">
        <w:rPr>
          <w:rFonts w:cs="Arial"/>
          <w:sz w:val="24"/>
          <w:szCs w:val="24"/>
        </w:rPr>
        <w:t xml:space="preserve"> related</w:t>
      </w:r>
      <w:r w:rsidR="004F687F" w:rsidRPr="00FE7642">
        <w:rPr>
          <w:rFonts w:cs="Arial"/>
          <w:sz w:val="24"/>
          <w:szCs w:val="24"/>
        </w:rPr>
        <w:t xml:space="preserve"> academic or</w:t>
      </w:r>
      <w:r w:rsidRPr="00FE7642">
        <w:rPr>
          <w:rFonts w:cs="Arial"/>
          <w:sz w:val="24"/>
          <w:szCs w:val="24"/>
        </w:rPr>
        <w:t xml:space="preserve"> professional practices.</w:t>
      </w:r>
      <w:r w:rsidR="00407E26">
        <w:rPr>
          <w:rFonts w:cs="Arial"/>
          <w:sz w:val="24"/>
          <w:szCs w:val="24"/>
        </w:rPr>
        <w:t xml:space="preserve"> </w:t>
      </w:r>
      <w:r w:rsidR="00407E26" w:rsidRPr="00407E26">
        <w:rPr>
          <w:rFonts w:cs="Arial"/>
          <w:b/>
          <w:sz w:val="24"/>
          <w:szCs w:val="24"/>
        </w:rPr>
        <w:t>The form will expand as you enter your information.</w:t>
      </w: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rsidTr="00813086">
        <w:tc>
          <w:tcPr>
            <w:tcW w:w="10456" w:type="dxa"/>
            <w:gridSpan w:val="2"/>
          </w:tcPr>
          <w:p w:rsidR="00CA12DC" w:rsidRPr="00FE7642" w:rsidRDefault="00CA12DC" w:rsidP="000F1367">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es and/or programmes of study (7</w:t>
            </w:r>
            <w:r w:rsidRPr="00FE7642">
              <w:rPr>
                <w:rFonts w:cs="Arial"/>
                <w:b/>
                <w:sz w:val="28"/>
                <w:szCs w:val="28"/>
              </w:rPr>
              <w:t>00 words)</w:t>
            </w:r>
          </w:p>
          <w:p w:rsidR="00CA12DC" w:rsidRPr="00FE7642" w:rsidRDefault="00CA12DC" w:rsidP="000F1367">
            <w:pPr>
              <w:jc w:val="both"/>
              <w:rPr>
                <w:rFonts w:cs="Arial"/>
                <w:sz w:val="24"/>
                <w:szCs w:val="24"/>
              </w:rPr>
            </w:pPr>
            <w:r w:rsidRPr="00FE7642">
              <w:rPr>
                <w:rFonts w:cs="Arial"/>
                <w:sz w:val="24"/>
                <w:szCs w:val="24"/>
              </w:rPr>
              <w:t>Identify how you contribute to the design and planning of effective, valuable learning experiences</w:t>
            </w:r>
          </w:p>
        </w:tc>
      </w:tr>
      <w:tr w:rsidR="00CA12DC" w:rsidRPr="00FE7642" w:rsidTr="00813086">
        <w:tc>
          <w:tcPr>
            <w:tcW w:w="5004" w:type="dxa"/>
          </w:tcPr>
          <w:p w:rsidR="00CA12DC" w:rsidRPr="00FE7642" w:rsidRDefault="00CA12DC" w:rsidP="000F1367">
            <w:pPr>
              <w:rPr>
                <w:rFonts w:cs="Arial"/>
                <w:sz w:val="20"/>
                <w:szCs w:val="20"/>
                <w:u w:val="single"/>
              </w:rPr>
            </w:pPr>
            <w:r w:rsidRPr="00FE7642">
              <w:rPr>
                <w:rFonts w:cs="Arial"/>
                <w:sz w:val="20"/>
                <w:szCs w:val="20"/>
                <w:u w:val="single"/>
              </w:rPr>
              <w:t>Engagement in a variety of learning activities, at a variety of levels e.g.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rsidR="00CA12DC" w:rsidRPr="00FE7642" w:rsidRDefault="00CA12DC" w:rsidP="000F1367">
            <w:pPr>
              <w:rPr>
                <w:rFonts w:cs="Arial"/>
                <w:sz w:val="20"/>
                <w:szCs w:val="20"/>
              </w:rPr>
            </w:pPr>
          </w:p>
        </w:tc>
        <w:tc>
          <w:tcPr>
            <w:tcW w:w="5452" w:type="dxa"/>
          </w:tcPr>
          <w:p w:rsidR="00CA12DC" w:rsidRPr="00FE7642" w:rsidRDefault="00CA12DC" w:rsidP="000F1367">
            <w:pPr>
              <w:jc w:val="both"/>
              <w:rPr>
                <w:rFonts w:cs="Arial"/>
                <w:sz w:val="20"/>
                <w:szCs w:val="20"/>
              </w:rPr>
            </w:pPr>
            <w:r w:rsidRPr="00FE7642">
              <w:rPr>
                <w:rFonts w:cs="Arial"/>
                <w:sz w:val="20"/>
                <w:szCs w:val="20"/>
                <w:u w:val="single"/>
              </w:rPr>
              <w:t>Evidence might include:</w:t>
            </w:r>
          </w:p>
          <w:p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rsidR="00CA12DC" w:rsidRPr="00FE7642" w:rsidRDefault="00CA12DC" w:rsidP="000F1367">
            <w:pPr>
              <w:rPr>
                <w:rFonts w:cs="Arial"/>
                <w:sz w:val="20"/>
                <w:szCs w:val="20"/>
              </w:rPr>
            </w:pPr>
          </w:p>
        </w:tc>
      </w:tr>
      <w:tr w:rsidR="00813086" w:rsidRPr="00FE7642" w:rsidTr="00813086">
        <w:tc>
          <w:tcPr>
            <w:tcW w:w="10456" w:type="dxa"/>
            <w:gridSpan w:val="2"/>
          </w:tcPr>
          <w:p w:rsidR="00813086" w:rsidRPr="00FE7642" w:rsidRDefault="00813086" w:rsidP="00813086">
            <w:pPr>
              <w:jc w:val="both"/>
              <w:rPr>
                <w:rFonts w:cs="Arial"/>
                <w:b/>
                <w:sz w:val="24"/>
                <w:szCs w:val="24"/>
                <w:u w:val="single"/>
              </w:rPr>
            </w:pPr>
            <w:r w:rsidRPr="00FE7642">
              <w:rPr>
                <w:rFonts w:cs="Arial"/>
                <w:b/>
                <w:sz w:val="24"/>
                <w:szCs w:val="24"/>
                <w:u w:val="single"/>
              </w:rPr>
              <w:t>Write your evidence here</w:t>
            </w:r>
          </w:p>
          <w:p w:rsidR="00813086" w:rsidRPr="00FE7642" w:rsidRDefault="00813086" w:rsidP="00813086">
            <w:pPr>
              <w:jc w:val="both"/>
              <w:rPr>
                <w:rFonts w:cs="Arial"/>
                <w:sz w:val="24"/>
                <w:szCs w:val="24"/>
              </w:rPr>
            </w:pPr>
          </w:p>
          <w:p w:rsidR="00813086" w:rsidRDefault="00813086" w:rsidP="00813086">
            <w:pPr>
              <w:jc w:val="both"/>
              <w:rPr>
                <w:rFonts w:eastAsia="Arial" w:cs="Arial"/>
                <w:highlight w:val="white"/>
              </w:rPr>
            </w:pPr>
            <w:r>
              <w:rPr>
                <w:rFonts w:eastAsia="Arial" w:cs="Arial"/>
              </w:rPr>
              <w:t>I am the Programme Director for the BA (Hons) Social Care Studies (BASCS).</w:t>
            </w:r>
            <w:r>
              <w:rPr>
                <w:rFonts w:eastAsia="Arial" w:cs="Arial"/>
                <w:highlight w:val="white"/>
              </w:rPr>
              <w:t xml:space="preserve"> Social care services are major employers in Wales, providing work for more than 70,000 people</w:t>
            </w:r>
            <w:r w:rsidR="00A414E1">
              <w:rPr>
                <w:rFonts w:eastAsia="Arial" w:cs="Arial"/>
                <w:highlight w:val="white"/>
              </w:rPr>
              <w:t>,</w:t>
            </w:r>
            <w:r>
              <w:rPr>
                <w:rFonts w:eastAsia="Arial" w:cs="Arial"/>
                <w:highlight w:val="white"/>
              </w:rPr>
              <w:t xml:space="preserve"> the second largest service within local government (Welsh Government 2017). </w:t>
            </w:r>
          </w:p>
          <w:p w:rsidR="00813086" w:rsidRDefault="00813086" w:rsidP="00813086">
            <w:pPr>
              <w:jc w:val="both"/>
              <w:rPr>
                <w:rFonts w:eastAsia="Arial" w:cs="Arial"/>
                <w:highlight w:val="white"/>
              </w:rPr>
            </w:pPr>
            <w:r>
              <w:rPr>
                <w:rFonts w:eastAsia="Arial" w:cs="Arial"/>
                <w:highlight w:val="white"/>
              </w:rPr>
              <w:t>The BASCS reflects the core values of social care, respect for the rights and preferences of the individual, inclusion, empowerment and effective partnership working.</w:t>
            </w:r>
            <w:r w:rsidRPr="00910DA4">
              <w:rPr>
                <w:rFonts w:eastAsia="Arial" w:cs="Arial"/>
                <w:highlight w:val="white"/>
              </w:rPr>
              <w:t xml:space="preserve"> </w:t>
            </w:r>
            <w:r>
              <w:rPr>
                <w:rFonts w:eastAsia="Arial" w:cs="Arial"/>
                <w:highlight w:val="white"/>
              </w:rPr>
              <w:t xml:space="preserve">This ethos reflects my personal values which were shaped through extensive experience as a nurse, midwife and health visitor, reinforced through contact with diverse groups of students. The programme places emphasis on three areas: response to change; relevance; and employability.  </w:t>
            </w:r>
          </w:p>
          <w:p w:rsidR="00813086" w:rsidRDefault="00813086" w:rsidP="00813086">
            <w:pPr>
              <w:jc w:val="both"/>
              <w:rPr>
                <w:rFonts w:eastAsia="Arial" w:cs="Arial"/>
                <w:highlight w:val="white"/>
              </w:rPr>
            </w:pPr>
            <w:r>
              <w:rPr>
                <w:rFonts w:eastAsia="Arial" w:cs="Arial"/>
                <w:highlight w:val="white"/>
              </w:rPr>
              <w:t>Social care is an extremely fast moving sector. In response to demographic changes, local strategies and Welsh Government (WG) policy initiatives, I have recently included one new module, and significantly adapted another. Within Carmarthenshire, the Vision for Sustainable Services for Older People for the Next Decade (2015-2025) predicts that over the next 15 years, there will be an additional 10,000 people over the age of 75, many of whom may require social care. The new module, ‘Living Longer, Ageing Well’ aims to develop critical knowledge of the concept of ageing and the ways in which older people contribute to society. WG’s plan for health and social care ‘A Healthier Wales’ (WG 2018) calls for improved leadership at all levels of social care. The revised module ‘Leadership in Social Care’ support</w:t>
            </w:r>
            <w:r w:rsidR="00A414E1">
              <w:rPr>
                <w:rFonts w:eastAsia="Arial" w:cs="Arial"/>
                <w:highlight w:val="white"/>
              </w:rPr>
              <w:t>s</w:t>
            </w:r>
            <w:r>
              <w:rPr>
                <w:rFonts w:eastAsia="Arial" w:cs="Arial"/>
                <w:highlight w:val="white"/>
              </w:rPr>
              <w:t xml:space="preserve"> the development of leadership and problem-solving skills highlighted in the plan. The changes include strategies to empower service users, as outlined in the Social Services and Well-being (Wales) Act 2014, and an exploration of the impact that approaches to leadership can have on communication and effective team functioning (Moss 2017). A programme that explores these issues has the potential to have a positive impact on the delivery of high quality social care, and to produce the workforce that can ‘work effectively together….to make the most of everyone’s skills and experience’ (WG 2018 p.30). </w:t>
            </w:r>
            <w:r w:rsidR="00A414E1">
              <w:rPr>
                <w:rFonts w:eastAsia="Arial" w:cs="Arial"/>
                <w:highlight w:val="white"/>
              </w:rPr>
              <w:t>These</w:t>
            </w:r>
            <w:r>
              <w:rPr>
                <w:rFonts w:eastAsia="Arial" w:cs="Arial"/>
                <w:highlight w:val="white"/>
              </w:rPr>
              <w:t xml:space="preserve"> module updates were developed in consultation with local social care employers regarding practice developments and the skills they require. They support student placements, contribute as guest speakers, deliver some module sessions, and are well placed to identify gaps in training provision. Students have the opportunity to interact with current practitioners who are able to provide real-life perspectives on working in social care. This has the potential to establish the value of the qualification with those in a position to support its growth and to address students’ expectations that higher education institutions should link study and employment (</w:t>
            </w:r>
            <w:proofErr w:type="spellStart"/>
            <w:r>
              <w:rPr>
                <w:rFonts w:eastAsia="Arial" w:cs="Arial"/>
                <w:highlight w:val="white"/>
              </w:rPr>
              <w:t>Kandiko</w:t>
            </w:r>
            <w:proofErr w:type="spellEnd"/>
            <w:r>
              <w:rPr>
                <w:rFonts w:eastAsia="Arial" w:cs="Arial"/>
                <w:highlight w:val="white"/>
              </w:rPr>
              <w:t xml:space="preserve"> et al 2012). (K1, V3, V4)</w:t>
            </w:r>
          </w:p>
          <w:p w:rsidR="00813086" w:rsidRDefault="00813086" w:rsidP="00813086">
            <w:pPr>
              <w:jc w:val="both"/>
              <w:rPr>
                <w:rFonts w:eastAsia="Arial" w:cs="Arial"/>
                <w:highlight w:val="white"/>
              </w:rPr>
            </w:pPr>
            <w:r>
              <w:rPr>
                <w:rFonts w:eastAsia="Arial" w:cs="Arial"/>
                <w:highlight w:val="white"/>
              </w:rPr>
              <w:t>Ramsden (2008) indicated the importance of relevance in engaging students, the extent to which they recognised their learning experiences as directly applicable to their aspirations. This is particularly important for BASCS students, all of whom have first-hand experience of social care from their employment or volunteering roles. Therefore, it is essential that I plan learning activities that replicate situations that they may meet in social care and take advantage of their first-hand knowledge. In addition to informal feedback during group discussions and module evaluations, termly student staff meetings encourage students to contribute to the programme, both in terms of content and learning strategies. (V3)</w:t>
            </w:r>
          </w:p>
          <w:p w:rsidR="00813086" w:rsidRDefault="00813086" w:rsidP="00813086">
            <w:pPr>
              <w:jc w:val="both"/>
              <w:rPr>
                <w:rFonts w:eastAsia="Arial" w:cs="Arial"/>
                <w:highlight w:val="white"/>
              </w:rPr>
            </w:pPr>
            <w:r>
              <w:rPr>
                <w:rFonts w:eastAsia="Arial" w:cs="Arial"/>
                <w:highlight w:val="white"/>
              </w:rPr>
              <w:lastRenderedPageBreak/>
              <w:t>I have designed learning and teaching activities that include case studies and scenarios that explore the dilemmas that frequently occur when identifying and meeting individual needs within social care, such as exploration of Serious Case Reviews. HEA/QAA (2014 p.26) stressed the importance of ‘real-life examples’, and endorsed their use to engage students and to stimulate learning. Group debates offer students the opportunity to develop and refine skills including the ability to express their views with clarity and respect for others, to negotiate, and to identify the most appropriate support plan. Students are encouraged to draw on and share their own knowledge and experience in collaborative peer learning activities. .Examples could include individual students researching and applying theories that underpin social care, and then sharing these to inform other students. Piaget (1950) and Bruner (1960) recognised the value of a constructivist approach that engaged students in active learning by building knowledge in terms of what they already understood. This approach works particularly well on the BASCS because of the diversity of students’ experiences. Students have participated enthusiastically with these activities and their module feedback has strongly indicated that they rate this approach very highly. (K5) Allen and Tanner (2003) discussed the role of collaborative group work in promoting team working, communication and deep learning, skills that are particularly applicable to the multidisciplinary working environment that characterises social care. (K2, K3, V3)</w:t>
            </w:r>
          </w:p>
          <w:p w:rsidR="00813086" w:rsidRDefault="00813086" w:rsidP="00813086">
            <w:pPr>
              <w:jc w:val="both"/>
              <w:rPr>
                <w:rFonts w:eastAsia="Arial" w:cs="Arial"/>
                <w:highlight w:val="white"/>
              </w:rPr>
            </w:pPr>
            <w:r>
              <w:rPr>
                <w:rFonts w:eastAsia="Arial" w:cs="Arial"/>
                <w:highlight w:val="white"/>
              </w:rPr>
              <w:t xml:space="preserve">These changes should help to ensure that the programme keeps pace with a rapidly evolving social care sector, and, most importantly, should continue to equip students with the skills they require to operate effectively in social care. </w:t>
            </w:r>
          </w:p>
          <w:p w:rsidR="00813086" w:rsidRDefault="00813086" w:rsidP="00813086">
            <w:pPr>
              <w:rPr>
                <w:rFonts w:eastAsia="Arial" w:cs="Arial"/>
                <w:highlight w:val="white"/>
              </w:rPr>
            </w:pPr>
          </w:p>
          <w:p w:rsidR="00813086" w:rsidRDefault="00813086" w:rsidP="00813086">
            <w:pPr>
              <w:rPr>
                <w:rFonts w:eastAsia="Arial" w:cs="Arial"/>
                <w:highlight w:val="white"/>
              </w:rPr>
            </w:pPr>
          </w:p>
          <w:p w:rsidR="00813086" w:rsidRDefault="00813086" w:rsidP="00813086">
            <w:pPr>
              <w:rPr>
                <w:rFonts w:eastAsia="Arial" w:cs="Arial"/>
                <w:b/>
              </w:rPr>
            </w:pPr>
            <w:r>
              <w:rPr>
                <w:rFonts w:eastAsia="Arial" w:cs="Arial"/>
                <w:b/>
              </w:rPr>
              <w:t>References</w:t>
            </w:r>
          </w:p>
          <w:p w:rsidR="00813086" w:rsidRDefault="00813086" w:rsidP="00813086">
            <w:pPr>
              <w:rPr>
                <w:rFonts w:eastAsia="Arial" w:cs="Arial"/>
                <w:i/>
              </w:rPr>
            </w:pPr>
            <w:r>
              <w:rPr>
                <w:rFonts w:eastAsia="Arial" w:cs="Arial"/>
              </w:rPr>
              <w:t xml:space="preserve">Allen, D. &amp; Tanner, K. (2003) Approaches to cell biology teaching: learning content in context-problem-based learning. </w:t>
            </w:r>
            <w:r>
              <w:rPr>
                <w:rFonts w:eastAsia="Arial" w:cs="Arial"/>
                <w:i/>
              </w:rPr>
              <w:t xml:space="preserve">Cell Biology Education </w:t>
            </w:r>
            <w:r>
              <w:rPr>
                <w:rFonts w:eastAsia="Arial" w:cs="Arial"/>
              </w:rPr>
              <w:t xml:space="preserve">2 pp.73-81 </w:t>
            </w:r>
            <w:r>
              <w:rPr>
                <w:rFonts w:eastAsia="Arial" w:cs="Arial"/>
                <w:i/>
              </w:rPr>
              <w:t xml:space="preserve">in </w:t>
            </w:r>
          </w:p>
          <w:p w:rsidR="00813086" w:rsidRDefault="00813086" w:rsidP="00813086">
            <w:pPr>
              <w:rPr>
                <w:rFonts w:eastAsia="Arial" w:cs="Arial"/>
              </w:rPr>
            </w:pPr>
            <w:r>
              <w:rPr>
                <w:rFonts w:eastAsia="Arial" w:cs="Arial"/>
              </w:rPr>
              <w:t xml:space="preserve">Bruner, J. (1960) </w:t>
            </w:r>
            <w:r>
              <w:rPr>
                <w:rFonts w:eastAsia="Arial" w:cs="Arial"/>
                <w:i/>
              </w:rPr>
              <w:t>The Process of Education</w:t>
            </w:r>
            <w:r>
              <w:rPr>
                <w:rFonts w:eastAsia="Arial" w:cs="Arial"/>
              </w:rPr>
              <w:t>. Cambridge, MA: Harvard University Press</w:t>
            </w:r>
          </w:p>
          <w:p w:rsidR="00813086" w:rsidRDefault="00813086" w:rsidP="00813086">
            <w:pPr>
              <w:rPr>
                <w:rFonts w:eastAsia="Arial" w:cs="Arial"/>
              </w:rPr>
            </w:pPr>
            <w:r>
              <w:rPr>
                <w:rFonts w:eastAsia="Arial" w:cs="Arial"/>
              </w:rPr>
              <w:t xml:space="preserve">Chatfield, T. (2018) </w:t>
            </w:r>
            <w:r>
              <w:rPr>
                <w:rFonts w:eastAsia="Arial" w:cs="Arial"/>
                <w:i/>
              </w:rPr>
              <w:t xml:space="preserve">Critical Thinking. </w:t>
            </w:r>
            <w:r>
              <w:rPr>
                <w:rFonts w:eastAsia="Arial" w:cs="Arial"/>
              </w:rPr>
              <w:t>London: Sage Publications Ltd.</w:t>
            </w:r>
          </w:p>
          <w:p w:rsidR="00813086" w:rsidRDefault="00813086" w:rsidP="00813086">
            <w:pPr>
              <w:rPr>
                <w:rFonts w:eastAsia="Arial" w:cs="Arial"/>
              </w:rPr>
            </w:pPr>
            <w:r>
              <w:rPr>
                <w:rFonts w:eastAsia="Arial" w:cs="Arial"/>
              </w:rPr>
              <w:t xml:space="preserve">Hargreaves, S. &amp; Crabb, J. (2016) </w:t>
            </w:r>
            <w:r>
              <w:rPr>
                <w:rFonts w:eastAsia="Arial" w:cs="Arial"/>
                <w:i/>
              </w:rPr>
              <w:t>Study Skills for Students with Dyslexia: Support for Specific Learning Differences (</w:t>
            </w:r>
            <w:proofErr w:type="spellStart"/>
            <w:r>
              <w:rPr>
                <w:rFonts w:eastAsia="Arial" w:cs="Arial"/>
                <w:i/>
              </w:rPr>
              <w:t>SpLDs</w:t>
            </w:r>
            <w:proofErr w:type="spellEnd"/>
            <w:r>
              <w:rPr>
                <w:rFonts w:eastAsia="Arial" w:cs="Arial"/>
                <w:i/>
              </w:rPr>
              <w:t xml:space="preserve">) </w:t>
            </w:r>
            <w:r>
              <w:rPr>
                <w:rFonts w:eastAsia="Arial" w:cs="Arial"/>
              </w:rPr>
              <w:t>(3rd Edition). London: Sage Publications Ltd.</w:t>
            </w:r>
          </w:p>
          <w:p w:rsidR="00813086" w:rsidRDefault="00813086" w:rsidP="00813086">
            <w:pPr>
              <w:rPr>
                <w:rFonts w:eastAsia="Arial" w:cs="Arial"/>
              </w:rPr>
            </w:pPr>
            <w:proofErr w:type="spellStart"/>
            <w:r>
              <w:rPr>
                <w:rFonts w:eastAsia="Arial" w:cs="Arial"/>
              </w:rPr>
              <w:t>Kandiko</w:t>
            </w:r>
            <w:proofErr w:type="spellEnd"/>
            <w:r>
              <w:rPr>
                <w:rFonts w:eastAsia="Arial" w:cs="Arial"/>
              </w:rPr>
              <w:t xml:space="preserve">, C.B. &amp; </w:t>
            </w:r>
            <w:proofErr w:type="spellStart"/>
            <w:r>
              <w:rPr>
                <w:rFonts w:eastAsia="Arial" w:cs="Arial"/>
              </w:rPr>
              <w:t>Mawer</w:t>
            </w:r>
            <w:proofErr w:type="spellEnd"/>
            <w:r>
              <w:rPr>
                <w:rFonts w:eastAsia="Arial" w:cs="Arial"/>
              </w:rPr>
              <w:t xml:space="preserve">, M. (2012) Student expectations and perceptions of higher education. Available at: </w:t>
            </w:r>
            <w:hyperlink r:id="rId8">
              <w:r>
                <w:rPr>
                  <w:rFonts w:eastAsia="Arial" w:cs="Arial"/>
                </w:rPr>
                <w:t>https://www.kcl.ac.uk/study/learningteaching/kli/People/Research/DL/QAASummary.pdf</w:t>
              </w:r>
            </w:hyperlink>
            <w:r>
              <w:rPr>
                <w:rFonts w:eastAsia="Arial" w:cs="Arial"/>
              </w:rPr>
              <w:t xml:space="preserve"> (accessed 12.06.18) </w:t>
            </w:r>
          </w:p>
          <w:p w:rsidR="00813086" w:rsidRDefault="00813086" w:rsidP="00813086">
            <w:pPr>
              <w:rPr>
                <w:rFonts w:eastAsia="Arial" w:cs="Arial"/>
              </w:rPr>
            </w:pPr>
            <w:r>
              <w:rPr>
                <w:rFonts w:eastAsia="Arial" w:cs="Arial"/>
              </w:rPr>
              <w:t xml:space="preserve">Lyall, C., </w:t>
            </w:r>
            <w:proofErr w:type="spellStart"/>
            <w:r>
              <w:rPr>
                <w:rFonts w:eastAsia="Arial" w:cs="Arial"/>
              </w:rPr>
              <w:t>Meager</w:t>
            </w:r>
            <w:proofErr w:type="spellEnd"/>
            <w:r>
              <w:rPr>
                <w:rFonts w:eastAsia="Arial" w:cs="Arial"/>
              </w:rPr>
              <w:t xml:space="preserve">, L., Bandola, J. &amp; Kettle, A. (2015) Interdisciplinary provision in higher education: current and future challenges. Available at: </w:t>
            </w:r>
            <w:hyperlink r:id="rId9">
              <w:r>
                <w:rPr>
                  <w:rFonts w:eastAsia="Arial" w:cs="Arial"/>
                </w:rPr>
                <w:t>https://www.heacademy.ac.uk/knowledge-hub/interdisciplinary-provision-higher-education-current-and-future-challenges</w:t>
              </w:r>
            </w:hyperlink>
            <w:r>
              <w:rPr>
                <w:rFonts w:eastAsia="Arial" w:cs="Arial"/>
              </w:rPr>
              <w:t xml:space="preserve"> (accessed 12.06.18)</w:t>
            </w:r>
          </w:p>
          <w:p w:rsidR="00813086" w:rsidRDefault="00813086" w:rsidP="00813086">
            <w:pPr>
              <w:rPr>
                <w:rFonts w:eastAsia="Arial" w:cs="Arial"/>
              </w:rPr>
            </w:pPr>
            <w:r>
              <w:rPr>
                <w:rFonts w:eastAsia="Arial" w:cs="Arial"/>
              </w:rPr>
              <w:t xml:space="preserve">Moss, B. (2017) </w:t>
            </w:r>
            <w:r>
              <w:rPr>
                <w:rFonts w:eastAsia="Arial" w:cs="Arial"/>
                <w:i/>
              </w:rPr>
              <w:t xml:space="preserve">Communication Skills in Health and Social Care </w:t>
            </w:r>
            <w:r>
              <w:rPr>
                <w:rFonts w:eastAsia="Arial" w:cs="Arial"/>
              </w:rPr>
              <w:t>(4th Edition). London: Sage Publications Ltd.</w:t>
            </w:r>
          </w:p>
          <w:p w:rsidR="00813086" w:rsidRDefault="00813086" w:rsidP="00813086">
            <w:pPr>
              <w:rPr>
                <w:rFonts w:eastAsia="Arial" w:cs="Arial"/>
              </w:rPr>
            </w:pPr>
            <w:r>
              <w:rPr>
                <w:rFonts w:eastAsia="Arial" w:cs="Arial"/>
              </w:rPr>
              <w:t xml:space="preserve">Piaget, J. (1950) </w:t>
            </w:r>
            <w:r>
              <w:rPr>
                <w:rFonts w:eastAsia="Arial" w:cs="Arial"/>
                <w:i/>
              </w:rPr>
              <w:t>The Psychology of Intelligence</w:t>
            </w:r>
            <w:r>
              <w:rPr>
                <w:rFonts w:eastAsia="Arial" w:cs="Arial"/>
              </w:rPr>
              <w:t>. London: Routledge and Kegan Paul</w:t>
            </w:r>
          </w:p>
          <w:p w:rsidR="00813086" w:rsidRDefault="00813086" w:rsidP="00813086">
            <w:pPr>
              <w:rPr>
                <w:rFonts w:eastAsia="Arial" w:cs="Arial"/>
              </w:rPr>
            </w:pPr>
            <w:r>
              <w:rPr>
                <w:rFonts w:eastAsia="Arial" w:cs="Arial"/>
              </w:rPr>
              <w:t>Ramsden, P. (2008) The Future of Higher Education: teaching and the student experience. Available at: https://</w:t>
            </w:r>
            <w:hyperlink r:id="rId10">
              <w:r>
                <w:rPr>
                  <w:rFonts w:eastAsia="Arial" w:cs="Arial"/>
                  <w:highlight w:val="white"/>
                </w:rPr>
                <w:t>resources/detail/consultations/paulramsden_teaching_and_student_experience</w:t>
              </w:r>
            </w:hyperlink>
            <w:r>
              <w:rPr>
                <w:rFonts w:eastAsia="Arial" w:cs="Arial"/>
              </w:rPr>
              <w:t xml:space="preserve"> (accessed 13.06.18)</w:t>
            </w:r>
          </w:p>
          <w:p w:rsidR="00813086" w:rsidRDefault="00813086" w:rsidP="00813086">
            <w:pPr>
              <w:rPr>
                <w:rFonts w:eastAsia="Arial" w:cs="Arial"/>
              </w:rPr>
            </w:pPr>
            <w:r>
              <w:rPr>
                <w:rFonts w:eastAsia="Arial" w:cs="Arial"/>
              </w:rPr>
              <w:t xml:space="preserve">Van </w:t>
            </w:r>
            <w:proofErr w:type="spellStart"/>
            <w:r>
              <w:rPr>
                <w:rFonts w:eastAsia="Arial" w:cs="Arial"/>
              </w:rPr>
              <w:t>Nieuwerburgh</w:t>
            </w:r>
            <w:proofErr w:type="spellEnd"/>
            <w:r>
              <w:rPr>
                <w:rFonts w:eastAsia="Arial" w:cs="Arial"/>
              </w:rPr>
              <w:t xml:space="preserve">, C. (2017) </w:t>
            </w:r>
            <w:r>
              <w:rPr>
                <w:rFonts w:eastAsia="Arial" w:cs="Arial"/>
                <w:i/>
              </w:rPr>
              <w:t xml:space="preserve">An Introduction to Coaching Skills </w:t>
            </w:r>
            <w:r>
              <w:rPr>
                <w:rFonts w:eastAsia="Arial" w:cs="Arial"/>
              </w:rPr>
              <w:t xml:space="preserve">(2nd Edition). London: Sage Publications Ltd. </w:t>
            </w:r>
          </w:p>
          <w:p w:rsidR="00813086" w:rsidRDefault="00813086" w:rsidP="00813086">
            <w:pPr>
              <w:rPr>
                <w:rFonts w:eastAsia="Arial" w:cs="Arial"/>
              </w:rPr>
            </w:pPr>
            <w:r>
              <w:rPr>
                <w:rFonts w:eastAsia="Arial" w:cs="Arial"/>
              </w:rPr>
              <w:t xml:space="preserve">Welsh Government (2014) Social Services and Well-being (Wales) Act. Available at: </w:t>
            </w:r>
            <w:hyperlink r:id="rId11">
              <w:r>
                <w:rPr>
                  <w:rFonts w:eastAsia="Arial" w:cs="Arial"/>
                </w:rPr>
                <w:t>https://www.legislation.gov.uk/anaw/2014/4/contents</w:t>
              </w:r>
            </w:hyperlink>
            <w:r>
              <w:rPr>
                <w:rFonts w:eastAsia="Arial" w:cs="Arial"/>
              </w:rPr>
              <w:t xml:space="preserve"> (accessed 12.06.18)</w:t>
            </w:r>
          </w:p>
          <w:p w:rsidR="00813086" w:rsidRDefault="00813086" w:rsidP="00813086">
            <w:pPr>
              <w:rPr>
                <w:rFonts w:eastAsia="Arial" w:cs="Arial"/>
              </w:rPr>
            </w:pPr>
            <w:r>
              <w:rPr>
                <w:rFonts w:eastAsia="Arial" w:cs="Arial"/>
              </w:rPr>
              <w:t xml:space="preserve">Welsh Government (2017) Local Authority Social Services Staff Numbers 2017. Available at: </w:t>
            </w:r>
            <w:hyperlink r:id="rId12">
              <w:r>
                <w:rPr>
                  <w:rFonts w:eastAsia="Arial" w:cs="Arial"/>
                </w:rPr>
                <w:t>https://gov.wales/statistics-and-research/local-authority-social-services-staff-numbers/?lang=en</w:t>
              </w:r>
            </w:hyperlink>
            <w:r>
              <w:rPr>
                <w:rFonts w:eastAsia="Arial" w:cs="Arial"/>
              </w:rPr>
              <w:t xml:space="preserve"> (accessed 12.06.18) </w:t>
            </w:r>
          </w:p>
          <w:p w:rsidR="00813086" w:rsidRDefault="00813086" w:rsidP="00813086">
            <w:pPr>
              <w:rPr>
                <w:rFonts w:eastAsia="Arial" w:cs="Arial"/>
              </w:rPr>
            </w:pPr>
            <w:r>
              <w:rPr>
                <w:rFonts w:eastAsia="Arial" w:cs="Arial"/>
              </w:rPr>
              <w:t xml:space="preserve">Welsh Government (2018) A Healthier Wales: Our plan for health and social care. Available at: </w:t>
            </w:r>
            <w:hyperlink r:id="rId13">
              <w:r>
                <w:rPr>
                  <w:rFonts w:eastAsia="Arial" w:cs="Arial"/>
                </w:rPr>
                <w:t>https://gov.wales/docs/dhss/publications/180608healthier-wales-mainen.pdf</w:t>
              </w:r>
            </w:hyperlink>
            <w:r>
              <w:rPr>
                <w:rFonts w:eastAsia="Arial" w:cs="Arial"/>
              </w:rPr>
              <w:t xml:space="preserve"> (accessed 12.06.18)</w:t>
            </w:r>
          </w:p>
          <w:p w:rsidR="00813086" w:rsidRPr="00FE7642" w:rsidRDefault="00813086" w:rsidP="00813086">
            <w:pPr>
              <w:jc w:val="both"/>
              <w:rPr>
                <w:rFonts w:cs="Arial"/>
                <w:sz w:val="24"/>
                <w:szCs w:val="24"/>
              </w:rPr>
            </w:pPr>
          </w:p>
          <w:p w:rsidR="00813086" w:rsidRPr="00FE7642" w:rsidRDefault="00813086" w:rsidP="00813086">
            <w:pPr>
              <w:jc w:val="both"/>
              <w:rPr>
                <w:rFonts w:cs="Arial"/>
                <w:sz w:val="24"/>
                <w:szCs w:val="24"/>
              </w:rPr>
            </w:pPr>
          </w:p>
          <w:p w:rsidR="00813086" w:rsidRPr="00FE7642" w:rsidRDefault="00813086" w:rsidP="00813086">
            <w:pPr>
              <w:jc w:val="both"/>
              <w:rPr>
                <w:rFonts w:cs="Arial"/>
                <w:sz w:val="24"/>
                <w:szCs w:val="24"/>
              </w:rPr>
            </w:pPr>
          </w:p>
          <w:p w:rsidR="00813086" w:rsidRDefault="00813086" w:rsidP="00813086">
            <w:pPr>
              <w:jc w:val="both"/>
              <w:rPr>
                <w:rFonts w:cs="Arial"/>
                <w:sz w:val="24"/>
                <w:szCs w:val="24"/>
              </w:rPr>
            </w:pPr>
          </w:p>
          <w:p w:rsidR="00813086" w:rsidRPr="00FE7642" w:rsidRDefault="00813086" w:rsidP="00813086">
            <w:pPr>
              <w:jc w:val="both"/>
              <w:rPr>
                <w:rFonts w:cs="Arial"/>
                <w:sz w:val="24"/>
                <w:szCs w:val="24"/>
              </w:rPr>
            </w:pPr>
          </w:p>
        </w:tc>
      </w:tr>
    </w:tbl>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27"/>
        <w:gridCol w:w="5429"/>
      </w:tblGrid>
      <w:tr w:rsidR="00CA12DC" w:rsidRPr="00FE7642" w:rsidTr="00AC5818">
        <w:tc>
          <w:tcPr>
            <w:tcW w:w="10598" w:type="dxa"/>
            <w:gridSpan w:val="2"/>
          </w:tcPr>
          <w:p w:rsidR="00CA12DC" w:rsidRPr="00FE7642" w:rsidRDefault="00CA12DC" w:rsidP="000F1367">
            <w:pPr>
              <w:jc w:val="both"/>
              <w:rPr>
                <w:rFonts w:cs="Arial"/>
                <w:b/>
                <w:sz w:val="28"/>
                <w:szCs w:val="28"/>
              </w:rPr>
            </w:pPr>
            <w:r w:rsidRPr="00FE7642">
              <w:rPr>
                <w:rFonts w:cs="Arial"/>
                <w:b/>
                <w:sz w:val="28"/>
                <w:szCs w:val="28"/>
              </w:rPr>
              <w:t>A2:  Teachi</w:t>
            </w:r>
            <w:r w:rsidR="005F1278" w:rsidRPr="00FE7642">
              <w:rPr>
                <w:rFonts w:cs="Arial"/>
                <w:b/>
                <w:sz w:val="28"/>
                <w:szCs w:val="28"/>
              </w:rPr>
              <w:t>ng and/or supporting learning (7</w:t>
            </w:r>
            <w:r w:rsidRPr="00FE7642">
              <w:rPr>
                <w:rFonts w:cs="Arial"/>
                <w:b/>
                <w:sz w:val="28"/>
                <w:szCs w:val="28"/>
              </w:rPr>
              <w:t>00 words)</w:t>
            </w:r>
          </w:p>
          <w:p w:rsidR="00CA12DC" w:rsidRPr="00FE7642" w:rsidRDefault="005F1278" w:rsidP="000F1367">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rsidTr="00E0025F">
        <w:tc>
          <w:tcPr>
            <w:tcW w:w="5070" w:type="dxa"/>
          </w:tcPr>
          <w:p w:rsidR="00CA12DC" w:rsidRPr="00FE7642" w:rsidRDefault="00CA12DC" w:rsidP="000F1367">
            <w:pPr>
              <w:rPr>
                <w:rFonts w:cs="Arial"/>
                <w:sz w:val="20"/>
                <w:szCs w:val="20"/>
                <w:u w:val="single"/>
              </w:rPr>
            </w:pPr>
            <w:r w:rsidRPr="00FE7642">
              <w:rPr>
                <w:rFonts w:cs="Arial"/>
                <w:sz w:val="20"/>
                <w:szCs w:val="20"/>
                <w:u w:val="single"/>
              </w:rPr>
              <w:t>Engagement in appropriate teaching and learning strategies including: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 arrange of teaching approaches and modes of delivery</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rsidR="005407DE" w:rsidRPr="00FE7642" w:rsidRDefault="005407DE" w:rsidP="005407DE">
            <w:pPr>
              <w:ind w:left="57"/>
              <w:rPr>
                <w:rFonts w:cs="Arial"/>
                <w:sz w:val="20"/>
                <w:szCs w:val="20"/>
              </w:rPr>
            </w:pPr>
          </w:p>
        </w:tc>
      </w:tr>
      <w:tr w:rsidR="005F1278" w:rsidRPr="00FE7642" w:rsidTr="00AC5818">
        <w:tc>
          <w:tcPr>
            <w:tcW w:w="10598" w:type="dxa"/>
            <w:gridSpan w:val="2"/>
          </w:tcPr>
          <w:p w:rsidR="005F1278" w:rsidRPr="00FE7642" w:rsidRDefault="005F1278" w:rsidP="000F1367">
            <w:pPr>
              <w:jc w:val="both"/>
              <w:rPr>
                <w:rFonts w:cs="Arial"/>
                <w:b/>
                <w:sz w:val="24"/>
                <w:szCs w:val="24"/>
                <w:u w:val="single"/>
              </w:rPr>
            </w:pPr>
            <w:r w:rsidRPr="00FE7642">
              <w:rPr>
                <w:rFonts w:cs="Arial"/>
                <w:b/>
                <w:sz w:val="24"/>
                <w:szCs w:val="24"/>
                <w:u w:val="single"/>
              </w:rPr>
              <w:t>Write your evidence here</w:t>
            </w:r>
          </w:p>
          <w:p w:rsidR="005F1278" w:rsidRPr="00FE7642" w:rsidRDefault="005F1278" w:rsidP="000F1367">
            <w:pPr>
              <w:jc w:val="both"/>
              <w:rPr>
                <w:rFonts w:cs="Arial"/>
                <w:sz w:val="24"/>
                <w:szCs w:val="24"/>
              </w:rPr>
            </w:pPr>
          </w:p>
          <w:p w:rsidR="00813086" w:rsidRDefault="00813086" w:rsidP="00813086">
            <w:pPr>
              <w:jc w:val="both"/>
              <w:rPr>
                <w:rFonts w:eastAsia="Arial" w:cs="Arial"/>
              </w:rPr>
            </w:pPr>
            <w:r>
              <w:rPr>
                <w:rFonts w:eastAsia="Arial" w:cs="Arial"/>
              </w:rPr>
              <w:t xml:space="preserve">The feedback received from students on the BASCS, via Dissertation module evaluations and individual and group tutorials, indicated that although challenging, students value the opportunity to investigate a subject that reflects their interests and to produce an extended piece of work. This develops transferable skills, such as analysing complex data, highlights the importance of being research-minded, and is beneficial for students who wish to progress to Masters programmes. </w:t>
            </w:r>
            <w:r w:rsidR="00625830">
              <w:rPr>
                <w:rFonts w:eastAsia="Arial" w:cs="Arial"/>
              </w:rPr>
              <w:t>Our External Examiner (EE) recognised the</w:t>
            </w:r>
            <w:r>
              <w:rPr>
                <w:rFonts w:eastAsia="Arial" w:cs="Arial"/>
              </w:rPr>
              <w:t xml:space="preserve"> high standard of work produced </w:t>
            </w:r>
            <w:r w:rsidR="00625830">
              <w:rPr>
                <w:rFonts w:eastAsia="Arial" w:cs="Arial"/>
              </w:rPr>
              <w:t>via EE reports</w:t>
            </w:r>
            <w:r>
              <w:rPr>
                <w:rFonts w:eastAsia="Arial" w:cs="Arial"/>
              </w:rPr>
              <w:t xml:space="preserve">, </w:t>
            </w:r>
            <w:r w:rsidR="00625830">
              <w:rPr>
                <w:rFonts w:eastAsia="Arial" w:cs="Arial"/>
              </w:rPr>
              <w:t>and</w:t>
            </w:r>
            <w:r>
              <w:rPr>
                <w:rFonts w:eastAsia="Arial" w:cs="Arial"/>
              </w:rPr>
              <w:t xml:space="preserve"> considered that several dissertations </w:t>
            </w:r>
            <w:r w:rsidR="00625830">
              <w:rPr>
                <w:rFonts w:eastAsia="Arial" w:cs="Arial"/>
              </w:rPr>
              <w:t>were</w:t>
            </w:r>
            <w:r>
              <w:rPr>
                <w:rFonts w:eastAsia="Arial" w:cs="Arial"/>
              </w:rPr>
              <w:t xml:space="preserve"> at Masters level.</w:t>
            </w:r>
          </w:p>
          <w:p w:rsidR="00813086" w:rsidRDefault="00813086" w:rsidP="00813086">
            <w:pPr>
              <w:jc w:val="both"/>
              <w:rPr>
                <w:rFonts w:eastAsia="Arial" w:cs="Arial"/>
              </w:rPr>
            </w:pPr>
            <w:r>
              <w:rPr>
                <w:rFonts w:eastAsia="Arial" w:cs="Arial"/>
              </w:rPr>
              <w:t>Students have free reign to select a subject related to social care provided they</w:t>
            </w:r>
            <w:r>
              <w:rPr>
                <w:rFonts w:eastAsia="Arial" w:cs="Arial"/>
                <w:color w:val="FF0000"/>
              </w:rPr>
              <w:t xml:space="preserve"> </w:t>
            </w:r>
            <w:r>
              <w:rPr>
                <w:rFonts w:eastAsia="Arial" w:cs="Arial"/>
              </w:rPr>
              <w:t>discuss their choice with me and adhere to ethical guidelines. Students receive taught research sessions and individual supervisions and are encouraged to submit chapter outlines to promote discussion. Many students produce work that has direct, practical application, including action research projects. These have generated valuable data to inform the relevant organisations. Todd et al (2004 p.335) emphasised the importance students placed on the feelings of ‘autonomy, authenticity, and ownership’ they experienced while producing their dissertations, but highlighted the challenges, particularly in relation to time management. Healey (2011) described the dissertation as a ‘transformational process’</w:t>
            </w:r>
            <w:r w:rsidR="00A414E1">
              <w:rPr>
                <w:rFonts w:eastAsia="Arial" w:cs="Arial"/>
              </w:rPr>
              <w:t>,</w:t>
            </w:r>
            <w:r>
              <w:rPr>
                <w:rFonts w:eastAsia="Arial" w:cs="Arial"/>
              </w:rPr>
              <w:t xml:space="preserve"> the ‘high point’ of undergraduate achievement. </w:t>
            </w:r>
            <w:r w:rsidR="00A414E1">
              <w:rPr>
                <w:rFonts w:eastAsia="Arial" w:cs="Arial"/>
              </w:rPr>
              <w:t>To</w:t>
            </w:r>
            <w:r>
              <w:rPr>
                <w:rFonts w:eastAsia="Arial" w:cs="Arial"/>
              </w:rPr>
              <w:t xml:space="preserve"> be worthwhile, he suggested that the format of dissertations needed to provide a meaningful learning experience for students. (V3)</w:t>
            </w:r>
          </w:p>
          <w:p w:rsidR="00813086" w:rsidRDefault="00813086" w:rsidP="00813086">
            <w:pPr>
              <w:jc w:val="both"/>
              <w:rPr>
                <w:rFonts w:eastAsia="Arial" w:cs="Arial"/>
              </w:rPr>
            </w:pPr>
            <w:r>
              <w:rPr>
                <w:rFonts w:eastAsia="Arial" w:cs="Arial"/>
              </w:rPr>
              <w:t xml:space="preserve">I introduced a change to the dissertation assessment, designed to have a positive impact on time management. I now ask students to present an overview of their dissertation to their peers at the end of February, in advance of the early May final submission deadline. They present a working title, identify key texts from their literature review, outline methodology and data collection methods, and discuss initial findings. This presentation weighting is 10% of the overall module mark. The rationale is that those students who have experienced delays in their research will not be overly disadvantaged. However, theoretically, 10% could make the difference between classification boundaries, so the assessment should be respected. </w:t>
            </w:r>
          </w:p>
          <w:p w:rsidR="00813086" w:rsidRDefault="00813086" w:rsidP="00813086">
            <w:pPr>
              <w:jc w:val="both"/>
              <w:rPr>
                <w:rFonts w:eastAsia="Arial" w:cs="Arial"/>
              </w:rPr>
            </w:pPr>
            <w:r>
              <w:rPr>
                <w:rFonts w:eastAsia="Arial" w:cs="Arial"/>
              </w:rPr>
              <w:t>Since I introduced this assessment during the last academic year, I have found that it motivates students to be more proactive in conducting their research early, rather than delaying until the deadline is approaching.  Students develop their abilities to summarise different sources of information into coherent entities, a skill that demonstrates high levels of understanding and capacity to identify key features (Shon 2018). (K4)</w:t>
            </w:r>
          </w:p>
          <w:p w:rsidR="00813086" w:rsidRDefault="00A414E1" w:rsidP="00813086">
            <w:pPr>
              <w:jc w:val="both"/>
              <w:rPr>
                <w:rFonts w:eastAsia="Arial" w:cs="Arial"/>
              </w:rPr>
            </w:pPr>
            <w:r>
              <w:rPr>
                <w:rFonts w:eastAsia="Arial" w:cs="Arial"/>
              </w:rPr>
              <w:t>I</w:t>
            </w:r>
            <w:r w:rsidR="00813086">
              <w:rPr>
                <w:rFonts w:eastAsia="Arial" w:cs="Arial"/>
              </w:rPr>
              <w:t xml:space="preserve">mportantly, students are required to impose order on the mass of information that constitutes a dissertation, which forces them to clarify their thought processes and make these explicit to others. Koh et al (2018) highlighted the benefits that explaining concepts had in terms of promoting deep understanding and recall. (K4) </w:t>
            </w:r>
          </w:p>
          <w:p w:rsidR="00813086" w:rsidRDefault="00813086" w:rsidP="00813086">
            <w:pPr>
              <w:jc w:val="both"/>
              <w:rPr>
                <w:rFonts w:eastAsia="Arial" w:cs="Arial"/>
              </w:rPr>
            </w:pPr>
            <w:r>
              <w:rPr>
                <w:rFonts w:eastAsia="Arial" w:cs="Arial"/>
              </w:rPr>
              <w:lastRenderedPageBreak/>
              <w:t>An important aspect of the presentations is the opportunity they provide for feedback. Carless et al (2006 p.109) advocated that assessment needed to fulfil a ‘formative function, providing feedforward for future learning’. They recommended that assessment should not be the end-point, but part of the learning process. Students’ peers are encouraged to provide feedback and to make suggestions. As part of the preparation for the presentations, the students and I determine ground rules, to ensure that the learning environment is supportive, respectful, and that feedback is constructive rather than destructive. So far, this has been a very positive experience for everyone. Even students who are less comfortable with presenting have recognised its value. Halfway through any research project, it is common to feel thoroughly disenchanted. The support and interest students receive from peers appears to re-energise the dissertation process, and to make their research ‘real’. (V1, V3, V2)</w:t>
            </w:r>
          </w:p>
          <w:p w:rsidR="00813086" w:rsidRDefault="00813086" w:rsidP="00813086">
            <w:pPr>
              <w:jc w:val="both"/>
              <w:rPr>
                <w:rFonts w:eastAsia="Arial" w:cs="Arial"/>
              </w:rPr>
            </w:pPr>
            <w:r>
              <w:rPr>
                <w:rFonts w:eastAsia="Arial" w:cs="Arial"/>
              </w:rPr>
              <w:t>In addition to oral responses, I provide detailed, written feedback so that students have something they can refer to afterwards. The inevitable pressure of putting a presentation together means students prepare more thoroughly than they might for a dissertation supervision. Consequently, the feedback students receive from this assessment appears to have more effect, in terms of motivating students and engaging them in a critical discussion regarding their progress.</w:t>
            </w:r>
          </w:p>
          <w:p w:rsidR="00813086" w:rsidRDefault="00813086" w:rsidP="00813086">
            <w:pPr>
              <w:jc w:val="both"/>
              <w:rPr>
                <w:rFonts w:eastAsia="Arial" w:cs="Arial"/>
              </w:rPr>
            </w:pPr>
            <w:r>
              <w:rPr>
                <w:rFonts w:eastAsia="Arial" w:cs="Arial"/>
              </w:rPr>
              <w:t xml:space="preserve">The most satisfying element of the presentation is that it encourages students to self-assess the strengths and shortcomings of their work. Clarifying their thoughts, organising their data, and making a realistic judgement about what needs addressing, means that they have already recognised much of what I might suggest. Sambell et al (2012) acknowledged the role of assessment </w:t>
            </w:r>
            <w:r>
              <w:rPr>
                <w:rFonts w:eastAsia="Arial" w:cs="Arial"/>
                <w:i/>
              </w:rPr>
              <w:t xml:space="preserve">for </w:t>
            </w:r>
            <w:r>
              <w:rPr>
                <w:rFonts w:eastAsia="Arial" w:cs="Arial"/>
              </w:rPr>
              <w:t xml:space="preserve">learning in encouraging self-evaluation, and in providing opportunities to build confidence. When students believe that they can engage in an analytical discussion about their work, from a position of expertise, they take responsibility and ownership of their learning experiences. This approach has recently been introduced, so further evaluation is necessary. However, the numbers of students failing to complete their dissertations has fallen dramatically so the slightly increased student workload, and </w:t>
            </w:r>
            <w:r w:rsidR="00944267">
              <w:rPr>
                <w:rFonts w:eastAsia="Arial" w:cs="Arial"/>
              </w:rPr>
              <w:t>additional marking appear</w:t>
            </w:r>
            <w:r>
              <w:rPr>
                <w:rFonts w:eastAsia="Arial" w:cs="Arial"/>
              </w:rPr>
              <w:t xml:space="preserve"> to be worthwhile.    </w:t>
            </w:r>
          </w:p>
          <w:p w:rsidR="00813086" w:rsidRDefault="00813086" w:rsidP="00813086">
            <w:pPr>
              <w:rPr>
                <w:rFonts w:eastAsia="Arial" w:cs="Arial"/>
                <w:sz w:val="24"/>
                <w:szCs w:val="24"/>
              </w:rPr>
            </w:pPr>
          </w:p>
          <w:p w:rsidR="00813086" w:rsidRDefault="00813086" w:rsidP="00813086">
            <w:pPr>
              <w:rPr>
                <w:rFonts w:eastAsia="Arial" w:cs="Arial"/>
                <w:b/>
              </w:rPr>
            </w:pPr>
            <w:r>
              <w:rPr>
                <w:rFonts w:eastAsia="Arial" w:cs="Arial"/>
                <w:b/>
              </w:rPr>
              <w:t>References</w:t>
            </w:r>
          </w:p>
          <w:p w:rsidR="00813086" w:rsidRDefault="00813086" w:rsidP="00813086">
            <w:pPr>
              <w:rPr>
                <w:rFonts w:eastAsia="Arial" w:cs="Arial"/>
              </w:rPr>
            </w:pPr>
            <w:r>
              <w:rPr>
                <w:rFonts w:eastAsia="Arial" w:cs="Arial"/>
              </w:rPr>
              <w:t xml:space="preserve">Carless, D., </w:t>
            </w:r>
            <w:proofErr w:type="spellStart"/>
            <w:r>
              <w:rPr>
                <w:rFonts w:eastAsia="Arial" w:cs="Arial"/>
              </w:rPr>
              <w:t>Jougin</w:t>
            </w:r>
            <w:proofErr w:type="spellEnd"/>
            <w:r>
              <w:rPr>
                <w:rFonts w:eastAsia="Arial" w:cs="Arial"/>
              </w:rPr>
              <w:t xml:space="preserve">, G., &amp; Lui, N. (2006) </w:t>
            </w:r>
            <w:r>
              <w:rPr>
                <w:rFonts w:eastAsia="Arial" w:cs="Arial"/>
                <w:i/>
              </w:rPr>
              <w:t xml:space="preserve">How Assessment Supports Learning: Learning-oriented Assessment in Action. </w:t>
            </w:r>
            <w:r>
              <w:rPr>
                <w:rFonts w:eastAsia="Arial" w:cs="Arial"/>
              </w:rPr>
              <w:t>Hong Kong: Hong Kong University Press</w:t>
            </w:r>
          </w:p>
          <w:p w:rsidR="00813086" w:rsidRDefault="00813086" w:rsidP="00813086">
            <w:pPr>
              <w:rPr>
                <w:rFonts w:eastAsia="Arial" w:cs="Arial"/>
              </w:rPr>
            </w:pPr>
            <w:r>
              <w:rPr>
                <w:rFonts w:eastAsia="Arial" w:cs="Arial"/>
              </w:rPr>
              <w:t xml:space="preserve">Healey, M. (2011) Rethinking the Undergraduate Dissertation </w:t>
            </w:r>
            <w:r>
              <w:rPr>
                <w:rFonts w:eastAsia="Arial" w:cs="Arial"/>
                <w:i/>
              </w:rPr>
              <w:t xml:space="preserve">The Guardian 28.06.11. </w:t>
            </w:r>
            <w:r>
              <w:rPr>
                <w:rFonts w:eastAsia="Arial" w:cs="Arial"/>
              </w:rPr>
              <w:t xml:space="preserve">Available at: </w:t>
            </w:r>
            <w:hyperlink r:id="rId14">
              <w:r>
                <w:rPr>
                  <w:rFonts w:eastAsia="Arial" w:cs="Arial"/>
                </w:rPr>
                <w:t>https://www.theguardian.com/higher-education-network/blog/2011/jun/28/flexible-dissertations-for-undergraduates</w:t>
              </w:r>
            </w:hyperlink>
            <w:r>
              <w:rPr>
                <w:rFonts w:eastAsia="Arial" w:cs="Arial"/>
              </w:rPr>
              <w:t xml:space="preserve"> (</w:t>
            </w:r>
            <w:proofErr w:type="spellStart"/>
            <w:r>
              <w:rPr>
                <w:rFonts w:eastAsia="Arial" w:cs="Arial"/>
              </w:rPr>
              <w:t>accesssed</w:t>
            </w:r>
            <w:proofErr w:type="spellEnd"/>
            <w:r>
              <w:rPr>
                <w:rFonts w:eastAsia="Arial" w:cs="Arial"/>
              </w:rPr>
              <w:t xml:space="preserve"> 13.06.18)</w:t>
            </w:r>
          </w:p>
          <w:p w:rsidR="00813086" w:rsidRDefault="00813086" w:rsidP="00813086">
            <w:pPr>
              <w:pStyle w:val="Heading2"/>
              <w:keepNext w:val="0"/>
              <w:keepLines w:val="0"/>
              <w:shd w:val="clear" w:color="auto" w:fill="FFFFFF"/>
              <w:spacing w:before="160" w:after="60" w:line="240" w:lineRule="auto"/>
              <w:outlineLvl w:val="1"/>
              <w:rPr>
                <w:rFonts w:ascii="Arial" w:eastAsia="Arial" w:hAnsi="Arial" w:cs="Arial"/>
                <w:b w:val="0"/>
                <w:sz w:val="22"/>
                <w:szCs w:val="22"/>
              </w:rPr>
            </w:pPr>
            <w:bookmarkStart w:id="0" w:name="_jhox1ae6nphc" w:colFirst="0" w:colLast="0"/>
            <w:bookmarkEnd w:id="0"/>
            <w:r>
              <w:rPr>
                <w:rFonts w:ascii="Arial" w:eastAsia="Arial" w:hAnsi="Arial" w:cs="Arial"/>
                <w:b w:val="0"/>
                <w:sz w:val="22"/>
                <w:szCs w:val="22"/>
              </w:rPr>
              <w:t xml:space="preserve">HEA (2011) A Good Practice Guide to Learning Relationships in Higher Education. Available at: </w:t>
            </w:r>
            <w:hyperlink r:id="rId15">
              <w:r>
                <w:rPr>
                  <w:rFonts w:ascii="Arial" w:eastAsia="Arial" w:hAnsi="Arial" w:cs="Arial"/>
                  <w:b w:val="0"/>
                  <w:sz w:val="22"/>
                  <w:szCs w:val="22"/>
                </w:rPr>
                <w:t>https://www.heacademy.ac.uk/system/files/northumbria_guide_to_relationships_dec_11_1.pdf</w:t>
              </w:r>
            </w:hyperlink>
            <w:r>
              <w:rPr>
                <w:rFonts w:ascii="Arial" w:eastAsia="Arial" w:hAnsi="Arial" w:cs="Arial"/>
                <w:b w:val="0"/>
                <w:sz w:val="22"/>
                <w:szCs w:val="22"/>
              </w:rPr>
              <w:t xml:space="preserve"> (accessed 14.06.18)</w:t>
            </w:r>
          </w:p>
          <w:p w:rsidR="00813086" w:rsidRDefault="00813086" w:rsidP="00813086">
            <w:pPr>
              <w:pStyle w:val="Heading2"/>
              <w:keepNext w:val="0"/>
              <w:keepLines w:val="0"/>
              <w:shd w:val="clear" w:color="auto" w:fill="FFFFFF"/>
              <w:spacing w:before="160" w:after="0" w:line="240" w:lineRule="auto"/>
              <w:outlineLvl w:val="1"/>
              <w:rPr>
                <w:sz w:val="22"/>
                <w:szCs w:val="22"/>
              </w:rPr>
            </w:pPr>
            <w:bookmarkStart w:id="1" w:name="_34hg34wsqhbd" w:colFirst="0" w:colLast="0"/>
            <w:bookmarkStart w:id="2" w:name="_5wiu9j3p7ewx" w:colFirst="0" w:colLast="0"/>
            <w:bookmarkEnd w:id="1"/>
            <w:bookmarkEnd w:id="2"/>
            <w:r>
              <w:rPr>
                <w:rFonts w:ascii="Arial" w:eastAsia="Arial" w:hAnsi="Arial" w:cs="Arial"/>
                <w:b w:val="0"/>
                <w:sz w:val="22"/>
                <w:szCs w:val="22"/>
              </w:rPr>
              <w:t xml:space="preserve">Koh, A.W.L., Lee, S.C. &amp; Lim, S.W.H. (2018) </w:t>
            </w:r>
            <w:r>
              <w:rPr>
                <w:rFonts w:ascii="Arial" w:eastAsia="Arial" w:hAnsi="Arial" w:cs="Arial"/>
                <w:b w:val="0"/>
                <w:color w:val="1C1D1E"/>
                <w:sz w:val="22"/>
                <w:szCs w:val="22"/>
              </w:rPr>
              <w:t xml:space="preserve">The learning benefits of teaching: A retrieval practice hypothesis </w:t>
            </w:r>
            <w:r>
              <w:rPr>
                <w:rFonts w:ascii="Arial" w:eastAsia="Arial" w:hAnsi="Arial" w:cs="Arial"/>
                <w:b w:val="0"/>
                <w:i/>
                <w:color w:val="1C1D1E"/>
                <w:sz w:val="22"/>
                <w:szCs w:val="22"/>
              </w:rPr>
              <w:t xml:space="preserve">Applied Cognitive Psychology </w:t>
            </w:r>
            <w:r>
              <w:rPr>
                <w:rFonts w:ascii="Arial" w:eastAsia="Arial" w:hAnsi="Arial" w:cs="Arial"/>
                <w:b w:val="0"/>
                <w:color w:val="1C1D1E"/>
                <w:sz w:val="22"/>
                <w:szCs w:val="22"/>
              </w:rPr>
              <w:t>32 (3) pp.401-410</w:t>
            </w:r>
          </w:p>
          <w:p w:rsidR="00813086" w:rsidRDefault="00813086" w:rsidP="00813086">
            <w:pPr>
              <w:rPr>
                <w:rFonts w:eastAsia="Arial" w:cs="Arial"/>
              </w:rPr>
            </w:pPr>
            <w:proofErr w:type="spellStart"/>
            <w:r>
              <w:rPr>
                <w:rFonts w:eastAsia="Arial" w:cs="Arial"/>
              </w:rPr>
              <w:t>Samball</w:t>
            </w:r>
            <w:proofErr w:type="spellEnd"/>
            <w:r>
              <w:rPr>
                <w:rFonts w:eastAsia="Arial" w:cs="Arial"/>
              </w:rPr>
              <w:t xml:space="preserve">, K., McDowell, L. &amp; Montgomery, C. (2012) </w:t>
            </w:r>
            <w:r>
              <w:rPr>
                <w:rFonts w:eastAsia="Arial" w:cs="Arial"/>
                <w:i/>
              </w:rPr>
              <w:t xml:space="preserve">Assessment for Learning in Higher Education. </w:t>
            </w:r>
            <w:r>
              <w:rPr>
                <w:rFonts w:eastAsia="Arial" w:cs="Arial"/>
              </w:rPr>
              <w:t>London: Routledge</w:t>
            </w:r>
          </w:p>
          <w:p w:rsidR="00813086" w:rsidRDefault="00813086" w:rsidP="00813086">
            <w:pPr>
              <w:rPr>
                <w:rFonts w:eastAsia="Arial" w:cs="Arial"/>
              </w:rPr>
            </w:pPr>
            <w:r>
              <w:rPr>
                <w:rFonts w:eastAsia="Arial" w:cs="Arial"/>
              </w:rPr>
              <w:t xml:space="preserve">Shon, P.C. (2018) </w:t>
            </w:r>
            <w:r>
              <w:rPr>
                <w:rFonts w:eastAsia="Arial" w:cs="Arial"/>
                <w:i/>
              </w:rPr>
              <w:t xml:space="preserve">The Quick Fix Guide to Academic Writing: How to Avoid Big Mistakes and Small Errors </w:t>
            </w:r>
            <w:r>
              <w:rPr>
                <w:rFonts w:eastAsia="Arial" w:cs="Arial"/>
              </w:rPr>
              <w:t>London: Sage Publications Ltd.</w:t>
            </w:r>
          </w:p>
          <w:p w:rsidR="00813086" w:rsidRDefault="00813086" w:rsidP="00813086">
            <w:pPr>
              <w:rPr>
                <w:rFonts w:eastAsia="Arial" w:cs="Arial"/>
              </w:rPr>
            </w:pPr>
            <w:r>
              <w:rPr>
                <w:rFonts w:eastAsia="Arial" w:cs="Arial"/>
              </w:rPr>
              <w:t xml:space="preserve">Todd, M., Bannister, P., and Clegg, S. (2004) Independent inquiry and the undergraduate dissertation: perceptions and experiences of final-year social science students. </w:t>
            </w:r>
            <w:r>
              <w:rPr>
                <w:rFonts w:eastAsia="Arial" w:cs="Arial"/>
                <w:i/>
              </w:rPr>
              <w:t xml:space="preserve">Assessment and Evaluation in Higher Education </w:t>
            </w:r>
            <w:r>
              <w:rPr>
                <w:rFonts w:eastAsia="Arial" w:cs="Arial"/>
              </w:rPr>
              <w:t>29 (3) pp.335-349</w:t>
            </w:r>
          </w:p>
          <w:p w:rsidR="00813086" w:rsidRDefault="00813086" w:rsidP="00813086">
            <w:pPr>
              <w:rPr>
                <w:rFonts w:eastAsia="Arial" w:cs="Arial"/>
              </w:rPr>
            </w:pPr>
          </w:p>
          <w:p w:rsidR="00813086" w:rsidRDefault="00813086" w:rsidP="00813086">
            <w:pPr>
              <w:rPr>
                <w:rFonts w:eastAsia="Arial" w:cs="Arial"/>
                <w:sz w:val="24"/>
                <w:szCs w:val="24"/>
              </w:rPr>
            </w:pPr>
          </w:p>
          <w:p w:rsidR="005F1278" w:rsidRPr="00FE7642" w:rsidRDefault="005F1278" w:rsidP="000F1367">
            <w:pPr>
              <w:jc w:val="both"/>
              <w:rPr>
                <w:rFonts w:cs="Arial"/>
                <w:sz w:val="24"/>
                <w:szCs w:val="24"/>
              </w:rPr>
            </w:pPr>
          </w:p>
          <w:p w:rsidR="005F1278" w:rsidRPr="00FE7642" w:rsidRDefault="005F1278" w:rsidP="000F1367">
            <w:pPr>
              <w:jc w:val="both"/>
              <w:rPr>
                <w:rFonts w:cs="Arial"/>
                <w:sz w:val="24"/>
                <w:szCs w:val="24"/>
              </w:rPr>
            </w:pPr>
          </w:p>
          <w:p w:rsidR="005F1278" w:rsidRPr="00FE7642" w:rsidRDefault="005F1278" w:rsidP="000F1367">
            <w:pPr>
              <w:jc w:val="both"/>
              <w:rPr>
                <w:rFonts w:cs="Arial"/>
                <w:sz w:val="24"/>
                <w:szCs w:val="24"/>
              </w:rPr>
            </w:pPr>
          </w:p>
          <w:p w:rsidR="005F1278" w:rsidRPr="00FE7642" w:rsidRDefault="005F1278" w:rsidP="000F1367">
            <w:pPr>
              <w:jc w:val="both"/>
              <w:rPr>
                <w:rFonts w:cs="Arial"/>
                <w:sz w:val="24"/>
                <w:szCs w:val="24"/>
              </w:rPr>
            </w:pPr>
          </w:p>
          <w:p w:rsidR="005407DE" w:rsidRPr="00FE7642" w:rsidRDefault="005407DE" w:rsidP="000F1367">
            <w:pPr>
              <w:jc w:val="both"/>
              <w:rPr>
                <w:rFonts w:cs="Arial"/>
                <w:sz w:val="24"/>
                <w:szCs w:val="24"/>
              </w:rPr>
            </w:pPr>
          </w:p>
        </w:tc>
      </w:tr>
    </w:tbl>
    <w:p w:rsidR="005F1278" w:rsidRDefault="005F1278">
      <w:pPr>
        <w:rPr>
          <w:rFonts w:cs="Arial"/>
        </w:rPr>
      </w:pPr>
    </w:p>
    <w:p w:rsidR="00407E26" w:rsidRPr="00FE7642" w:rsidRDefault="00407E26">
      <w:pPr>
        <w:rPr>
          <w:rFonts w:cs="Arial"/>
        </w:rPr>
      </w:pPr>
    </w:p>
    <w:tbl>
      <w:tblPr>
        <w:tblStyle w:val="TableGrid"/>
        <w:tblW w:w="0" w:type="auto"/>
        <w:tblLook w:val="04A0" w:firstRow="1" w:lastRow="0" w:firstColumn="1" w:lastColumn="0" w:noHBand="0" w:noVBand="1"/>
      </w:tblPr>
      <w:tblGrid>
        <w:gridCol w:w="4871"/>
        <w:gridCol w:w="5585"/>
      </w:tblGrid>
      <w:tr w:rsidR="00CA12DC" w:rsidRPr="00FE7642" w:rsidTr="00AC5818">
        <w:tc>
          <w:tcPr>
            <w:tcW w:w="10598" w:type="dxa"/>
            <w:gridSpan w:val="2"/>
          </w:tcPr>
          <w:p w:rsidR="00CA12DC" w:rsidRPr="00FE7642" w:rsidRDefault="00CA12DC" w:rsidP="000F1367">
            <w:pPr>
              <w:jc w:val="both"/>
              <w:rPr>
                <w:rFonts w:cs="Arial"/>
                <w:b/>
                <w:sz w:val="28"/>
                <w:szCs w:val="28"/>
              </w:rPr>
            </w:pPr>
            <w:r w:rsidRPr="00FE7642">
              <w:rPr>
                <w:rFonts w:cs="Arial"/>
                <w:b/>
                <w:sz w:val="28"/>
                <w:szCs w:val="28"/>
              </w:rPr>
              <w:lastRenderedPageBreak/>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d giving feedback to learners (7</w:t>
            </w:r>
            <w:r w:rsidRPr="00FE7642">
              <w:rPr>
                <w:rFonts w:cs="Arial"/>
                <w:b/>
                <w:sz w:val="28"/>
                <w:szCs w:val="28"/>
              </w:rPr>
              <w:t>00 words)</w:t>
            </w:r>
          </w:p>
          <w:p w:rsidR="00CA12DC" w:rsidRPr="00FE7642" w:rsidRDefault="00CA12DC" w:rsidP="000F1367">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rsidTr="00E0025F">
        <w:tc>
          <w:tcPr>
            <w:tcW w:w="4928" w:type="dxa"/>
          </w:tcPr>
          <w:p w:rsidR="00CA12DC" w:rsidRPr="00FE7642" w:rsidRDefault="00CA12DC" w:rsidP="000F1367">
            <w:pPr>
              <w:rPr>
                <w:rFonts w:cs="Arial"/>
                <w:sz w:val="20"/>
                <w:szCs w:val="20"/>
                <w:u w:val="single"/>
              </w:rPr>
            </w:pPr>
            <w:r w:rsidRPr="00FE7642">
              <w:rPr>
                <w:rFonts w:cs="Arial"/>
                <w:sz w:val="20"/>
                <w:szCs w:val="20"/>
                <w:u w:val="single"/>
              </w:rPr>
              <w:t>Engagement with appropriate assessment strategies including: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rsidR="00CA12DC" w:rsidRPr="00FE7642" w:rsidRDefault="00CA12DC" w:rsidP="000F1367">
            <w:pPr>
              <w:jc w:val="both"/>
              <w:rPr>
                <w:rFonts w:cs="Arial"/>
                <w:sz w:val="20"/>
                <w:szCs w:val="20"/>
              </w:rPr>
            </w:pPr>
            <w:r w:rsidRPr="00FE7642">
              <w:rPr>
                <w:rFonts w:cs="Arial"/>
                <w:sz w:val="20"/>
                <w:szCs w:val="20"/>
                <w:u w:val="single"/>
              </w:rPr>
              <w:t>Evidence might include:</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External examiner activity</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rsidR="005407DE" w:rsidRPr="00FE7642" w:rsidRDefault="005407DE" w:rsidP="005407DE">
            <w:pPr>
              <w:ind w:left="57"/>
              <w:rPr>
                <w:rFonts w:cs="Arial"/>
                <w:sz w:val="20"/>
                <w:szCs w:val="20"/>
              </w:rPr>
            </w:pPr>
          </w:p>
        </w:tc>
      </w:tr>
      <w:tr w:rsidR="005407DE" w:rsidRPr="00FE7642" w:rsidTr="00AC5818">
        <w:tc>
          <w:tcPr>
            <w:tcW w:w="10598" w:type="dxa"/>
            <w:gridSpan w:val="2"/>
          </w:tcPr>
          <w:p w:rsidR="005407DE" w:rsidRPr="00FE7642" w:rsidRDefault="005407DE" w:rsidP="000F1367">
            <w:pPr>
              <w:jc w:val="both"/>
              <w:rPr>
                <w:rFonts w:cs="Arial"/>
                <w:b/>
                <w:sz w:val="24"/>
                <w:szCs w:val="24"/>
                <w:u w:val="single"/>
              </w:rPr>
            </w:pPr>
            <w:r w:rsidRPr="00FE7642">
              <w:rPr>
                <w:rFonts w:cs="Arial"/>
                <w:b/>
                <w:sz w:val="24"/>
                <w:szCs w:val="24"/>
                <w:u w:val="single"/>
              </w:rPr>
              <w:t>Write your evidence here</w:t>
            </w:r>
          </w:p>
          <w:p w:rsidR="005407DE" w:rsidRPr="00FE7642" w:rsidRDefault="005407DE" w:rsidP="000F1367">
            <w:pPr>
              <w:jc w:val="both"/>
              <w:rPr>
                <w:rFonts w:cs="Arial"/>
                <w:sz w:val="24"/>
                <w:szCs w:val="24"/>
              </w:rPr>
            </w:pPr>
          </w:p>
          <w:p w:rsidR="00993832" w:rsidRDefault="00993832" w:rsidP="00993832">
            <w:pPr>
              <w:jc w:val="both"/>
              <w:rPr>
                <w:rFonts w:eastAsia="Arial" w:cs="Arial"/>
              </w:rPr>
            </w:pPr>
            <w:r>
              <w:rPr>
                <w:rFonts w:eastAsia="Arial" w:cs="Arial"/>
              </w:rPr>
              <w:t xml:space="preserve">The importance of assessment cannot be underestimated. </w:t>
            </w:r>
            <w:proofErr w:type="spellStart"/>
            <w:r>
              <w:rPr>
                <w:rFonts w:eastAsia="Arial" w:cs="Arial"/>
              </w:rPr>
              <w:t>Boud</w:t>
            </w:r>
            <w:proofErr w:type="spellEnd"/>
            <w:r>
              <w:rPr>
                <w:rFonts w:eastAsia="Arial" w:cs="Arial"/>
              </w:rPr>
              <w:t xml:space="preserve"> (1995 p.40) suggested that it had a ‘greater influence on how and what students learn than any other single factor’. Carroll (2007 p.34) asserted, "assessment IS the students experience of university". (V3)</w:t>
            </w:r>
          </w:p>
          <w:p w:rsidR="00993832" w:rsidRDefault="00993832" w:rsidP="00993832">
            <w:pPr>
              <w:jc w:val="both"/>
              <w:rPr>
                <w:rFonts w:eastAsia="Arial" w:cs="Arial"/>
              </w:rPr>
            </w:pPr>
            <w:r>
              <w:rPr>
                <w:rFonts w:eastAsia="Arial" w:cs="Arial"/>
              </w:rPr>
              <w:t xml:space="preserve">I wanted to ensure that the approach to assessment was consistent with the ethos of the department, based on core values of social care, and that it supported students to acquire the knowledge and skills that the programme intended. </w:t>
            </w:r>
            <w:r w:rsidRPr="00B678BD">
              <w:rPr>
                <w:rFonts w:eastAsia="Arial" w:cs="Arial"/>
                <w:highlight w:val="white"/>
              </w:rPr>
              <w:t xml:space="preserve"> </w:t>
            </w:r>
            <w:r>
              <w:rPr>
                <w:rFonts w:eastAsia="Arial" w:cs="Arial"/>
                <w:highlight w:val="white"/>
              </w:rPr>
              <w:t xml:space="preserve">The BASCS programme aims to </w:t>
            </w:r>
            <w:r w:rsidR="00AF7886">
              <w:rPr>
                <w:rFonts w:eastAsia="Arial" w:cs="Arial"/>
                <w:highlight w:val="white"/>
              </w:rPr>
              <w:t>develop</w:t>
            </w:r>
            <w:r>
              <w:rPr>
                <w:rFonts w:eastAsia="Arial" w:cs="Arial"/>
                <w:highlight w:val="white"/>
              </w:rPr>
              <w:t xml:space="preserve"> critical analysis to encourage students to balance competing views and priorities, and to reach appropriate conclusions. It seemed entirely appropriate to include assessments that allow students to practice these desirable qualities in a safe environment, </w:t>
            </w:r>
            <w:r w:rsidR="00AF7886">
              <w:rPr>
                <w:rFonts w:eastAsia="Arial" w:cs="Arial"/>
                <w:highlight w:val="white"/>
              </w:rPr>
              <w:t>applying</w:t>
            </w:r>
            <w:r>
              <w:rPr>
                <w:rFonts w:eastAsia="Arial" w:cs="Arial"/>
                <w:highlight w:val="white"/>
              </w:rPr>
              <w:t xml:space="preserve"> theory to practice, to refine the decision-making and analytical skills necessary in the working environment. </w:t>
            </w:r>
            <w:r>
              <w:rPr>
                <w:rFonts w:eastAsia="Arial" w:cs="Arial"/>
              </w:rPr>
              <w:t>(K2, K3)</w:t>
            </w:r>
          </w:p>
          <w:p w:rsidR="00993832" w:rsidRDefault="00993832" w:rsidP="00993832">
            <w:pPr>
              <w:jc w:val="both"/>
              <w:rPr>
                <w:rFonts w:eastAsia="Arial" w:cs="Arial"/>
              </w:rPr>
            </w:pPr>
            <w:r>
              <w:rPr>
                <w:rFonts w:eastAsia="Arial" w:cs="Arial"/>
              </w:rPr>
              <w:t xml:space="preserve">Biggs and Tang (2009) discussed the concept of a ‘constructively aligned curriculum’ </w:t>
            </w:r>
            <w:r w:rsidR="00AF7886">
              <w:rPr>
                <w:rFonts w:eastAsia="Arial" w:cs="Arial"/>
              </w:rPr>
              <w:t>with</w:t>
            </w:r>
            <w:r>
              <w:rPr>
                <w:rFonts w:eastAsia="Arial" w:cs="Arial"/>
              </w:rPr>
              <w:t xml:space="preserve"> the potential to increase student engagement by building on knowledge constructed from their existing schemata. They asserted that it reduced surface learning because all elements of the curriculum, including assessment, were aligned to the learning outcomes of the programme. (K1, K2)</w:t>
            </w:r>
          </w:p>
          <w:p w:rsidR="00993832" w:rsidRDefault="00993832" w:rsidP="00993832">
            <w:pPr>
              <w:jc w:val="both"/>
              <w:rPr>
                <w:rFonts w:eastAsia="Arial" w:cs="Arial"/>
              </w:rPr>
            </w:pPr>
            <w:r>
              <w:rPr>
                <w:rFonts w:eastAsia="Arial" w:cs="Arial"/>
              </w:rPr>
              <w:t xml:space="preserve">Brown (2014) stated that assessment had the potential to engage and motivate, but could also destroy confidence and undermine students. To contribute positively to learning, it needed to be fit for purpose and regarded by students as authentic and relevant. Effective assessment should </w:t>
            </w:r>
            <w:r>
              <w:rPr>
                <w:rFonts w:eastAsia="Arial" w:cs="Arial"/>
                <w:highlight w:val="white"/>
              </w:rPr>
              <w:t>acknowledge changes in policy and practice, encourage the development of transferable knowledge and skills, and enhance employability.</w:t>
            </w:r>
            <w:r>
              <w:rPr>
                <w:rFonts w:eastAsia="Arial" w:cs="Arial"/>
              </w:rPr>
              <w:t xml:space="preserve">  Including a range of approaches is important. The BASCS External Examiner report (2017) referred favourably to the breadth of assessment styles that accommodated a variety of learning preferences (Gardner 1984, Kolb 1984). These included presentations (individual and group), posters, seminars, management plans and reflective accounts, in addition to essay</w:t>
            </w:r>
            <w:r w:rsidR="00AF7886">
              <w:rPr>
                <w:rFonts w:eastAsia="Arial" w:cs="Arial"/>
              </w:rPr>
              <w:t>s</w:t>
            </w:r>
            <w:r>
              <w:rPr>
                <w:rFonts w:eastAsia="Arial" w:cs="Arial"/>
              </w:rPr>
              <w:t>. (K6, K3)</w:t>
            </w:r>
          </w:p>
          <w:p w:rsidR="00993832" w:rsidRDefault="00993832" w:rsidP="00993832">
            <w:pPr>
              <w:jc w:val="both"/>
              <w:rPr>
                <w:rFonts w:eastAsia="Arial" w:cs="Arial"/>
                <w:highlight w:val="white"/>
              </w:rPr>
            </w:pPr>
            <w:r>
              <w:rPr>
                <w:rFonts w:eastAsia="Arial" w:cs="Arial"/>
                <w:highlight w:val="white"/>
              </w:rPr>
              <w:t>Innovative assessments that require students to think and apply knowledge can play a role in limiting or even designing out plagiarism (Rolfe 2011). Individuals working within social care are expected to be able to work in challenging circumstances, analyse situations and propose the most appropriate course of action. (V3, K3)</w:t>
            </w:r>
          </w:p>
          <w:p w:rsidR="00993832" w:rsidRDefault="00993832" w:rsidP="00993832">
            <w:pPr>
              <w:jc w:val="both"/>
              <w:rPr>
                <w:rFonts w:eastAsia="Arial" w:cs="Arial"/>
              </w:rPr>
            </w:pPr>
            <w:r>
              <w:rPr>
                <w:rFonts w:eastAsia="Arial" w:cs="Arial"/>
                <w:highlight w:val="white"/>
              </w:rPr>
              <w:t xml:space="preserve">I designed assessments that required students to analyse critical incidents in relation to safeguarding and transitions between services. The Social Care Institute for Excellence (SCIE) (2018) states that critical analysis is valuable because although it explores how professionals acted, and examines problematic practice issues, its primary focus is on understanding why difficulties might have occurred and how these can be resolved. Green Lister and Crisp (2007) commended the use of critical incident analysis in assessment, with reference to its use in providing a structure for critical reflection and in supporting anti-oppressive practice.  Since I have introduced these assessments, although students find them challenging, not least because they are unable to simply Google the answer, they appear to engage well with these real-life scenarios. They establish an extremely strong link between theory and practice, and because they </w:t>
            </w:r>
            <w:r>
              <w:rPr>
                <w:rFonts w:eastAsia="Arial" w:cs="Arial"/>
                <w:highlight w:val="white"/>
              </w:rPr>
              <w:lastRenderedPageBreak/>
              <w:t>encourage a critical mind-set, the quality of the arguments presented by students, their willingness to consider different perspectives and to speculate about implications has improved considerably. (V3, K3, K2)</w:t>
            </w:r>
          </w:p>
          <w:p w:rsidR="00993832" w:rsidRDefault="00993832" w:rsidP="00993832">
            <w:pPr>
              <w:jc w:val="both"/>
              <w:rPr>
                <w:rFonts w:eastAsia="Arial" w:cs="Arial"/>
              </w:rPr>
            </w:pPr>
            <w:r>
              <w:rPr>
                <w:rFonts w:eastAsia="Arial" w:cs="Arial"/>
              </w:rPr>
              <w:t xml:space="preserve">Effective assessment must include detailed, formative feedback. Gibbs and Simpson (2005) identified feedback as the most important element of assessment and highlighted its value to students. However, they reported that students frequently failed to engage with it, because they did not fully understand it, because it was not timely, or because it looked back rather than suggesting how future work could be improved. I aim to provide detailed, unambiguous feedback, with suggestions to extend and develop their work. Providing platitudes such as ‘well done’, or ‘good work’ is essentially meaningless because it is not sufficiently specific or quantifiable. It is equally unhelpful to neglect to provide high-flying students with feedforward, because it appears that they are already succeeding academically. If I provide clear-cut feedback, followed with verbal or written explanation where appropriate, students can move towards taking control of their learning experience. Nicol and MacFarlane-Dick (2006) described </w:t>
            </w:r>
            <w:r w:rsidR="00944267">
              <w:rPr>
                <w:rFonts w:eastAsia="Arial" w:cs="Arial"/>
              </w:rPr>
              <w:t>this process as self-regulation. Students can progress</w:t>
            </w:r>
            <w:r>
              <w:rPr>
                <w:rFonts w:eastAsia="Arial" w:cs="Arial"/>
              </w:rPr>
              <w:t xml:space="preserve"> to providing their own feedback because they underst</w:t>
            </w:r>
            <w:r w:rsidR="00944267">
              <w:rPr>
                <w:rFonts w:eastAsia="Arial" w:cs="Arial"/>
              </w:rPr>
              <w:t>and</w:t>
            </w:r>
            <w:r>
              <w:rPr>
                <w:rFonts w:eastAsia="Arial" w:cs="Arial"/>
              </w:rPr>
              <w:t xml:space="preserve"> how </w:t>
            </w:r>
            <w:r w:rsidR="00944267">
              <w:rPr>
                <w:rFonts w:eastAsia="Arial" w:cs="Arial"/>
              </w:rPr>
              <w:t>to</w:t>
            </w:r>
            <w:r>
              <w:rPr>
                <w:rFonts w:eastAsia="Arial" w:cs="Arial"/>
              </w:rPr>
              <w:t xml:space="preserve"> tailor their performance to achieve </w:t>
            </w:r>
            <w:r w:rsidR="00944267">
              <w:rPr>
                <w:rFonts w:eastAsia="Arial" w:cs="Arial"/>
              </w:rPr>
              <w:t>academic expectations</w:t>
            </w:r>
            <w:r>
              <w:rPr>
                <w:rFonts w:eastAsia="Arial" w:cs="Arial"/>
              </w:rPr>
              <w:t>. (K2, K3, V3)</w:t>
            </w:r>
          </w:p>
          <w:p w:rsidR="00993832" w:rsidRDefault="00944267" w:rsidP="00993832">
            <w:pPr>
              <w:jc w:val="both"/>
              <w:rPr>
                <w:rFonts w:eastAsia="Arial" w:cs="Arial"/>
              </w:rPr>
            </w:pPr>
            <w:r>
              <w:rPr>
                <w:rFonts w:eastAsia="Arial" w:cs="Arial"/>
              </w:rPr>
              <w:t>Ultimately, if</w:t>
            </w:r>
            <w:r w:rsidR="00993832">
              <w:rPr>
                <w:rFonts w:eastAsia="Arial" w:cs="Arial"/>
              </w:rPr>
              <w:t xml:space="preserve"> students</w:t>
            </w:r>
            <w:r>
              <w:rPr>
                <w:rFonts w:eastAsia="Arial" w:cs="Arial"/>
              </w:rPr>
              <w:t xml:space="preserve"> are </w:t>
            </w:r>
            <w:r w:rsidR="00993832">
              <w:rPr>
                <w:rFonts w:eastAsia="Arial" w:cs="Arial"/>
              </w:rPr>
              <w:t>to benefit from assessment and feedback</w:t>
            </w:r>
            <w:r>
              <w:rPr>
                <w:rFonts w:eastAsia="Arial" w:cs="Arial"/>
              </w:rPr>
              <w:t>,</w:t>
            </w:r>
            <w:r w:rsidR="00993832">
              <w:rPr>
                <w:rFonts w:eastAsia="Arial" w:cs="Arial"/>
              </w:rPr>
              <w:t xml:space="preserve"> they </w:t>
            </w:r>
            <w:r>
              <w:rPr>
                <w:rFonts w:eastAsia="Arial" w:cs="Arial"/>
              </w:rPr>
              <w:t>need</w:t>
            </w:r>
            <w:r w:rsidR="00993832">
              <w:rPr>
                <w:rFonts w:eastAsia="Arial" w:cs="Arial"/>
              </w:rPr>
              <w:t xml:space="preserve"> to have confidence that the assessment criteria is rigorous, and </w:t>
            </w:r>
            <w:r>
              <w:rPr>
                <w:rFonts w:eastAsia="Arial" w:cs="Arial"/>
              </w:rPr>
              <w:t>consistently applied</w:t>
            </w:r>
            <w:r w:rsidR="00993832">
              <w:rPr>
                <w:rFonts w:eastAsia="Arial" w:cs="Arial"/>
              </w:rPr>
              <w:t>. I emphasise students’ work will be marked, second marked, sampled by the External Examiner, and that standardisation between departments takes place. I explain that the process is in place to monitor my standards, not their work, to reassure rather than intimidate them about the potential readership of their work. Price (2005) suggests that sampling and standardisation improve grading consistency, and mitigate factors that might influence marker’s judgements, which Bloxham 2012) described as including lecturers’ values, socialisation processes and relationships with students. (K6, V3)</w:t>
            </w:r>
          </w:p>
          <w:p w:rsidR="00993832" w:rsidRDefault="00993832" w:rsidP="00993832">
            <w:pPr>
              <w:rPr>
                <w:rFonts w:eastAsia="Arial" w:cs="Arial"/>
              </w:rPr>
            </w:pPr>
          </w:p>
          <w:p w:rsidR="00993832" w:rsidRDefault="00993832" w:rsidP="00993832">
            <w:pPr>
              <w:rPr>
                <w:rFonts w:eastAsia="Arial" w:cs="Arial"/>
                <w:b/>
              </w:rPr>
            </w:pPr>
            <w:r>
              <w:rPr>
                <w:rFonts w:eastAsia="Arial" w:cs="Arial"/>
                <w:b/>
              </w:rPr>
              <w:t>References</w:t>
            </w:r>
          </w:p>
          <w:p w:rsidR="00993832" w:rsidRDefault="00993832" w:rsidP="00993832">
            <w:pPr>
              <w:rPr>
                <w:rFonts w:eastAsia="Arial" w:cs="Arial"/>
              </w:rPr>
            </w:pPr>
            <w:r>
              <w:rPr>
                <w:rFonts w:eastAsia="Arial" w:cs="Arial"/>
              </w:rPr>
              <w:t xml:space="preserve">Biggs, J. &amp; Tang, C. (2009) </w:t>
            </w:r>
            <w:r>
              <w:rPr>
                <w:rFonts w:eastAsia="Arial" w:cs="Arial"/>
                <w:i/>
              </w:rPr>
              <w:t xml:space="preserve">Teaching for Quality Learning at University: </w:t>
            </w:r>
            <w:r>
              <w:rPr>
                <w:rFonts w:eastAsia="Arial" w:cs="Arial"/>
              </w:rPr>
              <w:t>(3rd Edition). Maidenhead: Open University Press.</w:t>
            </w:r>
          </w:p>
          <w:p w:rsidR="00993832" w:rsidRDefault="00993832" w:rsidP="00993832">
            <w:pPr>
              <w:rPr>
                <w:rFonts w:eastAsia="Arial" w:cs="Arial"/>
              </w:rPr>
            </w:pPr>
            <w:r>
              <w:rPr>
                <w:rFonts w:eastAsia="Arial" w:cs="Arial"/>
              </w:rPr>
              <w:t xml:space="preserve">Bloxham, S. (2012) “You can see the quality inn front of your eyes”: grounding academic standards between rationality and interpretation. </w:t>
            </w:r>
            <w:r>
              <w:rPr>
                <w:rFonts w:eastAsia="Arial" w:cs="Arial"/>
                <w:i/>
              </w:rPr>
              <w:t xml:space="preserve">Quality in Higher Education. </w:t>
            </w:r>
            <w:r>
              <w:rPr>
                <w:rFonts w:eastAsia="Arial" w:cs="Arial"/>
              </w:rPr>
              <w:t>18 (2) pp.185-2014.</w:t>
            </w:r>
          </w:p>
          <w:p w:rsidR="00993832" w:rsidRDefault="00993832" w:rsidP="00993832">
            <w:pPr>
              <w:rPr>
                <w:rFonts w:eastAsia="Arial" w:cs="Arial"/>
              </w:rPr>
            </w:pPr>
            <w:proofErr w:type="spellStart"/>
            <w:r>
              <w:rPr>
                <w:rFonts w:eastAsia="Arial" w:cs="Arial"/>
              </w:rPr>
              <w:t>Boud</w:t>
            </w:r>
            <w:proofErr w:type="spellEnd"/>
            <w:r>
              <w:rPr>
                <w:rFonts w:eastAsia="Arial" w:cs="Arial"/>
              </w:rPr>
              <w:t xml:space="preserve">, D. (1995) Enhancing learning through self-assessment, London: Routledge. </w:t>
            </w:r>
          </w:p>
          <w:p w:rsidR="00993832" w:rsidRDefault="00993832" w:rsidP="00993832">
            <w:pPr>
              <w:rPr>
                <w:rFonts w:eastAsia="Arial" w:cs="Arial"/>
              </w:rPr>
            </w:pPr>
            <w:r>
              <w:rPr>
                <w:rFonts w:eastAsia="Arial" w:cs="Arial"/>
              </w:rPr>
              <w:t>Brown, S. (2014) Innovative Assessment: Creative Feedback, available at: http://www.sally-brown.net (accessed 15.06.15).</w:t>
            </w:r>
          </w:p>
          <w:p w:rsidR="00993832" w:rsidRDefault="00993832" w:rsidP="00993832">
            <w:pPr>
              <w:rPr>
                <w:rFonts w:eastAsia="Arial" w:cs="Arial"/>
              </w:rPr>
            </w:pPr>
            <w:r>
              <w:rPr>
                <w:rFonts w:eastAsia="Arial" w:cs="Arial"/>
              </w:rPr>
              <w:t>Carroll, J. (2007) A</w:t>
            </w:r>
            <w:r>
              <w:rPr>
                <w:rFonts w:eastAsia="Arial" w:cs="Arial"/>
                <w:i/>
              </w:rPr>
              <w:t xml:space="preserve"> Handbook for Deterring Plagiarism in Higher Education</w:t>
            </w:r>
            <w:r>
              <w:rPr>
                <w:rFonts w:eastAsia="Arial" w:cs="Arial"/>
              </w:rPr>
              <w:t xml:space="preserve">. Oxford: Oxford Centre for Staff and Learning Development. </w:t>
            </w:r>
          </w:p>
          <w:p w:rsidR="00993832" w:rsidRDefault="00993832" w:rsidP="00993832">
            <w:pPr>
              <w:rPr>
                <w:rFonts w:eastAsia="Arial" w:cs="Arial"/>
              </w:rPr>
            </w:pPr>
            <w:r>
              <w:rPr>
                <w:rFonts w:eastAsia="Arial" w:cs="Arial"/>
              </w:rPr>
              <w:t xml:space="preserve">Gardner, H. (1984) </w:t>
            </w:r>
            <w:r>
              <w:rPr>
                <w:rFonts w:eastAsia="Arial" w:cs="Arial"/>
                <w:i/>
              </w:rPr>
              <w:t>Frames of Mind</w:t>
            </w:r>
            <w:r>
              <w:rPr>
                <w:rFonts w:eastAsia="Arial" w:cs="Arial"/>
              </w:rPr>
              <w:t>. London: Paladin.</w:t>
            </w:r>
          </w:p>
          <w:p w:rsidR="00993832" w:rsidRDefault="00993832" w:rsidP="00993832">
            <w:pPr>
              <w:rPr>
                <w:rFonts w:eastAsia="Arial" w:cs="Arial"/>
              </w:rPr>
            </w:pPr>
            <w:r>
              <w:rPr>
                <w:rFonts w:eastAsia="Arial" w:cs="Arial"/>
              </w:rPr>
              <w:t xml:space="preserve">Gibbs, G. &amp; Simpson, C. (2005) Conditions under which assessment supports student learning. </w:t>
            </w:r>
            <w:r>
              <w:rPr>
                <w:rFonts w:eastAsia="Arial" w:cs="Arial"/>
                <w:i/>
              </w:rPr>
              <w:t xml:space="preserve">Learning and Teaching in Higher Education. </w:t>
            </w:r>
            <w:r>
              <w:rPr>
                <w:rFonts w:eastAsia="Arial" w:cs="Arial"/>
              </w:rPr>
              <w:t>38 (2) pp.247-264.</w:t>
            </w:r>
          </w:p>
          <w:p w:rsidR="00993832" w:rsidRDefault="00993832" w:rsidP="00993832">
            <w:pPr>
              <w:rPr>
                <w:rFonts w:eastAsia="Arial" w:cs="Arial"/>
                <w:highlight w:val="white"/>
              </w:rPr>
            </w:pPr>
            <w:r>
              <w:rPr>
                <w:rFonts w:eastAsia="Arial" w:cs="Arial"/>
                <w:highlight w:val="white"/>
              </w:rPr>
              <w:t xml:space="preserve">Green Lister, P. &amp; Crisp, B.R. (2007) Critical incident analyses: a practice learning tool for students and practitioners </w:t>
            </w:r>
            <w:r>
              <w:rPr>
                <w:rFonts w:eastAsia="Arial" w:cs="Arial"/>
                <w:i/>
                <w:highlight w:val="white"/>
              </w:rPr>
              <w:t>Practice</w:t>
            </w:r>
            <w:r>
              <w:rPr>
                <w:rFonts w:eastAsia="Arial" w:cs="Arial"/>
                <w:highlight w:val="white"/>
              </w:rPr>
              <w:t xml:space="preserve"> 19 (1) pp.47-60. </w:t>
            </w:r>
          </w:p>
          <w:p w:rsidR="00993832" w:rsidRDefault="00993832" w:rsidP="00993832">
            <w:pPr>
              <w:rPr>
                <w:rFonts w:eastAsia="Arial" w:cs="Arial"/>
                <w:highlight w:val="white"/>
              </w:rPr>
            </w:pPr>
            <w:r>
              <w:rPr>
                <w:rFonts w:eastAsia="Arial" w:cs="Arial"/>
                <w:highlight w:val="white"/>
              </w:rPr>
              <w:t xml:space="preserve">Kolb, D.A. (1984) </w:t>
            </w:r>
            <w:r>
              <w:rPr>
                <w:rFonts w:eastAsia="Arial" w:cs="Arial"/>
                <w:i/>
                <w:highlight w:val="white"/>
              </w:rPr>
              <w:t>Experiential Learning.</w:t>
            </w:r>
            <w:r>
              <w:rPr>
                <w:rFonts w:eastAsia="Arial" w:cs="Arial"/>
                <w:highlight w:val="white"/>
              </w:rPr>
              <w:t xml:space="preserve"> Englewood Cliffs, NJ: Prentice Hall.</w:t>
            </w:r>
          </w:p>
          <w:p w:rsidR="00993832" w:rsidRDefault="00993832" w:rsidP="00993832">
            <w:pPr>
              <w:rPr>
                <w:rFonts w:eastAsia="Arial" w:cs="Arial"/>
                <w:highlight w:val="white"/>
              </w:rPr>
            </w:pPr>
            <w:r>
              <w:rPr>
                <w:rFonts w:eastAsia="Arial" w:cs="Arial"/>
                <w:highlight w:val="white"/>
              </w:rPr>
              <w:t xml:space="preserve">Nicol, D. &amp; MacFarlane-Dick, D. (2006) Formative assessment and self-regulated learning: a model and seven principles of good feedback practice. </w:t>
            </w:r>
            <w:r>
              <w:rPr>
                <w:rFonts w:eastAsia="Arial" w:cs="Arial"/>
                <w:i/>
                <w:highlight w:val="white"/>
              </w:rPr>
              <w:t xml:space="preserve">Studies in Higher Education </w:t>
            </w:r>
            <w:r>
              <w:rPr>
                <w:rFonts w:eastAsia="Arial" w:cs="Arial"/>
                <w:highlight w:val="white"/>
              </w:rPr>
              <w:t xml:space="preserve">30 (2) pp.199-218. </w:t>
            </w:r>
          </w:p>
          <w:p w:rsidR="00993832" w:rsidRDefault="00993832" w:rsidP="00993832">
            <w:pPr>
              <w:rPr>
                <w:rFonts w:eastAsia="Arial" w:cs="Arial"/>
                <w:highlight w:val="white"/>
              </w:rPr>
            </w:pPr>
            <w:r>
              <w:rPr>
                <w:rFonts w:eastAsia="Arial" w:cs="Arial"/>
                <w:highlight w:val="white"/>
              </w:rPr>
              <w:t xml:space="preserve">Price, M. (2005) Assessment standards: the role of communities of practice and the scholarship of assessment. </w:t>
            </w:r>
            <w:r>
              <w:rPr>
                <w:rFonts w:eastAsia="Arial" w:cs="Arial"/>
                <w:i/>
                <w:highlight w:val="white"/>
              </w:rPr>
              <w:t xml:space="preserve">Assessment and Evaluation in Higher Education. </w:t>
            </w:r>
            <w:r>
              <w:rPr>
                <w:rFonts w:eastAsia="Arial" w:cs="Arial"/>
                <w:highlight w:val="white"/>
              </w:rPr>
              <w:t>30 (3) pp.215-230.</w:t>
            </w:r>
          </w:p>
          <w:p w:rsidR="00993832" w:rsidRDefault="00993832" w:rsidP="00993832">
            <w:pPr>
              <w:rPr>
                <w:rFonts w:eastAsia="Arial" w:cs="Arial"/>
                <w:highlight w:val="white"/>
              </w:rPr>
            </w:pPr>
            <w:r>
              <w:rPr>
                <w:rFonts w:eastAsia="Arial" w:cs="Arial"/>
                <w:highlight w:val="white"/>
              </w:rPr>
              <w:t xml:space="preserve">Rolfe, V., 2011. Can Turnitin be used to provide instant formative </w:t>
            </w:r>
            <w:proofErr w:type="gramStart"/>
            <w:r>
              <w:rPr>
                <w:rFonts w:eastAsia="Arial" w:cs="Arial"/>
                <w:highlight w:val="white"/>
              </w:rPr>
              <w:t>feedback?.</w:t>
            </w:r>
            <w:proofErr w:type="gramEnd"/>
            <w:r>
              <w:rPr>
                <w:rFonts w:eastAsia="Arial" w:cs="Arial"/>
                <w:highlight w:val="white"/>
              </w:rPr>
              <w:t xml:space="preserve"> </w:t>
            </w:r>
            <w:r>
              <w:rPr>
                <w:rFonts w:eastAsia="Arial" w:cs="Arial"/>
                <w:i/>
                <w:highlight w:val="white"/>
              </w:rPr>
              <w:t>British Journal of Educational Technology</w:t>
            </w:r>
            <w:r>
              <w:rPr>
                <w:rFonts w:eastAsia="Arial" w:cs="Arial"/>
                <w:highlight w:val="white"/>
              </w:rPr>
              <w:t xml:space="preserve">, </w:t>
            </w:r>
            <w:r>
              <w:rPr>
                <w:rFonts w:eastAsia="Arial" w:cs="Arial"/>
                <w:i/>
                <w:highlight w:val="white"/>
              </w:rPr>
              <w:t>42</w:t>
            </w:r>
            <w:r>
              <w:rPr>
                <w:rFonts w:eastAsia="Arial" w:cs="Arial"/>
                <w:highlight w:val="white"/>
              </w:rPr>
              <w:t>(4), pp.701-710.</w:t>
            </w:r>
          </w:p>
          <w:p w:rsidR="00993832" w:rsidRDefault="00993832" w:rsidP="00993832">
            <w:pPr>
              <w:rPr>
                <w:rFonts w:eastAsia="Arial" w:cs="Arial"/>
                <w:highlight w:val="white"/>
              </w:rPr>
            </w:pPr>
            <w:r>
              <w:rPr>
                <w:rFonts w:eastAsia="Arial" w:cs="Arial"/>
                <w:highlight w:val="white"/>
              </w:rPr>
              <w:t xml:space="preserve">SCIE (2016) Critical analysis: Serious Case Review Quality Markers. Available at: </w:t>
            </w:r>
            <w:hyperlink r:id="rId16">
              <w:r>
                <w:rPr>
                  <w:rFonts w:eastAsia="Arial" w:cs="Arial"/>
                  <w:highlight w:val="white"/>
                </w:rPr>
                <w:t>https://www.scie.org.uk/children/safeguarding/case-reviews/quality-markers/running/13-analysis.asp</w:t>
              </w:r>
            </w:hyperlink>
            <w:r>
              <w:rPr>
                <w:rFonts w:eastAsia="Arial" w:cs="Arial"/>
                <w:highlight w:val="white"/>
              </w:rPr>
              <w:t xml:space="preserve"> (accessed 14.06.18).</w:t>
            </w:r>
          </w:p>
          <w:p w:rsidR="005407DE" w:rsidRPr="00FE7642" w:rsidRDefault="005407DE" w:rsidP="000F1367">
            <w:pPr>
              <w:jc w:val="both"/>
              <w:rPr>
                <w:rFonts w:cs="Arial"/>
                <w:sz w:val="24"/>
                <w:szCs w:val="24"/>
              </w:rPr>
            </w:pPr>
          </w:p>
          <w:p w:rsidR="005407DE" w:rsidRPr="00FE7642" w:rsidRDefault="005407DE" w:rsidP="000F1367">
            <w:pPr>
              <w:jc w:val="both"/>
              <w:rPr>
                <w:rFonts w:cs="Arial"/>
                <w:sz w:val="24"/>
                <w:szCs w:val="24"/>
              </w:rPr>
            </w:pPr>
          </w:p>
          <w:p w:rsidR="005407DE" w:rsidRDefault="005407DE" w:rsidP="000F1367">
            <w:pPr>
              <w:jc w:val="both"/>
              <w:rPr>
                <w:rFonts w:cs="Arial"/>
                <w:sz w:val="24"/>
                <w:szCs w:val="24"/>
              </w:rPr>
            </w:pPr>
          </w:p>
          <w:p w:rsidR="00407E26" w:rsidRPr="00FE7642" w:rsidRDefault="00407E26" w:rsidP="000F1367">
            <w:pPr>
              <w:jc w:val="both"/>
              <w:rPr>
                <w:rFonts w:cs="Arial"/>
                <w:sz w:val="24"/>
                <w:szCs w:val="24"/>
              </w:rPr>
            </w:pPr>
          </w:p>
        </w:tc>
      </w:tr>
    </w:tbl>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28"/>
        <w:gridCol w:w="5428"/>
      </w:tblGrid>
      <w:tr w:rsidR="00CA12DC" w:rsidRPr="00FE7642" w:rsidTr="00E0025F">
        <w:tc>
          <w:tcPr>
            <w:tcW w:w="10598" w:type="dxa"/>
            <w:gridSpan w:val="2"/>
          </w:tcPr>
          <w:p w:rsidR="00CA12DC" w:rsidRPr="00FE7642" w:rsidRDefault="00CA12DC" w:rsidP="000F1367">
            <w:pPr>
              <w:jc w:val="both"/>
              <w:rPr>
                <w:rFonts w:cs="Arial"/>
                <w:b/>
                <w:sz w:val="28"/>
                <w:szCs w:val="28"/>
              </w:rPr>
            </w:pPr>
            <w:r w:rsidRPr="00FE7642">
              <w:rPr>
                <w:rFonts w:cs="Arial"/>
                <w:b/>
                <w:sz w:val="28"/>
                <w:szCs w:val="28"/>
              </w:rPr>
              <w:lastRenderedPageBreak/>
              <w:t>A4:  Developing effective learning environments and approaches to</w:t>
            </w:r>
            <w:r w:rsidR="005407DE" w:rsidRPr="00FE7642">
              <w:rPr>
                <w:rFonts w:cs="Arial"/>
                <w:b/>
                <w:sz w:val="28"/>
                <w:szCs w:val="28"/>
              </w:rPr>
              <w:t xml:space="preserve"> student support and guidance (7</w:t>
            </w:r>
            <w:r w:rsidRPr="00FE7642">
              <w:rPr>
                <w:rFonts w:cs="Arial"/>
                <w:b/>
                <w:sz w:val="28"/>
                <w:szCs w:val="28"/>
              </w:rPr>
              <w:t>00 words)</w:t>
            </w:r>
          </w:p>
          <w:p w:rsidR="00CA12DC" w:rsidRPr="00FE7642" w:rsidRDefault="00502713" w:rsidP="000F1367">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rsidTr="00E0025F">
        <w:tc>
          <w:tcPr>
            <w:tcW w:w="5070" w:type="dxa"/>
          </w:tcPr>
          <w:p w:rsidR="00CA12DC" w:rsidRPr="00FE7642" w:rsidRDefault="00CA12DC" w:rsidP="000F1367">
            <w:pPr>
              <w:rPr>
                <w:rFonts w:cs="Arial"/>
                <w:sz w:val="20"/>
                <w:szCs w:val="20"/>
                <w:u w:val="single"/>
              </w:rPr>
            </w:pPr>
            <w:r w:rsidRPr="00FE7642">
              <w:rPr>
                <w:rFonts w:cs="Arial"/>
                <w:sz w:val="20"/>
                <w:szCs w:val="20"/>
                <w:u w:val="single"/>
              </w:rPr>
              <w:t>Engagement with:</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kinds of learners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rsidR="00CA12DC" w:rsidRPr="00FE7642" w:rsidRDefault="00CA12DC" w:rsidP="000F1367">
            <w:pPr>
              <w:jc w:val="both"/>
              <w:rPr>
                <w:rFonts w:cs="Arial"/>
                <w:sz w:val="20"/>
                <w:szCs w:val="20"/>
              </w:rPr>
            </w:pPr>
            <w:r w:rsidRPr="00FE7642">
              <w:rPr>
                <w:rFonts w:cs="Arial"/>
                <w:sz w:val="20"/>
                <w:szCs w:val="20"/>
                <w:u w:val="single"/>
              </w:rPr>
              <w:t>Evidence might include:</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rsidTr="00E0025F">
        <w:tc>
          <w:tcPr>
            <w:tcW w:w="10598" w:type="dxa"/>
            <w:gridSpan w:val="2"/>
          </w:tcPr>
          <w:p w:rsidR="00502713" w:rsidRPr="00407E26" w:rsidRDefault="00502713" w:rsidP="000F1367">
            <w:pPr>
              <w:jc w:val="both"/>
              <w:rPr>
                <w:rFonts w:cs="Arial"/>
                <w:b/>
                <w:sz w:val="24"/>
                <w:szCs w:val="24"/>
              </w:rPr>
            </w:pPr>
            <w:r w:rsidRPr="00407E26">
              <w:rPr>
                <w:rFonts w:cs="Arial"/>
                <w:b/>
                <w:sz w:val="24"/>
                <w:szCs w:val="24"/>
              </w:rPr>
              <w:t>Write your evidence here</w:t>
            </w:r>
          </w:p>
          <w:p w:rsidR="004F2494" w:rsidRDefault="004F2494" w:rsidP="004F2494">
            <w:pPr>
              <w:jc w:val="both"/>
              <w:rPr>
                <w:rFonts w:eastAsia="Arial" w:cs="Arial"/>
                <w:highlight w:val="white"/>
              </w:rPr>
            </w:pPr>
            <w:r>
              <w:rPr>
                <w:rFonts w:eastAsia="Arial" w:cs="Arial"/>
                <w:highlight w:val="white"/>
              </w:rPr>
              <w:t>The BASCS aims to equip students with the skills necessary to negotiate individual programmes of care with clients and services, monitor</w:t>
            </w:r>
            <w:r w:rsidR="00CD429E">
              <w:rPr>
                <w:rFonts w:eastAsia="Arial" w:cs="Arial"/>
                <w:highlight w:val="white"/>
              </w:rPr>
              <w:t>ing</w:t>
            </w:r>
            <w:r>
              <w:rPr>
                <w:rFonts w:eastAsia="Arial" w:cs="Arial"/>
                <w:highlight w:val="white"/>
              </w:rPr>
              <w:t xml:space="preserve"> and evaluat</w:t>
            </w:r>
            <w:r w:rsidR="00CD429E">
              <w:rPr>
                <w:rFonts w:eastAsia="Arial" w:cs="Arial"/>
                <w:highlight w:val="white"/>
              </w:rPr>
              <w:t>ing</w:t>
            </w:r>
            <w:r>
              <w:rPr>
                <w:rFonts w:eastAsia="Arial" w:cs="Arial"/>
                <w:highlight w:val="white"/>
              </w:rPr>
              <w:t xml:space="preserve"> their effectiveness. They are encouraged to refine these skills through active participation in their own learning experiences. HEA (2013) acknowledges students’ potential to contribute to improving the learning environment and to be a force for influence and change. (K 3, V4)</w:t>
            </w:r>
          </w:p>
          <w:p w:rsidR="004F2494" w:rsidRDefault="004F2494" w:rsidP="004F2494">
            <w:pPr>
              <w:jc w:val="both"/>
              <w:rPr>
                <w:rFonts w:eastAsia="Arial" w:cs="Arial"/>
                <w:highlight w:val="white"/>
              </w:rPr>
            </w:pPr>
            <w:r>
              <w:rPr>
                <w:rFonts w:eastAsia="Arial" w:cs="Arial"/>
                <w:highlight w:val="white"/>
              </w:rPr>
              <w:t xml:space="preserve">I capture student feedback </w:t>
            </w:r>
            <w:r w:rsidR="002F2B77">
              <w:rPr>
                <w:rFonts w:eastAsia="Arial" w:cs="Arial"/>
                <w:highlight w:val="white"/>
              </w:rPr>
              <w:t xml:space="preserve">through </w:t>
            </w:r>
            <w:r>
              <w:rPr>
                <w:rFonts w:eastAsia="Arial" w:cs="Arial"/>
                <w:highlight w:val="white"/>
              </w:rPr>
              <w:t>student/staff meetings, programme</w:t>
            </w:r>
            <w:r w:rsidR="002F2B77">
              <w:rPr>
                <w:rFonts w:eastAsia="Arial" w:cs="Arial"/>
                <w:highlight w:val="white"/>
              </w:rPr>
              <w:t>/</w:t>
            </w:r>
            <w:r>
              <w:rPr>
                <w:rFonts w:eastAsia="Arial" w:cs="Arial"/>
                <w:highlight w:val="white"/>
              </w:rPr>
              <w:t>module evaluations, and informal feedback</w:t>
            </w:r>
            <w:r w:rsidR="002F2B77">
              <w:rPr>
                <w:rFonts w:eastAsia="Arial" w:cs="Arial"/>
                <w:highlight w:val="white"/>
              </w:rPr>
              <w:t xml:space="preserve">. </w:t>
            </w:r>
            <w:r>
              <w:rPr>
                <w:rFonts w:eastAsia="Arial" w:cs="Arial"/>
                <w:highlight w:val="white"/>
              </w:rPr>
              <w:t xml:space="preserve">Seale (2010) highlighted the significance of understanding students’ perspectives in encouraging deep reflection on practice. Price et al (2011) suggested that students and lecturers needed to share values and approaches to learning. Wenger (1998) described communities of practice, where people </w:t>
            </w:r>
            <w:r w:rsidR="002F2B77">
              <w:rPr>
                <w:rFonts w:eastAsia="Arial" w:cs="Arial"/>
                <w:highlight w:val="white"/>
              </w:rPr>
              <w:t>come</w:t>
            </w:r>
            <w:r>
              <w:rPr>
                <w:rFonts w:eastAsia="Arial" w:cs="Arial"/>
                <w:highlight w:val="white"/>
              </w:rPr>
              <w:t xml:space="preserve"> together to learn and develop through regular social interaction. This is evident in dissertation supervision, when I </w:t>
            </w:r>
            <w:r w:rsidR="00CD429E">
              <w:rPr>
                <w:rFonts w:eastAsia="Arial" w:cs="Arial"/>
                <w:highlight w:val="white"/>
              </w:rPr>
              <w:t>explain</w:t>
            </w:r>
            <w:r>
              <w:rPr>
                <w:rFonts w:eastAsia="Arial" w:cs="Arial"/>
                <w:highlight w:val="white"/>
              </w:rPr>
              <w:t xml:space="preserve"> academic expectations, and the student rightly assumes the position of expert in their particular field of research. I re-evaluate my teaching approaches and the way I offer support </w:t>
            </w:r>
            <w:r w:rsidR="00CD429E">
              <w:rPr>
                <w:rFonts w:eastAsia="Arial" w:cs="Arial"/>
                <w:highlight w:val="white"/>
              </w:rPr>
              <w:t>according to</w:t>
            </w:r>
            <w:r>
              <w:rPr>
                <w:rFonts w:eastAsia="Arial" w:cs="Arial"/>
                <w:highlight w:val="white"/>
              </w:rPr>
              <w:t xml:space="preserve"> students’ responses. (K6, V3).</w:t>
            </w:r>
          </w:p>
          <w:p w:rsidR="004F2494" w:rsidRDefault="004F2494" w:rsidP="004F2494">
            <w:pPr>
              <w:jc w:val="both"/>
              <w:rPr>
                <w:rFonts w:eastAsia="Arial" w:cs="Arial"/>
                <w:highlight w:val="white"/>
              </w:rPr>
            </w:pPr>
            <w:r>
              <w:rPr>
                <w:rFonts w:eastAsia="Arial" w:cs="Arial"/>
                <w:highlight w:val="white"/>
              </w:rPr>
              <w:t xml:space="preserve">To participate in the learning environment, students need to believe that they can influence outcomes, in terms of their own achievements, and in affecting institutional practices, such as </w:t>
            </w:r>
            <w:r w:rsidR="00CD429E">
              <w:rPr>
                <w:rFonts w:eastAsia="Arial" w:cs="Arial"/>
                <w:highlight w:val="white"/>
              </w:rPr>
              <w:t>p</w:t>
            </w:r>
            <w:r>
              <w:rPr>
                <w:rFonts w:eastAsia="Arial" w:cs="Arial"/>
                <w:highlight w:val="white"/>
              </w:rPr>
              <w:t>rogramme delivery. To develop control and independent learning, students need clear information so that they are able to make informed decisions. I used to worry about emphasising the challenges of Level 6 study, thinking I would intimidate students. However, students strongly indicated that platitudes</w:t>
            </w:r>
            <w:r w:rsidR="00CD429E">
              <w:rPr>
                <w:rFonts w:eastAsia="Arial" w:cs="Arial"/>
                <w:highlight w:val="white"/>
              </w:rPr>
              <w:t xml:space="preserve"> like</w:t>
            </w:r>
            <w:r>
              <w:rPr>
                <w:rFonts w:eastAsia="Arial" w:cs="Arial"/>
                <w:highlight w:val="white"/>
              </w:rPr>
              <w:t xml:space="preserve"> ‘don’t worry, you’ll be fine’ were counterproductive because they did not provide specific details that would allow students to plan and take control. Underplaying the demands of degree study risked an individual believing they were at fault when they struggled with an essay, rather than appreciating that the task itself was demanding.</w:t>
            </w:r>
          </w:p>
          <w:p w:rsidR="004F2494" w:rsidRDefault="004F2494" w:rsidP="004F2494">
            <w:pPr>
              <w:jc w:val="both"/>
              <w:rPr>
                <w:rFonts w:eastAsia="Arial" w:cs="Arial"/>
              </w:rPr>
            </w:pPr>
            <w:r>
              <w:rPr>
                <w:rFonts w:eastAsia="Arial" w:cs="Arial"/>
              </w:rPr>
              <w:t xml:space="preserve">I include activities designed to ‘demystify’ HE terminology. </w:t>
            </w:r>
            <w:r w:rsidR="002F2B77">
              <w:rPr>
                <w:rFonts w:eastAsia="Arial" w:cs="Arial"/>
              </w:rPr>
              <w:t>We discuss how</w:t>
            </w:r>
            <w:r>
              <w:rPr>
                <w:rFonts w:eastAsia="Arial" w:cs="Arial"/>
              </w:rPr>
              <w:t xml:space="preserve"> ‘greater depth of analysis’, might be achieved, with </w:t>
            </w:r>
            <w:r w:rsidR="002F2B77">
              <w:rPr>
                <w:rFonts w:eastAsia="Arial" w:cs="Arial"/>
              </w:rPr>
              <w:t xml:space="preserve">precise </w:t>
            </w:r>
            <w:r>
              <w:rPr>
                <w:rFonts w:eastAsia="Arial" w:cs="Arial"/>
              </w:rPr>
              <w:t>examples</w:t>
            </w:r>
            <w:r w:rsidR="002F2B77">
              <w:rPr>
                <w:rFonts w:eastAsia="Arial" w:cs="Arial"/>
              </w:rPr>
              <w:t>.</w:t>
            </w:r>
            <w:r>
              <w:rPr>
                <w:rFonts w:eastAsia="Arial" w:cs="Arial"/>
              </w:rPr>
              <w:t xml:space="preserve"> </w:t>
            </w:r>
            <w:r w:rsidR="002F2B77">
              <w:rPr>
                <w:rFonts w:eastAsia="Arial" w:cs="Arial"/>
              </w:rPr>
              <w:t>When</w:t>
            </w:r>
            <w:r>
              <w:rPr>
                <w:rFonts w:eastAsia="Arial" w:cs="Arial"/>
              </w:rPr>
              <w:t xml:space="preserve"> students offer different perspectives, </w:t>
            </w:r>
            <w:r w:rsidR="002F2B77">
              <w:rPr>
                <w:rFonts w:eastAsia="Arial" w:cs="Arial"/>
              </w:rPr>
              <w:t>speculating</w:t>
            </w:r>
            <w:r>
              <w:rPr>
                <w:rFonts w:eastAsia="Arial" w:cs="Arial"/>
              </w:rPr>
              <w:t xml:space="preserve"> about alternative approaches, I highlight and praise this, </w:t>
            </w:r>
            <w:r w:rsidR="002F2B77">
              <w:rPr>
                <w:rFonts w:eastAsia="Arial" w:cs="Arial"/>
              </w:rPr>
              <w:t>requesting they</w:t>
            </w:r>
            <w:r>
              <w:rPr>
                <w:rFonts w:eastAsia="Arial" w:cs="Arial"/>
              </w:rPr>
              <w:t xml:space="preserve"> include similar discussions in their written work.</w:t>
            </w:r>
            <w:r>
              <w:rPr>
                <w:rFonts w:eastAsia="Arial" w:cs="Arial"/>
                <w:color w:val="4A86E8"/>
              </w:rPr>
              <w:t xml:space="preserve"> </w:t>
            </w:r>
            <w:r>
              <w:rPr>
                <w:rFonts w:eastAsia="Arial" w:cs="Arial"/>
              </w:rPr>
              <w:t>I give formative and summative feedback that identifies whether a point is well-argued, and indicates exactly what makes it good, and how they might develop this approach in future work. (K 4)</w:t>
            </w:r>
          </w:p>
          <w:p w:rsidR="004F2494" w:rsidRDefault="004F2494" w:rsidP="004F2494">
            <w:pPr>
              <w:jc w:val="both"/>
              <w:rPr>
                <w:rFonts w:eastAsia="Arial" w:cs="Arial"/>
              </w:rPr>
            </w:pPr>
            <w:r>
              <w:rPr>
                <w:rFonts w:eastAsia="Arial" w:cs="Arial"/>
              </w:rPr>
              <w:t>It is crucial to emphasise that the ability to succeed academically is not a fixed entity, defined by an early assessment of intelligence, but is an incremental process that can be developed and refined. (Dweck 2000). The majority of my students are mature</w:t>
            </w:r>
            <w:r w:rsidR="00CD429E">
              <w:rPr>
                <w:rFonts w:eastAsia="Arial" w:cs="Arial"/>
              </w:rPr>
              <w:t>, with</w:t>
            </w:r>
            <w:r>
              <w:rPr>
                <w:rFonts w:eastAsia="Arial" w:cs="Arial"/>
              </w:rPr>
              <w:t xml:space="preserve"> previous negative </w:t>
            </w:r>
            <w:r w:rsidR="00CD429E">
              <w:rPr>
                <w:rFonts w:eastAsia="Arial" w:cs="Arial"/>
              </w:rPr>
              <w:t xml:space="preserve">educational </w:t>
            </w:r>
            <w:r>
              <w:rPr>
                <w:rFonts w:eastAsia="Arial" w:cs="Arial"/>
              </w:rPr>
              <w:t>experiences that adversely affect confidence</w:t>
            </w:r>
            <w:r w:rsidR="00CD429E">
              <w:rPr>
                <w:rFonts w:eastAsia="Arial" w:cs="Arial"/>
              </w:rPr>
              <w:t>.</w:t>
            </w:r>
            <w:r>
              <w:rPr>
                <w:rFonts w:eastAsia="Arial" w:cs="Arial"/>
              </w:rPr>
              <w:t xml:space="preserve"> Therefore, this ‘growth mind-set’ theory has particular resonance. Mercer (2007 p.19) described returning to education as ‘rewriting the past’, a potentially transformative opportunity to correct previous limitations placed on achieving academic success. </w:t>
            </w:r>
          </w:p>
          <w:p w:rsidR="004F2494" w:rsidRDefault="004F2494" w:rsidP="004F2494">
            <w:pPr>
              <w:jc w:val="both"/>
              <w:rPr>
                <w:rFonts w:eastAsia="Arial" w:cs="Arial"/>
              </w:rPr>
            </w:pPr>
            <w:r>
              <w:rPr>
                <w:rFonts w:eastAsia="Arial" w:cs="Arial"/>
              </w:rPr>
              <w:lastRenderedPageBreak/>
              <w:t>Laing et al (2005 p. 248) believed that widening participation in HE was not only about entering HE, but ‘staying in and emerging in good standing’. I see my role as encouraging students to become self -regulating learners, by providing clearly defined activities that support ‘communication, critical-thinking, problem-solving and goal-setting’ (Kingsbury 2015 p.175), and which allow develop</w:t>
            </w:r>
            <w:r w:rsidR="00CD429E">
              <w:rPr>
                <w:rFonts w:eastAsia="Arial" w:cs="Arial"/>
              </w:rPr>
              <w:t>ment of</w:t>
            </w:r>
            <w:r>
              <w:rPr>
                <w:rFonts w:eastAsia="Arial" w:cs="Arial"/>
              </w:rPr>
              <w:t xml:space="preserve"> metacognitive skills, such as ‘the capacity to monitor, evaluate, and improve performance’ (McMillan &amp; Hearn 2009 p.41). (V2, V3, V1).</w:t>
            </w:r>
          </w:p>
          <w:p w:rsidR="004F2494" w:rsidRDefault="004F2494" w:rsidP="004F2494">
            <w:pPr>
              <w:jc w:val="both"/>
              <w:rPr>
                <w:rFonts w:eastAsia="Arial" w:cs="Arial"/>
              </w:rPr>
            </w:pPr>
            <w:r>
              <w:rPr>
                <w:rFonts w:eastAsia="Arial" w:cs="Arial"/>
              </w:rPr>
              <w:t>A high proportion of my students have previously undiagnosed learning difficulties, such as dyslexia, or long-standing medical conditions</w:t>
            </w:r>
            <w:r w:rsidR="00C63F70">
              <w:rPr>
                <w:rFonts w:eastAsia="Arial" w:cs="Arial"/>
              </w:rPr>
              <w:t>/</w:t>
            </w:r>
            <w:r>
              <w:rPr>
                <w:rFonts w:eastAsia="Arial" w:cs="Arial"/>
              </w:rPr>
              <w:t>disabilities. It is essential that additional needs are identified, and appropriate support provided. My role is to ensure that students understand the rationale for these processes, and to liaise with colleagues to provide consistent support that respects students’ preferences.  (V1)</w:t>
            </w:r>
          </w:p>
          <w:p w:rsidR="004F2494" w:rsidRDefault="00CD429E" w:rsidP="004F2494">
            <w:pPr>
              <w:jc w:val="both"/>
              <w:rPr>
                <w:rFonts w:eastAsia="Arial" w:cs="Arial"/>
              </w:rPr>
            </w:pPr>
            <w:r>
              <w:rPr>
                <w:rFonts w:eastAsia="Arial" w:cs="Arial"/>
              </w:rPr>
              <w:t>Control involves</w:t>
            </w:r>
            <w:r w:rsidR="004F2494">
              <w:rPr>
                <w:rFonts w:eastAsia="Arial" w:cs="Arial"/>
              </w:rPr>
              <w:t xml:space="preserve"> the ability to plan study time around other commitments. </w:t>
            </w:r>
            <w:r w:rsidR="00C63F70">
              <w:rPr>
                <w:rFonts w:eastAsia="Arial" w:cs="Arial"/>
              </w:rPr>
              <w:t>A</w:t>
            </w:r>
            <w:r w:rsidR="004F2494">
              <w:rPr>
                <w:rFonts w:eastAsia="Arial" w:cs="Arial"/>
              </w:rPr>
              <w:t xml:space="preserve"> wide range of </w:t>
            </w:r>
            <w:r w:rsidR="00C63F70">
              <w:rPr>
                <w:rFonts w:eastAsia="Arial" w:cs="Arial"/>
              </w:rPr>
              <w:t xml:space="preserve">teaching </w:t>
            </w:r>
            <w:r w:rsidR="004F2494">
              <w:rPr>
                <w:rFonts w:eastAsia="Arial" w:cs="Arial"/>
              </w:rPr>
              <w:t xml:space="preserve">resources </w:t>
            </w:r>
            <w:r w:rsidR="00C63F70">
              <w:rPr>
                <w:rFonts w:eastAsia="Arial" w:cs="Arial"/>
              </w:rPr>
              <w:t xml:space="preserve">are available </w:t>
            </w:r>
            <w:r w:rsidR="004F2494">
              <w:rPr>
                <w:rFonts w:eastAsia="Arial" w:cs="Arial"/>
              </w:rPr>
              <w:t>on Moodle</w:t>
            </w:r>
            <w:r w:rsidR="00C63F70">
              <w:rPr>
                <w:rFonts w:eastAsia="Arial" w:cs="Arial"/>
              </w:rPr>
              <w:t>.</w:t>
            </w:r>
            <w:r w:rsidR="004F2494">
              <w:rPr>
                <w:rFonts w:eastAsia="Arial" w:cs="Arial"/>
              </w:rPr>
              <w:t xml:space="preserve"> Students can access these at a</w:t>
            </w:r>
            <w:r w:rsidR="00C63F70">
              <w:rPr>
                <w:rFonts w:eastAsia="Arial" w:cs="Arial"/>
              </w:rPr>
              <w:t xml:space="preserve"> convenient</w:t>
            </w:r>
            <w:r w:rsidR="004F2494">
              <w:rPr>
                <w:rFonts w:eastAsia="Arial" w:cs="Arial"/>
              </w:rPr>
              <w:t xml:space="preserve"> time</w:t>
            </w:r>
            <w:r w:rsidR="00C63F70">
              <w:rPr>
                <w:rFonts w:eastAsia="Arial" w:cs="Arial"/>
              </w:rPr>
              <w:t>.</w:t>
            </w:r>
            <w:r w:rsidR="004F2494">
              <w:rPr>
                <w:rFonts w:eastAsia="Arial" w:cs="Arial"/>
              </w:rPr>
              <w:t xml:space="preserve"> Every module on the BASCS Moodle page follows the same format, so that students are able to navigate the site easily. I encourage students to submit drafts to Turnitin, to identify any referencing issues and rectify them before final submission. I regard Turnitin as a tool that allows students to manage academic conventions, not as a punitive device to monitor cheating, although it can fulfil this function. I support students to interpret Turnitin reports so that they can take responsibility. (K2, K3,K4)</w:t>
            </w:r>
          </w:p>
          <w:p w:rsidR="004F2494" w:rsidRDefault="004F2494" w:rsidP="004F2494">
            <w:pPr>
              <w:jc w:val="both"/>
              <w:rPr>
                <w:rFonts w:eastAsia="Arial" w:cs="Arial"/>
              </w:rPr>
            </w:pPr>
            <w:r>
              <w:rPr>
                <w:rFonts w:eastAsia="Arial" w:cs="Arial"/>
              </w:rPr>
              <w:t>Creating a supportive learning environment where students’ confidence levels and autonomy can flourish, is fundamental to an inclusive approach where individual needs and contexts are acknowledged and accepted. Social care workers have to be attuned to the needs of their clients and display emotional intelligence (Goleman 1984) to operate effectively in sensitive situations.  They should be afforded the same respect within the learning environment. They are highly skilled at interpreting attitudes and behaviours, and would be quick to identify any disconnection between the values I might encourage them to espouse, and the behaviour I might display. (V1, V3)</w:t>
            </w:r>
          </w:p>
          <w:p w:rsidR="004F2494" w:rsidRDefault="004F2494" w:rsidP="004F2494">
            <w:pPr>
              <w:jc w:val="both"/>
              <w:rPr>
                <w:rFonts w:eastAsia="Arial" w:cs="Arial"/>
              </w:rPr>
            </w:pPr>
          </w:p>
          <w:p w:rsidR="004F2494" w:rsidRDefault="004F2494" w:rsidP="004F2494">
            <w:pPr>
              <w:jc w:val="both"/>
              <w:rPr>
                <w:rFonts w:eastAsia="Arial" w:cs="Arial"/>
                <w:b/>
              </w:rPr>
            </w:pPr>
          </w:p>
          <w:p w:rsidR="004F2494" w:rsidRDefault="004F2494" w:rsidP="004F2494">
            <w:pPr>
              <w:jc w:val="both"/>
              <w:rPr>
                <w:rFonts w:eastAsia="Arial" w:cs="Arial"/>
                <w:b/>
              </w:rPr>
            </w:pPr>
            <w:r>
              <w:rPr>
                <w:rFonts w:eastAsia="Arial" w:cs="Arial"/>
                <w:b/>
              </w:rPr>
              <w:t>References</w:t>
            </w:r>
          </w:p>
          <w:p w:rsidR="004F2494" w:rsidRDefault="004F2494" w:rsidP="004F2494">
            <w:pPr>
              <w:rPr>
                <w:rFonts w:eastAsia="Arial" w:cs="Arial"/>
              </w:rPr>
            </w:pPr>
            <w:r>
              <w:rPr>
                <w:rFonts w:eastAsia="Arial" w:cs="Arial"/>
              </w:rPr>
              <w:t xml:space="preserve">Dweck, C.S. (2000) </w:t>
            </w:r>
            <w:r>
              <w:rPr>
                <w:rFonts w:eastAsia="Arial" w:cs="Arial"/>
                <w:i/>
              </w:rPr>
              <w:t xml:space="preserve">Self Theories: Their role in motivation, personality and development. </w:t>
            </w:r>
            <w:r>
              <w:rPr>
                <w:rFonts w:eastAsia="Arial" w:cs="Arial"/>
              </w:rPr>
              <w:t>New York, NY: Taylor and Francis Group.</w:t>
            </w:r>
          </w:p>
          <w:p w:rsidR="004F2494" w:rsidRDefault="004F2494" w:rsidP="004F2494">
            <w:pPr>
              <w:rPr>
                <w:rFonts w:eastAsia="Arial" w:cs="Arial"/>
              </w:rPr>
            </w:pPr>
            <w:r>
              <w:rPr>
                <w:rFonts w:eastAsia="Arial" w:cs="Arial"/>
              </w:rPr>
              <w:t xml:space="preserve">Goleman, D. (1995) </w:t>
            </w:r>
            <w:r>
              <w:rPr>
                <w:rFonts w:eastAsia="Arial" w:cs="Arial"/>
                <w:i/>
              </w:rPr>
              <w:t xml:space="preserve">Emotional Intelligence: Why it can matter more than IQ. </w:t>
            </w:r>
            <w:r>
              <w:rPr>
                <w:rFonts w:eastAsia="Arial" w:cs="Arial"/>
              </w:rPr>
              <w:t xml:space="preserve">New York, NY: Bantam Books. </w:t>
            </w:r>
          </w:p>
          <w:p w:rsidR="004F2494" w:rsidRDefault="004F2494" w:rsidP="004F2494">
            <w:pPr>
              <w:rPr>
                <w:rFonts w:eastAsia="Arial" w:cs="Arial"/>
              </w:rPr>
            </w:pPr>
            <w:r>
              <w:rPr>
                <w:rFonts w:eastAsia="Arial" w:cs="Arial"/>
              </w:rPr>
              <w:t>HEA (2017) Future Direction for Higher Education in Wales: Students as Partners: lessons learnt. Available at: https://www.heacademy.ac.uk/system/files/downloads/sap_lessons_learnt_english.pdf (accessed 14.06.18).</w:t>
            </w:r>
          </w:p>
          <w:p w:rsidR="004F2494" w:rsidRDefault="004F2494" w:rsidP="004F2494">
            <w:pPr>
              <w:rPr>
                <w:rFonts w:eastAsia="Arial" w:cs="Arial"/>
              </w:rPr>
            </w:pPr>
            <w:r>
              <w:rPr>
                <w:rFonts w:eastAsia="Arial" w:cs="Arial"/>
              </w:rPr>
              <w:t xml:space="preserve">Kingsbury, M. (2015) Encouraging independent learning. </w:t>
            </w:r>
            <w:r>
              <w:rPr>
                <w:rFonts w:eastAsia="Arial" w:cs="Arial"/>
                <w:i/>
              </w:rPr>
              <w:t>in</w:t>
            </w:r>
            <w:r>
              <w:rPr>
                <w:rFonts w:eastAsia="Arial" w:cs="Arial"/>
              </w:rPr>
              <w:t xml:space="preserve"> Fry, H., </w:t>
            </w:r>
            <w:proofErr w:type="spellStart"/>
            <w:r>
              <w:rPr>
                <w:rFonts w:eastAsia="Arial" w:cs="Arial"/>
              </w:rPr>
              <w:t>Ketteridge</w:t>
            </w:r>
            <w:proofErr w:type="spellEnd"/>
            <w:r>
              <w:rPr>
                <w:rFonts w:eastAsia="Arial" w:cs="Arial"/>
              </w:rPr>
              <w:t xml:space="preserve">, S. &amp; Marshall, S. (Eds.) </w:t>
            </w:r>
            <w:r>
              <w:rPr>
                <w:rFonts w:eastAsia="Arial" w:cs="Arial"/>
                <w:i/>
              </w:rPr>
              <w:t xml:space="preserve">A Handbook for Teaching and Learning in Higher Education: Enhancing Academic Practice </w:t>
            </w:r>
            <w:r>
              <w:rPr>
                <w:rFonts w:eastAsia="Arial" w:cs="Arial"/>
              </w:rPr>
              <w:t>(4th Ed.). Abingdon: Routledge. pp. 169-179.</w:t>
            </w:r>
          </w:p>
          <w:p w:rsidR="004F2494" w:rsidRDefault="004F2494" w:rsidP="004F2494">
            <w:pPr>
              <w:rPr>
                <w:rFonts w:eastAsia="Arial" w:cs="Arial"/>
              </w:rPr>
            </w:pPr>
            <w:r>
              <w:rPr>
                <w:rFonts w:eastAsia="Arial" w:cs="Arial"/>
              </w:rPr>
              <w:t xml:space="preserve">Laing, C., </w:t>
            </w:r>
            <w:proofErr w:type="spellStart"/>
            <w:r>
              <w:rPr>
                <w:rFonts w:eastAsia="Arial" w:cs="Arial"/>
              </w:rPr>
              <w:t>Kuo</w:t>
            </w:r>
            <w:proofErr w:type="spellEnd"/>
            <w:r>
              <w:rPr>
                <w:rFonts w:eastAsia="Arial" w:cs="Arial"/>
              </w:rPr>
              <w:t xml:space="preserve">-Ming, C. &amp; Robinson, A. (2005) Managing the expectations of non-traditional students: a process of negotiation. </w:t>
            </w:r>
            <w:r>
              <w:rPr>
                <w:rFonts w:eastAsia="Arial" w:cs="Arial"/>
                <w:i/>
              </w:rPr>
              <w:t xml:space="preserve">Journal of Further and Higher Education </w:t>
            </w:r>
            <w:r>
              <w:rPr>
                <w:rFonts w:eastAsia="Arial" w:cs="Arial"/>
              </w:rPr>
              <w:t>29 (2) pp.169-179.</w:t>
            </w:r>
          </w:p>
          <w:p w:rsidR="004F2494" w:rsidRDefault="004F2494" w:rsidP="004F2494">
            <w:pPr>
              <w:rPr>
                <w:rFonts w:eastAsia="Arial" w:cs="Arial"/>
              </w:rPr>
            </w:pPr>
            <w:r>
              <w:rPr>
                <w:rFonts w:eastAsia="Arial" w:cs="Arial"/>
              </w:rPr>
              <w:t xml:space="preserve">McMillan, J.H. &amp; Hearn, J. (2009) Student </w:t>
            </w:r>
            <w:proofErr w:type="spellStart"/>
            <w:r>
              <w:rPr>
                <w:rFonts w:eastAsia="Arial" w:cs="Arial"/>
              </w:rPr>
              <w:t>Self Assessment</w:t>
            </w:r>
            <w:proofErr w:type="spellEnd"/>
            <w:r>
              <w:rPr>
                <w:rFonts w:eastAsia="Arial" w:cs="Arial"/>
              </w:rPr>
              <w:t xml:space="preserve">: the key to stronger student motivation and higher achievement. </w:t>
            </w:r>
            <w:r>
              <w:rPr>
                <w:rFonts w:eastAsia="Arial" w:cs="Arial"/>
                <w:i/>
              </w:rPr>
              <w:t>The Education Digest</w:t>
            </w:r>
            <w:r>
              <w:rPr>
                <w:rFonts w:eastAsia="Arial" w:cs="Arial"/>
              </w:rPr>
              <w:t xml:space="preserve"> 87 (1) pp.39-44.</w:t>
            </w:r>
            <w:r>
              <w:rPr>
                <w:rFonts w:eastAsia="Arial" w:cs="Arial"/>
                <w:i/>
              </w:rPr>
              <w:t xml:space="preserve"> </w:t>
            </w:r>
          </w:p>
          <w:p w:rsidR="004F2494" w:rsidRDefault="004F2494" w:rsidP="004F2494">
            <w:pPr>
              <w:rPr>
                <w:rFonts w:eastAsia="Arial" w:cs="Arial"/>
              </w:rPr>
            </w:pPr>
            <w:r>
              <w:rPr>
                <w:rFonts w:eastAsia="Arial" w:cs="Arial"/>
              </w:rPr>
              <w:t xml:space="preserve">Price, M., Handley, K, &amp; Millar, J. (2011) Feedback - focussing attention on engagement. </w:t>
            </w:r>
            <w:r>
              <w:rPr>
                <w:rFonts w:eastAsia="Arial" w:cs="Arial"/>
                <w:i/>
              </w:rPr>
              <w:t xml:space="preserve">Studies in Higher Education </w:t>
            </w:r>
            <w:r>
              <w:rPr>
                <w:rFonts w:eastAsia="Arial" w:cs="Arial"/>
              </w:rPr>
              <w:t>36 (8) pp.879-896.</w:t>
            </w:r>
          </w:p>
          <w:p w:rsidR="004F2494" w:rsidRDefault="004F2494" w:rsidP="004F2494">
            <w:pPr>
              <w:rPr>
                <w:rFonts w:eastAsia="Arial" w:cs="Arial"/>
              </w:rPr>
            </w:pPr>
            <w:r>
              <w:rPr>
                <w:rFonts w:eastAsia="Arial" w:cs="Arial"/>
              </w:rPr>
              <w:t xml:space="preserve">Seale, J. (2010) Doing student voice work in higher education: an exploration of the value of participatory methods. </w:t>
            </w:r>
            <w:r>
              <w:rPr>
                <w:rFonts w:eastAsia="Arial" w:cs="Arial"/>
                <w:i/>
              </w:rPr>
              <w:t xml:space="preserve">British Educational Research Journal </w:t>
            </w:r>
            <w:r>
              <w:rPr>
                <w:rFonts w:eastAsia="Arial" w:cs="Arial"/>
              </w:rPr>
              <w:t xml:space="preserve">36 (6) pp.995-1015. </w:t>
            </w:r>
          </w:p>
          <w:p w:rsidR="004F2494" w:rsidRDefault="004F2494" w:rsidP="004F2494">
            <w:pPr>
              <w:rPr>
                <w:rFonts w:eastAsia="Arial" w:cs="Arial"/>
              </w:rPr>
            </w:pPr>
            <w:r>
              <w:rPr>
                <w:rFonts w:eastAsia="Arial" w:cs="Arial"/>
              </w:rPr>
              <w:t xml:space="preserve">Wenger, E. (1998) </w:t>
            </w:r>
            <w:r>
              <w:rPr>
                <w:rFonts w:eastAsia="Arial" w:cs="Arial"/>
                <w:i/>
              </w:rPr>
              <w:t xml:space="preserve">Communities of Practice: Learning, Meaning and Identity. </w:t>
            </w:r>
            <w:r>
              <w:rPr>
                <w:rFonts w:eastAsia="Arial" w:cs="Arial"/>
              </w:rPr>
              <w:t>Cambridge: Cambridge University Press.</w:t>
            </w:r>
          </w:p>
          <w:p w:rsidR="00502713" w:rsidRPr="00FE7642" w:rsidRDefault="00502713" w:rsidP="000F1367">
            <w:pPr>
              <w:jc w:val="both"/>
              <w:rPr>
                <w:rFonts w:cs="Arial"/>
                <w:sz w:val="24"/>
                <w:szCs w:val="24"/>
              </w:rPr>
            </w:pPr>
          </w:p>
          <w:p w:rsidR="00502713" w:rsidRPr="00FE7642" w:rsidRDefault="00502713" w:rsidP="000F1367">
            <w:pPr>
              <w:jc w:val="both"/>
              <w:rPr>
                <w:rFonts w:cs="Arial"/>
                <w:sz w:val="24"/>
                <w:szCs w:val="24"/>
              </w:rPr>
            </w:pPr>
          </w:p>
          <w:p w:rsidR="00502713" w:rsidRPr="00FE7642" w:rsidRDefault="00502713" w:rsidP="000F1367">
            <w:pPr>
              <w:jc w:val="both"/>
              <w:rPr>
                <w:rFonts w:cs="Arial"/>
                <w:sz w:val="24"/>
                <w:szCs w:val="24"/>
              </w:rPr>
            </w:pPr>
          </w:p>
          <w:p w:rsidR="00E0025F" w:rsidRPr="00FE7642" w:rsidRDefault="00E0025F" w:rsidP="000F1367">
            <w:pPr>
              <w:jc w:val="both"/>
              <w:rPr>
                <w:rFonts w:cs="Arial"/>
                <w:sz w:val="24"/>
                <w:szCs w:val="24"/>
              </w:rPr>
            </w:pPr>
          </w:p>
        </w:tc>
        <w:bookmarkStart w:id="3" w:name="_GoBack"/>
        <w:bookmarkEnd w:id="3"/>
      </w:tr>
    </w:tbl>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54"/>
        <w:gridCol w:w="5302"/>
      </w:tblGrid>
      <w:tr w:rsidR="00CA12DC" w:rsidRPr="00FE7642" w:rsidTr="00E0025F">
        <w:tc>
          <w:tcPr>
            <w:tcW w:w="10598" w:type="dxa"/>
            <w:gridSpan w:val="2"/>
          </w:tcPr>
          <w:p w:rsidR="00CA12DC" w:rsidRPr="00FE7642" w:rsidRDefault="00CA12DC" w:rsidP="000F1367">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ated professional development (7</w:t>
            </w:r>
            <w:r w:rsidRPr="00FE7642">
              <w:rPr>
                <w:rFonts w:cs="Arial"/>
                <w:b/>
                <w:sz w:val="28"/>
                <w:szCs w:val="28"/>
              </w:rPr>
              <w:t>00 words)</w:t>
            </w:r>
          </w:p>
          <w:p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rsidTr="00E0025F">
        <w:tc>
          <w:tcPr>
            <w:tcW w:w="5211" w:type="dxa"/>
          </w:tcPr>
          <w:p w:rsidR="00CA12DC" w:rsidRPr="00FE7642" w:rsidRDefault="00CA12DC" w:rsidP="000F1367">
            <w:pPr>
              <w:rPr>
                <w:rFonts w:cs="Arial"/>
                <w:sz w:val="20"/>
                <w:szCs w:val="20"/>
                <w:u w:val="single"/>
              </w:rPr>
            </w:pPr>
            <w:r w:rsidRPr="00FE7642">
              <w:rPr>
                <w:rFonts w:cs="Arial"/>
                <w:sz w:val="20"/>
                <w:szCs w:val="20"/>
                <w:u w:val="single"/>
              </w:rPr>
              <w:t>Engagement in:</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Bidding for and involvement in projects or research on teaching and learning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rsidR="00CA12DC" w:rsidRPr="00FE7642" w:rsidRDefault="00CA12DC" w:rsidP="000F1367">
            <w:pPr>
              <w:jc w:val="both"/>
              <w:rPr>
                <w:rFonts w:cs="Arial"/>
                <w:sz w:val="20"/>
                <w:szCs w:val="20"/>
              </w:rPr>
            </w:pPr>
            <w:r w:rsidRPr="00FE7642">
              <w:rPr>
                <w:rFonts w:cs="Arial"/>
                <w:sz w:val="20"/>
                <w:szCs w:val="20"/>
                <w:u w:val="single"/>
              </w:rPr>
              <w:t>Evidence might include:</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rsidTr="00E0025F">
        <w:tc>
          <w:tcPr>
            <w:tcW w:w="10598" w:type="dxa"/>
            <w:gridSpan w:val="2"/>
          </w:tcPr>
          <w:p w:rsidR="00A33E6F" w:rsidRPr="00FE7642" w:rsidRDefault="00A33E6F" w:rsidP="000F1367">
            <w:pPr>
              <w:jc w:val="both"/>
              <w:rPr>
                <w:rFonts w:cs="Arial"/>
                <w:b/>
                <w:sz w:val="24"/>
                <w:szCs w:val="24"/>
                <w:u w:val="single"/>
              </w:rPr>
            </w:pPr>
            <w:r w:rsidRPr="00FE7642">
              <w:rPr>
                <w:rFonts w:cs="Arial"/>
                <w:b/>
                <w:sz w:val="24"/>
                <w:szCs w:val="24"/>
                <w:u w:val="single"/>
              </w:rPr>
              <w:t>Write your evidence here</w:t>
            </w:r>
          </w:p>
          <w:p w:rsidR="00A33E6F" w:rsidRPr="00FE7642" w:rsidRDefault="00A33E6F" w:rsidP="000F1367">
            <w:pPr>
              <w:jc w:val="both"/>
              <w:rPr>
                <w:rFonts w:cs="Arial"/>
                <w:sz w:val="24"/>
                <w:szCs w:val="24"/>
              </w:rPr>
            </w:pPr>
          </w:p>
          <w:p w:rsidR="00A33E6F" w:rsidRPr="00FE7642" w:rsidRDefault="00A33E6F" w:rsidP="000F1367">
            <w:pPr>
              <w:jc w:val="both"/>
              <w:rPr>
                <w:rFonts w:cs="Arial"/>
                <w:sz w:val="24"/>
                <w:szCs w:val="24"/>
              </w:rPr>
            </w:pPr>
          </w:p>
          <w:p w:rsidR="00813086" w:rsidRDefault="00813086" w:rsidP="00813086">
            <w:pPr>
              <w:jc w:val="both"/>
              <w:rPr>
                <w:rFonts w:eastAsia="Arial" w:cs="Arial"/>
              </w:rPr>
            </w:pPr>
            <w:r>
              <w:rPr>
                <w:rFonts w:eastAsia="Arial" w:cs="Arial"/>
              </w:rPr>
              <w:t xml:space="preserve">Although interrelated, I categorise my professional development into broad areas: updating subject-specific knowledge; engaging with developments in social care through interaction with practitioners; and undertaking activities that develop my teaching and learning approaches. </w:t>
            </w:r>
          </w:p>
          <w:p w:rsidR="00813086" w:rsidRDefault="00813086" w:rsidP="00813086">
            <w:pPr>
              <w:jc w:val="both"/>
              <w:rPr>
                <w:rFonts w:eastAsia="Arial" w:cs="Arial"/>
              </w:rPr>
            </w:pPr>
            <w:r>
              <w:rPr>
                <w:rFonts w:eastAsia="Arial" w:cs="Arial"/>
              </w:rPr>
              <w:t>During the last academic year, I successfully completed a qualification that explored leadership and management in further education. I teach leadership in social care at Level 6 and the course enabled me to analyse the subject from a different perspective. The qualification simultaneously highlighted the particular nature of leadership within social care organisations, and emphasised the importance of learning from other disciplines.</w:t>
            </w:r>
            <w:r w:rsidRPr="00537CE2">
              <w:rPr>
                <w:rFonts w:eastAsia="Arial" w:cs="Arial"/>
              </w:rPr>
              <w:t xml:space="preserve"> </w:t>
            </w:r>
            <w:r>
              <w:rPr>
                <w:rFonts w:eastAsia="Arial" w:cs="Arial"/>
              </w:rPr>
              <w:t>With my lecturer’s permission, I incorporated some activities directly into my teaching</w:t>
            </w:r>
            <w:r w:rsidR="00AF7886">
              <w:rPr>
                <w:rFonts w:eastAsia="Arial" w:cs="Arial"/>
              </w:rPr>
              <w:t>.</w:t>
            </w:r>
            <w:r>
              <w:rPr>
                <w:rFonts w:eastAsia="Arial" w:cs="Arial"/>
              </w:rPr>
              <w:t xml:space="preserve"> This added another dimension to my teaching, enabling me to meet a wider range of students’ learning preferences. Appleby (2015) suggested that drawing on other disciplines could benefit students by encouraging them to synthesise concepts from a range of perspectives, think creatively, and develop transferable skills. The commonalities and connections that students identified allowed them to recognise the importance of understanding and accommodating difference across disciplines, directly applicable to the multi-agency approach necessary </w:t>
            </w:r>
            <w:r w:rsidR="00AF7886">
              <w:rPr>
                <w:rFonts w:eastAsia="Arial" w:cs="Arial"/>
              </w:rPr>
              <w:t>for</w:t>
            </w:r>
            <w:r>
              <w:rPr>
                <w:rFonts w:eastAsia="Arial" w:cs="Arial"/>
              </w:rPr>
              <w:t xml:space="preserve"> high quality social care. K1, K3, K4)</w:t>
            </w:r>
          </w:p>
          <w:p w:rsidR="00813086" w:rsidRDefault="00813086" w:rsidP="00813086">
            <w:pPr>
              <w:jc w:val="both"/>
              <w:rPr>
                <w:rFonts w:eastAsia="Arial" w:cs="Arial"/>
              </w:rPr>
            </w:pPr>
            <w:r>
              <w:rPr>
                <w:rFonts w:eastAsia="Arial" w:cs="Arial"/>
              </w:rPr>
              <w:t xml:space="preserve">I recently attended a conference organised by the West Wales Care Partnership. The emphasis was on the importance of adapting to evolving social care needs and collaborative working. I participated in a session </w:t>
            </w:r>
            <w:r w:rsidR="00AF7886">
              <w:rPr>
                <w:rFonts w:eastAsia="Arial" w:cs="Arial"/>
              </w:rPr>
              <w:t>examining</w:t>
            </w:r>
            <w:r>
              <w:rPr>
                <w:rFonts w:eastAsia="Arial" w:cs="Arial"/>
              </w:rPr>
              <w:t xml:space="preserve"> a framework to promote a strength-based approach to assessing risk in safeguarding children, building on existing research (Munro 2011, 2016). It proposed a multi-disciplinary, regional approach to safeguarding. I was able to present an overview of the framework to my students, many of whom may eventually be involved in its implementation. In addition to raising awareness of new and </w:t>
            </w:r>
            <w:r>
              <w:rPr>
                <w:rFonts w:eastAsia="Arial" w:cs="Arial"/>
              </w:rPr>
              <w:lastRenderedPageBreak/>
              <w:t>forthcoming policy developments, the conference enabled me to meet with social care practitioners and establish positive working relationships that should allow me to expand the range of guest speakers and placement opportunities for students. This should have a significant impact on ensuring that the programme remains relevant, and enhances employability. (K1, V3, V4)</w:t>
            </w:r>
          </w:p>
          <w:p w:rsidR="00813086" w:rsidRDefault="00813086" w:rsidP="00813086">
            <w:pPr>
              <w:jc w:val="both"/>
              <w:rPr>
                <w:rFonts w:eastAsia="Arial" w:cs="Arial"/>
              </w:rPr>
            </w:pPr>
            <w:r>
              <w:rPr>
                <w:rFonts w:eastAsia="Arial" w:cs="Arial"/>
              </w:rPr>
              <w:t xml:space="preserve">The annual HE Conference within my institution provides the opportunity for HE lecturers to meet, exchange views, disseminate good practice and interact with each other. HE constitutes a small proportion of the provision in the college and delivery is scattered across different faculties according to subject area. Understandably, the focus of much of the training, staff development and quality assurance is firmly on further education (FE). The Conference allows lecturers the opportunity to reinforce their HE identities, and to explore the experience of delivering HE in an FE environment. </w:t>
            </w:r>
          </w:p>
          <w:p w:rsidR="00813086" w:rsidRDefault="00813086" w:rsidP="00813086">
            <w:pPr>
              <w:jc w:val="both"/>
              <w:rPr>
                <w:rFonts w:eastAsia="Arial" w:cs="Arial"/>
              </w:rPr>
            </w:pPr>
            <w:r>
              <w:rPr>
                <w:rFonts w:eastAsia="Arial" w:cs="Arial"/>
              </w:rPr>
              <w:t xml:space="preserve">Parry and </w:t>
            </w:r>
            <w:proofErr w:type="spellStart"/>
            <w:r>
              <w:rPr>
                <w:rFonts w:eastAsia="Arial" w:cs="Arial"/>
              </w:rPr>
              <w:t>Callender</w:t>
            </w:r>
            <w:proofErr w:type="spellEnd"/>
            <w:r>
              <w:rPr>
                <w:rFonts w:eastAsia="Arial" w:cs="Arial"/>
              </w:rPr>
              <w:t xml:space="preserve"> (2012 p.183) found the focus on teaching in FE meant that there was little expectation that lecturers would undertake research, although the opportunity to ‘engage in scholarship and participate in disciplinary communities’ would be welcomed. Simmons &amp; Lea (2013) suggested that college lecturers possess ‘less time and space to meaningfully engage in scholarship’. My institution allocates money to support Scholarly Activity, which I have successfully received on three occasions, exploring issues including assessment strategies and transitions within HE. There are notable advantages to delivering HE in FE. Gibbs (2015) points to smaller class sizes that encourage student-lecturer learning partnerships, with resultant positive impact on retention, engagement and attainment. He also considered that it might avoid the surface approach to learning that students in larger cohorts frequently adopted. (K6, V3)</w:t>
            </w:r>
          </w:p>
          <w:p w:rsidR="00813086" w:rsidRDefault="00813086" w:rsidP="00813086">
            <w:pPr>
              <w:jc w:val="both"/>
              <w:rPr>
                <w:rFonts w:eastAsia="Arial" w:cs="Arial"/>
              </w:rPr>
            </w:pPr>
            <w:r>
              <w:rPr>
                <w:rFonts w:eastAsia="Arial" w:cs="Arial"/>
              </w:rPr>
              <w:t>At the conference. I observed strategies that I incorporated into my teaching repertoire. One excellent initiative to emerge from the conference was a HE-focused peer observation programme. Lecturers have their teaching practice observed annually by their line managers as part of the quality assurance process The HE peer observation emphasised the developmental nature of peer observation and the importance of reflection and evaluation in a supportive environment. Lecturers benefitted from the opportunity for feedback and discussion, shifting the previous focus on quality assurance that might mitigate against experimentation and innovation. Students benefit from exposure to a wider variety of teaching strategies, particularly if they are involved in the evaluation process (</w:t>
            </w:r>
            <w:proofErr w:type="spellStart"/>
            <w:r>
              <w:rPr>
                <w:rFonts w:eastAsia="Arial" w:cs="Arial"/>
              </w:rPr>
              <w:t>Ketteridge</w:t>
            </w:r>
            <w:proofErr w:type="spellEnd"/>
            <w:r>
              <w:rPr>
                <w:rFonts w:eastAsia="Arial" w:cs="Arial"/>
              </w:rPr>
              <w:t xml:space="preserve"> et al 2015). (K5, K6, V3)</w:t>
            </w:r>
          </w:p>
          <w:p w:rsidR="00813086" w:rsidRDefault="00813086" w:rsidP="00813086">
            <w:pPr>
              <w:jc w:val="both"/>
              <w:rPr>
                <w:rFonts w:eastAsia="Arial" w:cs="Arial"/>
              </w:rPr>
            </w:pPr>
            <w:r>
              <w:rPr>
                <w:rFonts w:eastAsia="Arial" w:cs="Arial"/>
              </w:rPr>
              <w:t>Continuing professional development (CPD) has greatly improved my practice, whether assessing provision in other institutions, or listening to inspirational speakers, such as Nazir Afzal, (2018 Equality and Human Rights Conference). Meeting like-minded people, or people who challenge my views, has a positive impact on my engagement with teaching, stimulates learning, improves the quality of my sessions, and the support I offer my students. Almost every year, I have produced written work for assessment. I understand how it feels to be judged - ‘putting yourself out there’ as one of my students commented. I believe that being a student, in whatever capacity, allows me to appreciate some of my students’ enthusiasms and anxieties and to ensure that I continue to understand their need for appropriate, person-centred support. (V4, V1)</w:t>
            </w:r>
          </w:p>
          <w:p w:rsidR="00A33E6F" w:rsidRPr="00FE7642" w:rsidRDefault="00A33E6F" w:rsidP="000F1367">
            <w:pPr>
              <w:jc w:val="both"/>
              <w:rPr>
                <w:rFonts w:cs="Arial"/>
                <w:sz w:val="24"/>
                <w:szCs w:val="24"/>
              </w:rPr>
            </w:pPr>
          </w:p>
          <w:p w:rsidR="00813086" w:rsidRDefault="00813086" w:rsidP="00813086">
            <w:pPr>
              <w:rPr>
                <w:rFonts w:eastAsia="Arial" w:cs="Arial"/>
                <w:b/>
              </w:rPr>
            </w:pPr>
            <w:r>
              <w:rPr>
                <w:rFonts w:eastAsia="Arial" w:cs="Arial"/>
                <w:b/>
              </w:rPr>
              <w:t>References</w:t>
            </w:r>
          </w:p>
          <w:p w:rsidR="00813086" w:rsidRDefault="00813086" w:rsidP="00813086">
            <w:pPr>
              <w:rPr>
                <w:rFonts w:eastAsia="Arial" w:cs="Arial"/>
              </w:rPr>
            </w:pPr>
            <w:r>
              <w:rPr>
                <w:rFonts w:eastAsia="Arial" w:cs="Arial"/>
              </w:rPr>
              <w:t xml:space="preserve">Appleby (2016) What are the benefits of interdisciplinary </w:t>
            </w:r>
            <w:proofErr w:type="gramStart"/>
            <w:r>
              <w:rPr>
                <w:rFonts w:eastAsia="Arial" w:cs="Arial"/>
              </w:rPr>
              <w:t>study?.</w:t>
            </w:r>
            <w:proofErr w:type="gramEnd"/>
            <w:r>
              <w:rPr>
                <w:rFonts w:eastAsia="Arial" w:cs="Arial"/>
              </w:rPr>
              <w:t xml:space="preserve"> Available at:  </w:t>
            </w:r>
            <w:hyperlink r:id="rId17">
              <w:r>
                <w:rPr>
                  <w:rFonts w:eastAsia="Arial" w:cs="Arial"/>
                </w:rPr>
                <w:t>http://www.open.edu/openlearn/education/what-are-the-benefits-interdisciplinary-study</w:t>
              </w:r>
            </w:hyperlink>
            <w:r>
              <w:rPr>
                <w:rFonts w:eastAsia="Arial" w:cs="Arial"/>
              </w:rPr>
              <w:t xml:space="preserve"> (accessed 22.06.18).</w:t>
            </w:r>
          </w:p>
          <w:p w:rsidR="00813086" w:rsidRDefault="00813086" w:rsidP="00813086">
            <w:pPr>
              <w:rPr>
                <w:rFonts w:eastAsia="Arial" w:cs="Arial"/>
              </w:rPr>
            </w:pPr>
            <w:r>
              <w:rPr>
                <w:rFonts w:eastAsia="Arial" w:cs="Arial"/>
              </w:rPr>
              <w:t xml:space="preserve">Gibbs, G. (2015) Maximising Student Learning Gain </w:t>
            </w:r>
            <w:r>
              <w:rPr>
                <w:rFonts w:eastAsia="Arial" w:cs="Arial"/>
                <w:i/>
              </w:rPr>
              <w:t xml:space="preserve">in </w:t>
            </w:r>
            <w:r>
              <w:rPr>
                <w:rFonts w:eastAsia="Arial" w:cs="Arial"/>
              </w:rPr>
              <w:t xml:space="preserve">Fry, H., </w:t>
            </w:r>
            <w:proofErr w:type="spellStart"/>
            <w:r>
              <w:rPr>
                <w:rFonts w:eastAsia="Arial" w:cs="Arial"/>
              </w:rPr>
              <w:t>Ketteridge</w:t>
            </w:r>
            <w:proofErr w:type="spellEnd"/>
            <w:r>
              <w:rPr>
                <w:rFonts w:eastAsia="Arial" w:cs="Arial"/>
              </w:rPr>
              <w:t xml:space="preserve">, S. &amp; Marshall, S. (Eds.) </w:t>
            </w:r>
            <w:r>
              <w:rPr>
                <w:rFonts w:eastAsia="Arial" w:cs="Arial"/>
                <w:i/>
              </w:rPr>
              <w:t xml:space="preserve">A Handbook for Teaching and Learning in Higher Education: Enhancing Academic Practice </w:t>
            </w:r>
            <w:r>
              <w:rPr>
                <w:rFonts w:eastAsia="Arial" w:cs="Arial"/>
              </w:rPr>
              <w:t>(4th Ed.). Abingdon: Routledge. pp. 193-208.</w:t>
            </w:r>
          </w:p>
          <w:p w:rsidR="00813086" w:rsidRDefault="00813086" w:rsidP="00813086">
            <w:pPr>
              <w:rPr>
                <w:rFonts w:eastAsia="Arial" w:cs="Arial"/>
              </w:rPr>
            </w:pPr>
            <w:proofErr w:type="spellStart"/>
            <w:r>
              <w:rPr>
                <w:rFonts w:eastAsia="Arial" w:cs="Arial"/>
              </w:rPr>
              <w:t>Ketteridge</w:t>
            </w:r>
            <w:proofErr w:type="spellEnd"/>
            <w:r>
              <w:rPr>
                <w:rFonts w:eastAsia="Arial" w:cs="Arial"/>
              </w:rPr>
              <w:t xml:space="preserve">, S., Fry, H.&amp; Marshall, S. (2015) Success as a university teacher </w:t>
            </w:r>
            <w:proofErr w:type="gramStart"/>
            <w:r>
              <w:rPr>
                <w:rFonts w:eastAsia="Arial" w:cs="Arial"/>
                <w:i/>
              </w:rPr>
              <w:t xml:space="preserve">in  </w:t>
            </w:r>
            <w:r>
              <w:rPr>
                <w:rFonts w:eastAsia="Arial" w:cs="Arial"/>
              </w:rPr>
              <w:t>Fry</w:t>
            </w:r>
            <w:proofErr w:type="gramEnd"/>
            <w:r>
              <w:rPr>
                <w:rFonts w:eastAsia="Arial" w:cs="Arial"/>
              </w:rPr>
              <w:t xml:space="preserve">, H., </w:t>
            </w:r>
            <w:proofErr w:type="spellStart"/>
            <w:r>
              <w:rPr>
                <w:rFonts w:eastAsia="Arial" w:cs="Arial"/>
              </w:rPr>
              <w:t>Ketteridge</w:t>
            </w:r>
            <w:proofErr w:type="spellEnd"/>
            <w:r>
              <w:rPr>
                <w:rFonts w:eastAsia="Arial" w:cs="Arial"/>
              </w:rPr>
              <w:t xml:space="preserve">, S. &amp; Marshall, S. (Eds.) </w:t>
            </w:r>
            <w:r>
              <w:rPr>
                <w:rFonts w:eastAsia="Arial" w:cs="Arial"/>
                <w:i/>
              </w:rPr>
              <w:t xml:space="preserve">A Handbook for Teaching and Learning in Higher Education: Enhancing Academic Practice </w:t>
            </w:r>
            <w:r>
              <w:rPr>
                <w:rFonts w:eastAsia="Arial" w:cs="Arial"/>
              </w:rPr>
              <w:t>(4th Ed.). Abingdon: Routledge. pp. 43-62.</w:t>
            </w:r>
          </w:p>
          <w:p w:rsidR="00813086" w:rsidRDefault="00813086" w:rsidP="00813086">
            <w:pPr>
              <w:rPr>
                <w:rFonts w:eastAsia="Arial" w:cs="Arial"/>
              </w:rPr>
            </w:pPr>
            <w:r>
              <w:rPr>
                <w:rFonts w:eastAsia="Arial" w:cs="Arial"/>
              </w:rPr>
              <w:t xml:space="preserve">Munro, E. (2011) The Munro Review of Child Protection: Final Report A child-centred system. Available at: </w:t>
            </w:r>
            <w:hyperlink r:id="rId18">
              <w:r>
                <w:rPr>
                  <w:rFonts w:eastAsia="Arial" w:cs="Arial"/>
                </w:rPr>
                <w:t>https://assets.publishing.service.gov.uk/government/uploads/system/uploads/attachment_data/file/175391/Munro-Review.pdf</w:t>
              </w:r>
            </w:hyperlink>
            <w:r>
              <w:rPr>
                <w:rFonts w:eastAsia="Arial" w:cs="Arial"/>
              </w:rPr>
              <w:t xml:space="preserve"> (accessed 22.06.18).</w:t>
            </w:r>
          </w:p>
          <w:p w:rsidR="00813086" w:rsidRDefault="00813086" w:rsidP="00813086">
            <w:pPr>
              <w:rPr>
                <w:rFonts w:eastAsia="Arial" w:cs="Arial"/>
              </w:rPr>
            </w:pPr>
            <w:r>
              <w:rPr>
                <w:rFonts w:eastAsia="Arial" w:cs="Arial"/>
              </w:rPr>
              <w:t xml:space="preserve">Parry, G. &amp; </w:t>
            </w:r>
            <w:proofErr w:type="spellStart"/>
            <w:r>
              <w:rPr>
                <w:rFonts w:eastAsia="Arial" w:cs="Arial"/>
              </w:rPr>
              <w:t>Callender</w:t>
            </w:r>
            <w:proofErr w:type="spellEnd"/>
            <w:r>
              <w:rPr>
                <w:rFonts w:eastAsia="Arial" w:cs="Arial"/>
              </w:rPr>
              <w:t xml:space="preserve">, C. (2012) </w:t>
            </w:r>
            <w:r>
              <w:rPr>
                <w:rFonts w:eastAsia="Arial" w:cs="Arial"/>
                <w:i/>
              </w:rPr>
              <w:t xml:space="preserve">Understanding Higher Education in Further Education Colleges. </w:t>
            </w:r>
            <w:r>
              <w:rPr>
                <w:rFonts w:eastAsia="Arial" w:cs="Arial"/>
              </w:rPr>
              <w:t xml:space="preserve">BIS Research Paper 69. Available at: </w:t>
            </w:r>
            <w:hyperlink r:id="rId19">
              <w:r>
                <w:rPr>
                  <w:rFonts w:eastAsia="Arial" w:cs="Arial"/>
                </w:rPr>
                <w:t>https://www.gov.uk/government/publications/understanding-higher-education-in-further-education-colleges</w:t>
              </w:r>
            </w:hyperlink>
            <w:r>
              <w:rPr>
                <w:rFonts w:eastAsia="Arial" w:cs="Arial"/>
              </w:rPr>
              <w:t xml:space="preserve"> (accessed 22.06.18).</w:t>
            </w:r>
          </w:p>
          <w:p w:rsidR="00813086" w:rsidRDefault="00813086" w:rsidP="00813086">
            <w:pPr>
              <w:rPr>
                <w:rFonts w:eastAsia="Arial" w:cs="Arial"/>
              </w:rPr>
            </w:pPr>
            <w:r>
              <w:rPr>
                <w:rFonts w:eastAsia="Arial" w:cs="Arial"/>
              </w:rPr>
              <w:lastRenderedPageBreak/>
              <w:t>Signs of Safety (2018) Delivering Locally: Establishing regionally. Available at: chrome-extension://bpmcpldpdmajfigpchkicefoigmkfalc/views/app.html (accessed 22.06.18)</w:t>
            </w:r>
          </w:p>
          <w:p w:rsidR="00813086" w:rsidRDefault="00813086" w:rsidP="00813086">
            <w:pPr>
              <w:rPr>
                <w:rFonts w:eastAsia="Arial" w:cs="Arial"/>
              </w:rPr>
            </w:pPr>
            <w:r>
              <w:rPr>
                <w:rFonts w:eastAsia="Arial" w:cs="Arial"/>
              </w:rPr>
              <w:t xml:space="preserve">Simmons, J. &amp; Lea, J. Capturing </w:t>
            </w:r>
            <w:proofErr w:type="spellStart"/>
            <w:r>
              <w:rPr>
                <w:rFonts w:eastAsia="Arial" w:cs="Arial"/>
              </w:rPr>
              <w:t>an</w:t>
            </w:r>
            <w:proofErr w:type="spellEnd"/>
            <w:r>
              <w:rPr>
                <w:rFonts w:eastAsia="Arial" w:cs="Arial"/>
              </w:rPr>
              <w:t xml:space="preserve"> HE ethos in college higher education practice. Available at: </w:t>
            </w:r>
            <w:hyperlink r:id="rId20">
              <w:r>
                <w:rPr>
                  <w:rFonts w:eastAsia="Arial" w:cs="Arial"/>
                </w:rPr>
                <w:t>http://dera.ioe.ac.uk/19030/1/HE-ethos-Lea-Simmons-2013.pdf</w:t>
              </w:r>
            </w:hyperlink>
            <w:r>
              <w:rPr>
                <w:rFonts w:eastAsia="Arial" w:cs="Arial"/>
              </w:rPr>
              <w:t xml:space="preserve"> (accessed 22.06.18). </w:t>
            </w:r>
          </w:p>
          <w:p w:rsidR="00A33E6F" w:rsidRPr="00FE7642" w:rsidRDefault="00A33E6F" w:rsidP="000F1367">
            <w:pPr>
              <w:jc w:val="both"/>
              <w:rPr>
                <w:rFonts w:cs="Arial"/>
                <w:sz w:val="24"/>
                <w:szCs w:val="24"/>
              </w:rPr>
            </w:pPr>
          </w:p>
          <w:p w:rsidR="00A33E6F" w:rsidRDefault="00A33E6F" w:rsidP="000F1367">
            <w:pPr>
              <w:jc w:val="both"/>
              <w:rPr>
                <w:rFonts w:cs="Arial"/>
                <w:sz w:val="24"/>
                <w:szCs w:val="24"/>
              </w:rPr>
            </w:pPr>
          </w:p>
          <w:p w:rsidR="00DD414C" w:rsidRDefault="00DD414C" w:rsidP="000F1367">
            <w:pPr>
              <w:jc w:val="both"/>
              <w:rPr>
                <w:rFonts w:cs="Arial"/>
                <w:sz w:val="24"/>
                <w:szCs w:val="24"/>
              </w:rPr>
            </w:pPr>
          </w:p>
          <w:p w:rsidR="00DD414C" w:rsidRPr="00FE7642" w:rsidRDefault="00DD414C" w:rsidP="000F1367">
            <w:pPr>
              <w:jc w:val="both"/>
              <w:rPr>
                <w:rFonts w:cs="Arial"/>
                <w:sz w:val="24"/>
                <w:szCs w:val="24"/>
              </w:rPr>
            </w:pPr>
          </w:p>
        </w:tc>
      </w:tr>
    </w:tbl>
    <w:p w:rsidR="00CA12DC" w:rsidRPr="00FE7642" w:rsidRDefault="00CA12DC" w:rsidP="00CA12DC">
      <w:pPr>
        <w:jc w:val="both"/>
        <w:rPr>
          <w:rFonts w:cs="Arial"/>
          <w:sz w:val="24"/>
          <w:szCs w:val="24"/>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CA12DC" w:rsidRPr="00FE7642" w:rsidRDefault="00CA12DC" w:rsidP="00CA12DC">
      <w:pPr>
        <w:jc w:val="both"/>
        <w:rPr>
          <w:rFonts w:cs="Arial"/>
          <w:b/>
          <w:sz w:val="32"/>
          <w:szCs w:val="32"/>
        </w:rPr>
      </w:pPr>
      <w:r w:rsidRPr="00FE7642">
        <w:rPr>
          <w:rFonts w:cs="Arial"/>
          <w:b/>
          <w:sz w:val="32"/>
          <w:szCs w:val="32"/>
        </w:rPr>
        <w:t>SECTION THREE:</w:t>
      </w:r>
      <w:r w:rsidRPr="00FE7642">
        <w:rPr>
          <w:rFonts w:cs="Arial"/>
          <w:b/>
          <w:sz w:val="32"/>
          <w:szCs w:val="32"/>
        </w:rPr>
        <w:tab/>
        <w:t>Referees</w:t>
      </w: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rsidR="0092057B" w:rsidRPr="00FE7642" w:rsidRDefault="0092057B" w:rsidP="00CA12DC">
      <w:pPr>
        <w:jc w:val="both"/>
        <w:rPr>
          <w:rFonts w:cs="Arial"/>
          <w:sz w:val="24"/>
          <w:szCs w:val="24"/>
        </w:rPr>
      </w:pPr>
    </w:p>
    <w:p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rsidR="0092057B" w:rsidRPr="00FE7642" w:rsidRDefault="0092057B" w:rsidP="00CA12DC">
      <w:pPr>
        <w:jc w:val="both"/>
        <w:rPr>
          <w:rFonts w:cs="Arial"/>
          <w:sz w:val="24"/>
          <w:szCs w:val="24"/>
        </w:rPr>
      </w:pPr>
    </w:p>
    <w:p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rsidR="0092057B" w:rsidRPr="00FE7642" w:rsidRDefault="0092057B" w:rsidP="00CA12DC">
      <w:pPr>
        <w:jc w:val="both"/>
        <w:rPr>
          <w:rFonts w:cs="Arial"/>
          <w:sz w:val="24"/>
          <w:szCs w:val="24"/>
        </w:rPr>
      </w:pPr>
    </w:p>
    <w:p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89"/>
        <w:gridCol w:w="5867"/>
      </w:tblGrid>
      <w:tr w:rsidR="00CA12DC" w:rsidRPr="00FE7642" w:rsidTr="0092057B">
        <w:tc>
          <w:tcPr>
            <w:tcW w:w="10598" w:type="dxa"/>
            <w:gridSpan w:val="2"/>
          </w:tcPr>
          <w:p w:rsidR="00CA12DC" w:rsidRPr="00FE7642" w:rsidRDefault="00CA12DC" w:rsidP="000F1367">
            <w:pPr>
              <w:jc w:val="both"/>
              <w:rPr>
                <w:rFonts w:cs="Arial"/>
                <w:b/>
                <w:sz w:val="24"/>
                <w:szCs w:val="24"/>
              </w:rPr>
            </w:pPr>
            <w:r w:rsidRPr="00FE7642">
              <w:rPr>
                <w:rFonts w:cs="Arial"/>
                <w:b/>
                <w:sz w:val="24"/>
                <w:szCs w:val="24"/>
              </w:rPr>
              <w:t>First Referee:</w:t>
            </w:r>
          </w:p>
          <w:p w:rsidR="00CA12DC" w:rsidRPr="00FE7642" w:rsidRDefault="00CA12DC" w:rsidP="000F1367">
            <w:pPr>
              <w:jc w:val="both"/>
              <w:rPr>
                <w:rFonts w:cs="Arial"/>
                <w:sz w:val="24"/>
                <w:szCs w:val="24"/>
              </w:rPr>
            </w:pP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Name</w:t>
            </w:r>
          </w:p>
        </w:tc>
        <w:tc>
          <w:tcPr>
            <w:tcW w:w="5977" w:type="dxa"/>
          </w:tcPr>
          <w:p w:rsidR="00CA12DC" w:rsidRPr="00FE7642" w:rsidRDefault="0077291C" w:rsidP="000F1367">
            <w:pPr>
              <w:jc w:val="both"/>
              <w:rPr>
                <w:rFonts w:cs="Arial"/>
                <w:sz w:val="24"/>
                <w:szCs w:val="24"/>
              </w:rPr>
            </w:pPr>
            <w:r>
              <w:rPr>
                <w:rFonts w:cs="Arial"/>
                <w:sz w:val="24"/>
                <w:szCs w:val="24"/>
              </w:rPr>
              <w:t>Helen Lloyd</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Job Title</w:t>
            </w:r>
          </w:p>
        </w:tc>
        <w:tc>
          <w:tcPr>
            <w:tcW w:w="5977" w:type="dxa"/>
          </w:tcPr>
          <w:p w:rsidR="00CA12DC" w:rsidRPr="00FE7642" w:rsidRDefault="0077291C" w:rsidP="000F1367">
            <w:pPr>
              <w:jc w:val="both"/>
              <w:rPr>
                <w:rFonts w:cs="Arial"/>
                <w:sz w:val="24"/>
                <w:szCs w:val="24"/>
              </w:rPr>
            </w:pPr>
            <w:r>
              <w:rPr>
                <w:rFonts w:cs="Arial"/>
                <w:sz w:val="24"/>
                <w:szCs w:val="24"/>
              </w:rPr>
              <w:t>Curriculum Area Head</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Faculty/Centre/School/Department</w:t>
            </w:r>
          </w:p>
        </w:tc>
        <w:tc>
          <w:tcPr>
            <w:tcW w:w="5977" w:type="dxa"/>
          </w:tcPr>
          <w:p w:rsidR="00CA12DC" w:rsidRPr="00FE7642" w:rsidRDefault="0077291C" w:rsidP="0077291C">
            <w:pPr>
              <w:rPr>
                <w:rFonts w:cs="Arial"/>
                <w:sz w:val="24"/>
                <w:szCs w:val="24"/>
              </w:rPr>
            </w:pPr>
            <w:r>
              <w:rPr>
                <w:rFonts w:cs="Arial"/>
                <w:sz w:val="24"/>
                <w:szCs w:val="24"/>
              </w:rPr>
              <w:t xml:space="preserve">Coleg Sir </w:t>
            </w:r>
            <w:proofErr w:type="spellStart"/>
            <w:r>
              <w:rPr>
                <w:rFonts w:cs="Arial"/>
                <w:sz w:val="24"/>
                <w:szCs w:val="24"/>
              </w:rPr>
              <w:t>Gâr</w:t>
            </w:r>
            <w:proofErr w:type="spellEnd"/>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Email address</w:t>
            </w:r>
          </w:p>
        </w:tc>
        <w:tc>
          <w:tcPr>
            <w:tcW w:w="5977" w:type="dxa"/>
          </w:tcPr>
          <w:p w:rsidR="00CA12DC" w:rsidRPr="00FE7642" w:rsidRDefault="00C63F70" w:rsidP="000F1367">
            <w:pPr>
              <w:jc w:val="both"/>
              <w:rPr>
                <w:rFonts w:cs="Arial"/>
                <w:sz w:val="24"/>
                <w:szCs w:val="24"/>
              </w:rPr>
            </w:pPr>
            <w:hyperlink r:id="rId21" w:history="1">
              <w:r w:rsidR="0077291C" w:rsidRPr="009A5465">
                <w:rPr>
                  <w:rStyle w:val="Hyperlink"/>
                  <w:rFonts w:cs="Arial"/>
                  <w:sz w:val="24"/>
                  <w:szCs w:val="24"/>
                </w:rPr>
                <w:t>Helen.lloyd@colegsirgar.ac.uk</w:t>
              </w:r>
            </w:hyperlink>
            <w:r w:rsidR="0077291C">
              <w:rPr>
                <w:rFonts w:cs="Arial"/>
                <w:sz w:val="24"/>
                <w:szCs w:val="24"/>
              </w:rPr>
              <w:t xml:space="preserve"> </w:t>
            </w:r>
          </w:p>
        </w:tc>
      </w:tr>
      <w:tr w:rsidR="00CA12DC" w:rsidRPr="00FE7642" w:rsidTr="0092057B">
        <w:tc>
          <w:tcPr>
            <w:tcW w:w="10598" w:type="dxa"/>
            <w:gridSpan w:val="2"/>
          </w:tcPr>
          <w:p w:rsidR="00CA12DC" w:rsidRPr="00FE7642" w:rsidRDefault="00CA12DC" w:rsidP="000F1367">
            <w:pPr>
              <w:jc w:val="both"/>
              <w:rPr>
                <w:rFonts w:cs="Arial"/>
                <w:sz w:val="24"/>
                <w:szCs w:val="24"/>
              </w:rPr>
            </w:pPr>
            <w:r w:rsidRPr="00FE7642">
              <w:rPr>
                <w:rFonts w:cs="Arial"/>
                <w:sz w:val="24"/>
                <w:szCs w:val="24"/>
              </w:rPr>
              <w:t>In what capacity can this individual comment on your professional practice?</w:t>
            </w:r>
          </w:p>
          <w:p w:rsidR="00CA12DC" w:rsidRPr="00FE7642" w:rsidRDefault="00CA12DC" w:rsidP="000F1367">
            <w:pPr>
              <w:jc w:val="both"/>
              <w:rPr>
                <w:rFonts w:cs="Arial"/>
                <w:sz w:val="24"/>
                <w:szCs w:val="24"/>
              </w:rPr>
            </w:pPr>
          </w:p>
          <w:p w:rsidR="0092057B" w:rsidRPr="00FE7642" w:rsidRDefault="0077291C" w:rsidP="000F1367">
            <w:pPr>
              <w:jc w:val="both"/>
              <w:rPr>
                <w:rFonts w:cs="Arial"/>
                <w:sz w:val="24"/>
                <w:szCs w:val="24"/>
              </w:rPr>
            </w:pPr>
            <w:r>
              <w:rPr>
                <w:rFonts w:cs="Arial"/>
                <w:sz w:val="24"/>
                <w:szCs w:val="24"/>
              </w:rPr>
              <w:t>Senior Line Manager</w:t>
            </w:r>
          </w:p>
          <w:p w:rsidR="0092057B" w:rsidRPr="00FE7642" w:rsidRDefault="0092057B" w:rsidP="000F1367">
            <w:pPr>
              <w:jc w:val="both"/>
              <w:rPr>
                <w:rFonts w:cs="Arial"/>
                <w:sz w:val="24"/>
                <w:szCs w:val="24"/>
              </w:rPr>
            </w:pPr>
          </w:p>
          <w:p w:rsidR="0092057B" w:rsidRPr="00FE7642" w:rsidRDefault="0092057B" w:rsidP="000F1367">
            <w:pPr>
              <w:jc w:val="both"/>
              <w:rPr>
                <w:rFonts w:cs="Arial"/>
                <w:sz w:val="24"/>
                <w:szCs w:val="24"/>
              </w:rPr>
            </w:pPr>
          </w:p>
        </w:tc>
      </w:tr>
    </w:tbl>
    <w:p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rsidTr="0092057B">
        <w:tc>
          <w:tcPr>
            <w:tcW w:w="10598" w:type="dxa"/>
            <w:gridSpan w:val="2"/>
          </w:tcPr>
          <w:p w:rsidR="00CA12DC" w:rsidRPr="00FE7642" w:rsidRDefault="00CA12DC" w:rsidP="000F1367">
            <w:pPr>
              <w:jc w:val="both"/>
              <w:rPr>
                <w:rFonts w:cs="Arial"/>
                <w:b/>
                <w:sz w:val="24"/>
                <w:szCs w:val="24"/>
              </w:rPr>
            </w:pPr>
            <w:r w:rsidRPr="00FE7642">
              <w:rPr>
                <w:rFonts w:cs="Arial"/>
                <w:b/>
                <w:sz w:val="24"/>
                <w:szCs w:val="24"/>
              </w:rPr>
              <w:t>Second Referee:</w:t>
            </w:r>
          </w:p>
          <w:p w:rsidR="00CA12DC" w:rsidRPr="00FE7642" w:rsidRDefault="00CA12DC" w:rsidP="000F1367">
            <w:pPr>
              <w:jc w:val="both"/>
              <w:rPr>
                <w:rFonts w:cs="Arial"/>
                <w:sz w:val="24"/>
                <w:szCs w:val="24"/>
              </w:rPr>
            </w:pP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Name</w:t>
            </w:r>
          </w:p>
        </w:tc>
        <w:tc>
          <w:tcPr>
            <w:tcW w:w="5977" w:type="dxa"/>
          </w:tcPr>
          <w:p w:rsidR="00CA12DC" w:rsidRPr="00FE7642" w:rsidRDefault="0077291C" w:rsidP="000F1367">
            <w:pPr>
              <w:jc w:val="both"/>
              <w:rPr>
                <w:rFonts w:cs="Arial"/>
                <w:sz w:val="24"/>
                <w:szCs w:val="24"/>
              </w:rPr>
            </w:pPr>
            <w:r>
              <w:rPr>
                <w:rFonts w:cs="Arial"/>
                <w:sz w:val="24"/>
                <w:szCs w:val="24"/>
              </w:rPr>
              <w:t>Sian Russell</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Job Title</w:t>
            </w:r>
          </w:p>
        </w:tc>
        <w:tc>
          <w:tcPr>
            <w:tcW w:w="5977" w:type="dxa"/>
          </w:tcPr>
          <w:p w:rsidR="00CA12DC" w:rsidRPr="00FE7642" w:rsidRDefault="0077291C" w:rsidP="000F1367">
            <w:pPr>
              <w:jc w:val="both"/>
              <w:rPr>
                <w:rFonts w:cs="Arial"/>
                <w:sz w:val="24"/>
                <w:szCs w:val="24"/>
              </w:rPr>
            </w:pPr>
            <w:r>
              <w:rPr>
                <w:rFonts w:cs="Arial"/>
                <w:sz w:val="24"/>
                <w:szCs w:val="24"/>
              </w:rPr>
              <w:t>Assistant Curriculum Area Head</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Faculty/Centre/School/Department</w:t>
            </w:r>
          </w:p>
        </w:tc>
        <w:tc>
          <w:tcPr>
            <w:tcW w:w="5977" w:type="dxa"/>
          </w:tcPr>
          <w:p w:rsidR="00CA12DC" w:rsidRPr="00FE7642" w:rsidRDefault="0077291C" w:rsidP="0077291C">
            <w:pPr>
              <w:rPr>
                <w:rFonts w:cs="Arial"/>
                <w:sz w:val="24"/>
                <w:szCs w:val="24"/>
              </w:rPr>
            </w:pPr>
            <w:r>
              <w:rPr>
                <w:rFonts w:cs="Arial"/>
                <w:sz w:val="24"/>
                <w:szCs w:val="24"/>
              </w:rPr>
              <w:t xml:space="preserve">Coleg Sir </w:t>
            </w:r>
            <w:proofErr w:type="spellStart"/>
            <w:r>
              <w:rPr>
                <w:rFonts w:cs="Arial"/>
                <w:sz w:val="24"/>
                <w:szCs w:val="24"/>
              </w:rPr>
              <w:t>Gâr</w:t>
            </w:r>
            <w:proofErr w:type="spellEnd"/>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Email address</w:t>
            </w:r>
          </w:p>
        </w:tc>
        <w:tc>
          <w:tcPr>
            <w:tcW w:w="5977" w:type="dxa"/>
          </w:tcPr>
          <w:p w:rsidR="00CA12DC" w:rsidRPr="00FE7642" w:rsidRDefault="00C63F70" w:rsidP="000F1367">
            <w:pPr>
              <w:jc w:val="both"/>
              <w:rPr>
                <w:rFonts w:cs="Arial"/>
                <w:sz w:val="24"/>
                <w:szCs w:val="24"/>
              </w:rPr>
            </w:pPr>
            <w:hyperlink r:id="rId22" w:history="1">
              <w:r w:rsidR="0077291C" w:rsidRPr="009A5465">
                <w:rPr>
                  <w:rStyle w:val="Hyperlink"/>
                  <w:rFonts w:cs="Arial"/>
                  <w:sz w:val="24"/>
                  <w:szCs w:val="24"/>
                </w:rPr>
                <w:t>Sian.russell@colegsirgar.ac.uk</w:t>
              </w:r>
            </w:hyperlink>
            <w:r w:rsidR="0077291C">
              <w:rPr>
                <w:rFonts w:cs="Arial"/>
                <w:sz w:val="24"/>
                <w:szCs w:val="24"/>
              </w:rPr>
              <w:t xml:space="preserve"> </w:t>
            </w:r>
          </w:p>
        </w:tc>
      </w:tr>
      <w:tr w:rsidR="00CA12DC" w:rsidRPr="00FE7642" w:rsidTr="0092057B">
        <w:tc>
          <w:tcPr>
            <w:tcW w:w="10598" w:type="dxa"/>
            <w:gridSpan w:val="2"/>
          </w:tcPr>
          <w:p w:rsidR="00CA12DC" w:rsidRPr="00FE7642" w:rsidRDefault="00CA12DC" w:rsidP="000F1367">
            <w:pPr>
              <w:jc w:val="both"/>
              <w:rPr>
                <w:rFonts w:cs="Arial"/>
                <w:sz w:val="24"/>
                <w:szCs w:val="24"/>
              </w:rPr>
            </w:pPr>
            <w:r w:rsidRPr="00FE7642">
              <w:rPr>
                <w:rFonts w:cs="Arial"/>
                <w:sz w:val="24"/>
                <w:szCs w:val="24"/>
              </w:rPr>
              <w:t>In what capacity can this individual comment on your professional practice?</w:t>
            </w:r>
          </w:p>
          <w:p w:rsidR="00CA12DC" w:rsidRPr="00FE7642" w:rsidRDefault="00CA12DC" w:rsidP="000F1367">
            <w:pPr>
              <w:jc w:val="both"/>
              <w:rPr>
                <w:rFonts w:cs="Arial"/>
                <w:sz w:val="24"/>
                <w:szCs w:val="24"/>
              </w:rPr>
            </w:pPr>
          </w:p>
          <w:p w:rsidR="0092057B" w:rsidRPr="00FE7642" w:rsidRDefault="0092057B" w:rsidP="000F1367">
            <w:pPr>
              <w:jc w:val="both"/>
              <w:rPr>
                <w:rFonts w:cs="Arial"/>
                <w:sz w:val="24"/>
                <w:szCs w:val="24"/>
              </w:rPr>
            </w:pPr>
          </w:p>
          <w:p w:rsidR="0092057B" w:rsidRPr="00FE7642" w:rsidRDefault="0077291C" w:rsidP="000F1367">
            <w:pPr>
              <w:jc w:val="both"/>
              <w:rPr>
                <w:rFonts w:cs="Arial"/>
                <w:sz w:val="24"/>
                <w:szCs w:val="24"/>
              </w:rPr>
            </w:pPr>
            <w:r>
              <w:rPr>
                <w:rFonts w:cs="Arial"/>
                <w:sz w:val="24"/>
                <w:szCs w:val="24"/>
              </w:rPr>
              <w:t>Line Manager</w:t>
            </w:r>
          </w:p>
          <w:p w:rsidR="0092057B" w:rsidRPr="00FE7642" w:rsidRDefault="0092057B" w:rsidP="000F1367">
            <w:pPr>
              <w:jc w:val="both"/>
              <w:rPr>
                <w:rFonts w:cs="Arial"/>
                <w:sz w:val="24"/>
                <w:szCs w:val="24"/>
              </w:rPr>
            </w:pPr>
          </w:p>
        </w:tc>
      </w:tr>
    </w:tbl>
    <w:p w:rsidR="00356BA8" w:rsidRPr="00FE7642" w:rsidRDefault="00356BA8">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594F89" w:rsidP="004F687F">
      <w:pPr>
        <w:jc w:val="both"/>
        <w:rPr>
          <w:rFonts w:cs="Arial"/>
          <w:b/>
          <w:sz w:val="32"/>
          <w:szCs w:val="32"/>
        </w:rPr>
      </w:pPr>
      <w:r w:rsidRPr="00FE7642">
        <w:rPr>
          <w:rFonts w:cs="Arial"/>
          <w:b/>
          <w:sz w:val="32"/>
          <w:szCs w:val="32"/>
        </w:rPr>
        <w:t xml:space="preserve">SECTION </w:t>
      </w:r>
      <w:r w:rsidR="00186395" w:rsidRPr="00FE7642">
        <w:rPr>
          <w:rFonts w:cs="Arial"/>
          <w:b/>
          <w:sz w:val="32"/>
          <w:szCs w:val="32"/>
        </w:rPr>
        <w:t>FOUR</w:t>
      </w:r>
      <w:r w:rsidRPr="00FE7642">
        <w:rPr>
          <w:rFonts w:cs="Arial"/>
          <w:b/>
          <w:sz w:val="32"/>
          <w:szCs w:val="32"/>
        </w:rPr>
        <w:t>:</w:t>
      </w:r>
      <w:r w:rsidRPr="00FE7642">
        <w:rPr>
          <w:rFonts w:cs="Arial"/>
          <w:b/>
          <w:sz w:val="32"/>
          <w:szCs w:val="32"/>
        </w:rPr>
        <w:tab/>
        <w:t>Endorsement from the Institution</w:t>
      </w:r>
    </w:p>
    <w:p w:rsidR="004F687F" w:rsidRPr="00FE7642" w:rsidRDefault="004F687F">
      <w:pPr>
        <w:rPr>
          <w:rFonts w:cs="Arial"/>
          <w:sz w:val="24"/>
          <w:szCs w:val="24"/>
        </w:rPr>
      </w:pPr>
    </w:p>
    <w:p w:rsidR="004F687F" w:rsidRPr="00FE7642" w:rsidRDefault="004F687F">
      <w:pPr>
        <w:rPr>
          <w:rFonts w:cs="Arial"/>
          <w:sz w:val="24"/>
          <w:szCs w:val="24"/>
        </w:rPr>
      </w:pPr>
      <w:r w:rsidRPr="00FE7642">
        <w:rPr>
          <w:rFonts w:cs="Arial"/>
          <w:sz w:val="24"/>
          <w:szCs w:val="24"/>
        </w:rPr>
        <w:t>You are required to provide an institutional endorsement which should come from a professional who has senior responsibility for professional development, learning and teaching within the institution, for example:</w:t>
      </w:r>
    </w:p>
    <w:p w:rsidR="004F687F" w:rsidRPr="00FE7642" w:rsidRDefault="004F687F">
      <w:pPr>
        <w:rPr>
          <w:rFonts w:cs="Arial"/>
          <w:sz w:val="24"/>
          <w:szCs w:val="24"/>
        </w:rPr>
      </w:pPr>
    </w:p>
    <w:p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4597"/>
        <w:gridCol w:w="5859"/>
      </w:tblGrid>
      <w:tr w:rsidR="00594F89" w:rsidRPr="00FE7642" w:rsidTr="00237787">
        <w:tc>
          <w:tcPr>
            <w:tcW w:w="10598" w:type="dxa"/>
            <w:gridSpan w:val="2"/>
          </w:tcPr>
          <w:p w:rsidR="00594F89" w:rsidRPr="00FE7642" w:rsidRDefault="00594F89" w:rsidP="00237787">
            <w:pPr>
              <w:jc w:val="both"/>
              <w:rPr>
                <w:rFonts w:cs="Arial"/>
                <w:b/>
                <w:sz w:val="24"/>
                <w:szCs w:val="24"/>
              </w:rPr>
            </w:pPr>
            <w:r w:rsidRPr="00FE7642">
              <w:rPr>
                <w:rFonts w:cs="Arial"/>
                <w:b/>
                <w:sz w:val="24"/>
                <w:szCs w:val="24"/>
              </w:rPr>
              <w:t>Institutional Signatory</w:t>
            </w:r>
          </w:p>
          <w:p w:rsidR="00594F89" w:rsidRPr="00FE7642" w:rsidRDefault="00594F89" w:rsidP="00237787">
            <w:pPr>
              <w:jc w:val="both"/>
              <w:rPr>
                <w:rFonts w:cs="Arial"/>
                <w:sz w:val="24"/>
                <w:szCs w:val="24"/>
              </w:rPr>
            </w:pP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Name of Applicant</w:t>
            </w:r>
          </w:p>
        </w:tc>
        <w:tc>
          <w:tcPr>
            <w:tcW w:w="5977" w:type="dxa"/>
          </w:tcPr>
          <w:p w:rsidR="00594F89" w:rsidRPr="00FE7642" w:rsidRDefault="0077291C" w:rsidP="00237787">
            <w:pPr>
              <w:jc w:val="both"/>
              <w:rPr>
                <w:rFonts w:cs="Arial"/>
                <w:sz w:val="24"/>
                <w:szCs w:val="24"/>
              </w:rPr>
            </w:pPr>
            <w:r>
              <w:rPr>
                <w:rFonts w:cs="Arial"/>
                <w:sz w:val="24"/>
                <w:szCs w:val="24"/>
              </w:rPr>
              <w:t>Sam Lloyd-Parry</w:t>
            </w: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Name of Signatory</w:t>
            </w:r>
          </w:p>
        </w:tc>
        <w:tc>
          <w:tcPr>
            <w:tcW w:w="5977" w:type="dxa"/>
          </w:tcPr>
          <w:p w:rsidR="00594F89" w:rsidRPr="00FE7642" w:rsidRDefault="0077291C" w:rsidP="00237787">
            <w:pPr>
              <w:jc w:val="both"/>
              <w:rPr>
                <w:rFonts w:cs="Arial"/>
                <w:sz w:val="24"/>
                <w:szCs w:val="24"/>
              </w:rPr>
            </w:pPr>
            <w:r>
              <w:rPr>
                <w:rFonts w:cs="Arial"/>
                <w:sz w:val="24"/>
                <w:szCs w:val="24"/>
              </w:rPr>
              <w:t>Mike Williams</w:t>
            </w: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Job Title</w:t>
            </w:r>
          </w:p>
        </w:tc>
        <w:tc>
          <w:tcPr>
            <w:tcW w:w="5977" w:type="dxa"/>
          </w:tcPr>
          <w:p w:rsidR="00594F89" w:rsidRPr="00FE7642" w:rsidRDefault="0077291C" w:rsidP="00237787">
            <w:pPr>
              <w:jc w:val="both"/>
              <w:rPr>
                <w:rFonts w:cs="Arial"/>
                <w:sz w:val="24"/>
                <w:szCs w:val="24"/>
              </w:rPr>
            </w:pPr>
            <w:r>
              <w:rPr>
                <w:rFonts w:cs="Arial"/>
                <w:sz w:val="24"/>
                <w:szCs w:val="24"/>
              </w:rPr>
              <w:t>Assistant Principal</w:t>
            </w: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Faculty/Centre/School/Department</w:t>
            </w:r>
          </w:p>
        </w:tc>
        <w:tc>
          <w:tcPr>
            <w:tcW w:w="5977" w:type="dxa"/>
          </w:tcPr>
          <w:p w:rsidR="00594F89" w:rsidRPr="00FE7642" w:rsidRDefault="0077291C" w:rsidP="0077291C">
            <w:pPr>
              <w:rPr>
                <w:rFonts w:cs="Arial"/>
                <w:sz w:val="24"/>
                <w:szCs w:val="24"/>
              </w:rPr>
            </w:pPr>
            <w:r>
              <w:rPr>
                <w:rFonts w:cs="Arial"/>
                <w:sz w:val="24"/>
                <w:szCs w:val="24"/>
              </w:rPr>
              <w:t xml:space="preserve">Coleg Sir </w:t>
            </w:r>
            <w:proofErr w:type="spellStart"/>
            <w:r>
              <w:rPr>
                <w:rFonts w:cs="Arial"/>
                <w:sz w:val="24"/>
                <w:szCs w:val="24"/>
              </w:rPr>
              <w:t>Gâr</w:t>
            </w:r>
            <w:proofErr w:type="spellEnd"/>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Email address</w:t>
            </w:r>
          </w:p>
        </w:tc>
        <w:tc>
          <w:tcPr>
            <w:tcW w:w="5977" w:type="dxa"/>
          </w:tcPr>
          <w:p w:rsidR="00594F89" w:rsidRPr="00FE7642" w:rsidRDefault="0077291C" w:rsidP="00237787">
            <w:pPr>
              <w:jc w:val="both"/>
              <w:rPr>
                <w:rFonts w:cs="Arial"/>
                <w:sz w:val="24"/>
                <w:szCs w:val="24"/>
              </w:rPr>
            </w:pPr>
            <w:r>
              <w:rPr>
                <w:rFonts w:cs="Arial"/>
                <w:sz w:val="24"/>
                <w:szCs w:val="24"/>
              </w:rPr>
              <w:t>Mike.williams@colegsirgar.ac.uk</w:t>
            </w:r>
          </w:p>
        </w:tc>
      </w:tr>
      <w:tr w:rsidR="00594F89" w:rsidRPr="00FE7642" w:rsidTr="00237787">
        <w:tc>
          <w:tcPr>
            <w:tcW w:w="10598" w:type="dxa"/>
            <w:gridSpan w:val="2"/>
          </w:tcPr>
          <w:p w:rsidR="00594F89" w:rsidRPr="00FE7642" w:rsidRDefault="00594F89" w:rsidP="00237787">
            <w:pPr>
              <w:jc w:val="both"/>
              <w:rPr>
                <w:rFonts w:cs="Arial"/>
                <w:sz w:val="24"/>
                <w:szCs w:val="24"/>
              </w:rPr>
            </w:pPr>
          </w:p>
          <w:p w:rsidR="00594F89" w:rsidRPr="00FE7642" w:rsidRDefault="00594F89" w:rsidP="00237787">
            <w:pPr>
              <w:jc w:val="both"/>
              <w:rPr>
                <w:rFonts w:cs="Arial"/>
                <w:sz w:val="24"/>
                <w:szCs w:val="24"/>
              </w:rPr>
            </w:pPr>
            <w:r w:rsidRPr="00FE7642">
              <w:rPr>
                <w:rFonts w:cs="Arial"/>
                <w:sz w:val="24"/>
                <w:szCs w:val="24"/>
              </w:rPr>
              <w:t>Dear Sir/Madam</w:t>
            </w:r>
          </w:p>
          <w:p w:rsidR="00594F89" w:rsidRPr="00FE7642" w:rsidRDefault="00594F89" w:rsidP="00237787">
            <w:pPr>
              <w:jc w:val="both"/>
              <w:rPr>
                <w:rFonts w:cs="Arial"/>
                <w:sz w:val="24"/>
                <w:szCs w:val="24"/>
              </w:rPr>
            </w:pPr>
          </w:p>
          <w:p w:rsidR="00594F89" w:rsidRPr="00FE7642" w:rsidRDefault="00594F89" w:rsidP="00237787">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rsidR="00594F89" w:rsidRPr="00FE7642" w:rsidRDefault="00594F89" w:rsidP="00237787">
            <w:pPr>
              <w:jc w:val="both"/>
              <w:rPr>
                <w:rFonts w:cs="Arial"/>
                <w:sz w:val="24"/>
                <w:szCs w:val="24"/>
              </w:rPr>
            </w:pPr>
          </w:p>
          <w:p w:rsidR="00594F89" w:rsidRPr="00FE7642" w:rsidRDefault="00594F89" w:rsidP="00237787">
            <w:pPr>
              <w:jc w:val="both"/>
              <w:rPr>
                <w:rFonts w:cs="Arial"/>
                <w:sz w:val="24"/>
                <w:szCs w:val="24"/>
              </w:rPr>
            </w:pPr>
          </w:p>
          <w:p w:rsidR="00594F89" w:rsidRPr="00FE7642" w:rsidRDefault="00594F89" w:rsidP="00237787">
            <w:pPr>
              <w:jc w:val="both"/>
              <w:rPr>
                <w:rFonts w:cs="Arial"/>
                <w:sz w:val="24"/>
                <w:szCs w:val="24"/>
              </w:rPr>
            </w:pPr>
            <w:r w:rsidRPr="00FE7642">
              <w:rPr>
                <w:rFonts w:cs="Arial"/>
                <w:b/>
                <w:sz w:val="24"/>
                <w:szCs w:val="24"/>
              </w:rPr>
              <w:lastRenderedPageBreak/>
              <w:t>Signature:</w:t>
            </w:r>
            <w:r w:rsidR="003D0C7D" w:rsidRPr="00706492">
              <w:rPr>
                <w:rFonts w:cs="Arial"/>
                <w:b/>
                <w:sz w:val="24"/>
                <w:szCs w:val="24"/>
              </w:rPr>
              <w:t xml:space="preserve"> </w:t>
            </w:r>
            <w:r w:rsidR="003D0C7D">
              <w:rPr>
                <w:rFonts w:cs="Arial"/>
                <w:b/>
                <w:noProof/>
                <w:sz w:val="24"/>
                <w:szCs w:val="24"/>
              </w:rPr>
              <w:drawing>
                <wp:inline distT="0" distB="0" distL="0" distR="0">
                  <wp:extent cx="2149026" cy="716342"/>
                  <wp:effectExtent l="0" t="0" r="381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W Signature.bmp"/>
                          <pic:cNvPicPr/>
                        </pic:nvPicPr>
                        <pic:blipFill>
                          <a:blip r:embed="rId23">
                            <a:extLst>
                              <a:ext uri="{28A0092B-C50C-407E-A947-70E740481C1C}">
                                <a14:useLocalDpi xmlns:a14="http://schemas.microsoft.com/office/drawing/2010/main" val="0"/>
                              </a:ext>
                            </a:extLst>
                          </a:blip>
                          <a:stretch>
                            <a:fillRect/>
                          </a:stretch>
                        </pic:blipFill>
                        <pic:spPr>
                          <a:xfrm>
                            <a:off x="0" y="0"/>
                            <a:ext cx="2149026" cy="716342"/>
                          </a:xfrm>
                          <a:prstGeom prst="rect">
                            <a:avLst/>
                          </a:prstGeom>
                        </pic:spPr>
                      </pic:pic>
                    </a:graphicData>
                  </a:graphic>
                </wp:inline>
              </w:drawing>
            </w:r>
            <w:r w:rsidR="00706492" w:rsidRPr="00706492">
              <w:rPr>
                <w:rFonts w:cs="Arial"/>
                <w:b/>
                <w:sz w:val="24"/>
                <w:szCs w:val="24"/>
              </w:rPr>
              <w:t>D</w:t>
            </w:r>
            <w:r w:rsidRPr="00FE7642">
              <w:rPr>
                <w:rFonts w:cs="Arial"/>
                <w:b/>
                <w:sz w:val="24"/>
                <w:szCs w:val="24"/>
              </w:rPr>
              <w:t>ate:</w:t>
            </w:r>
            <w:r w:rsidR="003D0C7D">
              <w:rPr>
                <w:rFonts w:cs="Arial"/>
                <w:b/>
                <w:sz w:val="24"/>
                <w:szCs w:val="24"/>
              </w:rPr>
              <w:t xml:space="preserve"> 26 June 2019</w:t>
            </w:r>
          </w:p>
          <w:p w:rsidR="00594F89" w:rsidRDefault="00594F89" w:rsidP="00237787">
            <w:pPr>
              <w:jc w:val="both"/>
              <w:rPr>
                <w:rFonts w:cs="Arial"/>
                <w:sz w:val="24"/>
                <w:szCs w:val="24"/>
              </w:rPr>
            </w:pPr>
          </w:p>
          <w:p w:rsidR="00706492" w:rsidRPr="00FE7642" w:rsidRDefault="00706492" w:rsidP="00237787">
            <w:pPr>
              <w:jc w:val="both"/>
              <w:rPr>
                <w:rFonts w:cs="Arial"/>
                <w:sz w:val="24"/>
                <w:szCs w:val="24"/>
              </w:rPr>
            </w:pPr>
          </w:p>
        </w:tc>
      </w:tr>
    </w:tbl>
    <w:p w:rsidR="004F687F" w:rsidRPr="00FE7642" w:rsidRDefault="004F687F">
      <w:pPr>
        <w:rPr>
          <w:rFonts w:cs="Arial"/>
          <w:sz w:val="24"/>
          <w:szCs w:val="24"/>
        </w:rPr>
      </w:pPr>
    </w:p>
    <w:sectPr w:rsidR="004F687F" w:rsidRPr="00FE7642" w:rsidSect="00C86610">
      <w:headerReference w:type="default" r:id="rId24"/>
      <w:footerReference w:type="default" r:id="rId2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1249" w:rsidRDefault="007B1249" w:rsidP="00CA12DC">
      <w:r>
        <w:separator/>
      </w:r>
    </w:p>
  </w:endnote>
  <w:endnote w:type="continuationSeparator" w:id="0">
    <w:p w:rsidR="007B1249" w:rsidRDefault="007B1249"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1249" w:rsidRDefault="007B1249" w:rsidP="00CA12DC">
      <w:r>
        <w:separator/>
      </w:r>
    </w:p>
  </w:footnote>
  <w:footnote w:type="continuationSeparator" w:id="0">
    <w:p w:rsidR="007B1249" w:rsidRDefault="007B1249"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12DC" w:rsidRPr="00CA12DC" w:rsidRDefault="00847DBA">
    <w:pPr>
      <w:pStyle w:val="Header"/>
      <w:rPr>
        <w:rFonts w:ascii="Times New Roman" w:hAnsi="Times New Roman"/>
        <w:b/>
      </w:rPr>
    </w:pPr>
    <w:r>
      <w:rPr>
        <w:noProof/>
      </w:rPr>
      <w:drawing>
        <wp:inline distT="0" distB="0" distL="0" distR="0" wp14:anchorId="1B85503B" wp14:editId="6463AB8B">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sidR="00186395">
      <w:rPr>
        <w:noProof/>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4"/>
  </w:num>
  <w:num w:numId="6">
    <w:abstractNumId w:val="9"/>
  </w:num>
  <w:num w:numId="7">
    <w:abstractNumId w:val="6"/>
  </w:num>
  <w:num w:numId="8">
    <w:abstractNumId w:val="3"/>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41909"/>
    <w:rsid w:val="00042744"/>
    <w:rsid w:val="0009217C"/>
    <w:rsid w:val="000E3A5B"/>
    <w:rsid w:val="000F44D3"/>
    <w:rsid w:val="0012312D"/>
    <w:rsid w:val="00137887"/>
    <w:rsid w:val="00150A2A"/>
    <w:rsid w:val="00170DDA"/>
    <w:rsid w:val="00186395"/>
    <w:rsid w:val="001C6B3E"/>
    <w:rsid w:val="001D2322"/>
    <w:rsid w:val="002B3C84"/>
    <w:rsid w:val="002F2B77"/>
    <w:rsid w:val="002F5EDD"/>
    <w:rsid w:val="00356BA8"/>
    <w:rsid w:val="003D0C7D"/>
    <w:rsid w:val="00407E26"/>
    <w:rsid w:val="004E6D0F"/>
    <w:rsid w:val="004F2494"/>
    <w:rsid w:val="004F687F"/>
    <w:rsid w:val="00502713"/>
    <w:rsid w:val="00534CB0"/>
    <w:rsid w:val="00535EE9"/>
    <w:rsid w:val="00540671"/>
    <w:rsid w:val="005407DE"/>
    <w:rsid w:val="0056012A"/>
    <w:rsid w:val="00594F89"/>
    <w:rsid w:val="005F1278"/>
    <w:rsid w:val="00625830"/>
    <w:rsid w:val="00666309"/>
    <w:rsid w:val="006E7EA2"/>
    <w:rsid w:val="00706492"/>
    <w:rsid w:val="0077291C"/>
    <w:rsid w:val="00787060"/>
    <w:rsid w:val="007B1249"/>
    <w:rsid w:val="00801AAF"/>
    <w:rsid w:val="008048CD"/>
    <w:rsid w:val="00813086"/>
    <w:rsid w:val="00847DBA"/>
    <w:rsid w:val="008B1083"/>
    <w:rsid w:val="00912165"/>
    <w:rsid w:val="0092057B"/>
    <w:rsid w:val="00944267"/>
    <w:rsid w:val="00993832"/>
    <w:rsid w:val="009F67B9"/>
    <w:rsid w:val="00A10188"/>
    <w:rsid w:val="00A1372E"/>
    <w:rsid w:val="00A33E6F"/>
    <w:rsid w:val="00A414E1"/>
    <w:rsid w:val="00A50840"/>
    <w:rsid w:val="00A87D25"/>
    <w:rsid w:val="00A97E8E"/>
    <w:rsid w:val="00AC5818"/>
    <w:rsid w:val="00AF7886"/>
    <w:rsid w:val="00B070EA"/>
    <w:rsid w:val="00B65114"/>
    <w:rsid w:val="00C34FAE"/>
    <w:rsid w:val="00C63F70"/>
    <w:rsid w:val="00C76099"/>
    <w:rsid w:val="00C86610"/>
    <w:rsid w:val="00C87286"/>
    <w:rsid w:val="00CA12DC"/>
    <w:rsid w:val="00CB2CBF"/>
    <w:rsid w:val="00CD429E"/>
    <w:rsid w:val="00CF1AFF"/>
    <w:rsid w:val="00D149C9"/>
    <w:rsid w:val="00D1674F"/>
    <w:rsid w:val="00DD414C"/>
    <w:rsid w:val="00E0025F"/>
    <w:rsid w:val="00E452F4"/>
    <w:rsid w:val="00E62475"/>
    <w:rsid w:val="00EF091D"/>
    <w:rsid w:val="00FC3A6E"/>
    <w:rsid w:val="00FD0230"/>
    <w:rsid w:val="00FE7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806A764"/>
  <w15:docId w15:val="{3558A2EF-C225-4DD8-8D5F-409DD8AB5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2">
    <w:name w:val="heading 2"/>
    <w:basedOn w:val="Normal"/>
    <w:next w:val="Normal"/>
    <w:link w:val="Heading2Char"/>
    <w:rsid w:val="00813086"/>
    <w:pPr>
      <w:keepNext/>
      <w:keepLines/>
      <w:spacing w:before="360" w:after="80" w:line="259" w:lineRule="auto"/>
      <w:outlineLvl w:val="1"/>
    </w:pPr>
    <w:rPr>
      <w:rFonts w:ascii="Calibri" w:eastAsia="Calibri" w:hAnsi="Calibri" w:cs="Calibri"/>
      <w:b/>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customStyle="1" w:styleId="Heading2Char">
    <w:name w:val="Heading 2 Char"/>
    <w:basedOn w:val="DefaultParagraphFont"/>
    <w:link w:val="Heading2"/>
    <w:rsid w:val="00813086"/>
    <w:rPr>
      <w:rFonts w:ascii="Calibri" w:eastAsia="Calibri" w:hAnsi="Calibri" w:cs="Calibri"/>
      <w:b/>
      <w:sz w:val="36"/>
      <w:szCs w:val="36"/>
      <w:lang w:eastAsia="en-GB"/>
    </w:rPr>
  </w:style>
  <w:style w:type="character" w:styleId="Hyperlink">
    <w:name w:val="Hyperlink"/>
    <w:basedOn w:val="DefaultParagraphFont"/>
    <w:uiPriority w:val="99"/>
    <w:unhideWhenUsed/>
    <w:rsid w:val="0077291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kcl.ac.uk/study/learningteaching/kli/People/Research/DL/QAASummary.pdf" TargetMode="External"/><Relationship Id="rId13" Type="http://schemas.openxmlformats.org/officeDocument/2006/relationships/hyperlink" Target="https://gov.wales/docs/dhss/publications/180608healthier-wales-mainen.pdf" TargetMode="External"/><Relationship Id="rId18" Type="http://schemas.openxmlformats.org/officeDocument/2006/relationships/hyperlink" Target="https://assets.publishing.service.gov.uk/government/uploads/system/uploads/attachment_data/file/175391/Munro-Review.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mailto:Helen.lloyd@colegsirgar.ac.uk" TargetMode="External"/><Relationship Id="rId7" Type="http://schemas.openxmlformats.org/officeDocument/2006/relationships/endnotes" Target="endnotes.xml"/><Relationship Id="rId12" Type="http://schemas.openxmlformats.org/officeDocument/2006/relationships/hyperlink" Target="https://gov.wales/statistics-and-research/local-authority-social-services-staff-numbers/?lang=en" TargetMode="External"/><Relationship Id="rId17" Type="http://schemas.openxmlformats.org/officeDocument/2006/relationships/hyperlink" Target="http://www.open.edu/openlearn/education/what-are-the-benefits-interdisciplinary-study"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cie.org.uk/children/safeguarding/case-reviews/quality-markers/running/13-analysis.asp" TargetMode="External"/><Relationship Id="rId20" Type="http://schemas.openxmlformats.org/officeDocument/2006/relationships/hyperlink" Target="http://dera.ioe.ac.uk/19030/1/HE-ethos-Lea-Simmons-201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anaw/2014/4/contents"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heacademy.ac.uk/system/files/northumbria_guide_to_relationships_dec_11_1.pdf" TargetMode="External"/><Relationship Id="rId23" Type="http://schemas.openxmlformats.org/officeDocument/2006/relationships/image" Target="media/image1.png"/><Relationship Id="rId10" Type="http://schemas.openxmlformats.org/officeDocument/2006/relationships/hyperlink" Target="https://www.heacademy.ac.uk/resources/detail/consultations/paulramsden_teaching_and_student_experience" TargetMode="External"/><Relationship Id="rId19" Type="http://schemas.openxmlformats.org/officeDocument/2006/relationships/hyperlink" Target="https://www.gov.uk/government/publications/understanding-higher-education-in-further-education-colleges" TargetMode="External"/><Relationship Id="rId4" Type="http://schemas.openxmlformats.org/officeDocument/2006/relationships/settings" Target="settings.xml"/><Relationship Id="rId9" Type="http://schemas.openxmlformats.org/officeDocument/2006/relationships/hyperlink" Target="https://www.heacademy.ac.uk/knowledge-hub/interdisciplinary-provision-higher-education-current-and-future-challenges" TargetMode="External"/><Relationship Id="rId14" Type="http://schemas.openxmlformats.org/officeDocument/2006/relationships/hyperlink" Target="https://www.theguardian.com/higher-education-network/blog/2011/jun/28/flexible-dissertations-for-undergraduates" TargetMode="External"/><Relationship Id="rId22" Type="http://schemas.openxmlformats.org/officeDocument/2006/relationships/hyperlink" Target="mailto:Sian.russell@colegsirgar.ac.uk"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40754D-711E-4B29-B591-826AE32CE4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7389</Words>
  <Characters>42120</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49411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SamLP</cp:lastModifiedBy>
  <cp:revision>2</cp:revision>
  <cp:lastPrinted>2012-09-17T12:27:00Z</cp:lastPrinted>
  <dcterms:created xsi:type="dcterms:W3CDTF">2019-09-12T15:07:00Z</dcterms:created>
  <dcterms:modified xsi:type="dcterms:W3CDTF">2019-09-12T15:07:00Z</dcterms:modified>
</cp:coreProperties>
</file>