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A35ACD" w14:textId="77777777" w:rsidR="00F97D20" w:rsidRDefault="00F97D20">
      <w:pPr>
        <w:spacing w:before="1600"/>
      </w:pPr>
    </w:p>
    <w:p w14:paraId="44DF6FC5" w14:textId="77777777" w:rsidR="00F97D20" w:rsidRPr="00D346E1" w:rsidRDefault="00000000">
      <w:pPr>
        <w:pStyle w:val="Title"/>
        <w:jc w:val="center"/>
        <w:rPr>
          <w:color w:val="000000" w:themeColor="text1"/>
        </w:rPr>
      </w:pPr>
      <w:r w:rsidRPr="00D346E1">
        <w:rPr>
          <w:color w:val="000000" w:themeColor="text1"/>
        </w:rPr>
        <w:t>Cybersecurity and Data Governance Policy</w:t>
      </w:r>
    </w:p>
    <w:p w14:paraId="4ACFB7CD" w14:textId="77777777" w:rsidR="00F97D20" w:rsidRPr="00D346E1" w:rsidRDefault="00000000">
      <w:pPr>
        <w:spacing w:after="400"/>
        <w:jc w:val="center"/>
        <w:rPr>
          <w:color w:val="000000" w:themeColor="text1"/>
        </w:rPr>
      </w:pPr>
      <w:proofErr w:type="spellStart"/>
      <w:r w:rsidRPr="00D346E1">
        <w:rPr>
          <w:b/>
          <w:bCs/>
          <w:color w:val="000000" w:themeColor="text1"/>
          <w:sz w:val="32"/>
          <w:szCs w:val="32"/>
        </w:rPr>
        <w:t>SteelForm</w:t>
      </w:r>
      <w:proofErr w:type="spellEnd"/>
      <w:r w:rsidRPr="00D346E1">
        <w:rPr>
          <w:b/>
          <w:bCs/>
          <w:color w:val="000000" w:themeColor="text1"/>
          <w:sz w:val="32"/>
          <w:szCs w:val="32"/>
        </w:rPr>
        <w:t xml:space="preserve"> Manufacturing Ltd (SFM)</w:t>
      </w:r>
    </w:p>
    <w:p w14:paraId="1DCB0825" w14:textId="77777777" w:rsidR="00F97D20" w:rsidRPr="00D346E1" w:rsidRDefault="00000000">
      <w:pPr>
        <w:spacing w:after="100"/>
        <w:jc w:val="center"/>
        <w:rPr>
          <w:color w:val="000000" w:themeColor="text1"/>
        </w:rPr>
      </w:pPr>
      <w:r w:rsidRPr="00D346E1">
        <w:rPr>
          <w:color w:val="000000" w:themeColor="text1"/>
        </w:rPr>
        <w:t>Prepared for the Board of Directors by the IT Security Manager</w:t>
      </w:r>
    </w:p>
    <w:p w14:paraId="110430A9" w14:textId="77777777" w:rsidR="00F97D20" w:rsidRDefault="00000000">
      <w:pPr>
        <w:spacing w:after="100"/>
        <w:jc w:val="center"/>
        <w:rPr>
          <w:color w:val="000000" w:themeColor="text1"/>
        </w:rPr>
      </w:pPr>
      <w:r w:rsidRPr="00D346E1">
        <w:rPr>
          <w:color w:val="000000" w:themeColor="text1"/>
        </w:rPr>
        <w:t>Module: ACCA4024 — Network and Cybersecurity Essentials</w:t>
      </w:r>
    </w:p>
    <w:p w14:paraId="2914D76D" w14:textId="20F15DA8" w:rsidR="00D346E1" w:rsidRDefault="00D346E1">
      <w:pPr>
        <w:spacing w:after="100"/>
        <w:jc w:val="center"/>
        <w:rPr>
          <w:color w:val="000000" w:themeColor="text1"/>
        </w:rPr>
      </w:pPr>
      <w:r>
        <w:rPr>
          <w:color w:val="000000" w:themeColor="text1"/>
        </w:rPr>
        <w:t>Student name: Maksym Berkyta</w:t>
      </w:r>
    </w:p>
    <w:p w14:paraId="0C5B8EBA" w14:textId="5E9D5944" w:rsidR="00D346E1" w:rsidRPr="00D346E1" w:rsidRDefault="00D346E1">
      <w:pPr>
        <w:spacing w:after="100"/>
        <w:jc w:val="center"/>
        <w:rPr>
          <w:color w:val="000000" w:themeColor="text1"/>
        </w:rPr>
      </w:pPr>
      <w:r>
        <w:rPr>
          <w:color w:val="000000" w:themeColor="text1"/>
        </w:rPr>
        <w:t>Student ID: 2518672</w:t>
      </w:r>
    </w:p>
    <w:p w14:paraId="68CB863A" w14:textId="77777777" w:rsidR="00F97D20" w:rsidRPr="00D346E1" w:rsidRDefault="00000000">
      <w:pPr>
        <w:spacing w:after="1200"/>
        <w:jc w:val="center"/>
        <w:rPr>
          <w:color w:val="000000" w:themeColor="text1"/>
        </w:rPr>
      </w:pPr>
      <w:r w:rsidRPr="00D346E1">
        <w:rPr>
          <w:color w:val="000000" w:themeColor="text1"/>
        </w:rPr>
        <w:t>Assessment 1 — August 2026</w:t>
      </w:r>
    </w:p>
    <w:p w14:paraId="62E9602C" w14:textId="77777777" w:rsidR="00F97D20" w:rsidRDefault="00000000">
      <w:r>
        <w:br w:type="page"/>
      </w:r>
    </w:p>
    <w:p w14:paraId="2E1B508D" w14:textId="77777777" w:rsidR="00F97D20" w:rsidRPr="00D346E1" w:rsidRDefault="00000000">
      <w:pPr>
        <w:pStyle w:val="Heading1"/>
        <w:rPr>
          <w:color w:val="000000" w:themeColor="text1"/>
        </w:rPr>
      </w:pPr>
      <w:r w:rsidRPr="00D346E1">
        <w:rPr>
          <w:color w:val="000000" w:themeColor="text1"/>
        </w:rPr>
        <w:lastRenderedPageBreak/>
        <w:t>1. Introduction</w:t>
      </w:r>
    </w:p>
    <w:p w14:paraId="68EDFF85" w14:textId="77777777" w:rsidR="00F97D20" w:rsidRDefault="00000000">
      <w:pPr>
        <w:spacing w:after="160" w:line="300" w:lineRule="auto"/>
      </w:pPr>
      <w:proofErr w:type="spellStart"/>
      <w:r>
        <w:t>SteelForm</w:t>
      </w:r>
      <w:proofErr w:type="spellEnd"/>
      <w:r>
        <w:t xml:space="preserve"> Manufacturing Ltd (SFM) supplies custom-engineered components to the automotive and aerospace sectors. Its recent adoption of Internet of Things (IoT) sensors, automated machinery and a cloud-based production management system </w:t>
      </w:r>
      <w:proofErr w:type="gramStart"/>
      <w:r>
        <w:t>has</w:t>
      </w:r>
      <w:proofErr w:type="gramEnd"/>
      <w:r>
        <w:t xml:space="preserve"> improved efficiency but has also widened SFM's attack surface. Recent malware infections, phishing attempts against procurement staff and unauthorised access attempts confirm that SFM is an active target.</w:t>
      </w:r>
    </w:p>
    <w:p w14:paraId="0D708A67" w14:textId="77777777" w:rsidR="00F97D20" w:rsidRDefault="00000000">
      <w:pPr>
        <w:spacing w:after="160" w:line="300" w:lineRule="auto"/>
      </w:pPr>
      <w:r>
        <w:t>Manufacturing is now the most targeted sector for cyberattacks worldwide: ransomware incidents against manufacturers rose 56% year-on-year in 2025 to 1,466 cases, and industrial organisations overall recorded 3,300 ransomware attacks in 2025 compared with 1,693 in 2024, a trend the security vendor Dragos attributes largely to exploitation of remote-access and vendor tunnels.</w:t>
      </w:r>
    </w:p>
    <w:p w14:paraId="317A5947" w14:textId="77777777" w:rsidR="00F97D20" w:rsidRDefault="00000000">
      <w:pPr>
        <w:spacing w:after="160" w:line="300" w:lineRule="auto"/>
      </w:pPr>
      <w:r>
        <w:t>This report identifies SFM's principal internal and external threats, sets out a security policy framework aligned with ISO/IEC 27001:2022, the NIST Cybersecurity Framework (CSF) 2.0 Manufacturing Profile, ISA/IEC 62443 and UK GDPR/Data Protection Act 2018, and proposes mitigation measures, a monitoring and incident response plan, and a staff training programme. Recommendations are framed around the CIA triad — confidentiality, integrity and availability — to keep production, intellectual property and customer data protected without compromising operational continuity.</w:t>
      </w:r>
    </w:p>
    <w:p w14:paraId="3DBFB3B0" w14:textId="77777777" w:rsidR="00F97D20" w:rsidRPr="00D346E1" w:rsidRDefault="00000000">
      <w:pPr>
        <w:pStyle w:val="Heading1"/>
        <w:rPr>
          <w:color w:val="000000" w:themeColor="text1"/>
        </w:rPr>
      </w:pPr>
      <w:r w:rsidRPr="00D346E1">
        <w:rPr>
          <w:color w:val="000000" w:themeColor="text1"/>
        </w:rPr>
        <w:t>2. Identification of Threats</w:t>
      </w:r>
    </w:p>
    <w:p w14:paraId="7E5D37EE" w14:textId="77777777" w:rsidR="00F97D20" w:rsidRDefault="00000000">
      <w:pPr>
        <w:spacing w:after="160" w:line="300" w:lineRule="auto"/>
      </w:pPr>
      <w:r>
        <w:t>SFM's risk exposure spans both the IT estate (email, ERP, cloud production management) and the operational technology (OT) estate (PLCs, SCADA, IoT sensors). Threats are grouped below as external and internal.</w:t>
      </w:r>
    </w:p>
    <w:p w14:paraId="5937B339" w14:textId="77777777" w:rsidR="00F97D20" w:rsidRPr="00D346E1" w:rsidRDefault="00000000">
      <w:pPr>
        <w:pStyle w:val="Heading2"/>
        <w:rPr>
          <w:color w:val="000000" w:themeColor="text1"/>
        </w:rPr>
      </w:pPr>
      <w:r w:rsidRPr="00D346E1">
        <w:rPr>
          <w:color w:val="000000" w:themeColor="text1"/>
        </w:rPr>
        <w:t>2.1 External threats</w:t>
      </w:r>
    </w:p>
    <w:p w14:paraId="48E38505" w14:textId="77777777" w:rsidR="00F97D20" w:rsidRDefault="00000000">
      <w:pPr>
        <w:pStyle w:val="ListParagraph"/>
        <w:numPr>
          <w:ilvl w:val="0"/>
          <w:numId w:val="2"/>
        </w:numPr>
        <w:spacing w:after="100" w:line="276" w:lineRule="auto"/>
      </w:pPr>
      <w:r>
        <w:rPr>
          <w:b/>
          <w:bCs/>
        </w:rPr>
        <w:t xml:space="preserve">Ransomware and extortion: </w:t>
      </w:r>
      <w:r>
        <w:t>manufacturing absorbed the largest share of any sector's ransomware attacks in 2025, driven by legacy OT systems, complex supply chains and the rapid scaling of ransomware-as-a-service (RaaS) operations; average ransom payments for manufacturers reached around $1 million, with recovery costs adding a further $1.3 million.</w:t>
      </w:r>
    </w:p>
    <w:p w14:paraId="5B72FF8F" w14:textId="77777777" w:rsidR="00F97D20" w:rsidRDefault="00000000">
      <w:pPr>
        <w:pStyle w:val="ListParagraph"/>
        <w:numPr>
          <w:ilvl w:val="0"/>
          <w:numId w:val="2"/>
        </w:numPr>
        <w:spacing w:after="100" w:line="276" w:lineRule="auto"/>
      </w:pPr>
      <w:r>
        <w:rPr>
          <w:b/>
          <w:bCs/>
        </w:rPr>
        <w:t xml:space="preserve">Phishing and business email compromise: </w:t>
      </w:r>
      <w:r>
        <w:t>phishing overtook stolen credentials as the leading initial attack vector in IBM's 2025 breach research, averaging $4.8 million per breach; SFM has already seen phishing directed at procurement staff, a role with purchase-order and payment authority that is frequently targeted.</w:t>
      </w:r>
    </w:p>
    <w:p w14:paraId="65C2FC9F" w14:textId="77777777" w:rsidR="00F97D20" w:rsidRDefault="00000000">
      <w:pPr>
        <w:pStyle w:val="ListParagraph"/>
        <w:numPr>
          <w:ilvl w:val="0"/>
          <w:numId w:val="2"/>
        </w:numPr>
        <w:spacing w:after="100" w:line="276" w:lineRule="auto"/>
      </w:pPr>
      <w:r>
        <w:rPr>
          <w:b/>
          <w:bCs/>
        </w:rPr>
        <w:t xml:space="preserve">Supply chain and vendor compromise: </w:t>
      </w:r>
      <w:r>
        <w:t>attacks that enter through a supplier, vendor tunnel or remote-access portal took the longest to detect and contain (around 267 days) and were among the costliest breach types, a particular concern given SFM's automotive and aerospace supply relationships.</w:t>
      </w:r>
    </w:p>
    <w:p w14:paraId="04623A47" w14:textId="77777777" w:rsidR="00F97D20" w:rsidRDefault="00000000">
      <w:pPr>
        <w:pStyle w:val="ListParagraph"/>
        <w:numPr>
          <w:ilvl w:val="0"/>
          <w:numId w:val="2"/>
        </w:numPr>
        <w:spacing w:after="100" w:line="276" w:lineRule="auto"/>
      </w:pPr>
      <w:r>
        <w:rPr>
          <w:b/>
          <w:bCs/>
        </w:rPr>
        <w:t xml:space="preserve">Exploitation of unpatched vulnerabilities: </w:t>
      </w:r>
      <w:r>
        <w:t>exploited vulnerabilities became the leading technical cause of manufacturing ransomware in 2025 (32% of incidents), reflecting legacy PLCs, SCADA systems and industrial IoT devices that were not designed with modern security controls.</w:t>
      </w:r>
    </w:p>
    <w:p w14:paraId="47627974" w14:textId="77777777" w:rsidR="00F97D20" w:rsidRDefault="00000000">
      <w:pPr>
        <w:pStyle w:val="ListParagraph"/>
        <w:numPr>
          <w:ilvl w:val="0"/>
          <w:numId w:val="2"/>
        </w:numPr>
        <w:spacing w:after="100" w:line="276" w:lineRule="auto"/>
      </w:pPr>
      <w:r>
        <w:rPr>
          <w:b/>
          <w:bCs/>
        </w:rPr>
        <w:t xml:space="preserve">Industrial espionage: </w:t>
      </w:r>
      <w:r>
        <w:t>espionage-motivated breaches in manufacturing rose sharply, with roughly one in five sector breaches now espionage-related, reflecting the value of SFM's proprietary component designs to competitors and hostile state actors.</w:t>
      </w:r>
    </w:p>
    <w:p w14:paraId="27DA31CE" w14:textId="77777777" w:rsidR="00F97D20" w:rsidRPr="00D346E1" w:rsidRDefault="00000000">
      <w:pPr>
        <w:pStyle w:val="Heading2"/>
        <w:rPr>
          <w:color w:val="000000" w:themeColor="text1"/>
        </w:rPr>
      </w:pPr>
      <w:r w:rsidRPr="00D346E1">
        <w:rPr>
          <w:color w:val="000000" w:themeColor="text1"/>
        </w:rPr>
        <w:lastRenderedPageBreak/>
        <w:t>2.2 Internal threats</w:t>
      </w:r>
    </w:p>
    <w:p w14:paraId="78B57D6E" w14:textId="77777777" w:rsidR="00F97D20" w:rsidRDefault="00000000">
      <w:pPr>
        <w:pStyle w:val="ListParagraph"/>
        <w:numPr>
          <w:ilvl w:val="0"/>
          <w:numId w:val="2"/>
        </w:numPr>
        <w:spacing w:after="100" w:line="276" w:lineRule="auto"/>
      </w:pPr>
      <w:r>
        <w:rPr>
          <w:b/>
          <w:bCs/>
        </w:rPr>
        <w:t xml:space="preserve">Negligent or careless staff: </w:t>
      </w:r>
      <w:r>
        <w:t>human error and negligence remain the largest single driver of insider-related incidents across industry, from misdirected emails to weak password practices and unpatched personal devices.</w:t>
      </w:r>
    </w:p>
    <w:p w14:paraId="6599DDBE" w14:textId="77777777" w:rsidR="00F97D20" w:rsidRDefault="00000000">
      <w:pPr>
        <w:pStyle w:val="ListParagraph"/>
        <w:numPr>
          <w:ilvl w:val="0"/>
          <w:numId w:val="2"/>
        </w:numPr>
        <w:spacing w:after="100" w:line="276" w:lineRule="auto"/>
      </w:pPr>
      <w:r>
        <w:rPr>
          <w:b/>
          <w:bCs/>
        </w:rPr>
        <w:t xml:space="preserve">Malicious or coerced insiders: </w:t>
      </w:r>
      <w:r>
        <w:t>manufacturing accounts for a meaningful share of insider cases, with intellectual property (proprietary designs, customer specifications) as the primary target; threat actors have also been documented directly offering employees payment to assist ransomware intrusions.</w:t>
      </w:r>
    </w:p>
    <w:p w14:paraId="5ADCBABB" w14:textId="77777777" w:rsidR="00F97D20" w:rsidRDefault="00000000">
      <w:pPr>
        <w:pStyle w:val="ListParagraph"/>
        <w:numPr>
          <w:ilvl w:val="0"/>
          <w:numId w:val="2"/>
        </w:numPr>
        <w:spacing w:after="100" w:line="276" w:lineRule="auto"/>
      </w:pPr>
      <w:r>
        <w:rPr>
          <w:b/>
          <w:bCs/>
        </w:rPr>
        <w:t xml:space="preserve">Credential misuse and shadow IT: </w:t>
      </w:r>
      <w:r>
        <w:t>reused or stolen credentials, unsanctioned cloud tools and unauthorised remote-access software increase the chance that a single compromised account grants broad access across IT and OT systems.</w:t>
      </w:r>
    </w:p>
    <w:p w14:paraId="60F489AC" w14:textId="77777777" w:rsidR="00F97D20" w:rsidRDefault="00000000">
      <w:pPr>
        <w:pStyle w:val="ListParagraph"/>
        <w:numPr>
          <w:ilvl w:val="0"/>
          <w:numId w:val="2"/>
        </w:numPr>
        <w:spacing w:after="100" w:line="276" w:lineRule="auto"/>
      </w:pPr>
      <w:r>
        <w:rPr>
          <w:b/>
          <w:bCs/>
        </w:rPr>
        <w:t xml:space="preserve">Third-party and contractor access: </w:t>
      </w:r>
      <w:r>
        <w:t>maintenance engineers, machine vendors and logistics partners with standing access to SFM's network represent a growing insider-adjacent risk; third-party involvement in breaches doubled industry-wide between 2024 and 2025.</w:t>
      </w:r>
    </w:p>
    <w:p w14:paraId="20528159" w14:textId="77777777" w:rsidR="00F97D20" w:rsidRPr="00D346E1" w:rsidRDefault="00000000">
      <w:pPr>
        <w:pStyle w:val="Heading1"/>
        <w:rPr>
          <w:color w:val="000000" w:themeColor="text1"/>
        </w:rPr>
      </w:pPr>
      <w:r w:rsidRPr="00D346E1">
        <w:rPr>
          <w:color w:val="000000" w:themeColor="text1"/>
        </w:rPr>
        <w:t>3. Security Policies</w:t>
      </w:r>
    </w:p>
    <w:p w14:paraId="18390276" w14:textId="77777777" w:rsidR="00F97D20" w:rsidRDefault="00000000">
      <w:pPr>
        <w:spacing w:after="160" w:line="300" w:lineRule="auto"/>
      </w:pPr>
      <w:r>
        <w:t>SFM's policy framework should be built around an Information Security Management System (ISMS) aligned with ISO/IEC 27001:2022, whose 93 Annex A controls are organised into organisational, people, physical and technological themes. For the OT estate, ISA/IEC 62443 should govern the security of PLCs, SCADA and IoT devices, while the NIST CSF 2.0 Manufacturing Profile provides a risk-based roadmap spanning the Govern, Identify, Protect, Detect, Respond and Recover functions. As a processor of customer and employee personal data, SFM must also comply with UK GDPR and the Data Protection Act 2018, including the 72-hour breach notification requirement to the Information Commissioner's Office (ICO).</w:t>
      </w:r>
    </w:p>
    <w:p w14:paraId="5E201526" w14:textId="77777777" w:rsidR="00F97D20" w:rsidRDefault="00000000">
      <w:pPr>
        <w:spacing w:after="160" w:line="300" w:lineRule="auto"/>
      </w:pPr>
      <w:r>
        <w:t>The following policies are proposed:</w:t>
      </w:r>
    </w:p>
    <w:p w14:paraId="0FD83A0F" w14:textId="77777777" w:rsidR="00F97D20" w:rsidRDefault="00000000">
      <w:pPr>
        <w:pStyle w:val="ListParagraph"/>
        <w:numPr>
          <w:ilvl w:val="0"/>
          <w:numId w:val="2"/>
        </w:numPr>
        <w:spacing w:after="100" w:line="276" w:lineRule="auto"/>
      </w:pPr>
      <w:r>
        <w:rPr>
          <w:b/>
          <w:bCs/>
        </w:rPr>
        <w:t xml:space="preserve">Information Security Policy (top-level): </w:t>
      </w:r>
      <w:r>
        <w:t>sets management commitment, scope (IT and OT), roles (Board, IT Security Manager, Data Protection Officer) and references to ISO 27001, NIST CSF and IEC 62443, reviewed annually.</w:t>
      </w:r>
    </w:p>
    <w:p w14:paraId="75381076" w14:textId="77777777" w:rsidR="00F97D20" w:rsidRDefault="00000000">
      <w:pPr>
        <w:pStyle w:val="ListParagraph"/>
        <w:numPr>
          <w:ilvl w:val="0"/>
          <w:numId w:val="2"/>
        </w:numPr>
        <w:spacing w:after="100" w:line="276" w:lineRule="auto"/>
      </w:pPr>
      <w:r>
        <w:rPr>
          <w:b/>
          <w:bCs/>
        </w:rPr>
        <w:t xml:space="preserve">Access Control Policy: </w:t>
      </w:r>
      <w:r>
        <w:t>role-based access on the principle of least privilege, mandatory multi-factor authentication (MFA) for all remote, cloud and privileged accounts, and quarterly access reviews, particularly for procurement and finance roles.</w:t>
      </w:r>
    </w:p>
    <w:p w14:paraId="02DC75DB" w14:textId="77777777" w:rsidR="00F97D20" w:rsidRDefault="00000000">
      <w:pPr>
        <w:pStyle w:val="ListParagraph"/>
        <w:numPr>
          <w:ilvl w:val="0"/>
          <w:numId w:val="2"/>
        </w:numPr>
        <w:spacing w:after="100" w:line="276" w:lineRule="auto"/>
      </w:pPr>
      <w:r>
        <w:rPr>
          <w:b/>
          <w:bCs/>
        </w:rPr>
        <w:t xml:space="preserve">Network Segmentation Policy: </w:t>
      </w:r>
      <w:r>
        <w:t>mandates separation of corporate IT from the OT/production network through an industrial DMZ and unidirectional gateways, consistent with IEC 62443 zone-and-conduit design (see Figure 1).</w:t>
      </w:r>
    </w:p>
    <w:p w14:paraId="5EA2171E" w14:textId="77777777" w:rsidR="00F97D20" w:rsidRDefault="00000000">
      <w:pPr>
        <w:pStyle w:val="ListParagraph"/>
        <w:numPr>
          <w:ilvl w:val="0"/>
          <w:numId w:val="2"/>
        </w:numPr>
        <w:spacing w:after="100" w:line="276" w:lineRule="auto"/>
      </w:pPr>
      <w:r>
        <w:rPr>
          <w:b/>
          <w:bCs/>
        </w:rPr>
        <w:t xml:space="preserve">Acceptable Use and BYOD Policy: </w:t>
      </w:r>
      <w:r>
        <w:t>defines permitted use of SFM systems and personal devices, prohibits unsanctioned cloud storage and remote-access tools, and sets rules for removable media on OT equipment.</w:t>
      </w:r>
    </w:p>
    <w:p w14:paraId="0B5DBB76" w14:textId="77777777" w:rsidR="00F97D20" w:rsidRDefault="00000000">
      <w:pPr>
        <w:pStyle w:val="ListParagraph"/>
        <w:numPr>
          <w:ilvl w:val="0"/>
          <w:numId w:val="2"/>
        </w:numPr>
        <w:spacing w:after="100" w:line="276" w:lineRule="auto"/>
      </w:pPr>
      <w:r>
        <w:rPr>
          <w:b/>
          <w:bCs/>
        </w:rPr>
        <w:t xml:space="preserve">Third-Party and Supply Chain Risk Policy: </w:t>
      </w:r>
      <w:r>
        <w:t>requires security due diligence, contractual security clauses and time-limited, monitored access for vendors, contractors and machine-tool suppliers.</w:t>
      </w:r>
    </w:p>
    <w:p w14:paraId="25ED5504" w14:textId="77777777" w:rsidR="00F97D20" w:rsidRDefault="00000000">
      <w:pPr>
        <w:pStyle w:val="ListParagraph"/>
        <w:numPr>
          <w:ilvl w:val="0"/>
          <w:numId w:val="2"/>
        </w:numPr>
        <w:spacing w:after="100" w:line="276" w:lineRule="auto"/>
      </w:pPr>
      <w:r>
        <w:rPr>
          <w:b/>
          <w:bCs/>
        </w:rPr>
        <w:t xml:space="preserve">Data Classification and Retention Policy: </w:t>
      </w:r>
      <w:r>
        <w:t>classifies data (public, internal, confidential, restricted) covering component designs, customer specifications and personal data, with retention and secure-deletion rules aligned to UK GDPR.</w:t>
      </w:r>
    </w:p>
    <w:p w14:paraId="1CE3484E" w14:textId="77777777" w:rsidR="00F97D20" w:rsidRDefault="00000000">
      <w:pPr>
        <w:pStyle w:val="ListParagraph"/>
        <w:numPr>
          <w:ilvl w:val="0"/>
          <w:numId w:val="2"/>
        </w:numPr>
        <w:spacing w:after="100" w:line="276" w:lineRule="auto"/>
      </w:pPr>
      <w:r>
        <w:rPr>
          <w:b/>
          <w:bCs/>
        </w:rPr>
        <w:lastRenderedPageBreak/>
        <w:t xml:space="preserve">Patch and Vulnerability Management Policy: </w:t>
      </w:r>
      <w:r>
        <w:t>risk-based patching timelines for IT and, separately, a change-controlled patching window for OT equipment where downtime must be scheduled around production.</w:t>
      </w:r>
    </w:p>
    <w:p w14:paraId="5659A79C" w14:textId="77777777" w:rsidR="00F97D20" w:rsidRDefault="00000000">
      <w:pPr>
        <w:pStyle w:val="ListParagraph"/>
        <w:numPr>
          <w:ilvl w:val="0"/>
          <w:numId w:val="2"/>
        </w:numPr>
        <w:spacing w:after="100" w:line="276" w:lineRule="auto"/>
      </w:pPr>
      <w:r>
        <w:rPr>
          <w:b/>
          <w:bCs/>
        </w:rPr>
        <w:t xml:space="preserve">Incident Response and Business Continuity Policy: </w:t>
      </w:r>
      <w:r>
        <w:t>defines the escalation path, roles of the Incident Response Team and statutory notification duties (see Section 4).</w:t>
      </w:r>
    </w:p>
    <w:p w14:paraId="487FEC41" w14:textId="77777777" w:rsidR="00F97D20" w:rsidRDefault="00000000">
      <w:pPr>
        <w:pStyle w:val="ListParagraph"/>
        <w:numPr>
          <w:ilvl w:val="0"/>
          <w:numId w:val="2"/>
        </w:numPr>
        <w:spacing w:after="100" w:line="276" w:lineRule="auto"/>
      </w:pPr>
      <w:r>
        <w:rPr>
          <w:b/>
          <w:bCs/>
        </w:rPr>
        <w:t xml:space="preserve">Cloud and Email Security Policy: </w:t>
      </w:r>
      <w:r>
        <w:t>governs configuration of the cloud production management system and email/web gateway, including DMARC/DKIM/SPF, attachment sandboxing and data-loss-prevention rules.</w:t>
      </w:r>
    </w:p>
    <w:p w14:paraId="6E97589F" w14:textId="77777777" w:rsidR="00F97D20" w:rsidRPr="00D346E1" w:rsidRDefault="00000000">
      <w:pPr>
        <w:pStyle w:val="Heading1"/>
        <w:rPr>
          <w:color w:val="000000" w:themeColor="text1"/>
        </w:rPr>
      </w:pPr>
      <w:r w:rsidRPr="00D346E1">
        <w:rPr>
          <w:color w:val="000000" w:themeColor="text1"/>
        </w:rPr>
        <w:t>4. Mitigation Measures</w:t>
      </w:r>
    </w:p>
    <w:p w14:paraId="3F2FB1E4" w14:textId="77777777" w:rsidR="00F97D20" w:rsidRDefault="00000000">
      <w:pPr>
        <w:spacing w:after="160" w:line="300" w:lineRule="auto"/>
      </w:pPr>
      <w:r>
        <w:t>Mitigation measures are mapped to the threats identified in Section 2 and implemented through the defence-in-depth architecture shown in Figure 1, which separates the internet-facing perimeter, corporate IT, an industrial DMZ and the OT/production network.</w:t>
      </w:r>
    </w:p>
    <w:p w14:paraId="23C8417C" w14:textId="77777777" w:rsidR="00F97D20" w:rsidRDefault="00000000">
      <w:pPr>
        <w:pStyle w:val="ListParagraph"/>
        <w:numPr>
          <w:ilvl w:val="0"/>
          <w:numId w:val="2"/>
        </w:numPr>
        <w:spacing w:after="100" w:line="276" w:lineRule="auto"/>
      </w:pPr>
      <w:r>
        <w:rPr>
          <w:b/>
          <w:bCs/>
        </w:rPr>
        <w:t xml:space="preserve">Ransomware and exploited vulnerabilities: </w:t>
      </w:r>
      <w:r>
        <w:t>enforce a risk-based vulnerability and patch management programme, maintain offline/immutable backups tested through regular restoration drills, and deploy endpoint detection and response (EDR) on IT endpoints and passive network monitoring on OT assets that cannot run agents.</w:t>
      </w:r>
    </w:p>
    <w:p w14:paraId="5484FABA" w14:textId="77777777" w:rsidR="00F97D20" w:rsidRDefault="00000000">
      <w:pPr>
        <w:pStyle w:val="ListParagraph"/>
        <w:numPr>
          <w:ilvl w:val="0"/>
          <w:numId w:val="2"/>
        </w:numPr>
        <w:spacing w:after="100" w:line="276" w:lineRule="auto"/>
      </w:pPr>
      <w:r>
        <w:rPr>
          <w:b/>
          <w:bCs/>
        </w:rPr>
        <w:t xml:space="preserve">Phishing and business email compromise: </w:t>
      </w:r>
      <w:r>
        <w:t>deploy an email security gateway with attachment sandboxing and DMARC enforcement, require MFA for all procurement and finance accounts, and introduce a dual-approval control for changes to supplier bank details.</w:t>
      </w:r>
    </w:p>
    <w:p w14:paraId="0C9392C1" w14:textId="77777777" w:rsidR="00F97D20" w:rsidRDefault="00000000">
      <w:pPr>
        <w:pStyle w:val="ListParagraph"/>
        <w:numPr>
          <w:ilvl w:val="0"/>
          <w:numId w:val="2"/>
        </w:numPr>
        <w:spacing w:after="100" w:line="276" w:lineRule="auto"/>
      </w:pPr>
      <w:r>
        <w:rPr>
          <w:b/>
          <w:bCs/>
        </w:rPr>
        <w:t xml:space="preserve">Supply chain and vendor access: </w:t>
      </w:r>
      <w:r>
        <w:t>replace standing VPN access for vendors with just-in-time, logged and time-limited jump-server access; require security assurance (e.g. Cyber Essentials Plus or equivalent) from critical suppliers as a contract condition.</w:t>
      </w:r>
    </w:p>
    <w:p w14:paraId="1471C025" w14:textId="77777777" w:rsidR="00F97D20" w:rsidRDefault="00000000">
      <w:pPr>
        <w:pStyle w:val="ListParagraph"/>
        <w:numPr>
          <w:ilvl w:val="0"/>
          <w:numId w:val="2"/>
        </w:numPr>
        <w:spacing w:after="100" w:line="276" w:lineRule="auto"/>
      </w:pPr>
      <w:r>
        <w:rPr>
          <w:b/>
          <w:bCs/>
        </w:rPr>
        <w:t xml:space="preserve">Network intrusion and OT compromise: </w:t>
      </w:r>
      <w:r>
        <w:t>implement the segmentation architecture in Figure 1, using an industrial DMZ, data diodes and a dedicated segmentation firewall between IT and OT, in line with ISA/IEC 62443 zone-and-conduit principles.</w:t>
      </w:r>
    </w:p>
    <w:p w14:paraId="6AE51099" w14:textId="77777777" w:rsidR="00F97D20" w:rsidRDefault="00000000">
      <w:pPr>
        <w:pStyle w:val="ListParagraph"/>
        <w:numPr>
          <w:ilvl w:val="0"/>
          <w:numId w:val="2"/>
        </w:numPr>
        <w:spacing w:after="100" w:line="276" w:lineRule="auto"/>
      </w:pPr>
      <w:r>
        <w:rPr>
          <w:b/>
          <w:bCs/>
        </w:rPr>
        <w:t xml:space="preserve">Insider threats and credential misuse: </w:t>
      </w:r>
      <w:r>
        <w:t>apply least-privilege role-based access control, disable unused accounts promptly on staff exit, and deploy user and entity behaviour analytics (UEBA) to flag anomalous data transfers, particularly of design files.</w:t>
      </w:r>
    </w:p>
    <w:p w14:paraId="70BAB085" w14:textId="77777777" w:rsidR="00F97D20" w:rsidRDefault="00000000">
      <w:pPr>
        <w:pStyle w:val="ListParagraph"/>
        <w:numPr>
          <w:ilvl w:val="0"/>
          <w:numId w:val="2"/>
        </w:numPr>
        <w:spacing w:after="100" w:line="276" w:lineRule="auto"/>
      </w:pPr>
      <w:r>
        <w:rPr>
          <w:b/>
          <w:bCs/>
        </w:rPr>
        <w:t xml:space="preserve">Data protection and industrial espionage: </w:t>
      </w:r>
      <w:r>
        <w:t>apply data classification labelling and data-loss-prevention (DLP) tooling to restricted design and customer data, encrypt data at rest and in transit, and restrict bulk export of CAD/engineering files to authorised workstations only.</w:t>
      </w:r>
    </w:p>
    <w:p w14:paraId="4512D0BB" w14:textId="77777777" w:rsidR="00F97D20" w:rsidRPr="00D346E1" w:rsidRDefault="00000000">
      <w:pPr>
        <w:pStyle w:val="Heading1"/>
        <w:rPr>
          <w:color w:val="000000" w:themeColor="text1"/>
        </w:rPr>
      </w:pPr>
      <w:r w:rsidRPr="00D346E1">
        <w:rPr>
          <w:color w:val="000000" w:themeColor="text1"/>
        </w:rPr>
        <w:t>5. Monitoring and Incident Response</w:t>
      </w:r>
    </w:p>
    <w:p w14:paraId="7DDE7DDB" w14:textId="77777777" w:rsidR="00F97D20" w:rsidRDefault="00000000">
      <w:pPr>
        <w:spacing w:after="160" w:line="300" w:lineRule="auto"/>
      </w:pPr>
      <w:r>
        <w:t>Continuous monitoring underpins every other control. A Security Operations Centre (SOC) function — in-house or outsourced as a Managed Detection and Response service appropriate to SFM's size — should aggregate logs from firewalls, endpoints, cloud services and, where feasible, OT network sensors into a Security Information and Event Management (SIEM) platform, with 24/7 alerting and current threat-intelligence feeds. Figure 1 shows how this monitoring layer sits beneath and across every network zone; Figure 2 shows how an alert then moves through the response process.</w:t>
      </w:r>
    </w:p>
    <w:p w14:paraId="5B8F3849" w14:textId="77777777" w:rsidR="00F97D20" w:rsidRDefault="00000000">
      <w:pPr>
        <w:spacing w:before="160"/>
        <w:jc w:val="center"/>
      </w:pPr>
      <w:r>
        <w:rPr>
          <w:noProof/>
        </w:rPr>
        <w:lastRenderedPageBreak/>
        <w:drawing>
          <wp:inline distT="0" distB="0" distL="0" distR="0" wp14:anchorId="563664C2" wp14:editId="7FC44BB3">
            <wp:extent cx="5334000" cy="2990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7"/>
                    <a:srcRect/>
                    <a:stretch>
                      <a:fillRect/>
                    </a:stretch>
                  </pic:blipFill>
                  <pic:spPr bwMode="auto">
                    <a:xfrm>
                      <a:off x="0" y="0"/>
                      <a:ext cx="5334000" cy="2990850"/>
                    </a:xfrm>
                    <a:prstGeom prst="rect">
                      <a:avLst/>
                    </a:prstGeom>
                  </pic:spPr>
                </pic:pic>
              </a:graphicData>
            </a:graphic>
          </wp:inline>
        </w:drawing>
      </w:r>
    </w:p>
    <w:p w14:paraId="206F40EE" w14:textId="77777777" w:rsidR="00F97D20" w:rsidRDefault="00000000">
      <w:pPr>
        <w:spacing w:before="80" w:after="320"/>
        <w:jc w:val="center"/>
      </w:pPr>
      <w:r>
        <w:rPr>
          <w:i/>
          <w:iCs/>
          <w:color w:val="595959"/>
          <w:sz w:val="19"/>
          <w:szCs w:val="19"/>
        </w:rPr>
        <w:t>Figure 1. SFM network segmentation and defence-in-depth model, separating corporate IT from the OT/production network via an industrial DMZ and segmentation firewall, with continuous SOC/SIEM monitoring across all zones.</w:t>
      </w:r>
    </w:p>
    <w:p w14:paraId="671AC054" w14:textId="77777777" w:rsidR="00F97D20" w:rsidRDefault="00000000">
      <w:pPr>
        <w:spacing w:after="160" w:line="300" w:lineRule="auto"/>
      </w:pPr>
      <w:r>
        <w:t>When monitoring tools or staff raise an alert, SFM should follow a documented six-stage response workflow, shown in Figure 2: detect, triage and classify severity, contain, eradicate, recover, and conduct a post-incident review. Low- and medium-severity events are logged and assigned to an analyst; high- and critical-severity events (for example, confirmed ransomware execution or unauthorised OT access) trigger immediate activation of a cross-functional Incident Response Team drawn from IT, operations and senior management. Where a breach involves personal data, the Data Protection Officer must assess and, if required, notify the ICO within 72 hours under UK GDPR, alongside informing the Board, insurers and affected customers as appropriate.</w:t>
      </w:r>
    </w:p>
    <w:p w14:paraId="08513681" w14:textId="77777777" w:rsidR="00F97D20" w:rsidRDefault="00000000">
      <w:pPr>
        <w:spacing w:before="160"/>
        <w:jc w:val="center"/>
      </w:pPr>
      <w:r>
        <w:rPr>
          <w:noProof/>
        </w:rPr>
        <w:lastRenderedPageBreak/>
        <w:drawing>
          <wp:inline distT="0" distB="0" distL="0" distR="0" wp14:anchorId="28992171" wp14:editId="15A4B901">
            <wp:extent cx="5334000" cy="4171950"/>
            <wp:effectExtent l="0" t="0" r="0" b="0"/>
            <wp:docPr id="2121717388" name="Picture 21217173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334000" cy="4171950"/>
                    </a:xfrm>
                    <a:prstGeom prst="rect">
                      <a:avLst/>
                    </a:prstGeom>
                  </pic:spPr>
                </pic:pic>
              </a:graphicData>
            </a:graphic>
          </wp:inline>
        </w:drawing>
      </w:r>
    </w:p>
    <w:p w14:paraId="2EA49A21" w14:textId="77777777" w:rsidR="00F97D20" w:rsidRDefault="00000000">
      <w:pPr>
        <w:spacing w:before="80" w:after="320"/>
        <w:jc w:val="center"/>
      </w:pPr>
      <w:r>
        <w:rPr>
          <w:i/>
          <w:iCs/>
          <w:color w:val="595959"/>
          <w:sz w:val="19"/>
          <w:szCs w:val="19"/>
        </w:rPr>
        <w:t>Figure 2. SFM security incident monitoring and response workflow, from detection through containment and recovery to post-incident review and, where applicable, statutory notification.</w:t>
      </w:r>
    </w:p>
    <w:p w14:paraId="7BB99E5B" w14:textId="77777777" w:rsidR="00F97D20" w:rsidRDefault="00000000">
      <w:pPr>
        <w:spacing w:after="160" w:line="300" w:lineRule="auto"/>
      </w:pPr>
      <w:r>
        <w:t xml:space="preserve">The post-incident review closes the loop by feeding lessons learned back into detection rules, the risk </w:t>
      </w:r>
      <w:proofErr w:type="gramStart"/>
      <w:r>
        <w:t>register</w:t>
      </w:r>
      <w:proofErr w:type="gramEnd"/>
      <w:r>
        <w:t xml:space="preserve"> and this policy </w:t>
      </w:r>
      <w:proofErr w:type="gramStart"/>
      <w:r>
        <w:t>document, and</w:t>
      </w:r>
      <w:proofErr w:type="gramEnd"/>
      <w:r>
        <w:t xml:space="preserve"> should be documented for evidence of continual improvement under ISO 27001 Clause 10.</w:t>
      </w:r>
    </w:p>
    <w:p w14:paraId="1AFCF602" w14:textId="77777777" w:rsidR="00F97D20" w:rsidRPr="00D346E1" w:rsidRDefault="00000000">
      <w:pPr>
        <w:pStyle w:val="Heading1"/>
        <w:rPr>
          <w:color w:val="000000" w:themeColor="text1"/>
        </w:rPr>
      </w:pPr>
      <w:r w:rsidRPr="00D346E1">
        <w:rPr>
          <w:color w:val="000000" w:themeColor="text1"/>
        </w:rPr>
        <w:t>6. Training and Awareness</w:t>
      </w:r>
    </w:p>
    <w:p w14:paraId="75766265" w14:textId="77777777" w:rsidR="00F97D20" w:rsidRDefault="00000000">
      <w:pPr>
        <w:spacing w:after="160" w:line="300" w:lineRule="auto"/>
      </w:pPr>
      <w:r>
        <w:t>Since the human element remains a primary route into organisations — and SFM has already experienced phishing aimed at procurement — a structured, role-based awareness programme is essential to embedding the policies above in day-to-day behaviour.</w:t>
      </w:r>
    </w:p>
    <w:p w14:paraId="59A9BB52" w14:textId="77777777" w:rsidR="00F97D20" w:rsidRDefault="00000000">
      <w:pPr>
        <w:pStyle w:val="ListParagraph"/>
        <w:numPr>
          <w:ilvl w:val="0"/>
          <w:numId w:val="2"/>
        </w:numPr>
        <w:spacing w:after="100" w:line="276" w:lineRule="auto"/>
      </w:pPr>
      <w:r>
        <w:rPr>
          <w:b/>
          <w:bCs/>
        </w:rPr>
        <w:t xml:space="preserve">Induction training: </w:t>
      </w:r>
      <w:r>
        <w:t>all new starters, including agency and contract staff, complete mandatory security induction covering acceptable use, password/MFA hygiene, data classification and how to report a suspected incident, before systems access is granted.</w:t>
      </w:r>
    </w:p>
    <w:p w14:paraId="5F8411BA" w14:textId="77777777" w:rsidR="00F97D20" w:rsidRDefault="00000000">
      <w:pPr>
        <w:pStyle w:val="ListParagraph"/>
        <w:numPr>
          <w:ilvl w:val="0"/>
          <w:numId w:val="2"/>
        </w:numPr>
        <w:spacing w:after="100" w:line="276" w:lineRule="auto"/>
      </w:pPr>
      <w:r>
        <w:rPr>
          <w:b/>
          <w:bCs/>
        </w:rPr>
        <w:t xml:space="preserve">Annual refresher training: </w:t>
      </w:r>
      <w:r>
        <w:t>all staff complete short, scenario-based e-learning annually covering current threats (ransomware, deepfake/AI-enhanced phishing, USB-borne malware on the shop floor), with completion tracked and reported to the Board.</w:t>
      </w:r>
    </w:p>
    <w:p w14:paraId="68A8FDB6" w14:textId="77777777" w:rsidR="00F97D20" w:rsidRDefault="00000000">
      <w:pPr>
        <w:pStyle w:val="ListParagraph"/>
        <w:numPr>
          <w:ilvl w:val="0"/>
          <w:numId w:val="2"/>
        </w:numPr>
        <w:spacing w:after="100" w:line="276" w:lineRule="auto"/>
      </w:pPr>
      <w:r>
        <w:rPr>
          <w:b/>
          <w:bCs/>
        </w:rPr>
        <w:t xml:space="preserve">Role-based deep dives: </w:t>
      </w:r>
      <w:r>
        <w:t>procurement and finance staff receive additional training on invoice fraud and business email compromise; production and maintenance engineers receive OT-specific awareness on safe use of removable media and vendor laptops around PLCs and SCADA systems; IT staff receive technical training aligned to ISO 27001 and IEC 62443 responsibilities.</w:t>
      </w:r>
    </w:p>
    <w:p w14:paraId="361A1399" w14:textId="77777777" w:rsidR="00F97D20" w:rsidRDefault="00000000">
      <w:pPr>
        <w:pStyle w:val="ListParagraph"/>
        <w:numPr>
          <w:ilvl w:val="0"/>
          <w:numId w:val="2"/>
        </w:numPr>
        <w:spacing w:after="100" w:line="276" w:lineRule="auto"/>
      </w:pPr>
      <w:r>
        <w:rPr>
          <w:b/>
          <w:bCs/>
        </w:rPr>
        <w:lastRenderedPageBreak/>
        <w:t xml:space="preserve">Simulated phishing exercises: </w:t>
      </w:r>
      <w:r>
        <w:t>quarterly, unannounced phishing simulations with immediate, supportive feedback for staff who click, building a measurable click-rate trend rather than a one-off test.</w:t>
      </w:r>
    </w:p>
    <w:p w14:paraId="216E9E50" w14:textId="77777777" w:rsidR="00F97D20" w:rsidRDefault="00000000">
      <w:pPr>
        <w:pStyle w:val="ListParagraph"/>
        <w:numPr>
          <w:ilvl w:val="0"/>
          <w:numId w:val="2"/>
        </w:numPr>
        <w:spacing w:after="100" w:line="276" w:lineRule="auto"/>
      </w:pPr>
      <w:r>
        <w:rPr>
          <w:b/>
          <w:bCs/>
        </w:rPr>
        <w:t xml:space="preserve">Executive and Board briefings: </w:t>
      </w:r>
      <w:r>
        <w:t>a concise, non-technical annual briefing for the Board and senior management on the threat landscape, incident metrics and residual risk, supporting informed governance decisions.</w:t>
      </w:r>
    </w:p>
    <w:p w14:paraId="2BBC32B6" w14:textId="77777777" w:rsidR="00F97D20" w:rsidRDefault="00000000">
      <w:pPr>
        <w:pStyle w:val="ListParagraph"/>
        <w:numPr>
          <w:ilvl w:val="0"/>
          <w:numId w:val="2"/>
        </w:numPr>
        <w:spacing w:after="100" w:line="276" w:lineRule="auto"/>
      </w:pPr>
      <w:r>
        <w:rPr>
          <w:b/>
          <w:bCs/>
        </w:rPr>
        <w:t xml:space="preserve">Culture and reporting: </w:t>
      </w:r>
      <w:r>
        <w:t>a clearly publicised, blame-light reporting channel encourages staff to report suspicious emails or mistakes promptly rather than concealing them, reducing the average time to detect and contain incidents.</w:t>
      </w:r>
    </w:p>
    <w:p w14:paraId="6DF24D2D" w14:textId="77777777" w:rsidR="00F97D20" w:rsidRDefault="00000000">
      <w:pPr>
        <w:spacing w:after="160" w:line="300" w:lineRule="auto"/>
      </w:pPr>
      <w:r>
        <w:t>Programme effectiveness should be measured through phishing simulation click/report rates, training completion rates, and time-to-report for genuine incidents, with results reviewed at least annually alongside the wider ISMS management review.</w:t>
      </w:r>
    </w:p>
    <w:p w14:paraId="0387A81E" w14:textId="77777777" w:rsidR="00F97D20" w:rsidRPr="001E076E" w:rsidRDefault="00000000">
      <w:pPr>
        <w:pStyle w:val="Heading1"/>
        <w:rPr>
          <w:color w:val="000000" w:themeColor="text1"/>
        </w:rPr>
      </w:pPr>
      <w:r w:rsidRPr="001E076E">
        <w:rPr>
          <w:color w:val="000000" w:themeColor="text1"/>
        </w:rPr>
        <w:t>7. Conclusion</w:t>
      </w:r>
    </w:p>
    <w:p w14:paraId="0649489D" w14:textId="77777777" w:rsidR="00F97D20" w:rsidRDefault="00000000">
      <w:pPr>
        <w:spacing w:after="160" w:line="300" w:lineRule="auto"/>
      </w:pPr>
      <w:r>
        <w:t>SFM's adoption of smart manufacturing technology has brought clear operational benefits alongside a materially larger attack surface, reflected in the malware, phishing and unauthorised-access incidents it has already experienced. The measures set out in this report — a policy framework aligned with ISO 27001, NIST CSF 2.0 and IEC 62443; IT/OT network segmentation; targeted technical mitigations; a documented monitoring and incident response workflow; and a role-based training programme — together address the internal and external threats identified in Section 2. Implemented and reviewed as an ongoing management system rather than a one-off project, this approach will materially reduce SFM's exposure to ransomware, espionage and data breach while supporting the availability of production that the business depends on.</w:t>
      </w:r>
    </w:p>
    <w:p w14:paraId="44736DFA" w14:textId="77777777" w:rsidR="00F97D20" w:rsidRPr="001E076E" w:rsidRDefault="00000000">
      <w:pPr>
        <w:pStyle w:val="Heading1"/>
        <w:rPr>
          <w:color w:val="000000" w:themeColor="text1"/>
        </w:rPr>
      </w:pPr>
      <w:r w:rsidRPr="001E076E">
        <w:rPr>
          <w:color w:val="000000" w:themeColor="text1"/>
        </w:rPr>
        <w:t>References</w:t>
      </w:r>
    </w:p>
    <w:p w14:paraId="1B4ED97A" w14:textId="77777777" w:rsidR="00F97D20" w:rsidRDefault="00000000">
      <w:pPr>
        <w:spacing w:after="160" w:line="300" w:lineRule="auto"/>
      </w:pPr>
      <w:r>
        <w:t>Abnormal AI (2025) IBM Data Breach Report 2025: The Soaring Cost of Email Attacks. Available at: https://abnormal.ai/blog/ibm-cost-of-a-data-breach-2025</w:t>
      </w:r>
    </w:p>
    <w:p w14:paraId="3AF9E600" w14:textId="77777777" w:rsidR="00F97D20" w:rsidRDefault="00000000">
      <w:pPr>
        <w:spacing w:after="160" w:line="300" w:lineRule="auto"/>
      </w:pPr>
      <w:proofErr w:type="spellStart"/>
      <w:r>
        <w:t>BrightDefense</w:t>
      </w:r>
      <w:proofErr w:type="spellEnd"/>
      <w:r>
        <w:t xml:space="preserve"> (2026) 46 Insider Threat Statistics You Must Know in 2026. Available at: https://www.brightdefense.com/resources/insider-threat-statistics/</w:t>
      </w:r>
    </w:p>
    <w:p w14:paraId="1FF96F2F" w14:textId="77777777" w:rsidR="00F97D20" w:rsidRDefault="00000000">
      <w:pPr>
        <w:spacing w:after="160" w:line="300" w:lineRule="auto"/>
      </w:pPr>
      <w:proofErr w:type="spellStart"/>
      <w:r>
        <w:t>DataFence</w:t>
      </w:r>
      <w:proofErr w:type="spellEnd"/>
      <w:r>
        <w:t xml:space="preserve"> (2025) Cost of a Data Breach 2025: IBM Report Analysis. Available at: https://www.datafence.ai/data-breach-report-2025</w:t>
      </w:r>
    </w:p>
    <w:p w14:paraId="3F2B281B" w14:textId="77777777" w:rsidR="00F97D20" w:rsidRDefault="00000000">
      <w:pPr>
        <w:spacing w:after="160" w:line="300" w:lineRule="auto"/>
      </w:pPr>
      <w:r>
        <w:t>Dragos (2025) Dragos Industrial Ransomware Analysis: Q2 2025. Available at: https://www.dragos.com/blog/dragos-industrial-ransomware-analysis-q2-2025</w:t>
      </w:r>
    </w:p>
    <w:p w14:paraId="75AE58F7" w14:textId="77777777" w:rsidR="00F97D20" w:rsidRDefault="00000000">
      <w:pPr>
        <w:spacing w:after="160" w:line="300" w:lineRule="auto"/>
      </w:pPr>
      <w:r>
        <w:t>Fortinet (n.d.) IEC 62443 Standard: Enhancing Cybersecurity for Industrial Automation and Control Systems. Available at: https://www.fortinet.com/resources/cyberglossary/iec-62443</w:t>
      </w:r>
    </w:p>
    <w:p w14:paraId="3C97EEAC" w14:textId="77777777" w:rsidR="00F97D20" w:rsidRDefault="00000000">
      <w:pPr>
        <w:spacing w:after="160" w:line="300" w:lineRule="auto"/>
      </w:pPr>
      <w:r>
        <w:t>Industrial Cyber (2026) Manufacturing absorbs 56% ransomware surge of global attacks in 2025. Available at: https://industrialcyber.co/manufacturing/manufacturing-absorbs-56-ransomware-surge-of-global-attacks-in-2025-as-raas-legacy-ot-supply-chains-fuel-spike/</w:t>
      </w:r>
    </w:p>
    <w:p w14:paraId="2BAC088A" w14:textId="77777777" w:rsidR="00F97D20" w:rsidRDefault="00000000">
      <w:pPr>
        <w:spacing w:after="160" w:line="300" w:lineRule="auto"/>
      </w:pPr>
      <w:r>
        <w:lastRenderedPageBreak/>
        <w:t>Industrial Cyber (2026) Ransomware surge in 2025 exposes mounting OT risk. Available at: https://industrialcyber.co/ransomware/ransomware-surge-in-2025-exposes-mounting-ot-risk-as-industrial-impacts-outpace-it-narratives/</w:t>
      </w:r>
    </w:p>
    <w:p w14:paraId="01D057A0" w14:textId="77777777" w:rsidR="00F97D20" w:rsidRDefault="00000000">
      <w:pPr>
        <w:spacing w:after="160" w:line="300" w:lineRule="auto"/>
      </w:pPr>
      <w:proofErr w:type="spellStart"/>
      <w:r>
        <w:t>Infosecurity</w:t>
      </w:r>
      <w:proofErr w:type="spellEnd"/>
      <w:r>
        <w:t xml:space="preserve"> Magazine (2026) Significant Rise in Ransomware Attacks Targeting Industrial Operations. Available at: https://www.infosecurity-magazine.com/news/rise-in-ransomware-targeting/</w:t>
      </w:r>
    </w:p>
    <w:p w14:paraId="30BE3F29" w14:textId="77777777" w:rsidR="00F97D20" w:rsidRDefault="00000000">
      <w:pPr>
        <w:spacing w:after="160" w:line="300" w:lineRule="auto"/>
      </w:pPr>
      <w:r>
        <w:t>ISA (n.d.) ISA/IEC 62443 Series of Standards. Available at: https://www.isa.org/standards-and-publications/isa-standards/isa-iec-62443-series-of-standards</w:t>
      </w:r>
    </w:p>
    <w:p w14:paraId="0D89DDEB" w14:textId="77777777" w:rsidR="00F97D20" w:rsidRDefault="00000000">
      <w:pPr>
        <w:spacing w:after="160" w:line="300" w:lineRule="auto"/>
      </w:pPr>
      <w:r>
        <w:t>ISO (2022) ISO/IEC 27001:2022 — Information security management systems. Available at: https://www.iso.org/standard/27001</w:t>
      </w:r>
    </w:p>
    <w:p w14:paraId="7D133890" w14:textId="77777777" w:rsidR="00F97D20" w:rsidRDefault="00000000">
      <w:pPr>
        <w:spacing w:after="160" w:line="300" w:lineRule="auto"/>
      </w:pPr>
      <w:proofErr w:type="spellStart"/>
      <w:r>
        <w:t>Kiteworks</w:t>
      </w:r>
      <w:proofErr w:type="spellEnd"/>
      <w:r>
        <w:t xml:space="preserve"> (2025) Ransomware in Manufacturing 2025: Data Security and Compliance Crisis. Available at: https://www.kiteworks.com/cybersecurity-risk-management/ransomware-manufacturing-data-security-compliance-2025/</w:t>
      </w:r>
    </w:p>
    <w:p w14:paraId="656DF55B" w14:textId="77777777" w:rsidR="00F97D20" w:rsidRDefault="00000000">
      <w:pPr>
        <w:spacing w:after="160" w:line="300" w:lineRule="auto"/>
      </w:pPr>
      <w:r>
        <w:t>NIST (2025) Cybersecurity Framework 2.0 Manufacturing Profile: NIST IR 8183r2 Initial Public Draft. Available at: https://www.nist.gov/news-events/news/2025/09/cybersecurity-framework-20-manufacturing-profile-nist-ir-8183r2-initial</w:t>
      </w:r>
    </w:p>
    <w:p w14:paraId="466A8670" w14:textId="77777777" w:rsidR="00F97D20" w:rsidRDefault="00000000">
      <w:pPr>
        <w:spacing w:after="160" w:line="300" w:lineRule="auto"/>
      </w:pPr>
      <w:proofErr w:type="spellStart"/>
      <w:r>
        <w:t>Sprinto</w:t>
      </w:r>
      <w:proofErr w:type="spellEnd"/>
      <w:r>
        <w:t xml:space="preserve"> (2026) ISO 27001 Controls: A Guide to Implementing Annex A Controls. Available at: https://sprinto.com/blog/iso-27001-controls/</w:t>
      </w:r>
    </w:p>
    <w:p w14:paraId="7FB4637B" w14:textId="77777777" w:rsidR="00F97D20" w:rsidRDefault="00000000">
      <w:pPr>
        <w:spacing w:after="160" w:line="300" w:lineRule="auto"/>
      </w:pPr>
      <w:proofErr w:type="spellStart"/>
      <w:r>
        <w:t>Swif</w:t>
      </w:r>
      <w:proofErr w:type="spellEnd"/>
      <w:r>
        <w:t xml:space="preserve"> (2026) Insider Threat Statistics for 2026. Available at: https://www.swif.ai/blog/insider-threat-statistics</w:t>
      </w:r>
    </w:p>
    <w:p w14:paraId="668BA04F" w14:textId="2DEC80BF" w:rsidR="00F97D20" w:rsidRDefault="00000000" w:rsidP="001E076E">
      <w:pPr>
        <w:spacing w:after="160" w:line="300" w:lineRule="auto"/>
      </w:pPr>
      <w:r>
        <w:t>Information Commissioner's Office (n.d.) UK GDPR guidance and Data Protection Act 2018. Available at: https://ico.org.uk/</w:t>
      </w:r>
      <w:r>
        <w:br w:type="page"/>
      </w:r>
    </w:p>
    <w:p w14:paraId="1591D543" w14:textId="77777777" w:rsidR="00F97D20" w:rsidRPr="001E076E" w:rsidRDefault="00000000">
      <w:pPr>
        <w:pStyle w:val="Heading1"/>
        <w:rPr>
          <w:color w:val="000000" w:themeColor="text1"/>
        </w:rPr>
      </w:pPr>
      <w:r w:rsidRPr="001E076E">
        <w:rPr>
          <w:color w:val="000000" w:themeColor="text1"/>
        </w:rPr>
        <w:lastRenderedPageBreak/>
        <w:t>Appendix A: Board Presentation Slides</w:t>
      </w:r>
    </w:p>
    <w:p w14:paraId="16AF27A9" w14:textId="77777777" w:rsidR="00F97D20" w:rsidRDefault="00000000">
      <w:pPr>
        <w:spacing w:after="160" w:line="300" w:lineRule="auto"/>
      </w:pPr>
      <w:r>
        <w:t xml:space="preserve">The following pages reproduce, in order, every slide from the accompanying 11-slide board presentation, “Cybersecurity and Data Governance Policy — </w:t>
      </w:r>
      <w:proofErr w:type="spellStart"/>
      <w:r>
        <w:t>SteelForm</w:t>
      </w:r>
      <w:proofErr w:type="spellEnd"/>
      <w:r>
        <w:t xml:space="preserve"> Manufacturing Ltd” (file: SFM_Board_Presentation.pptx).</w:t>
      </w:r>
    </w:p>
    <w:p w14:paraId="58913A56" w14:textId="77777777" w:rsidR="00F97D20" w:rsidRDefault="00000000">
      <w:pPr>
        <w:spacing w:before="120" w:after="40"/>
        <w:jc w:val="center"/>
      </w:pPr>
      <w:r>
        <w:rPr>
          <w:noProof/>
        </w:rPr>
        <w:drawing>
          <wp:inline distT="0" distB="0" distL="0" distR="0" wp14:anchorId="6B5A23BE" wp14:editId="7C1A1BB1">
            <wp:extent cx="4762500" cy="2678973"/>
            <wp:effectExtent l="0" t="0" r="0" b="0"/>
            <wp:docPr id="1406514599" name="Picture 14065145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762500" cy="2678973"/>
                    </a:xfrm>
                    <a:prstGeom prst="rect">
                      <a:avLst/>
                    </a:prstGeom>
                  </pic:spPr>
                </pic:pic>
              </a:graphicData>
            </a:graphic>
          </wp:inline>
        </w:drawing>
      </w:r>
    </w:p>
    <w:p w14:paraId="5677DB12" w14:textId="77777777" w:rsidR="00F97D20" w:rsidRDefault="00000000">
      <w:pPr>
        <w:spacing w:before="80" w:after="320"/>
        <w:jc w:val="center"/>
      </w:pPr>
      <w:r>
        <w:rPr>
          <w:i/>
          <w:iCs/>
          <w:color w:val="595959"/>
          <w:sz w:val="19"/>
          <w:szCs w:val="19"/>
        </w:rPr>
        <w:t>Slide 1 of 11</w:t>
      </w:r>
    </w:p>
    <w:p w14:paraId="4F1C159C" w14:textId="77777777" w:rsidR="00F97D20" w:rsidRDefault="00000000">
      <w:pPr>
        <w:spacing w:before="120" w:after="40"/>
        <w:jc w:val="center"/>
      </w:pPr>
      <w:r>
        <w:rPr>
          <w:noProof/>
        </w:rPr>
        <w:drawing>
          <wp:inline distT="0" distB="0" distL="0" distR="0" wp14:anchorId="10A55641" wp14:editId="31EAC651">
            <wp:extent cx="4762500" cy="2678973"/>
            <wp:effectExtent l="0" t="0" r="0" b="0"/>
            <wp:docPr id="1225601817" name="Picture 12256018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762500" cy="2678973"/>
                    </a:xfrm>
                    <a:prstGeom prst="rect">
                      <a:avLst/>
                    </a:prstGeom>
                  </pic:spPr>
                </pic:pic>
              </a:graphicData>
            </a:graphic>
          </wp:inline>
        </w:drawing>
      </w:r>
    </w:p>
    <w:p w14:paraId="0375D3DF" w14:textId="77777777" w:rsidR="00F97D20" w:rsidRDefault="00000000">
      <w:pPr>
        <w:spacing w:before="80" w:after="320"/>
        <w:jc w:val="center"/>
      </w:pPr>
      <w:r>
        <w:rPr>
          <w:i/>
          <w:iCs/>
          <w:color w:val="595959"/>
          <w:sz w:val="19"/>
          <w:szCs w:val="19"/>
        </w:rPr>
        <w:t>Slide 2 of 11</w:t>
      </w:r>
    </w:p>
    <w:p w14:paraId="5A4DCF74" w14:textId="77777777" w:rsidR="00F97D20" w:rsidRDefault="00000000">
      <w:r>
        <w:br w:type="page"/>
      </w:r>
    </w:p>
    <w:p w14:paraId="761C6CE1" w14:textId="77777777" w:rsidR="00F97D20" w:rsidRDefault="00000000">
      <w:pPr>
        <w:spacing w:before="120" w:after="40"/>
        <w:jc w:val="center"/>
      </w:pPr>
      <w:r>
        <w:rPr>
          <w:noProof/>
        </w:rPr>
        <w:lastRenderedPageBreak/>
        <w:drawing>
          <wp:inline distT="0" distB="0" distL="0" distR="0" wp14:anchorId="16C6EEF0" wp14:editId="68C93B09">
            <wp:extent cx="4762500" cy="2678973"/>
            <wp:effectExtent l="0" t="0" r="0" b="0"/>
            <wp:docPr id="2061768409" name="Picture 20617684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4762500" cy="2678973"/>
                    </a:xfrm>
                    <a:prstGeom prst="rect">
                      <a:avLst/>
                    </a:prstGeom>
                  </pic:spPr>
                </pic:pic>
              </a:graphicData>
            </a:graphic>
          </wp:inline>
        </w:drawing>
      </w:r>
    </w:p>
    <w:p w14:paraId="3B89E87A" w14:textId="77777777" w:rsidR="00F97D20" w:rsidRDefault="00000000">
      <w:pPr>
        <w:spacing w:before="80" w:after="320"/>
        <w:jc w:val="center"/>
      </w:pPr>
      <w:r>
        <w:rPr>
          <w:i/>
          <w:iCs/>
          <w:color w:val="595959"/>
          <w:sz w:val="19"/>
          <w:szCs w:val="19"/>
        </w:rPr>
        <w:t>Slide 3 of 11</w:t>
      </w:r>
    </w:p>
    <w:p w14:paraId="34A86A29" w14:textId="77777777" w:rsidR="00F97D20" w:rsidRDefault="00000000">
      <w:pPr>
        <w:spacing w:before="120" w:after="40"/>
        <w:jc w:val="center"/>
      </w:pPr>
      <w:r>
        <w:rPr>
          <w:noProof/>
        </w:rPr>
        <w:drawing>
          <wp:inline distT="0" distB="0" distL="0" distR="0" wp14:anchorId="0AEABDE9" wp14:editId="6A844DDD">
            <wp:extent cx="4762500" cy="2678973"/>
            <wp:effectExtent l="0" t="0" r="0" b="0"/>
            <wp:docPr id="1205893312" name="Picture 12058933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4762500" cy="2678973"/>
                    </a:xfrm>
                    <a:prstGeom prst="rect">
                      <a:avLst/>
                    </a:prstGeom>
                  </pic:spPr>
                </pic:pic>
              </a:graphicData>
            </a:graphic>
          </wp:inline>
        </w:drawing>
      </w:r>
    </w:p>
    <w:p w14:paraId="3BFD7891" w14:textId="77777777" w:rsidR="00F97D20" w:rsidRDefault="00000000">
      <w:pPr>
        <w:spacing w:before="80" w:after="320"/>
        <w:jc w:val="center"/>
      </w:pPr>
      <w:r>
        <w:rPr>
          <w:i/>
          <w:iCs/>
          <w:color w:val="595959"/>
          <w:sz w:val="19"/>
          <w:szCs w:val="19"/>
        </w:rPr>
        <w:t>Slide 4 of 11</w:t>
      </w:r>
    </w:p>
    <w:p w14:paraId="06072C12" w14:textId="77777777" w:rsidR="00F97D20" w:rsidRDefault="00000000">
      <w:r>
        <w:br w:type="page"/>
      </w:r>
    </w:p>
    <w:p w14:paraId="5C325666" w14:textId="77777777" w:rsidR="00F97D20" w:rsidRDefault="00000000">
      <w:pPr>
        <w:spacing w:before="120" w:after="40"/>
        <w:jc w:val="center"/>
      </w:pPr>
      <w:r>
        <w:rPr>
          <w:noProof/>
        </w:rPr>
        <w:lastRenderedPageBreak/>
        <w:drawing>
          <wp:inline distT="0" distB="0" distL="0" distR="0" wp14:anchorId="70ABF64B" wp14:editId="10148160">
            <wp:extent cx="4762500" cy="2678973"/>
            <wp:effectExtent l="0" t="0" r="0" b="0"/>
            <wp:docPr id="1492952701" name="Picture 14929527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4762500" cy="2678973"/>
                    </a:xfrm>
                    <a:prstGeom prst="rect">
                      <a:avLst/>
                    </a:prstGeom>
                  </pic:spPr>
                </pic:pic>
              </a:graphicData>
            </a:graphic>
          </wp:inline>
        </w:drawing>
      </w:r>
    </w:p>
    <w:p w14:paraId="1229792C" w14:textId="77777777" w:rsidR="00F97D20" w:rsidRDefault="00000000">
      <w:pPr>
        <w:spacing w:before="80" w:after="320"/>
        <w:jc w:val="center"/>
      </w:pPr>
      <w:r>
        <w:rPr>
          <w:i/>
          <w:iCs/>
          <w:color w:val="595959"/>
          <w:sz w:val="19"/>
          <w:szCs w:val="19"/>
        </w:rPr>
        <w:t>Slide 5 of 11</w:t>
      </w:r>
    </w:p>
    <w:p w14:paraId="5C1A58F6" w14:textId="77777777" w:rsidR="00F97D20" w:rsidRDefault="00000000">
      <w:pPr>
        <w:spacing w:before="120" w:after="40"/>
        <w:jc w:val="center"/>
      </w:pPr>
      <w:r>
        <w:rPr>
          <w:noProof/>
        </w:rPr>
        <w:drawing>
          <wp:inline distT="0" distB="0" distL="0" distR="0" wp14:anchorId="7DB40987" wp14:editId="7EDE6F15">
            <wp:extent cx="4762500" cy="2678973"/>
            <wp:effectExtent l="0" t="0" r="0" b="0"/>
            <wp:docPr id="834202727" name="Picture 8342027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4"/>
                    <a:srcRect/>
                    <a:stretch>
                      <a:fillRect/>
                    </a:stretch>
                  </pic:blipFill>
                  <pic:spPr bwMode="auto">
                    <a:xfrm>
                      <a:off x="0" y="0"/>
                      <a:ext cx="4762500" cy="2678973"/>
                    </a:xfrm>
                    <a:prstGeom prst="rect">
                      <a:avLst/>
                    </a:prstGeom>
                  </pic:spPr>
                </pic:pic>
              </a:graphicData>
            </a:graphic>
          </wp:inline>
        </w:drawing>
      </w:r>
    </w:p>
    <w:p w14:paraId="79D3B63F" w14:textId="77777777" w:rsidR="00F97D20" w:rsidRDefault="00000000">
      <w:pPr>
        <w:spacing w:before="80" w:after="320"/>
        <w:jc w:val="center"/>
      </w:pPr>
      <w:r>
        <w:rPr>
          <w:i/>
          <w:iCs/>
          <w:color w:val="595959"/>
          <w:sz w:val="19"/>
          <w:szCs w:val="19"/>
        </w:rPr>
        <w:t>Slide 6 of 11</w:t>
      </w:r>
    </w:p>
    <w:p w14:paraId="4A0389C5" w14:textId="77777777" w:rsidR="00F97D20" w:rsidRDefault="00000000">
      <w:r>
        <w:br w:type="page"/>
      </w:r>
    </w:p>
    <w:p w14:paraId="04C92037" w14:textId="77777777" w:rsidR="00F97D20" w:rsidRDefault="00000000">
      <w:pPr>
        <w:spacing w:before="120" w:after="40"/>
        <w:jc w:val="center"/>
      </w:pPr>
      <w:r>
        <w:rPr>
          <w:noProof/>
        </w:rPr>
        <w:lastRenderedPageBreak/>
        <w:drawing>
          <wp:inline distT="0" distB="0" distL="0" distR="0" wp14:anchorId="36588053" wp14:editId="7C3FC831">
            <wp:extent cx="4762500" cy="2678973"/>
            <wp:effectExtent l="0" t="0" r="0" b="0"/>
            <wp:docPr id="2070183439" name="Picture 20701834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5"/>
                    <a:srcRect/>
                    <a:stretch>
                      <a:fillRect/>
                    </a:stretch>
                  </pic:blipFill>
                  <pic:spPr bwMode="auto">
                    <a:xfrm>
                      <a:off x="0" y="0"/>
                      <a:ext cx="4762500" cy="2678973"/>
                    </a:xfrm>
                    <a:prstGeom prst="rect">
                      <a:avLst/>
                    </a:prstGeom>
                  </pic:spPr>
                </pic:pic>
              </a:graphicData>
            </a:graphic>
          </wp:inline>
        </w:drawing>
      </w:r>
    </w:p>
    <w:p w14:paraId="32E582B2" w14:textId="77777777" w:rsidR="00F97D20" w:rsidRDefault="00000000">
      <w:pPr>
        <w:spacing w:before="80" w:after="320"/>
        <w:jc w:val="center"/>
      </w:pPr>
      <w:r>
        <w:rPr>
          <w:i/>
          <w:iCs/>
          <w:color w:val="595959"/>
          <w:sz w:val="19"/>
          <w:szCs w:val="19"/>
        </w:rPr>
        <w:t>Slide 7 of 11</w:t>
      </w:r>
    </w:p>
    <w:p w14:paraId="29D3C0A8" w14:textId="77777777" w:rsidR="00F97D20" w:rsidRDefault="00000000">
      <w:pPr>
        <w:spacing w:before="120" w:after="40"/>
        <w:jc w:val="center"/>
      </w:pPr>
      <w:r>
        <w:rPr>
          <w:noProof/>
        </w:rPr>
        <w:drawing>
          <wp:inline distT="0" distB="0" distL="0" distR="0" wp14:anchorId="35EFEA0D" wp14:editId="4FF2BE14">
            <wp:extent cx="4762500" cy="2678973"/>
            <wp:effectExtent l="0" t="0" r="0" b="0"/>
            <wp:docPr id="241106667" name="Picture 2411066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6"/>
                    <a:srcRect/>
                    <a:stretch>
                      <a:fillRect/>
                    </a:stretch>
                  </pic:blipFill>
                  <pic:spPr bwMode="auto">
                    <a:xfrm>
                      <a:off x="0" y="0"/>
                      <a:ext cx="4762500" cy="2678973"/>
                    </a:xfrm>
                    <a:prstGeom prst="rect">
                      <a:avLst/>
                    </a:prstGeom>
                  </pic:spPr>
                </pic:pic>
              </a:graphicData>
            </a:graphic>
          </wp:inline>
        </w:drawing>
      </w:r>
    </w:p>
    <w:p w14:paraId="3B92A647" w14:textId="77777777" w:rsidR="00F97D20" w:rsidRDefault="00000000">
      <w:pPr>
        <w:spacing w:before="80" w:after="320"/>
        <w:jc w:val="center"/>
      </w:pPr>
      <w:r>
        <w:rPr>
          <w:i/>
          <w:iCs/>
          <w:color w:val="595959"/>
          <w:sz w:val="19"/>
          <w:szCs w:val="19"/>
        </w:rPr>
        <w:t>Slide 8 of 11</w:t>
      </w:r>
    </w:p>
    <w:p w14:paraId="0401C2F2" w14:textId="77777777" w:rsidR="00F97D20" w:rsidRDefault="00000000">
      <w:r>
        <w:br w:type="page"/>
      </w:r>
    </w:p>
    <w:p w14:paraId="52A06686" w14:textId="77777777" w:rsidR="00F97D20" w:rsidRDefault="00000000">
      <w:pPr>
        <w:spacing w:before="120" w:after="40"/>
        <w:jc w:val="center"/>
      </w:pPr>
      <w:r>
        <w:rPr>
          <w:noProof/>
        </w:rPr>
        <w:lastRenderedPageBreak/>
        <w:drawing>
          <wp:inline distT="0" distB="0" distL="0" distR="0" wp14:anchorId="2E72D870" wp14:editId="06E60BFF">
            <wp:extent cx="4762500" cy="2678973"/>
            <wp:effectExtent l="0" t="0" r="0" b="0"/>
            <wp:docPr id="156078686" name="Picture 1560786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7"/>
                    <a:srcRect/>
                    <a:stretch>
                      <a:fillRect/>
                    </a:stretch>
                  </pic:blipFill>
                  <pic:spPr bwMode="auto">
                    <a:xfrm>
                      <a:off x="0" y="0"/>
                      <a:ext cx="4762500" cy="2678973"/>
                    </a:xfrm>
                    <a:prstGeom prst="rect">
                      <a:avLst/>
                    </a:prstGeom>
                  </pic:spPr>
                </pic:pic>
              </a:graphicData>
            </a:graphic>
          </wp:inline>
        </w:drawing>
      </w:r>
    </w:p>
    <w:p w14:paraId="6E8A0DC0" w14:textId="77777777" w:rsidR="00F97D20" w:rsidRDefault="00000000">
      <w:pPr>
        <w:spacing w:before="80" w:after="320"/>
        <w:jc w:val="center"/>
      </w:pPr>
      <w:r>
        <w:rPr>
          <w:i/>
          <w:iCs/>
          <w:color w:val="595959"/>
          <w:sz w:val="19"/>
          <w:szCs w:val="19"/>
        </w:rPr>
        <w:t>Slide 9 of 11</w:t>
      </w:r>
    </w:p>
    <w:p w14:paraId="413E6E3E" w14:textId="77777777" w:rsidR="00F97D20" w:rsidRDefault="00000000">
      <w:pPr>
        <w:spacing w:before="120" w:after="40"/>
        <w:jc w:val="center"/>
      </w:pPr>
      <w:r>
        <w:rPr>
          <w:noProof/>
        </w:rPr>
        <w:drawing>
          <wp:inline distT="0" distB="0" distL="0" distR="0" wp14:anchorId="4266D7CE" wp14:editId="7E71CD14">
            <wp:extent cx="4762500" cy="2678973"/>
            <wp:effectExtent l="0" t="0" r="0" b="0"/>
            <wp:docPr id="377387392" name="Picture 3773873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8"/>
                    <a:srcRect/>
                    <a:stretch>
                      <a:fillRect/>
                    </a:stretch>
                  </pic:blipFill>
                  <pic:spPr bwMode="auto">
                    <a:xfrm>
                      <a:off x="0" y="0"/>
                      <a:ext cx="4762500" cy="2678973"/>
                    </a:xfrm>
                    <a:prstGeom prst="rect">
                      <a:avLst/>
                    </a:prstGeom>
                  </pic:spPr>
                </pic:pic>
              </a:graphicData>
            </a:graphic>
          </wp:inline>
        </w:drawing>
      </w:r>
    </w:p>
    <w:p w14:paraId="13182528" w14:textId="77777777" w:rsidR="00F97D20" w:rsidRDefault="00000000">
      <w:pPr>
        <w:spacing w:before="80" w:after="320"/>
        <w:jc w:val="center"/>
      </w:pPr>
      <w:r>
        <w:rPr>
          <w:i/>
          <w:iCs/>
          <w:color w:val="595959"/>
          <w:sz w:val="19"/>
          <w:szCs w:val="19"/>
        </w:rPr>
        <w:t>Slide 10 of 11</w:t>
      </w:r>
    </w:p>
    <w:p w14:paraId="205620D6" w14:textId="77777777" w:rsidR="00F97D20" w:rsidRDefault="00000000">
      <w:r>
        <w:br w:type="page"/>
      </w:r>
    </w:p>
    <w:p w14:paraId="23367927" w14:textId="77777777" w:rsidR="00F97D20" w:rsidRDefault="00000000">
      <w:pPr>
        <w:spacing w:before="120" w:after="40"/>
        <w:jc w:val="center"/>
      </w:pPr>
      <w:r>
        <w:rPr>
          <w:noProof/>
        </w:rPr>
        <w:lastRenderedPageBreak/>
        <w:drawing>
          <wp:inline distT="0" distB="0" distL="0" distR="0" wp14:anchorId="6ED570E6" wp14:editId="0D59127B">
            <wp:extent cx="4762500" cy="2678973"/>
            <wp:effectExtent l="0" t="0" r="0" b="0"/>
            <wp:docPr id="1400426795" name="Picture 14004267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9"/>
                    <a:srcRect/>
                    <a:stretch>
                      <a:fillRect/>
                    </a:stretch>
                  </pic:blipFill>
                  <pic:spPr bwMode="auto">
                    <a:xfrm>
                      <a:off x="0" y="0"/>
                      <a:ext cx="4762500" cy="2678973"/>
                    </a:xfrm>
                    <a:prstGeom prst="rect">
                      <a:avLst/>
                    </a:prstGeom>
                  </pic:spPr>
                </pic:pic>
              </a:graphicData>
            </a:graphic>
          </wp:inline>
        </w:drawing>
      </w:r>
    </w:p>
    <w:p w14:paraId="7BD2849D" w14:textId="77777777" w:rsidR="00F97D20" w:rsidRDefault="00000000">
      <w:pPr>
        <w:spacing w:before="80" w:after="320"/>
        <w:jc w:val="center"/>
      </w:pPr>
      <w:r>
        <w:rPr>
          <w:i/>
          <w:iCs/>
          <w:color w:val="595959"/>
          <w:sz w:val="19"/>
          <w:szCs w:val="19"/>
        </w:rPr>
        <w:t>Slide 11 of 11</w:t>
      </w:r>
    </w:p>
    <w:sectPr w:rsidR="00F97D20" w:rsidSect="00D97864">
      <w:headerReference w:type="even" r:id="rId20"/>
      <w:headerReference w:type="default" r:id="rId21"/>
      <w:footerReference w:type="even" r:id="rId22"/>
      <w:footerReference w:type="default" r:id="rId23"/>
      <w:headerReference w:type="first" r:id="rId24"/>
      <w:footerReference w:type="first" r:id="rId25"/>
      <w:pgSz w:w="11906" w:h="16838"/>
      <w:pgMar w:top="1138" w:right="1138" w:bottom="1138" w:left="1138" w:header="706" w:footer="706"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282A64" w14:textId="77777777" w:rsidR="000D1DE9" w:rsidRDefault="000D1DE9">
      <w:r>
        <w:separator/>
      </w:r>
    </w:p>
  </w:endnote>
  <w:endnote w:type="continuationSeparator" w:id="0">
    <w:p w14:paraId="2CE724AE" w14:textId="77777777" w:rsidR="000D1DE9" w:rsidRDefault="000D1D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815E9C" w14:textId="77777777" w:rsidR="00D97864" w:rsidRDefault="00D9786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9B3946" w14:textId="2BB3C265" w:rsidR="00F97D20" w:rsidRDefault="00000000">
    <w:pPr>
      <w:jc w:val="center"/>
    </w:pPr>
    <w:r>
      <w:rPr>
        <w:color w:val="8C8C8C"/>
        <w:sz w:val="16"/>
        <w:szCs w:val="16"/>
      </w:rPr>
      <w:t xml:space="preserve">Page of </w:t>
    </w:r>
    <w:r>
      <w:rPr>
        <w:color w:val="8C8C8C"/>
        <w:sz w:val="16"/>
        <w:szCs w:val="16"/>
      </w:rPr>
      <w:fldChar w:fldCharType="begin"/>
    </w:r>
    <w:r>
      <w:rPr>
        <w:color w:val="8C8C8C"/>
        <w:sz w:val="16"/>
        <w:szCs w:val="16"/>
      </w:rPr>
      <w:instrText>NUMPAGES</w:instrText>
    </w:r>
    <w:r>
      <w:rPr>
        <w:color w:val="8C8C8C"/>
        <w:sz w:val="16"/>
        <w:szCs w:val="16"/>
      </w:rPr>
      <w:fldChar w:fldCharType="separate"/>
    </w:r>
    <w:r w:rsidR="00D97864">
      <w:rPr>
        <w:noProof/>
        <w:color w:val="8C8C8C"/>
        <w:sz w:val="16"/>
        <w:szCs w:val="16"/>
      </w:rPr>
      <w:t>2</w:t>
    </w:r>
    <w:r>
      <w:rPr>
        <w:color w:val="8C8C8C"/>
        <w:sz w:val="16"/>
        <w:szCs w:val="16"/>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318CCC" w14:textId="77777777" w:rsidR="00D97864" w:rsidRDefault="00D978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CC3B26" w14:textId="77777777" w:rsidR="000D1DE9" w:rsidRDefault="000D1DE9">
      <w:r>
        <w:separator/>
      </w:r>
    </w:p>
  </w:footnote>
  <w:footnote w:type="continuationSeparator" w:id="0">
    <w:p w14:paraId="3BE5ECAC" w14:textId="77777777" w:rsidR="000D1DE9" w:rsidRDefault="000D1D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125E3A" w14:textId="77777777" w:rsidR="00D97864" w:rsidRDefault="00D9786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06CE23" w14:textId="2A356C7E" w:rsidR="00F97D20" w:rsidRPr="00D97864" w:rsidRDefault="00F97D20" w:rsidP="00D97864">
    <w:pPr>
      <w:rPr>
        <w:lang w:val="en-US"/>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93EDA5" w14:textId="77777777" w:rsidR="00D97864" w:rsidRDefault="00D978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753ABD"/>
    <w:multiLevelType w:val="hybridMultilevel"/>
    <w:tmpl w:val="37226EAC"/>
    <w:lvl w:ilvl="0" w:tplc="2884A36E">
      <w:start w:val="1"/>
      <w:numFmt w:val="bullet"/>
      <w:lvlText w:val="•"/>
      <w:lvlJc w:val="left"/>
      <w:pPr>
        <w:ind w:left="504" w:hanging="259"/>
      </w:pPr>
    </w:lvl>
    <w:lvl w:ilvl="1" w:tplc="41C49232">
      <w:start w:val="1"/>
      <w:numFmt w:val="bullet"/>
      <w:lvlText w:val="◦"/>
      <w:lvlJc w:val="left"/>
      <w:pPr>
        <w:ind w:left="1008" w:hanging="259"/>
      </w:pPr>
    </w:lvl>
    <w:lvl w:ilvl="2" w:tplc="0B5C090A">
      <w:numFmt w:val="decimal"/>
      <w:lvlText w:val=""/>
      <w:lvlJc w:val="left"/>
    </w:lvl>
    <w:lvl w:ilvl="3" w:tplc="21701C96">
      <w:numFmt w:val="decimal"/>
      <w:lvlText w:val=""/>
      <w:lvlJc w:val="left"/>
    </w:lvl>
    <w:lvl w:ilvl="4" w:tplc="F32A1536">
      <w:numFmt w:val="decimal"/>
      <w:lvlText w:val=""/>
      <w:lvlJc w:val="left"/>
    </w:lvl>
    <w:lvl w:ilvl="5" w:tplc="00A2C746">
      <w:numFmt w:val="decimal"/>
      <w:lvlText w:val=""/>
      <w:lvlJc w:val="left"/>
    </w:lvl>
    <w:lvl w:ilvl="6" w:tplc="8386498C">
      <w:numFmt w:val="decimal"/>
      <w:lvlText w:val=""/>
      <w:lvlJc w:val="left"/>
    </w:lvl>
    <w:lvl w:ilvl="7" w:tplc="001C73C8">
      <w:numFmt w:val="decimal"/>
      <w:lvlText w:val=""/>
      <w:lvlJc w:val="left"/>
    </w:lvl>
    <w:lvl w:ilvl="8" w:tplc="3D488836">
      <w:numFmt w:val="decimal"/>
      <w:lvlText w:val=""/>
      <w:lvlJc w:val="left"/>
    </w:lvl>
  </w:abstractNum>
  <w:abstractNum w:abstractNumId="1" w15:restartNumberingAfterBreak="0">
    <w:nsid w:val="25A97733"/>
    <w:multiLevelType w:val="hybridMultilevel"/>
    <w:tmpl w:val="DF3CBC40"/>
    <w:lvl w:ilvl="0" w:tplc="7312E310">
      <w:start w:val="1"/>
      <w:numFmt w:val="bullet"/>
      <w:lvlText w:val="●"/>
      <w:lvlJc w:val="left"/>
      <w:pPr>
        <w:ind w:left="720" w:hanging="360"/>
      </w:pPr>
    </w:lvl>
    <w:lvl w:ilvl="1" w:tplc="7C761FF2">
      <w:start w:val="1"/>
      <w:numFmt w:val="bullet"/>
      <w:lvlText w:val="○"/>
      <w:lvlJc w:val="left"/>
      <w:pPr>
        <w:ind w:left="1440" w:hanging="360"/>
      </w:pPr>
    </w:lvl>
    <w:lvl w:ilvl="2" w:tplc="D89A1516">
      <w:start w:val="1"/>
      <w:numFmt w:val="bullet"/>
      <w:lvlText w:val="■"/>
      <w:lvlJc w:val="left"/>
      <w:pPr>
        <w:ind w:left="2160" w:hanging="360"/>
      </w:pPr>
    </w:lvl>
    <w:lvl w:ilvl="3" w:tplc="404621C0">
      <w:start w:val="1"/>
      <w:numFmt w:val="bullet"/>
      <w:lvlText w:val="●"/>
      <w:lvlJc w:val="left"/>
      <w:pPr>
        <w:ind w:left="2880" w:hanging="360"/>
      </w:pPr>
    </w:lvl>
    <w:lvl w:ilvl="4" w:tplc="30E65654">
      <w:start w:val="1"/>
      <w:numFmt w:val="bullet"/>
      <w:lvlText w:val="○"/>
      <w:lvlJc w:val="left"/>
      <w:pPr>
        <w:ind w:left="3600" w:hanging="360"/>
      </w:pPr>
    </w:lvl>
    <w:lvl w:ilvl="5" w:tplc="34A034AA">
      <w:start w:val="1"/>
      <w:numFmt w:val="bullet"/>
      <w:lvlText w:val="■"/>
      <w:lvlJc w:val="left"/>
      <w:pPr>
        <w:ind w:left="4320" w:hanging="360"/>
      </w:pPr>
    </w:lvl>
    <w:lvl w:ilvl="6" w:tplc="B6DCB4F6">
      <w:start w:val="1"/>
      <w:numFmt w:val="bullet"/>
      <w:lvlText w:val="●"/>
      <w:lvlJc w:val="left"/>
      <w:pPr>
        <w:ind w:left="5040" w:hanging="360"/>
      </w:pPr>
    </w:lvl>
    <w:lvl w:ilvl="7" w:tplc="B450FAE4">
      <w:start w:val="1"/>
      <w:numFmt w:val="bullet"/>
      <w:lvlText w:val="●"/>
      <w:lvlJc w:val="left"/>
      <w:pPr>
        <w:ind w:left="5760" w:hanging="360"/>
      </w:pPr>
    </w:lvl>
    <w:lvl w:ilvl="8" w:tplc="84DA13CC">
      <w:start w:val="1"/>
      <w:numFmt w:val="bullet"/>
      <w:lvlText w:val="●"/>
      <w:lvlJc w:val="left"/>
      <w:pPr>
        <w:ind w:left="6480" w:hanging="360"/>
      </w:pPr>
    </w:lvl>
  </w:abstractNum>
  <w:num w:numId="1" w16cid:durableId="1948732331">
    <w:abstractNumId w:val="1"/>
    <w:lvlOverride w:ilvl="0">
      <w:startOverride w:val="1"/>
    </w:lvlOverride>
  </w:num>
  <w:num w:numId="2" w16cid:durableId="1925525696">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7D20"/>
    <w:rsid w:val="000D1DE9"/>
    <w:rsid w:val="001E076E"/>
    <w:rsid w:val="008E00B6"/>
    <w:rsid w:val="008E10A6"/>
    <w:rsid w:val="00AD714F"/>
    <w:rsid w:val="00D346E1"/>
    <w:rsid w:val="00D97864"/>
    <w:rsid w:val="00F97D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B8490"/>
  <w15:docId w15:val="{B428A01B-286B-494A-89F2-448C9C5689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pBdr>
        <w:bottom w:val="single" w:sz="6" w:space="4" w:color="D9D9D9"/>
      </w:pBdr>
      <w:spacing w:before="320" w:after="160"/>
      <w:outlineLvl w:val="0"/>
    </w:pPr>
    <w:rPr>
      <w:b/>
      <w:bCs/>
      <w:color w:val="1B2A4A"/>
      <w:sz w:val="28"/>
      <w:szCs w:val="28"/>
    </w:rPr>
  </w:style>
  <w:style w:type="paragraph" w:styleId="Heading2">
    <w:name w:val="heading 2"/>
    <w:uiPriority w:val="9"/>
    <w:unhideWhenUsed/>
    <w:qFormat/>
    <w:pPr>
      <w:spacing w:before="240" w:after="120"/>
      <w:outlineLvl w:val="1"/>
    </w:pPr>
    <w:rPr>
      <w:b/>
      <w:bCs/>
      <w:color w:val="2F8F82"/>
      <w:sz w:val="24"/>
      <w:szCs w:val="24"/>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pPr>
      <w:spacing w:after="120"/>
    </w:pPr>
    <w:rPr>
      <w:b/>
      <w:bCs/>
      <w:color w:val="1B2A4A"/>
      <w:sz w:val="52"/>
      <w:szCs w:val="52"/>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D97864"/>
    <w:pPr>
      <w:tabs>
        <w:tab w:val="center" w:pos="4513"/>
        <w:tab w:val="right" w:pos="9026"/>
      </w:tabs>
    </w:pPr>
  </w:style>
  <w:style w:type="character" w:customStyle="1" w:styleId="HeaderChar">
    <w:name w:val="Header Char"/>
    <w:basedOn w:val="DefaultParagraphFont"/>
    <w:link w:val="Header"/>
    <w:uiPriority w:val="99"/>
    <w:rsid w:val="00D97864"/>
  </w:style>
  <w:style w:type="paragraph" w:styleId="Footer">
    <w:name w:val="footer"/>
    <w:basedOn w:val="Normal"/>
    <w:link w:val="FooterChar"/>
    <w:uiPriority w:val="99"/>
    <w:unhideWhenUsed/>
    <w:rsid w:val="00D97864"/>
    <w:pPr>
      <w:tabs>
        <w:tab w:val="center" w:pos="4513"/>
        <w:tab w:val="right" w:pos="9026"/>
      </w:tabs>
    </w:pPr>
  </w:style>
  <w:style w:type="character" w:customStyle="1" w:styleId="FooterChar">
    <w:name w:val="Footer Char"/>
    <w:basedOn w:val="DefaultParagraphFont"/>
    <w:link w:val="Footer"/>
    <w:uiPriority w:val="99"/>
    <w:rsid w:val="00D978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g"/><Relationship Id="rId18" Type="http://schemas.openxmlformats.org/officeDocument/2006/relationships/image" Target="media/image12.jpg"/><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image" Target="media/image1.png"/><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footer" Target="footer2.xml"/><Relationship Id="rId10" Type="http://schemas.openxmlformats.org/officeDocument/2006/relationships/image" Target="media/image4.jpg"/><Relationship Id="rId19" Type="http://schemas.openxmlformats.org/officeDocument/2006/relationships/image" Target="media/image13.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TotalTime>
  <Pages>14</Pages>
  <Words>2513</Words>
  <Characters>14325</Characters>
  <Application>Microsoft Office Word</Application>
  <DocSecurity>0</DocSecurity>
  <Lines>119</Lines>
  <Paragraphs>33</Paragraphs>
  <ScaleCrop>false</ScaleCrop>
  <Company/>
  <LinksUpToDate>false</LinksUpToDate>
  <CharactersWithSpaces>16805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Maksym Berkyta (2518672)</cp:lastModifiedBy>
  <cp:revision>4</cp:revision>
  <dcterms:created xsi:type="dcterms:W3CDTF">2026-08-09T13:52:00Z</dcterms:created>
  <dcterms:modified xsi:type="dcterms:W3CDTF">2026-08-09T14:01:00Z</dcterms:modified>
</cp:coreProperties>
</file>