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1C41DE" w14:textId="77777777" w:rsidR="002A1198" w:rsidRDefault="002A1198" w:rsidP="002A1198">
      <w:pPr>
        <w:jc w:val="center"/>
        <w:rPr>
          <w:rFonts w:ascii="Arial" w:hAnsi="Arial" w:cs="Arial"/>
          <w:sz w:val="44"/>
          <w:szCs w:val="44"/>
        </w:rPr>
      </w:pPr>
      <w:r>
        <w:rPr>
          <w:rFonts w:ascii="Arial" w:hAnsi="Arial" w:cs="Arial"/>
          <w:sz w:val="44"/>
          <w:szCs w:val="44"/>
        </w:rPr>
        <w:t>Module: Protecting and Supporting Families in Health and Care</w:t>
      </w:r>
    </w:p>
    <w:p w14:paraId="1D17D93D" w14:textId="77777777" w:rsidR="002A1198" w:rsidRDefault="002A1198" w:rsidP="002A1198">
      <w:pPr>
        <w:jc w:val="center"/>
        <w:rPr>
          <w:rFonts w:ascii="Arial" w:hAnsi="Arial" w:cs="Arial"/>
          <w:sz w:val="44"/>
          <w:szCs w:val="44"/>
        </w:rPr>
      </w:pPr>
      <w:r>
        <w:rPr>
          <w:rFonts w:ascii="Arial" w:hAnsi="Arial" w:cs="Arial"/>
          <w:sz w:val="44"/>
          <w:szCs w:val="44"/>
        </w:rPr>
        <w:t>Module Code: BMHP5021</w:t>
      </w:r>
    </w:p>
    <w:p w14:paraId="36F5A8BE" w14:textId="77777777" w:rsidR="002A1198" w:rsidRDefault="002A1198" w:rsidP="002A1198">
      <w:pPr>
        <w:jc w:val="center"/>
        <w:rPr>
          <w:rFonts w:ascii="Arial" w:hAnsi="Arial" w:cs="Arial"/>
          <w:sz w:val="44"/>
          <w:szCs w:val="44"/>
        </w:rPr>
      </w:pPr>
    </w:p>
    <w:p w14:paraId="0957419E" w14:textId="77777777" w:rsidR="002A1198" w:rsidRDefault="002A1198" w:rsidP="002A1198">
      <w:pPr>
        <w:jc w:val="center"/>
        <w:rPr>
          <w:rFonts w:ascii="Arial" w:hAnsi="Arial" w:cs="Arial"/>
          <w:sz w:val="44"/>
          <w:szCs w:val="44"/>
        </w:rPr>
      </w:pPr>
      <w:r>
        <w:rPr>
          <w:rFonts w:ascii="Arial" w:hAnsi="Arial" w:cs="Arial"/>
          <w:sz w:val="44"/>
          <w:szCs w:val="44"/>
        </w:rPr>
        <w:t>Assignment Title: Component 2: Written Report</w:t>
      </w:r>
    </w:p>
    <w:p w14:paraId="737CED89" w14:textId="77777777" w:rsidR="002A1198" w:rsidRDefault="002A1198" w:rsidP="002A1198">
      <w:pPr>
        <w:jc w:val="center"/>
        <w:rPr>
          <w:rFonts w:ascii="Arial" w:hAnsi="Arial" w:cs="Arial"/>
          <w:sz w:val="44"/>
          <w:szCs w:val="44"/>
        </w:rPr>
      </w:pPr>
    </w:p>
    <w:p w14:paraId="1AB1A83E" w14:textId="77777777" w:rsidR="002A1198" w:rsidRDefault="002A1198" w:rsidP="002A1198">
      <w:pPr>
        <w:jc w:val="center"/>
        <w:rPr>
          <w:rFonts w:ascii="Arial" w:hAnsi="Arial" w:cs="Arial"/>
          <w:sz w:val="44"/>
          <w:szCs w:val="44"/>
        </w:rPr>
      </w:pPr>
      <w:r>
        <w:rPr>
          <w:rFonts w:ascii="Arial" w:hAnsi="Arial" w:cs="Arial"/>
          <w:sz w:val="44"/>
          <w:szCs w:val="44"/>
        </w:rPr>
        <w:t>Submission Deadline: 12</w:t>
      </w:r>
      <w:r w:rsidRPr="009E0B12">
        <w:rPr>
          <w:rFonts w:ascii="Arial" w:hAnsi="Arial" w:cs="Arial"/>
          <w:sz w:val="44"/>
          <w:szCs w:val="44"/>
          <w:vertAlign w:val="superscript"/>
        </w:rPr>
        <w:t>th</w:t>
      </w:r>
      <w:r>
        <w:rPr>
          <w:rFonts w:ascii="Arial" w:hAnsi="Arial" w:cs="Arial"/>
          <w:sz w:val="44"/>
          <w:szCs w:val="44"/>
        </w:rPr>
        <w:t xml:space="preserve"> December, 2025</w:t>
      </w:r>
    </w:p>
    <w:p w14:paraId="2C901596" w14:textId="77777777" w:rsidR="002A1198" w:rsidRDefault="002A1198" w:rsidP="002A1198">
      <w:pPr>
        <w:jc w:val="center"/>
        <w:rPr>
          <w:rFonts w:ascii="Arial" w:hAnsi="Arial" w:cs="Arial"/>
          <w:sz w:val="44"/>
          <w:szCs w:val="44"/>
        </w:rPr>
      </w:pPr>
    </w:p>
    <w:p w14:paraId="2E98E4C6" w14:textId="4B699B67" w:rsidR="002A1198" w:rsidRDefault="002A1198" w:rsidP="002A1198">
      <w:pPr>
        <w:jc w:val="center"/>
        <w:rPr>
          <w:rFonts w:ascii="Arial" w:hAnsi="Arial" w:cs="Arial"/>
          <w:sz w:val="44"/>
          <w:szCs w:val="44"/>
        </w:rPr>
      </w:pPr>
      <w:r>
        <w:rPr>
          <w:rFonts w:ascii="Arial" w:hAnsi="Arial" w:cs="Arial"/>
          <w:sz w:val="44"/>
          <w:szCs w:val="44"/>
        </w:rPr>
        <w:t>Student ID:</w:t>
      </w:r>
      <w:r w:rsidR="009C7872">
        <w:rPr>
          <w:rFonts w:ascii="Arial" w:hAnsi="Arial" w:cs="Arial"/>
          <w:sz w:val="44"/>
          <w:szCs w:val="44"/>
        </w:rPr>
        <w:t>2336190</w:t>
      </w:r>
    </w:p>
    <w:p w14:paraId="258A0378" w14:textId="47D52860" w:rsidR="00D00759" w:rsidRDefault="00D00759" w:rsidP="002A1198"/>
    <w:p w14:paraId="577ACA42" w14:textId="1EB6C307" w:rsidR="002A1198" w:rsidRPr="009C7872" w:rsidRDefault="009C7872" w:rsidP="002A1198">
      <w:pPr>
        <w:rPr>
          <w:sz w:val="44"/>
          <w:szCs w:val="44"/>
        </w:rPr>
      </w:pPr>
      <w:r w:rsidRPr="009C7872">
        <w:rPr>
          <w:sz w:val="44"/>
          <w:szCs w:val="44"/>
        </w:rPr>
        <w:t xml:space="preserve">                         Lecturer:</w:t>
      </w:r>
      <w:r w:rsidR="007C1D50">
        <w:rPr>
          <w:sz w:val="44"/>
          <w:szCs w:val="44"/>
        </w:rPr>
        <w:t xml:space="preserve"> Amanda Jones</w:t>
      </w:r>
    </w:p>
    <w:p w14:paraId="6057B777" w14:textId="20263A2E" w:rsidR="002A1198" w:rsidRDefault="002A1198" w:rsidP="002A1198"/>
    <w:p w14:paraId="7592CA67" w14:textId="1B6BCD80" w:rsidR="002A1198" w:rsidRDefault="002A1198" w:rsidP="002A1198"/>
    <w:p w14:paraId="11B7798D" w14:textId="0A3FE6A5" w:rsidR="002A1198" w:rsidRDefault="002A1198" w:rsidP="002A1198"/>
    <w:p w14:paraId="507FECBB" w14:textId="56A9A2E4" w:rsidR="002A1198" w:rsidRDefault="002A1198" w:rsidP="002A1198"/>
    <w:p w14:paraId="44DAE051" w14:textId="1BDC54F3" w:rsidR="002A1198" w:rsidRDefault="002A1198" w:rsidP="002A1198"/>
    <w:p w14:paraId="6EB3B9BA" w14:textId="7FE91166" w:rsidR="002A1198" w:rsidRDefault="002A1198" w:rsidP="002A1198"/>
    <w:p w14:paraId="2B4D6793" w14:textId="538B2D12" w:rsidR="002A1198" w:rsidRDefault="002A1198" w:rsidP="002A1198"/>
    <w:p w14:paraId="1D4CEDFF" w14:textId="2B531D0A" w:rsidR="002A1198" w:rsidRDefault="002A1198" w:rsidP="002A1198"/>
    <w:p w14:paraId="2E8DD476" w14:textId="121C85D1" w:rsidR="002A1198" w:rsidRDefault="002A1198" w:rsidP="002A1198"/>
    <w:p w14:paraId="6B465952" w14:textId="04DD9A0D" w:rsidR="002A1198" w:rsidRDefault="002A1198" w:rsidP="002A1198"/>
    <w:p w14:paraId="446B908E" w14:textId="6D957B63" w:rsidR="002A1198" w:rsidRDefault="002A1198" w:rsidP="002A1198"/>
    <w:p w14:paraId="1AAB8312" w14:textId="40D017FD" w:rsidR="002A1198" w:rsidRDefault="002A1198" w:rsidP="002A1198"/>
    <w:p w14:paraId="0A352592" w14:textId="33EF11A7" w:rsidR="002A1198" w:rsidRDefault="002A1198" w:rsidP="002A1198"/>
    <w:p w14:paraId="758515AC" w14:textId="0D9D57CE" w:rsidR="002A1198" w:rsidRDefault="002A1198" w:rsidP="002A1198"/>
    <w:p w14:paraId="683E3819" w14:textId="77777777" w:rsidR="002A1198" w:rsidRDefault="002A1198" w:rsidP="002A1198"/>
    <w:sdt>
      <w:sdtPr>
        <w:rPr>
          <w:rFonts w:asciiTheme="minorHAnsi" w:eastAsiaTheme="minorHAnsi" w:hAnsiTheme="minorHAnsi" w:cstheme="minorBidi"/>
          <w:color w:val="auto"/>
          <w:sz w:val="22"/>
          <w:szCs w:val="22"/>
          <w:lang w:val="en-GB"/>
        </w:rPr>
        <w:id w:val="-208345910"/>
        <w:docPartObj>
          <w:docPartGallery w:val="Table of Contents"/>
          <w:docPartUnique/>
        </w:docPartObj>
      </w:sdtPr>
      <w:sdtEndPr>
        <w:rPr>
          <w:b/>
          <w:bCs/>
          <w:noProof/>
        </w:rPr>
      </w:sdtEndPr>
      <w:sdtContent>
        <w:p w14:paraId="63832536" w14:textId="77777777" w:rsidR="002A1198" w:rsidRPr="00B464E6" w:rsidRDefault="002A1198" w:rsidP="002A1198">
          <w:pPr>
            <w:pStyle w:val="TOCHeading"/>
            <w:rPr>
              <w:b/>
              <w:bCs/>
              <w:color w:val="auto"/>
            </w:rPr>
          </w:pPr>
          <w:r w:rsidRPr="00B464E6">
            <w:rPr>
              <w:b/>
              <w:bCs/>
              <w:color w:val="auto"/>
            </w:rPr>
            <w:t>Table of Contents</w:t>
          </w:r>
        </w:p>
        <w:p w14:paraId="3937695A" w14:textId="77777777" w:rsidR="002A1198" w:rsidRDefault="002A1198" w:rsidP="009C7872">
          <w:pPr>
            <w:pStyle w:val="TOC1"/>
          </w:pPr>
          <w:r>
            <w:rPr>
              <w:noProof w:val="0"/>
            </w:rPr>
            <w:fldChar w:fldCharType="begin"/>
          </w:r>
          <w:r>
            <w:instrText xml:space="preserve"> TOC \o "1-3" \h \z \u </w:instrText>
          </w:r>
          <w:r>
            <w:rPr>
              <w:noProof w:val="0"/>
            </w:rPr>
            <w:fldChar w:fldCharType="separate"/>
          </w:r>
          <w:hyperlink w:anchor="_Toc212040411" w:history="1">
            <w:r w:rsidRPr="000F092B">
              <w:rPr>
                <w:rStyle w:val="Hyperlink"/>
              </w:rPr>
              <w:t>Introduction</w:t>
            </w:r>
            <w:r>
              <w:rPr>
                <w:webHidden/>
              </w:rPr>
              <w:tab/>
            </w:r>
            <w:r>
              <w:rPr>
                <w:webHidden/>
              </w:rPr>
              <w:fldChar w:fldCharType="begin"/>
            </w:r>
            <w:r>
              <w:rPr>
                <w:webHidden/>
              </w:rPr>
              <w:instrText xml:space="preserve"> PAGEREF _Toc212040411 \h </w:instrText>
            </w:r>
            <w:r>
              <w:rPr>
                <w:webHidden/>
              </w:rPr>
            </w:r>
            <w:r>
              <w:rPr>
                <w:webHidden/>
              </w:rPr>
              <w:fldChar w:fldCharType="separate"/>
            </w:r>
            <w:r>
              <w:rPr>
                <w:webHidden/>
              </w:rPr>
              <w:t>3</w:t>
            </w:r>
            <w:r>
              <w:rPr>
                <w:webHidden/>
              </w:rPr>
              <w:fldChar w:fldCharType="end"/>
            </w:r>
          </w:hyperlink>
        </w:p>
        <w:p w14:paraId="1DD16848" w14:textId="77777777" w:rsidR="002A1198" w:rsidRDefault="002A1198" w:rsidP="009C7872">
          <w:pPr>
            <w:pStyle w:val="TOC1"/>
          </w:pPr>
          <w:hyperlink w:anchor="_Toc212040412" w:history="1">
            <w:r w:rsidRPr="000F092B">
              <w:rPr>
                <w:rStyle w:val="Hyperlink"/>
              </w:rPr>
              <w:t>Explanation of the Early Help System</w:t>
            </w:r>
            <w:r>
              <w:rPr>
                <w:webHidden/>
              </w:rPr>
              <w:tab/>
            </w:r>
            <w:r>
              <w:rPr>
                <w:webHidden/>
              </w:rPr>
              <w:fldChar w:fldCharType="begin"/>
            </w:r>
            <w:r>
              <w:rPr>
                <w:webHidden/>
              </w:rPr>
              <w:instrText xml:space="preserve"> PAGEREF _Toc212040412 \h </w:instrText>
            </w:r>
            <w:r>
              <w:rPr>
                <w:webHidden/>
              </w:rPr>
            </w:r>
            <w:r>
              <w:rPr>
                <w:webHidden/>
              </w:rPr>
              <w:fldChar w:fldCharType="separate"/>
            </w:r>
            <w:r>
              <w:rPr>
                <w:webHidden/>
              </w:rPr>
              <w:t>3</w:t>
            </w:r>
            <w:r>
              <w:rPr>
                <w:webHidden/>
              </w:rPr>
              <w:fldChar w:fldCharType="end"/>
            </w:r>
          </w:hyperlink>
        </w:p>
        <w:p w14:paraId="059A49AF" w14:textId="77777777" w:rsidR="002A1198" w:rsidRDefault="002A1198" w:rsidP="009C7872">
          <w:pPr>
            <w:pStyle w:val="TOC1"/>
          </w:pPr>
          <w:hyperlink w:anchor="_Toc212040413" w:history="1">
            <w:r w:rsidRPr="000F092B">
              <w:rPr>
                <w:rStyle w:val="Hyperlink"/>
              </w:rPr>
              <w:t>Explanation of multi-agency working</w:t>
            </w:r>
            <w:r>
              <w:rPr>
                <w:webHidden/>
              </w:rPr>
              <w:tab/>
            </w:r>
            <w:r>
              <w:rPr>
                <w:webHidden/>
              </w:rPr>
              <w:fldChar w:fldCharType="begin"/>
            </w:r>
            <w:r>
              <w:rPr>
                <w:webHidden/>
              </w:rPr>
              <w:instrText xml:space="preserve"> PAGEREF _Toc212040413 \h </w:instrText>
            </w:r>
            <w:r>
              <w:rPr>
                <w:webHidden/>
              </w:rPr>
            </w:r>
            <w:r>
              <w:rPr>
                <w:webHidden/>
              </w:rPr>
              <w:fldChar w:fldCharType="separate"/>
            </w:r>
            <w:r>
              <w:rPr>
                <w:webHidden/>
              </w:rPr>
              <w:t>4</w:t>
            </w:r>
            <w:r>
              <w:rPr>
                <w:webHidden/>
              </w:rPr>
              <w:fldChar w:fldCharType="end"/>
            </w:r>
          </w:hyperlink>
        </w:p>
        <w:p w14:paraId="0B09628B" w14:textId="77777777" w:rsidR="002A1198" w:rsidRDefault="002A1198" w:rsidP="009C7872">
          <w:pPr>
            <w:pStyle w:val="TOC1"/>
          </w:pPr>
          <w:hyperlink w:anchor="_Toc212040414" w:history="1">
            <w:r w:rsidRPr="000F092B">
              <w:rPr>
                <w:rStyle w:val="Hyperlink"/>
              </w:rPr>
              <w:t>Evaluation of three local authority websites</w:t>
            </w:r>
            <w:r>
              <w:rPr>
                <w:webHidden/>
              </w:rPr>
              <w:tab/>
            </w:r>
            <w:r>
              <w:rPr>
                <w:webHidden/>
              </w:rPr>
              <w:fldChar w:fldCharType="begin"/>
            </w:r>
            <w:r>
              <w:rPr>
                <w:webHidden/>
              </w:rPr>
              <w:instrText xml:space="preserve"> PAGEREF _Toc212040414 \h </w:instrText>
            </w:r>
            <w:r>
              <w:rPr>
                <w:webHidden/>
              </w:rPr>
            </w:r>
            <w:r>
              <w:rPr>
                <w:webHidden/>
              </w:rPr>
              <w:fldChar w:fldCharType="separate"/>
            </w:r>
            <w:r>
              <w:rPr>
                <w:webHidden/>
              </w:rPr>
              <w:t>5</w:t>
            </w:r>
            <w:r>
              <w:rPr>
                <w:webHidden/>
              </w:rPr>
              <w:fldChar w:fldCharType="end"/>
            </w:r>
          </w:hyperlink>
        </w:p>
        <w:p w14:paraId="0216292B" w14:textId="77777777" w:rsidR="002A1198" w:rsidRDefault="002A1198" w:rsidP="009C7872">
          <w:pPr>
            <w:pStyle w:val="TOC1"/>
          </w:pPr>
          <w:hyperlink w:anchor="_Toc212040415" w:history="1">
            <w:r w:rsidRPr="000F092B">
              <w:rPr>
                <w:rStyle w:val="Hyperlink"/>
              </w:rPr>
              <w:t>Comparative analysis of main strengths and weakness of how the local authority websites communicate the Early Help and other support services</w:t>
            </w:r>
            <w:r>
              <w:rPr>
                <w:webHidden/>
              </w:rPr>
              <w:tab/>
            </w:r>
            <w:r>
              <w:rPr>
                <w:webHidden/>
              </w:rPr>
              <w:fldChar w:fldCharType="begin"/>
            </w:r>
            <w:r>
              <w:rPr>
                <w:webHidden/>
              </w:rPr>
              <w:instrText xml:space="preserve"> PAGEREF _Toc212040415 \h </w:instrText>
            </w:r>
            <w:r>
              <w:rPr>
                <w:webHidden/>
              </w:rPr>
            </w:r>
            <w:r>
              <w:rPr>
                <w:webHidden/>
              </w:rPr>
              <w:fldChar w:fldCharType="separate"/>
            </w:r>
            <w:r>
              <w:rPr>
                <w:webHidden/>
              </w:rPr>
              <w:t>7</w:t>
            </w:r>
            <w:r>
              <w:rPr>
                <w:webHidden/>
              </w:rPr>
              <w:fldChar w:fldCharType="end"/>
            </w:r>
          </w:hyperlink>
        </w:p>
        <w:p w14:paraId="273612B7" w14:textId="77777777" w:rsidR="002A1198" w:rsidRDefault="002A1198" w:rsidP="009C7872">
          <w:pPr>
            <w:pStyle w:val="TOC1"/>
          </w:pPr>
          <w:hyperlink w:anchor="_Toc212040416" w:history="1">
            <w:r w:rsidRPr="000F092B">
              <w:rPr>
                <w:rStyle w:val="Hyperlink"/>
              </w:rPr>
              <w:t>Conclusion and Recommendations</w:t>
            </w:r>
            <w:r>
              <w:rPr>
                <w:webHidden/>
              </w:rPr>
              <w:tab/>
            </w:r>
            <w:r>
              <w:rPr>
                <w:webHidden/>
              </w:rPr>
              <w:fldChar w:fldCharType="begin"/>
            </w:r>
            <w:r>
              <w:rPr>
                <w:webHidden/>
              </w:rPr>
              <w:instrText xml:space="preserve"> PAGEREF _Toc212040416 \h </w:instrText>
            </w:r>
            <w:r>
              <w:rPr>
                <w:webHidden/>
              </w:rPr>
            </w:r>
            <w:r>
              <w:rPr>
                <w:webHidden/>
              </w:rPr>
              <w:fldChar w:fldCharType="separate"/>
            </w:r>
            <w:r>
              <w:rPr>
                <w:webHidden/>
              </w:rPr>
              <w:t>7</w:t>
            </w:r>
            <w:r>
              <w:rPr>
                <w:webHidden/>
              </w:rPr>
              <w:fldChar w:fldCharType="end"/>
            </w:r>
          </w:hyperlink>
        </w:p>
        <w:p w14:paraId="6078C3E2" w14:textId="77777777" w:rsidR="002A1198" w:rsidRPr="009C7872" w:rsidRDefault="002A1198" w:rsidP="009C7872">
          <w:pPr>
            <w:pStyle w:val="TOC1"/>
          </w:pPr>
          <w:hyperlink w:anchor="_Toc212040417" w:history="1">
            <w:r w:rsidRPr="009C7872">
              <w:rPr>
                <w:rStyle w:val="Hyperlink"/>
              </w:rPr>
              <w:t>References</w:t>
            </w:r>
            <w:r w:rsidRPr="009C7872">
              <w:rPr>
                <w:webHidden/>
              </w:rPr>
              <w:tab/>
            </w:r>
            <w:r w:rsidRPr="009C7872">
              <w:rPr>
                <w:webHidden/>
              </w:rPr>
              <w:fldChar w:fldCharType="begin"/>
            </w:r>
            <w:r w:rsidRPr="009C7872">
              <w:rPr>
                <w:webHidden/>
              </w:rPr>
              <w:instrText xml:space="preserve"> PAGEREF _Toc212040417 \h </w:instrText>
            </w:r>
            <w:r w:rsidRPr="009C7872">
              <w:rPr>
                <w:webHidden/>
              </w:rPr>
            </w:r>
            <w:r w:rsidRPr="009C7872">
              <w:rPr>
                <w:webHidden/>
              </w:rPr>
              <w:fldChar w:fldCharType="separate"/>
            </w:r>
            <w:r w:rsidRPr="009C7872">
              <w:rPr>
                <w:webHidden/>
              </w:rPr>
              <w:t>8</w:t>
            </w:r>
            <w:r w:rsidRPr="009C7872">
              <w:rPr>
                <w:webHidden/>
              </w:rPr>
              <w:fldChar w:fldCharType="end"/>
            </w:r>
          </w:hyperlink>
        </w:p>
        <w:p w14:paraId="13FF97EF" w14:textId="77777777" w:rsidR="002A1198" w:rsidRDefault="002A1198" w:rsidP="002A1198">
          <w:pPr>
            <w:rPr>
              <w:b/>
              <w:bCs/>
              <w:noProof/>
            </w:rPr>
          </w:pPr>
          <w:r>
            <w:rPr>
              <w:b/>
              <w:bCs/>
              <w:noProof/>
            </w:rPr>
            <w:fldChar w:fldCharType="end"/>
          </w:r>
        </w:p>
      </w:sdtContent>
    </w:sdt>
    <w:p w14:paraId="1FB4508E" w14:textId="7C65C0F0" w:rsidR="002A1198" w:rsidRDefault="002A1198" w:rsidP="002A1198"/>
    <w:p w14:paraId="66A7BB5C" w14:textId="4BCBA225" w:rsidR="002A1198" w:rsidRDefault="002A1198" w:rsidP="002A1198"/>
    <w:p w14:paraId="5E184A98" w14:textId="64F28B4C" w:rsidR="002A1198" w:rsidRDefault="002A1198" w:rsidP="002A1198"/>
    <w:p w14:paraId="47D6D9E5" w14:textId="187206A0" w:rsidR="002A1198" w:rsidRDefault="002A1198" w:rsidP="002A1198"/>
    <w:p w14:paraId="6974F932" w14:textId="4788E189" w:rsidR="002A1198" w:rsidRDefault="002A1198" w:rsidP="002A1198"/>
    <w:p w14:paraId="69410D99" w14:textId="7FB395B2" w:rsidR="002A1198" w:rsidRDefault="002A1198" w:rsidP="002A1198"/>
    <w:p w14:paraId="2782DC2E" w14:textId="624596C4" w:rsidR="002A1198" w:rsidRDefault="002A1198" w:rsidP="002A1198"/>
    <w:p w14:paraId="22B5D70A" w14:textId="35075B72" w:rsidR="002A1198" w:rsidRDefault="002A1198" w:rsidP="002A1198"/>
    <w:p w14:paraId="764C02D2" w14:textId="5D152D65" w:rsidR="002A1198" w:rsidRDefault="002A1198" w:rsidP="002A1198"/>
    <w:p w14:paraId="107B6651" w14:textId="6910F71B" w:rsidR="002A1198" w:rsidRDefault="002A1198" w:rsidP="002A1198"/>
    <w:p w14:paraId="4AE4C42A" w14:textId="454654AD" w:rsidR="002A1198" w:rsidRDefault="002A1198" w:rsidP="002A1198"/>
    <w:p w14:paraId="362B4D63" w14:textId="36448EF4" w:rsidR="002A1198" w:rsidRDefault="002A1198" w:rsidP="002A1198"/>
    <w:p w14:paraId="7F2D051F" w14:textId="7D2A7855" w:rsidR="002A1198" w:rsidRDefault="002A1198" w:rsidP="002A1198"/>
    <w:p w14:paraId="615761AB" w14:textId="704AC2A5" w:rsidR="002A1198" w:rsidRDefault="002A1198" w:rsidP="002A1198"/>
    <w:p w14:paraId="7F1A38DC" w14:textId="2C04591E" w:rsidR="002A1198" w:rsidRDefault="002A1198" w:rsidP="002A1198"/>
    <w:p w14:paraId="3DDB9DDA" w14:textId="2D4398C0" w:rsidR="002A1198" w:rsidRDefault="002A1198" w:rsidP="002A1198"/>
    <w:p w14:paraId="1547CE73" w14:textId="7EC7DD4D" w:rsidR="002A1198" w:rsidRDefault="002A1198" w:rsidP="002A1198"/>
    <w:p w14:paraId="5481D6C5" w14:textId="141930E4" w:rsidR="002A1198" w:rsidRDefault="002A1198" w:rsidP="002A1198"/>
    <w:p w14:paraId="25754ED5" w14:textId="205DF71B" w:rsidR="002A1198" w:rsidRDefault="002A1198" w:rsidP="002A1198"/>
    <w:p w14:paraId="4FDD835A" w14:textId="0004E48C" w:rsidR="002A1198" w:rsidRDefault="002A1198" w:rsidP="002A1198"/>
    <w:p w14:paraId="56C081F6" w14:textId="32468F90" w:rsidR="002A1198" w:rsidRDefault="002A1198" w:rsidP="002A1198"/>
    <w:p w14:paraId="543B2E57" w14:textId="4FCCAC04" w:rsidR="002A1198" w:rsidRPr="00F52446" w:rsidRDefault="002A1198" w:rsidP="002A1198">
      <w:pPr>
        <w:jc w:val="both"/>
        <w:rPr>
          <w:rFonts w:ascii="Arial" w:hAnsi="Arial" w:cs="Arial"/>
          <w:b/>
          <w:bCs/>
          <w:sz w:val="28"/>
          <w:szCs w:val="28"/>
        </w:rPr>
      </w:pPr>
      <w:bookmarkStart w:id="0" w:name="_Hlk212030760"/>
      <w:r w:rsidRPr="00F52446">
        <w:rPr>
          <w:rFonts w:ascii="Arial" w:hAnsi="Arial" w:cs="Arial"/>
          <w:b/>
          <w:bCs/>
          <w:sz w:val="28"/>
          <w:szCs w:val="28"/>
        </w:rPr>
        <w:t>Task Title</w:t>
      </w:r>
      <w:r w:rsidRPr="00F52446">
        <w:rPr>
          <w:rFonts w:ascii="Arial" w:hAnsi="Arial" w:cs="Arial"/>
          <w:b/>
          <w:bCs/>
          <w:sz w:val="28"/>
          <w:szCs w:val="28"/>
        </w:rPr>
        <w:t xml:space="preserve"> – An examination and analysis of how the ‘Early Help’ system is signposted to UK families by their local authority website. </w:t>
      </w:r>
    </w:p>
    <w:p w14:paraId="79EFF6C8" w14:textId="40BECC9C" w:rsidR="002A1198" w:rsidRDefault="002A1198" w:rsidP="002A1198">
      <w:pPr>
        <w:jc w:val="both"/>
        <w:rPr>
          <w:rFonts w:ascii="Arial" w:hAnsi="Arial" w:cs="Arial"/>
          <w:b/>
          <w:bCs/>
          <w:sz w:val="24"/>
          <w:szCs w:val="24"/>
        </w:rPr>
      </w:pPr>
    </w:p>
    <w:p w14:paraId="228D589B" w14:textId="77777777" w:rsidR="002A1198" w:rsidRPr="00AB05F4" w:rsidRDefault="002A1198" w:rsidP="002A1198">
      <w:pPr>
        <w:rPr>
          <w:rFonts w:ascii="Arial" w:hAnsi="Arial" w:cs="Arial"/>
          <w:sz w:val="40"/>
          <w:szCs w:val="40"/>
        </w:rPr>
      </w:pPr>
      <w:bookmarkStart w:id="1" w:name="_Toc212040411"/>
      <w:r w:rsidRPr="00AB05F4">
        <w:rPr>
          <w:b/>
          <w:bCs/>
          <w:sz w:val="40"/>
          <w:szCs w:val="40"/>
        </w:rPr>
        <w:t>Introduction</w:t>
      </w:r>
      <w:bookmarkEnd w:id="1"/>
      <w:r w:rsidRPr="00AB05F4">
        <w:rPr>
          <w:rFonts w:ascii="Arial" w:hAnsi="Arial" w:cs="Arial"/>
          <w:sz w:val="40"/>
          <w:szCs w:val="40"/>
        </w:rPr>
        <w:t xml:space="preserve"> </w:t>
      </w:r>
    </w:p>
    <w:p w14:paraId="238CFD2A" w14:textId="77777777" w:rsidR="002A1198" w:rsidRDefault="002A1198" w:rsidP="002A1198">
      <w:pPr>
        <w:rPr>
          <w:rFonts w:ascii="Arial" w:hAnsi="Arial" w:cs="Arial"/>
          <w:sz w:val="24"/>
          <w:szCs w:val="24"/>
        </w:rPr>
      </w:pPr>
      <w:r w:rsidRPr="00AB05F4">
        <w:rPr>
          <w:rFonts w:ascii="Arial" w:hAnsi="Arial" w:cs="Arial"/>
          <w:sz w:val="24"/>
          <w:szCs w:val="24"/>
        </w:rPr>
        <w:t>Early Help encompasses preventative services designed to support children and families when problems first emerge, before they escalate into more serious difficulties. Classified as early intervention services, these provisions are delivered by local authorities and offer diverse forms of support, predominantly information and guidance to assist families in addressing emerging needs (Action for Children, 2025). Effective communication and accessibility of Early Help services through digital platforms is critical to ensuring families can access timely support. This report critically examines how the Early Help System is signposted to families in the UK through local authority websites. Employing a comparative analytical framework, this study evaluates three local authority websites—Leicestershire County Council, Norfolk County Council, and Staffordshire County Council—to assess how information regarding Early Help and family support services is presented and communicated to service users. Through systematic comparison of website content, navigation, and information architecture, this analysis will determine which local authority demonstrates the most accessible and effective presentation of Early Help information and family support services, thereby identifying best practice in digital service communication.</w:t>
      </w:r>
    </w:p>
    <w:p w14:paraId="72BC547C" w14:textId="5F877C1E" w:rsidR="002A1198" w:rsidRDefault="002A1198" w:rsidP="002A1198">
      <w:pPr>
        <w:jc w:val="both"/>
        <w:rPr>
          <w:rFonts w:ascii="Arial" w:hAnsi="Arial" w:cs="Arial"/>
          <w:b/>
          <w:bCs/>
          <w:sz w:val="24"/>
          <w:szCs w:val="24"/>
        </w:rPr>
      </w:pPr>
    </w:p>
    <w:p w14:paraId="7EE8BC81" w14:textId="77777777" w:rsidR="002A1198" w:rsidRPr="00AB05F4" w:rsidRDefault="002A1198" w:rsidP="002A1198">
      <w:pPr>
        <w:pStyle w:val="font-claude-response-body"/>
        <w:rPr>
          <w:rFonts w:ascii="Arial" w:hAnsi="Arial" w:cs="Arial"/>
          <w:sz w:val="28"/>
          <w:szCs w:val="28"/>
        </w:rPr>
      </w:pPr>
      <w:r w:rsidRPr="00AB05F4">
        <w:rPr>
          <w:rStyle w:val="Strong"/>
          <w:rFonts w:ascii="Arial" w:eastAsiaTheme="majorEastAsia" w:hAnsi="Arial" w:cs="Arial"/>
          <w:sz w:val="28"/>
          <w:szCs w:val="28"/>
        </w:rPr>
        <w:t>Explanation of the Early Help System</w:t>
      </w:r>
    </w:p>
    <w:p w14:paraId="4194A436" w14:textId="77777777" w:rsidR="002A1198" w:rsidRPr="00AB05F4" w:rsidRDefault="002A1198" w:rsidP="002A1198">
      <w:pPr>
        <w:pStyle w:val="font-claude-response-body"/>
        <w:rPr>
          <w:rFonts w:ascii="Arial" w:hAnsi="Arial" w:cs="Arial"/>
        </w:rPr>
      </w:pPr>
      <w:r w:rsidRPr="00AB05F4">
        <w:rPr>
          <w:rFonts w:ascii="Arial" w:hAnsi="Arial" w:cs="Arial"/>
        </w:rPr>
        <w:t>Early Help constitutes preventative support provided to children of all ages, designed to enhance family resilience and outcomes while mitigating the escalation of emerging difficulties (HM Government, 2023). Rather than functioning as a discrete service, Early Help operates as a collaborative system of support delivered through partnerships between local authorities and multi-agency stakeholders, underpinned by collective responsibility to ensure appropriate provision within their jurisdiction. Certain Early Help interventions are delivered through universal services, including health and education provision (HM Government, 2023). Universal services are characterized by their availability to all individuals irrespective of identified need. Conversely, targeted Early Help services are coordinated by local authorities and partner agencies to address specific familial concerns. Examples of targeted provision include parenting support programmes, youth services, mental health interventions, housing and employment assistance, and youth offending teams. Early Help is deemed appropriate for children and families presenting with multiple needs and circumstances that increase vulnerability. As a voluntary framework, Early Help requires informed family consent to access services and support, and may be delivered before, during, or following statutory interventions (HM Government, 2023).</w:t>
      </w:r>
    </w:p>
    <w:p w14:paraId="7E6C957D" w14:textId="77777777" w:rsidR="002A1198" w:rsidRPr="00AB05F4" w:rsidRDefault="002A1198" w:rsidP="002A1198">
      <w:pPr>
        <w:pStyle w:val="font-claude-response-body"/>
        <w:rPr>
          <w:rFonts w:ascii="Arial" w:hAnsi="Arial" w:cs="Arial"/>
        </w:rPr>
      </w:pPr>
      <w:r w:rsidRPr="00AB05F4">
        <w:rPr>
          <w:rFonts w:ascii="Arial" w:hAnsi="Arial" w:cs="Arial"/>
        </w:rPr>
        <w:lastRenderedPageBreak/>
        <w:t>The Early Help System establishes local strategic partnerships as accountable bodies for their area's early help provision. Core responsibilities encompass: identifying children and families who would benefit from early help intervention; conducting comprehensive early help needs assessments that consider all family members' requirements; facilitating effective and sustained communication through regular multi-practitioner meetings with families; coordinating and delivering support within an outcomes-focused plan co-designed with children and families, with iterative updates reflecting changing needs; engaging meaningfully with families and their broader support networks; and utilizing family-led decision-making approaches, including family group conferences, to address children's needs holistically (HM Government, 2023).</w:t>
      </w:r>
    </w:p>
    <w:p w14:paraId="6BB1652F" w14:textId="6CA0C88C" w:rsidR="002A1198" w:rsidRDefault="002A1198" w:rsidP="002A1198">
      <w:pPr>
        <w:jc w:val="both"/>
        <w:rPr>
          <w:rFonts w:ascii="Arial" w:hAnsi="Arial" w:cs="Arial"/>
          <w:b/>
          <w:bCs/>
          <w:sz w:val="24"/>
          <w:szCs w:val="24"/>
        </w:rPr>
      </w:pPr>
    </w:p>
    <w:p w14:paraId="03953FEC" w14:textId="77777777" w:rsidR="002A1198" w:rsidRPr="002A1198" w:rsidRDefault="002A1198" w:rsidP="002A1198">
      <w:pPr>
        <w:pStyle w:val="font-claude-response-body"/>
        <w:rPr>
          <w:rFonts w:ascii="Arial" w:hAnsi="Arial" w:cs="Arial"/>
          <w:sz w:val="40"/>
          <w:szCs w:val="40"/>
        </w:rPr>
      </w:pPr>
      <w:r w:rsidRPr="002A1198">
        <w:rPr>
          <w:rStyle w:val="Strong"/>
          <w:rFonts w:ascii="Arial" w:eastAsiaTheme="majorEastAsia" w:hAnsi="Arial" w:cs="Arial"/>
          <w:sz w:val="40"/>
          <w:szCs w:val="40"/>
        </w:rPr>
        <w:t>Explanation of Multi-Agency Working</w:t>
      </w:r>
    </w:p>
    <w:p w14:paraId="0FC1F09E" w14:textId="77777777" w:rsidR="002A1198" w:rsidRPr="00AB05F4" w:rsidRDefault="002A1198" w:rsidP="002A1198">
      <w:pPr>
        <w:pStyle w:val="font-claude-response-body"/>
        <w:rPr>
          <w:rFonts w:ascii="Arial" w:hAnsi="Arial" w:cs="Arial"/>
        </w:rPr>
      </w:pPr>
      <w:r w:rsidRPr="00AB05F4">
        <w:rPr>
          <w:rFonts w:ascii="Arial" w:hAnsi="Arial" w:cs="Arial"/>
        </w:rPr>
        <w:t>Multi-agency working is defined as the collaborative practice of professionals from diverse agencies working collectively to deliver effective and coordinated support, particularly for individuals with complex safeguarding needs (Dixon et al., 2022). This approach is predicated on improving service user outcomes through the sharing of information, resources, and expertise to address health and care needs holistically (Richardson and Asthana, 2005). Central to multi-agency working is the establishment of a single point of entry for referrals and joint decision-making, with an emphasis on early intervention and prevention strategies (Jahans-Baynton and Grealish, 2022).</w:t>
      </w:r>
    </w:p>
    <w:p w14:paraId="1E389380" w14:textId="77777777" w:rsidR="002A1198" w:rsidRPr="00AB05F4" w:rsidRDefault="002A1198" w:rsidP="002A1198">
      <w:pPr>
        <w:pStyle w:val="font-claude-response-body"/>
        <w:rPr>
          <w:rFonts w:ascii="Arial" w:hAnsi="Arial" w:cs="Arial"/>
        </w:rPr>
      </w:pPr>
      <w:r w:rsidRPr="00AB05F4">
        <w:rPr>
          <w:rFonts w:ascii="Arial" w:hAnsi="Arial" w:cs="Arial"/>
        </w:rPr>
        <w:t>Multi-agency working confers several significant advantages, notably enhanced coordination and collaboration across service providers (Lees, 2016). The integration of diverse agencies—including the NHS, educational institutions, local authorities, and social care organizations—facilitates comprehensive support for service users. Information sharing constitutes a fundamental component, enabling more informed and effective decision-making processes (Jahans-Baynton and Grealish, 2022). Multi-Agency Safeguarding Hubs (MASH) exemplify this collaborative framework, bringing together professionals with specialist expertise from social care, health, police, and local authorities to identify risks and share intelligence, thereby strengthening safeguarding measures for vulnerable individuals. Furthermore, multi-agency working promotes resource efficiency by reducing duplication of effort. Early intervention capabilities enable practitioners to identify risks at nascent stages, facilitating timely intervention and preventative action that minimizes potential harm to service users (Dixon et al., 2022).</w:t>
      </w:r>
    </w:p>
    <w:p w14:paraId="7B7F4E84" w14:textId="77777777" w:rsidR="002A1198" w:rsidRDefault="002A1198" w:rsidP="002A1198">
      <w:pPr>
        <w:pStyle w:val="font-claude-response-body"/>
        <w:rPr>
          <w:rFonts w:ascii="Arial" w:hAnsi="Arial" w:cs="Arial"/>
        </w:rPr>
      </w:pPr>
      <w:r w:rsidRPr="00AB05F4">
        <w:rPr>
          <w:rFonts w:ascii="Arial" w:hAnsi="Arial" w:cs="Arial"/>
        </w:rPr>
        <w:t>However, multi-agency working presents notable challenges. Role ambiguity may arise when practitioners lack clarity regarding their own responsibilities or fail to comprehend the functions of partner agencies (Lees, 2016). Additionally, information sharing protocols pose significant challenges, as individual agencies operate under distinct policies governing the disclosure of service user data, creating potential barriers to effective collaboration within the UK health and social care context (Dixon et al., 2022).</w:t>
      </w:r>
    </w:p>
    <w:p w14:paraId="6F3A83BD" w14:textId="3A38D01A" w:rsidR="002A1198" w:rsidRDefault="002A1198" w:rsidP="002A1198">
      <w:pPr>
        <w:jc w:val="both"/>
        <w:rPr>
          <w:rFonts w:ascii="Arial" w:hAnsi="Arial" w:cs="Arial"/>
          <w:b/>
          <w:bCs/>
          <w:sz w:val="24"/>
          <w:szCs w:val="24"/>
        </w:rPr>
      </w:pPr>
    </w:p>
    <w:p w14:paraId="75077D85" w14:textId="77777777" w:rsidR="002A1198" w:rsidRDefault="002A1198" w:rsidP="002A1198">
      <w:pPr>
        <w:pStyle w:val="font-claude-response-body"/>
        <w:rPr>
          <w:rStyle w:val="Strong"/>
          <w:rFonts w:ascii="Arial" w:eastAsiaTheme="majorEastAsia" w:hAnsi="Arial" w:cs="Arial"/>
        </w:rPr>
      </w:pPr>
    </w:p>
    <w:p w14:paraId="57997E3D" w14:textId="759F22D0" w:rsidR="002A1198" w:rsidRPr="002A1198" w:rsidRDefault="002A1198" w:rsidP="002A1198">
      <w:pPr>
        <w:pStyle w:val="font-claude-response-body"/>
        <w:rPr>
          <w:rFonts w:ascii="Arial" w:hAnsi="Arial" w:cs="Arial"/>
          <w:sz w:val="40"/>
          <w:szCs w:val="40"/>
        </w:rPr>
      </w:pPr>
      <w:r w:rsidRPr="002A1198">
        <w:rPr>
          <w:rStyle w:val="Strong"/>
          <w:rFonts w:ascii="Arial" w:eastAsiaTheme="majorEastAsia" w:hAnsi="Arial" w:cs="Arial"/>
          <w:sz w:val="40"/>
          <w:szCs w:val="40"/>
        </w:rPr>
        <w:t>Evaluation of Three Local Authority Websites</w:t>
      </w:r>
    </w:p>
    <w:p w14:paraId="368CC247" w14:textId="77777777" w:rsidR="002A1198" w:rsidRPr="00DA7875" w:rsidRDefault="002A1198" w:rsidP="002A1198">
      <w:pPr>
        <w:pStyle w:val="font-claude-response-body"/>
        <w:rPr>
          <w:rFonts w:ascii="Arial" w:hAnsi="Arial" w:cs="Arial"/>
        </w:rPr>
      </w:pPr>
      <w:r w:rsidRPr="00DA7875">
        <w:rPr>
          <w:rStyle w:val="Strong"/>
          <w:rFonts w:ascii="Arial" w:eastAsiaTheme="majorEastAsia" w:hAnsi="Arial" w:cs="Arial"/>
        </w:rPr>
        <w:t>Leicestershire County Council</w:t>
      </w:r>
    </w:p>
    <w:p w14:paraId="5105E8A5" w14:textId="77777777" w:rsidR="002A1198" w:rsidRPr="00DA7875" w:rsidRDefault="002A1198" w:rsidP="002A1198">
      <w:pPr>
        <w:pStyle w:val="font-claude-response-body"/>
        <w:rPr>
          <w:rFonts w:ascii="Arial" w:hAnsi="Arial" w:cs="Arial"/>
        </w:rPr>
      </w:pPr>
      <w:r w:rsidRPr="00DA7875">
        <w:rPr>
          <w:rFonts w:ascii="Arial" w:hAnsi="Arial" w:cs="Arial"/>
        </w:rPr>
        <w:t>The Leicestershire County Council website features a dedicated Early Help page that acknowledges the spectrum of difficulties children and young people may encounter throughout their developmental trajectories. The page adopts a whole-family support approach, detailing the provision of family support workers embedded within educational settings and access to intensive, therapeutic interventions for families requiring enhanced support. Service offerings encompass parent and community engagement initiatives and early years development programmes. The 'Supporting Families' section articulates clear priorities informed by local evaluation reports and quality assurance frameworks. Crucially, the website facilitates both self-referral pathways and professional referrals from practitioners working within the local authority area, including support workers, healthcare professionals, and educators. A dedicated section for parents and carers elucidates how families requiring additional assistance can access services. The overarching objective is to provide supplementary family support that prevents escalation of difficulties through early intervention before situations deteriorate (Leicester City Council, 2025).</w:t>
      </w:r>
    </w:p>
    <w:p w14:paraId="6ABAED63" w14:textId="77777777" w:rsidR="002A1198" w:rsidRPr="00DA7875" w:rsidRDefault="002A1198" w:rsidP="002A1198">
      <w:pPr>
        <w:pStyle w:val="font-claude-response-body"/>
        <w:rPr>
          <w:rFonts w:ascii="Arial" w:hAnsi="Arial" w:cs="Arial"/>
        </w:rPr>
      </w:pPr>
      <w:r w:rsidRPr="00DA7875">
        <w:rPr>
          <w:rStyle w:val="Strong"/>
          <w:rFonts w:ascii="Arial" w:eastAsiaTheme="majorEastAsia" w:hAnsi="Arial" w:cs="Arial"/>
        </w:rPr>
        <w:t>Norfolk County Council</w:t>
      </w:r>
    </w:p>
    <w:p w14:paraId="2031DAF0" w14:textId="77777777" w:rsidR="002A1198" w:rsidRPr="00DA7875" w:rsidRDefault="002A1198" w:rsidP="002A1198">
      <w:pPr>
        <w:pStyle w:val="font-claude-response-body"/>
        <w:rPr>
          <w:rFonts w:ascii="Arial" w:hAnsi="Arial" w:cs="Arial"/>
        </w:rPr>
      </w:pPr>
      <w:r w:rsidRPr="00DA7875">
        <w:rPr>
          <w:rFonts w:ascii="Arial" w:hAnsi="Arial" w:cs="Arial"/>
        </w:rPr>
        <w:t>The Norfolk County Council website provides comprehensive information regarding support services available to children and families. The platform explicitly identifies its target population as families experiencing difficulties and parents or guardians with concerns about their children's wellbeing. Norfolk's Early Help framework extends beyond reactive support, offering proactive guidance and advice designed to prevent difficulties from emerging. The website specifies eligibility criteria by age, clarifying that families with children or young people under 18 years, as well as young adults aged 18-25 years, can access financial and mental health support services. The information architecture clearly delineates how Norfolk County Council can assist families and outlines multiple service access modalities, including online, face-to-face, and community-based provision. The website provides explicit guidance on requesting Early Help support. However, a notable limitation is the absence of information regarding multi-agency referral pathways; the website does not facilitate direct referrals through partner agencies such as general practitioners, instead requiring families to engage directly with Norfolk County Council (Norfolk County Council, 2025).</w:t>
      </w:r>
    </w:p>
    <w:p w14:paraId="33A8F936" w14:textId="77777777" w:rsidR="002A1198" w:rsidRPr="00DA7875" w:rsidRDefault="002A1198" w:rsidP="002A1198">
      <w:pPr>
        <w:pStyle w:val="font-claude-response-body"/>
        <w:rPr>
          <w:rFonts w:ascii="Arial" w:hAnsi="Arial" w:cs="Arial"/>
        </w:rPr>
      </w:pPr>
      <w:r w:rsidRPr="00DA7875">
        <w:rPr>
          <w:rStyle w:val="Strong"/>
          <w:rFonts w:ascii="Arial" w:eastAsiaTheme="majorEastAsia" w:hAnsi="Arial" w:cs="Arial"/>
        </w:rPr>
        <w:t>Staffordshire County Council</w:t>
      </w:r>
    </w:p>
    <w:p w14:paraId="746D6627" w14:textId="4C2BBDBD" w:rsidR="002A1198" w:rsidRDefault="002A1198" w:rsidP="002A1198">
      <w:pPr>
        <w:pStyle w:val="font-claude-response-body"/>
        <w:rPr>
          <w:rFonts w:ascii="Arial" w:hAnsi="Arial" w:cs="Arial"/>
        </w:rPr>
      </w:pPr>
      <w:r w:rsidRPr="00DA7875">
        <w:rPr>
          <w:rFonts w:ascii="Arial" w:hAnsi="Arial" w:cs="Arial"/>
        </w:rPr>
        <w:t xml:space="preserve">The Staffordshire County Council Early Help page presents comparatively limited information. The website provides basic details about the Early Help team and their support remit, with links to their areas of focus, specifically non-social work needs predominantly at level 3 (additional targeted support). Signposting for accessing </w:t>
      </w:r>
      <w:r w:rsidRPr="00DA7875">
        <w:rPr>
          <w:rFonts w:ascii="Arial" w:hAnsi="Arial" w:cs="Arial"/>
        </w:rPr>
        <w:lastRenderedPageBreak/>
        <w:t>Early Help services includes three primary pathways: submitting an Early Help Support referral, contacting an allocated worker through the Children's Advice Service telephone line, or obtaining further information via the 'Getting Access to Support' page. The website outlines core service functions, including consultation and advice provision, individual casework, group and family interventions, and whole-school programmes (Staffordshire County Council, 2025). However, the overall presentation lacks the comprehensiveness and clarity evident in the other two local authorities examined.</w:t>
      </w:r>
    </w:p>
    <w:p w14:paraId="451ADF64" w14:textId="32F8D01A" w:rsidR="002A1198" w:rsidRDefault="002A1198" w:rsidP="002A1198">
      <w:pPr>
        <w:pStyle w:val="font-claude-response-body"/>
        <w:rPr>
          <w:rFonts w:ascii="Arial" w:hAnsi="Arial" w:cs="Arial"/>
        </w:rPr>
      </w:pPr>
    </w:p>
    <w:p w14:paraId="0556987D" w14:textId="77777777" w:rsidR="00B71B1C" w:rsidRPr="00DA7875" w:rsidRDefault="00B71B1C" w:rsidP="00B71B1C">
      <w:pPr>
        <w:pStyle w:val="font-claude-response-body"/>
        <w:rPr>
          <w:rFonts w:ascii="Arial" w:hAnsi="Arial" w:cs="Arial"/>
        </w:rPr>
      </w:pPr>
      <w:r w:rsidRPr="00DA7875">
        <w:rPr>
          <w:rStyle w:val="Strong"/>
          <w:rFonts w:ascii="Arial" w:eastAsiaTheme="majorEastAsia" w:hAnsi="Arial" w:cs="Arial"/>
        </w:rPr>
        <w:t>Comparative Analysis of Main Strengths and Weaknesses of How the Local Authority Websites Communicate Early Help and Other Support Services</w:t>
      </w:r>
    </w:p>
    <w:p w14:paraId="6624AB3B" w14:textId="77777777" w:rsidR="00B71B1C" w:rsidRPr="00DA7875" w:rsidRDefault="00B71B1C" w:rsidP="00B71B1C">
      <w:pPr>
        <w:pStyle w:val="font-claude-response-body"/>
        <w:rPr>
          <w:rFonts w:ascii="Arial" w:hAnsi="Arial" w:cs="Arial"/>
        </w:rPr>
      </w:pPr>
      <w:r w:rsidRPr="00DA7875">
        <w:rPr>
          <w:rFonts w:ascii="Arial" w:hAnsi="Arial" w:cs="Arial"/>
        </w:rPr>
        <w:t>Comparative analysis of the three local authorities—Leicestershire, Norfolk, and Staffordshire County Councils—reveals that all three demonstrate fundamental strengths in providing accessible information regarding Early Help support and associated services for families. However, significant disparities exist in the comprehensiveness and clarity of information provision. Leicestershire County Council notably offers more extensive information architecture compared to Staffordshire County Council. This disparity is exemplified by Leicestershire's provision of multiple access pathways, including a Multi-Agency Referral Form and an online Request for Services portal, whereas Staffordshire presents more limited entry points. These variations reflect broader inconsistencies in local authority funding allocation and the resultant unevenness in service provision. Analysis of the three councils reveals considerable variation in Early Help service capacity and reach, which does not appear to correlate clearly with underlying population need or demographic indicators of vulnerability. Resource constraints across partner agencies—including police, health services, and social care—are limiting local authorities' capacity to prioritize and effectively deliver Early Help services, creating systemic barriers to early intervention.</w:t>
      </w:r>
    </w:p>
    <w:p w14:paraId="27C9DCA3" w14:textId="4AB439EB" w:rsidR="00B71B1C" w:rsidRDefault="00B71B1C" w:rsidP="00B71B1C">
      <w:pPr>
        <w:pStyle w:val="font-claude-response-body"/>
        <w:rPr>
          <w:rFonts w:ascii="Arial" w:hAnsi="Arial" w:cs="Arial"/>
        </w:rPr>
      </w:pPr>
      <w:r w:rsidRPr="00DA7875">
        <w:rPr>
          <w:rFonts w:ascii="Arial" w:hAnsi="Arial" w:cs="Arial"/>
        </w:rPr>
        <w:t>Further challenges emerge in relation to definitional clarity and outcome measurement. The absence of a standardized definition of 'early help' and clearly articulated success criteria impedes systematic evaluation of service effectiveness across different local authority contexts. Consequently, comparative assessment of service quality and impact remains problematic. Additionally, examination of the three local authorities suggests a prevailing emphasis on short-term, crisis-responsive support rather than sustained, preventative intervention. Not all three authorities demonstrate robust community-based support infrastructure, which may limit the holistic, family-</w:t>
      </w:r>
      <w:r w:rsidR="009C7872" w:rsidRPr="00DA7875">
        <w:rPr>
          <w:rFonts w:ascii="Arial" w:hAnsi="Arial" w:cs="Arial"/>
        </w:rPr>
        <w:t>c</w:t>
      </w:r>
      <w:r w:rsidR="009C7872">
        <w:rPr>
          <w:rFonts w:ascii="Arial" w:hAnsi="Arial" w:cs="Arial"/>
        </w:rPr>
        <w:t>e</w:t>
      </w:r>
      <w:r w:rsidR="009C7872" w:rsidRPr="00DA7875">
        <w:rPr>
          <w:rFonts w:ascii="Arial" w:hAnsi="Arial" w:cs="Arial"/>
        </w:rPr>
        <w:t>ntered</w:t>
      </w:r>
      <w:r w:rsidRPr="00DA7875">
        <w:rPr>
          <w:rFonts w:ascii="Arial" w:hAnsi="Arial" w:cs="Arial"/>
        </w:rPr>
        <w:t xml:space="preserve"> approach that underpins effective Early Help provision. This orientation toward reactive rather than proactive support potentially undermines the preventative objectives central to the Early Help framework.</w:t>
      </w:r>
    </w:p>
    <w:p w14:paraId="062229C4" w14:textId="77777777" w:rsidR="00B71B1C" w:rsidRDefault="00B71B1C" w:rsidP="00B71B1C">
      <w:pPr>
        <w:pStyle w:val="font-claude-response-body"/>
        <w:rPr>
          <w:rFonts w:ascii="Arial" w:hAnsi="Arial" w:cs="Arial"/>
        </w:rPr>
      </w:pPr>
    </w:p>
    <w:p w14:paraId="6D7C65AB" w14:textId="77777777" w:rsidR="00B71B1C" w:rsidRDefault="00B71B1C" w:rsidP="00B71B1C">
      <w:pPr>
        <w:pStyle w:val="font-claude-response-body"/>
        <w:rPr>
          <w:rStyle w:val="Strong"/>
          <w:rFonts w:ascii="Arial" w:eastAsiaTheme="majorEastAsia" w:hAnsi="Arial" w:cs="Arial"/>
          <w:sz w:val="40"/>
          <w:szCs w:val="40"/>
        </w:rPr>
      </w:pPr>
    </w:p>
    <w:p w14:paraId="58075DF9" w14:textId="77777777" w:rsidR="00B71B1C" w:rsidRDefault="00B71B1C" w:rsidP="00B71B1C">
      <w:pPr>
        <w:pStyle w:val="font-claude-response-body"/>
        <w:rPr>
          <w:rStyle w:val="Strong"/>
          <w:rFonts w:ascii="Arial" w:eastAsiaTheme="majorEastAsia" w:hAnsi="Arial" w:cs="Arial"/>
          <w:sz w:val="40"/>
          <w:szCs w:val="40"/>
        </w:rPr>
      </w:pPr>
    </w:p>
    <w:p w14:paraId="67A901CB" w14:textId="5855360C" w:rsidR="00B71B1C" w:rsidRPr="00B71B1C" w:rsidRDefault="00B71B1C" w:rsidP="00B71B1C">
      <w:pPr>
        <w:pStyle w:val="font-claude-response-body"/>
        <w:rPr>
          <w:rFonts w:ascii="Arial" w:hAnsi="Arial" w:cs="Arial"/>
          <w:sz w:val="40"/>
          <w:szCs w:val="40"/>
        </w:rPr>
      </w:pPr>
      <w:r w:rsidRPr="00B71B1C">
        <w:rPr>
          <w:rStyle w:val="Strong"/>
          <w:rFonts w:ascii="Arial" w:eastAsiaTheme="majorEastAsia" w:hAnsi="Arial" w:cs="Arial"/>
          <w:sz w:val="40"/>
          <w:szCs w:val="40"/>
        </w:rPr>
        <w:lastRenderedPageBreak/>
        <w:t>Conclusion and Recommendations</w:t>
      </w:r>
    </w:p>
    <w:p w14:paraId="59B6AE6C" w14:textId="77777777" w:rsidR="00B71B1C" w:rsidRPr="00DA7875" w:rsidRDefault="00B71B1C" w:rsidP="00B71B1C">
      <w:pPr>
        <w:pStyle w:val="font-claude-response-body"/>
        <w:rPr>
          <w:rFonts w:ascii="Arial" w:hAnsi="Arial" w:cs="Arial"/>
        </w:rPr>
      </w:pPr>
      <w:r w:rsidRPr="00DA7875">
        <w:rPr>
          <w:rStyle w:val="Strong"/>
          <w:rFonts w:ascii="Arial" w:eastAsiaTheme="majorEastAsia" w:hAnsi="Arial" w:cs="Arial"/>
        </w:rPr>
        <w:t>Conclusion</w:t>
      </w:r>
    </w:p>
    <w:p w14:paraId="504E51BB" w14:textId="77777777" w:rsidR="00B71B1C" w:rsidRPr="00DA7875" w:rsidRDefault="00B71B1C" w:rsidP="00B71B1C">
      <w:pPr>
        <w:pStyle w:val="font-claude-response-body"/>
        <w:rPr>
          <w:rFonts w:ascii="Arial" w:hAnsi="Arial" w:cs="Arial"/>
        </w:rPr>
      </w:pPr>
      <w:r w:rsidRPr="00DA7875">
        <w:rPr>
          <w:rFonts w:ascii="Arial" w:hAnsi="Arial" w:cs="Arial"/>
        </w:rPr>
        <w:t>This analysis demonstrates that the Early Help system constitutes a preventative framework designed to support children and families at the earliest indication of emerging difficulties. Early Help provision is delivered through integrated multi-agency partnerships to ensure timely and appropriate intervention. Evaluation of three local authority websites—Leicestershire, Norfolk, and Staffordshire County Councils—and their approaches to signposting support services reveals significant disparities in information provision. While some local authorities, notably Leicestershire, offer comprehensive and accessible information with multiple referral pathways, others, such as Staffordshire, present comparatively limited content. These inconsistencies in digital communication reflect broader systemic challenges, including variations in funding allocation, resource capacity, and definitional clarity regarding Early Help provision. The resultant inequality in service accessibility poses particular risks for families in areas of greatest socioeconomic deprivation, potentially undermining the preventative objectives fundamental to the Early Help framework.</w:t>
      </w:r>
    </w:p>
    <w:p w14:paraId="67A24D5F" w14:textId="77777777" w:rsidR="00B71B1C" w:rsidRPr="00DA7875" w:rsidRDefault="00B71B1C" w:rsidP="00B71B1C">
      <w:pPr>
        <w:pStyle w:val="font-claude-response-body"/>
        <w:rPr>
          <w:rFonts w:ascii="Arial" w:hAnsi="Arial" w:cs="Arial"/>
        </w:rPr>
      </w:pPr>
      <w:r w:rsidRPr="00DA7875">
        <w:rPr>
          <w:rStyle w:val="Strong"/>
          <w:rFonts w:ascii="Arial" w:eastAsiaTheme="majorEastAsia" w:hAnsi="Arial" w:cs="Arial"/>
        </w:rPr>
        <w:t>Recommendations</w:t>
      </w:r>
    </w:p>
    <w:p w14:paraId="587F1891" w14:textId="77777777" w:rsidR="00B71B1C" w:rsidRPr="00DA7875" w:rsidRDefault="00B71B1C" w:rsidP="00B71B1C">
      <w:pPr>
        <w:pStyle w:val="font-claude-response-body"/>
        <w:rPr>
          <w:rFonts w:ascii="Arial" w:hAnsi="Arial" w:cs="Arial"/>
        </w:rPr>
      </w:pPr>
      <w:r w:rsidRPr="00DA7875">
        <w:rPr>
          <w:rStyle w:val="Strong"/>
          <w:rFonts w:ascii="Arial" w:eastAsiaTheme="majorEastAsia" w:hAnsi="Arial" w:cs="Arial"/>
        </w:rPr>
        <w:t>Recommendation 1: Equitable Funding Distribution</w:t>
      </w:r>
      <w:r w:rsidRPr="00DA7875">
        <w:rPr>
          <w:rFonts w:ascii="Arial" w:hAnsi="Arial" w:cs="Arial"/>
        </w:rPr>
        <w:t xml:space="preserve"> Central government should ensure adequate and equitable funding allocation to all local authorities to minimize variations in Early Help service provision. While acknowledging that some localized variation may be necessary to address specific community needs, funding mechanisms should prioritize reducing inequalities in Early Help accessibility, particularly in areas of heightened socioeconomic deprivation. Sustainable funding models would enable local authorities to develop robust Early Help infrastructure and maintain consistent service delivery.</w:t>
      </w:r>
    </w:p>
    <w:p w14:paraId="1EDE5176" w14:textId="77777777" w:rsidR="00B71B1C" w:rsidRPr="00DA7875" w:rsidRDefault="00B71B1C" w:rsidP="00B71B1C">
      <w:pPr>
        <w:pStyle w:val="font-claude-response-body"/>
        <w:rPr>
          <w:rFonts w:ascii="Arial" w:hAnsi="Arial" w:cs="Arial"/>
        </w:rPr>
      </w:pPr>
      <w:r w:rsidRPr="00DA7875">
        <w:rPr>
          <w:rStyle w:val="Strong"/>
          <w:rFonts w:ascii="Arial" w:eastAsiaTheme="majorEastAsia" w:hAnsi="Arial" w:cs="Arial"/>
        </w:rPr>
        <w:t>Recommendation 2: Standardized Information Architecture</w:t>
      </w:r>
      <w:r w:rsidRPr="00DA7875">
        <w:rPr>
          <w:rFonts w:ascii="Arial" w:hAnsi="Arial" w:cs="Arial"/>
        </w:rPr>
        <w:t xml:space="preserve"> Local authorities should adopt standardized approaches to presenting Early Help information on their websites, ensuring clarity, comprehensiveness, and accessibility. Website content should explicitly articulate: eligibility criteria, multiple referral pathways (including self-referral and professional referral routes), the range of services available, expected outcomes, and multi-agency partnership arrangements. Accessible digital communication is essential to ensure families can navigate support services effectively, thereby improving service uptake and reducing barriers to early intervention.</w:t>
      </w:r>
    </w:p>
    <w:p w14:paraId="51E7ED17" w14:textId="77777777" w:rsidR="00B71B1C" w:rsidRPr="00DA7875" w:rsidRDefault="00B71B1C" w:rsidP="00B71B1C">
      <w:pPr>
        <w:pStyle w:val="font-claude-response-body"/>
        <w:rPr>
          <w:rFonts w:ascii="Arial" w:hAnsi="Arial" w:cs="Arial"/>
        </w:rPr>
      </w:pPr>
      <w:r w:rsidRPr="00DA7875">
        <w:rPr>
          <w:rStyle w:val="Strong"/>
          <w:rFonts w:ascii="Arial" w:eastAsiaTheme="majorEastAsia" w:hAnsi="Arial" w:cs="Arial"/>
        </w:rPr>
        <w:t>Recommendation 3: Multi-Agency Integration</w:t>
      </w:r>
      <w:r w:rsidRPr="00DA7875">
        <w:rPr>
          <w:rFonts w:ascii="Arial" w:hAnsi="Arial" w:cs="Arial"/>
        </w:rPr>
        <w:t xml:space="preserve"> Local authority websites should clearly delineate multi-agency referral pathways, enabling families to access Early Help through various professional touchpoints including education, healthcare, and community services. This integrated approach would enhance accessibility and ensure families receive timely support through their existing points of contact with services.</w:t>
      </w:r>
    </w:p>
    <w:p w14:paraId="0E5447F2" w14:textId="77777777" w:rsidR="002A1198" w:rsidRDefault="002A1198" w:rsidP="002A1198">
      <w:pPr>
        <w:pStyle w:val="font-claude-response-body"/>
        <w:rPr>
          <w:rFonts w:ascii="Arial" w:hAnsi="Arial" w:cs="Arial"/>
        </w:rPr>
      </w:pPr>
    </w:p>
    <w:p w14:paraId="0CBD9601" w14:textId="77777777" w:rsidR="00B71B1C" w:rsidRPr="00B71B1C" w:rsidRDefault="00B71B1C" w:rsidP="00B71B1C">
      <w:pPr>
        <w:pStyle w:val="Heading1"/>
        <w:rPr>
          <w:rFonts w:ascii="Arial" w:hAnsi="Arial" w:cs="Arial"/>
          <w:b/>
          <w:bCs/>
          <w:color w:val="auto"/>
          <w:sz w:val="40"/>
          <w:szCs w:val="40"/>
        </w:rPr>
      </w:pPr>
      <w:bookmarkStart w:id="2" w:name="_Toc212040417"/>
      <w:r w:rsidRPr="00B71B1C">
        <w:rPr>
          <w:rFonts w:ascii="Arial" w:hAnsi="Arial" w:cs="Arial"/>
          <w:b/>
          <w:bCs/>
          <w:color w:val="auto"/>
          <w:sz w:val="40"/>
          <w:szCs w:val="40"/>
        </w:rPr>
        <w:lastRenderedPageBreak/>
        <w:t>References</w:t>
      </w:r>
      <w:bookmarkEnd w:id="2"/>
    </w:p>
    <w:p w14:paraId="53FEC745" w14:textId="0E0BB40F" w:rsidR="00B71B1C" w:rsidRDefault="00B71B1C" w:rsidP="00B71B1C">
      <w:pPr>
        <w:pStyle w:val="NormalWeb"/>
      </w:pPr>
      <w:r>
        <w:t xml:space="preserve">Action for Children (2025) </w:t>
      </w:r>
      <w:r>
        <w:rPr>
          <w:rStyle w:val="Emphasis"/>
        </w:rPr>
        <w:t>What is early help?</w:t>
      </w:r>
      <w:r>
        <w:t xml:space="preserve"> [Online]. Available at: https://www.actionforchildren.org.uk/our-work-and-impact/policy-work-campaigns-and-research/what-is-early-help/ (Accessed: [insert date]).</w:t>
      </w:r>
    </w:p>
    <w:p w14:paraId="702F8B0A" w14:textId="77777777" w:rsidR="00B71B1C" w:rsidRDefault="00B71B1C" w:rsidP="00B71B1C">
      <w:pPr>
        <w:pStyle w:val="NormalWeb"/>
      </w:pPr>
      <w:r>
        <w:t xml:space="preserve">Department for Education (2022) </w:t>
      </w:r>
      <w:r>
        <w:rPr>
          <w:rStyle w:val="Emphasis"/>
        </w:rPr>
        <w:t>The Early Help System: The Early Help System Guide</w:t>
      </w:r>
      <w:r>
        <w:t>. London: Department for Education.</w:t>
      </w:r>
    </w:p>
    <w:p w14:paraId="6AF5EAD4" w14:textId="77777777" w:rsidR="00B71B1C" w:rsidRDefault="00B71B1C" w:rsidP="00B71B1C">
      <w:pPr>
        <w:pStyle w:val="NormalWeb"/>
      </w:pPr>
      <w:r>
        <w:t xml:space="preserve">Dixon, S., Kendall, B., Driscoll, J. and Pope, C. (2022) ‘Supporting the “multi” in multi-agency working: learning with and from each other could enable multi-agency safeguarding’, </w:t>
      </w:r>
      <w:r>
        <w:rPr>
          <w:rStyle w:val="Emphasis"/>
        </w:rPr>
        <w:t>British Journal of General Practice</w:t>
      </w:r>
      <w:r>
        <w:t xml:space="preserve">, 72(722), pp. 438–439. </w:t>
      </w:r>
      <w:proofErr w:type="spellStart"/>
      <w:r>
        <w:t>doi</w:t>
      </w:r>
      <w:proofErr w:type="spellEnd"/>
      <w:r>
        <w:t>: 10.3399/bjgp22X720617.</w:t>
      </w:r>
    </w:p>
    <w:p w14:paraId="773EABF1" w14:textId="77777777" w:rsidR="00B71B1C" w:rsidRDefault="00B71B1C" w:rsidP="00B71B1C">
      <w:pPr>
        <w:pStyle w:val="NormalWeb"/>
      </w:pPr>
      <w:r>
        <w:t xml:space="preserve">HM Government (2023) </w:t>
      </w:r>
      <w:r>
        <w:rPr>
          <w:rStyle w:val="Emphasis"/>
        </w:rPr>
        <w:t>Working Together to Safeguard Children</w:t>
      </w:r>
      <w:r>
        <w:t>. London: HM Government.</w:t>
      </w:r>
    </w:p>
    <w:p w14:paraId="3A57302A" w14:textId="77777777" w:rsidR="00B71B1C" w:rsidRDefault="00B71B1C" w:rsidP="00B71B1C">
      <w:pPr>
        <w:pStyle w:val="NormalWeb"/>
      </w:pPr>
      <w:r>
        <w:t xml:space="preserve">Jahans-Baynton, K. and Grealish, A. (2022) ‘Safeguarding communications between multiagency professionals when working with children and young people: a qualitative study’, </w:t>
      </w:r>
      <w:r>
        <w:rPr>
          <w:rStyle w:val="Emphasis"/>
        </w:rPr>
        <w:t>Journal of Child and Adolescent Psychiatric Nursing</w:t>
      </w:r>
      <w:r>
        <w:t>.</w:t>
      </w:r>
    </w:p>
    <w:p w14:paraId="3DDF9F96" w14:textId="77777777" w:rsidR="00B71B1C" w:rsidRDefault="00B71B1C" w:rsidP="00B71B1C">
      <w:pPr>
        <w:pStyle w:val="NormalWeb"/>
      </w:pPr>
      <w:r>
        <w:t xml:space="preserve">Lees, A. (2016) ‘Facts with feelings — social workers’ experiences of sharing information across team and agency borders to safeguard children’, </w:t>
      </w:r>
      <w:r>
        <w:rPr>
          <w:rStyle w:val="Emphasis"/>
        </w:rPr>
        <w:t>Child and Family Social Work</w:t>
      </w:r>
      <w:r>
        <w:t>.</w:t>
      </w:r>
    </w:p>
    <w:p w14:paraId="46FA1FA6" w14:textId="77777777" w:rsidR="00B71B1C" w:rsidRDefault="00B71B1C" w:rsidP="00B71B1C">
      <w:pPr>
        <w:pStyle w:val="NormalWeb"/>
      </w:pPr>
      <w:r>
        <w:t xml:space="preserve">Leicestershire County Council (2025) </w:t>
      </w:r>
      <w:r>
        <w:rPr>
          <w:rStyle w:val="Emphasis"/>
        </w:rPr>
        <w:t>Early Help</w:t>
      </w:r>
      <w:r>
        <w:t>. [Online]. Available at: https://resources.leicestershire.gov.uk/education-and-children/child-protection-and-safeguarding/early-help (Accessed: [insert date]).</w:t>
      </w:r>
    </w:p>
    <w:p w14:paraId="049CFB33" w14:textId="77777777" w:rsidR="00B71B1C" w:rsidRDefault="00B71B1C" w:rsidP="00B71B1C">
      <w:pPr>
        <w:pStyle w:val="NormalWeb"/>
      </w:pPr>
      <w:r>
        <w:t xml:space="preserve">Norfolk County Council (2025) </w:t>
      </w:r>
      <w:r>
        <w:rPr>
          <w:rStyle w:val="Emphasis"/>
        </w:rPr>
        <w:t>Early Help for children and families</w:t>
      </w:r>
      <w:r>
        <w:t>. [Online]. Available at: https://www.norfolk.gov.uk/article/40407/Early-help-for-children-and-families (Accessed: [insert date]).</w:t>
      </w:r>
    </w:p>
    <w:p w14:paraId="155D897B" w14:textId="77777777" w:rsidR="00B71B1C" w:rsidRDefault="00B71B1C" w:rsidP="00B71B1C">
      <w:pPr>
        <w:pStyle w:val="NormalWeb"/>
      </w:pPr>
      <w:r>
        <w:t xml:space="preserve">Richardson, S. and Asthana, S. (2005) ‘Inter-agency information sharing in health and social care services: the role of professional culture’, </w:t>
      </w:r>
      <w:r>
        <w:rPr>
          <w:rStyle w:val="Emphasis"/>
        </w:rPr>
        <w:t>British Journal of Social Work</w:t>
      </w:r>
      <w:r>
        <w:t xml:space="preserve">. </w:t>
      </w:r>
      <w:proofErr w:type="spellStart"/>
      <w:r>
        <w:t>doi</w:t>
      </w:r>
      <w:proofErr w:type="spellEnd"/>
      <w:r>
        <w:t>: 10.1093/</w:t>
      </w:r>
      <w:proofErr w:type="spellStart"/>
      <w:r>
        <w:t>bjsw</w:t>
      </w:r>
      <w:proofErr w:type="spellEnd"/>
      <w:r>
        <w:t>/bch257.</w:t>
      </w:r>
    </w:p>
    <w:p w14:paraId="406FDEC5" w14:textId="77777777" w:rsidR="00B71B1C" w:rsidRDefault="00B71B1C" w:rsidP="00B71B1C">
      <w:pPr>
        <w:pStyle w:val="NormalWeb"/>
      </w:pPr>
      <w:r>
        <w:t xml:space="preserve">Staffordshire County Council (2025) </w:t>
      </w:r>
      <w:r>
        <w:rPr>
          <w:rStyle w:val="Emphasis"/>
        </w:rPr>
        <w:t>Your Early Help Team</w:t>
      </w:r>
      <w:r>
        <w:t>. [Online]. Available at: https://www.staffordshire.gov.uk/Care-for-children-and-families/Familiesfirstpartners/yourearlyhelpteam.aspx (Accessed: [insert date]).</w:t>
      </w:r>
      <w:bookmarkEnd w:id="0"/>
    </w:p>
    <w:sectPr w:rsidR="00B71B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E45BB"/>
    <w:multiLevelType w:val="multilevel"/>
    <w:tmpl w:val="A70E2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198"/>
    <w:rsid w:val="00100C48"/>
    <w:rsid w:val="002A1198"/>
    <w:rsid w:val="005615DC"/>
    <w:rsid w:val="007C1D50"/>
    <w:rsid w:val="009C7872"/>
    <w:rsid w:val="00B71B1C"/>
    <w:rsid w:val="00D00759"/>
    <w:rsid w:val="00F52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4CF8E"/>
  <w15:chartTrackingRefBased/>
  <w15:docId w15:val="{45BC7107-B7C1-45D6-ABEF-04B120BED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1198"/>
  </w:style>
  <w:style w:type="paragraph" w:styleId="Heading1">
    <w:name w:val="heading 1"/>
    <w:basedOn w:val="Normal"/>
    <w:next w:val="Normal"/>
    <w:link w:val="Heading1Char"/>
    <w:uiPriority w:val="9"/>
    <w:qFormat/>
    <w:rsid w:val="002A11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71B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1198"/>
    <w:rPr>
      <w:color w:val="0563C1" w:themeColor="hyperlink"/>
      <w:u w:val="single"/>
    </w:rPr>
  </w:style>
  <w:style w:type="character" w:customStyle="1" w:styleId="Heading1Char">
    <w:name w:val="Heading 1 Char"/>
    <w:basedOn w:val="DefaultParagraphFont"/>
    <w:link w:val="Heading1"/>
    <w:uiPriority w:val="9"/>
    <w:rsid w:val="002A119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1198"/>
    <w:pPr>
      <w:outlineLvl w:val="9"/>
    </w:pPr>
    <w:rPr>
      <w:lang w:val="en-US"/>
    </w:rPr>
  </w:style>
  <w:style w:type="paragraph" w:styleId="TOC1">
    <w:name w:val="toc 1"/>
    <w:basedOn w:val="Normal"/>
    <w:next w:val="Normal"/>
    <w:autoRedefine/>
    <w:uiPriority w:val="39"/>
    <w:unhideWhenUsed/>
    <w:rsid w:val="009C7872"/>
    <w:pPr>
      <w:tabs>
        <w:tab w:val="right" w:leader="dot" w:pos="9016"/>
      </w:tabs>
      <w:spacing w:after="100"/>
    </w:pPr>
    <w:rPr>
      <w:b/>
      <w:bCs/>
      <w:noProof/>
    </w:rPr>
  </w:style>
  <w:style w:type="paragraph" w:customStyle="1" w:styleId="font-claude-response-body">
    <w:name w:val="font-claude-response-body"/>
    <w:basedOn w:val="Normal"/>
    <w:rsid w:val="002A11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A1198"/>
    <w:rPr>
      <w:b/>
      <w:bCs/>
    </w:rPr>
  </w:style>
  <w:style w:type="character" w:customStyle="1" w:styleId="Heading2Char">
    <w:name w:val="Heading 2 Char"/>
    <w:basedOn w:val="DefaultParagraphFont"/>
    <w:link w:val="Heading2"/>
    <w:uiPriority w:val="9"/>
    <w:semiHidden/>
    <w:rsid w:val="00B71B1C"/>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71B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71B1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433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2673</Words>
  <Characters>15239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Danesha Parkinson</dc:creator>
  <cp:keywords/>
  <dc:description/>
  <cp:lastModifiedBy>Danesha Parkinson</cp:lastModifiedBy>
  <cp:revision>2</cp:revision>
  <dcterms:created xsi:type="dcterms:W3CDTF">2025-12-12T10:13:00Z</dcterms:created>
  <dcterms:modified xsi:type="dcterms:W3CDTF">2025-12-12T10:13:00Z</dcterms:modified>
</cp:coreProperties>
</file>