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<?xml version='1.0' encoding='UTF-8' standalone='yes'?>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>
      <w:pPr>
        <w:pStyle w:val="Heading1"/>
      </w:pPr>
      <w:r>
        <w:t>Reference List (APA 7th Edition)</w:t>
      </w:r>
    </w:p>
    <w:p>
      <w:r>
        <w:rPr>
          <w:i w:val="0"/>
        </w:rPr>
        <w:t xml:space="preserve">Burrell, G., &amp; Morgan, G. (1979). Sociological paradigms and organisational analysis: Elements of the sociology of corporate life. London: Heinemann. </w:t>
      </w:r>
      <w:r>
        <w:t>[Link](https://www.taylorfrancis.com/books/mono/10.4324/9781315609751/sociological-paradigms-organisational-analysis-gibson-burrell-gareth-morgan)</w:t>
      </w:r>
    </w:p>
    <w:p>
      <w:r>
        <w:rPr>
          <w:i w:val="0"/>
        </w:rPr>
        <w:t xml:space="preserve">Hassard, J. (1991). Multiple paradigms and organizational analysis: A case study. Organization Studies, 12(2), 275–299. </w:t>
      </w:r>
      <w:r>
        <w:t>[Link](https://psycnet.apa.org/record/1991-34833-001)</w:t>
      </w:r>
    </w:p>
    <w:p>
      <w:r>
        <w:rPr>
          <w:i w:val="0"/>
        </w:rPr>
        <w:t xml:space="preserve">Kuhn, T. S. (2012). The structure of scientific revolutions (4th ed.). Chicago, IL: University of Chicago Press. </w:t>
      </w:r>
      <w:r>
        <w:t>[Link](https://www.press.uchicago.edu/ucp/books/book/chicago/S/bo13179745.html)</w:t>
      </w:r>
    </w:p>
    <w:p>
      <w:r>
        <w:rPr>
          <w:i w:val="0"/>
        </w:rPr>
        <w:t xml:space="preserve">Shepherd, C., &amp; Challenger, R. (2013). Revisiting paradigm(s) in management research: A rhetorical analysis of the paradigm wars. International Journal of Management Reviews, 15(2), 225–244. </w:t>
      </w:r>
      <w:r>
        <w:t>[Link](https://psycnet.apa.org/record/2013-11956-007)</w:t>
      </w:r>
    </w:p>
    <w:p>
      <w:r>
        <w:rPr>
          <w:i w:val="0"/>
        </w:rPr>
        <w:t xml:space="preserve">Gioia, D. A., &amp; Pitre, E. (1990). Multiparadigm perspectives on theory building. Academy of Management Review, 15(4), 584–602. </w:t>
      </w:r>
      <w:r>
        <w:t>[Link](https://www.jstor.org/stable/258683)</w:t>
      </w:r>
    </w:p>
    <w:p>
      <w:r>
        <w:rPr>
          <w:i w:val="0"/>
        </w:rPr>
        <w:t xml:space="preserve">Lewis, M. W., &amp; Grimes, A. J. (1999). Metatriangulation: Building theory from multiple paradigms. Academy of Management Review, 24(4), 672–690. </w:t>
      </w:r>
      <w:r>
        <w:t>[Link](https://www.jstor.org/stable/259348)</w:t>
      </w:r>
    </w:p>
    <w:p>
      <w:r>
        <w:rPr>
          <w:i w:val="0"/>
        </w:rPr>
        <w:t xml:space="preserve">Feilzer, M. Y. (2010). Doing mixed methods research pragmatically: Implications for the rediscovery of pragmatism as a research paradigm. Journal of Mixed Methods Research, 4(1), 6–16. </w:t>
      </w:r>
      <w:r>
        <w:t>[Link](https://psycnet.apa.org/record/2010-10772-002)</w:t>
      </w:r>
    </w:p>
    <w:p>
      <w:r>
        <w:rPr>
          <w:i w:val="0"/>
        </w:rPr>
        <w:t xml:space="preserve">Jackson, N., &amp; Carter, P. (1991). In defence of paradigm incommensurability. Organization Studies, 12(1), 109–127. </w:t>
      </w:r>
      <w:r>
        <w:t>[Link](https://psycnet.apa.org/record/1991-34833-001)</w:t>
      </w:r>
    </w:p>
    <w:p>
      <w:r>
        <w:rPr>
          <w:i w:val="0"/>
        </w:rPr>
        <w:t xml:space="preserve">Braun, V., &amp; Clarke, V. (2006). Using thematic analysis in psychology. Qualitative Research in Psychology, 3(2), 77–101. </w:t>
      </w:r>
      <w:r>
        <w:t>[Link](https://psycnet.apa.org/record/2006-06991-002)</w:t>
      </w:r>
    </w:p>
    <w:p>
      <w:r>
        <w:rPr>
          <w:i w:val="0"/>
        </w:rPr>
        <w:t xml:space="preserve">Gioia, D. A., Corley, K. G., &amp; Hamilton, A. L. (2013). Seeking qualitative rigor in inductive research: Notes on the Gioia methodology. Organizational Research Methods, 16(1), 15–31. </w:t>
      </w:r>
      <w:r>
        <w:t>[Link](https://psycnet.apa.org/record/2013-04803-002)</w:t>
      </w:r>
    </w:p>
    <w:p>
      <w:r>
        <w:rPr>
          <w:i w:val="0"/>
        </w:rPr>
        <w:t xml:space="preserve">Morgan, G., &amp; Smircich, L. (1980). The case for qualitative research. Academy of Management Review, 5(4), 491–500. </w:t>
      </w:r>
      <w:r>
        <w:t>[Link](https://www.jstor.org/stable/257114)</w:t>
      </w:r>
    </w:p>
    <w:p>
      <w:r>
        <w:rPr>
          <w:i w:val="0"/>
        </w:rPr>
        <w:t xml:space="preserve">Easterby-Smith, M., Jaspersen, L. J., Thorpe, R., &amp; Valizade, D. (2021). Management and business research (7th ed.). London: Sage. </w:t>
      </w:r>
      <w:r>
        <w:t>[Link](https://us.sagepub.com/en-us/nam/management-and-business-research/book274379)</w:t>
      </w:r>
    </w:p>
    <w:p>
      <w:r>
        <w:rPr>
          <w:i w:val="0"/>
        </w:rPr>
        <w:t xml:space="preserve">Berger, P. L., &amp; Luckmann, T. (1966). The social construction of reality. New York: Anchor Books. </w:t>
      </w:r>
      <w:r>
        <w:t>[Link](https://www.penguinrandomhouse.com/books/28704/the-social-construction-of-reality-by-peter-l-berger-and-thomas-luckmann/)</w:t>
      </w:r>
    </w:p>
    <w:p>
      <w:r>
        <w:rPr>
          <w:i w:val="0"/>
        </w:rPr>
        <w:t xml:space="preserve">Schultz, M., &amp; Hatch, M. J. (1996). Living with multiple paradigms: The case of paradigm interplay in organizational culture studies. Academy of Management Review, 21(2), 529–557. </w:t>
      </w:r>
      <w:r>
        <w:t>[Link](https://www.jstor.org/stable/258673)</w:t>
      </w:r>
    </w:p>
    <w:p>
      <w:r>
        <w:rPr>
          <w:i w:val="0"/>
        </w:rPr>
        <w:t xml:space="preserve">Schwandt, T. A. (1994). Constructivist, interpretivist approaches to human inquiry. In N. K. Denzin &amp; Y. S. Lincoln (Eds.), Handbook of qualitative research (pp. 118–137). Thousand Oaks, CA: Sage. </w:t>
      </w:r>
      <w:r>
        <w:t>[Link](https://psycnet.apa.org/record/1994-98625-005)</w:t>
      </w:r>
    </w:p>
    <w:p>
      <w:r>
        <w:rPr>
          <w:i w:val="0"/>
        </w:rPr>
        <w:t xml:space="preserve">Wellington, J. (2010). Making supervision work for you. In J. Wellington et al. (Eds.), Succeeding with your doctorate (pp. 115–132). London: Sage. </w:t>
      </w:r>
      <w:r>
        <w:t>[Link](https://uk.sagepub.com/en-gb/eur/succeeding-with-your-doctorate/book233923)</w:t>
      </w:r>
    </w:p>
    <w:sectPr w:rsidR="00FC693F" w:rsidRPr="0006063C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8"/>
  </w:num>
  <w:num w:numId="2">
    <w:abstractNumId w:val="6"/>
  </w:num>
  <w:num w:numId="3">
    <w:abstractNumId w:val="5"/>
  </w:num>
  <w:num w:numId="4">
    <w:abstractNumId w:val="4"/>
  </w:num>
  <w:num w:numId="5">
    <w:abstractNumId w:val="7"/>
  </w:num>
  <w:num w:numId="6">
    <w:abstractNumId w:val="3"/>
  </w:num>
  <w:num w:numId="7">
    <w:abstractNumId w:val="2"/>
  </w:num>
  <w:num w:numId="8">
    <w:abstractNumId w:val="1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24062061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'1.0' encoding='UTF-8' standalone='yes'?>
<Relationships xmlns="http://schemas.openxmlformats.org/package/2006/relationships"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'1.0' encoding='UTF-8' standalone='yes'?>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Macintosh Word</Application>
  <DocSecurity>0</DocSecurity>
  <Lines>0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0</CharactersWithSpaces>
  <SharedDoc>false</SharedDoc>
  <HyperlinkBase/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/>
  <cp:revision>1</cp:revision>
  <dcterms:created xsi:type="dcterms:W3CDTF">2013-12-23T23:15:00Z</dcterms:created>
  <dcterms:modified xsi:type="dcterms:W3CDTF">2013-12-23T23:15:00Z</dcterms:modified>
  <cp:category/>
</cp:coreProperties>
</file>