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00"/>
        <w:ind w:firstLine="720"/>
        <w:jc w:val="center"/>
        <w:rPr>
          <w:rFonts w:cs="Arial"/>
          <w:b/>
          <w:sz w:val="22"/>
          <w:szCs w:val="22"/>
        </w:rPr>
      </w:pPr>
      <w:r>
        <w:rPr>
          <w:rFonts w:cs="Arial"/>
          <w:b/>
          <w:sz w:val="22"/>
          <w:szCs w:val="22"/>
        </w:rPr>
        <w:t>PG1 - FULL RESEARCH PROPOSAL</w:t>
      </w:r>
    </w:p>
    <w:p>
      <w:pPr>
        <w:rPr>
          <w:rFonts w:cs="Arial"/>
          <w:b/>
          <w:sz w:val="22"/>
          <w:szCs w:val="22"/>
        </w:rPr>
      </w:pPr>
    </w:p>
    <w:tbl>
      <w:tblPr>
        <w:tblStyle w:val="20"/>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776"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bCs/>
                <w:sz w:val="22"/>
                <w:szCs w:val="22"/>
              </w:rPr>
            </w:pPr>
            <w:r>
              <w:rPr>
                <w:rFonts w:cs="Arial"/>
                <w:bCs/>
                <w:sz w:val="22"/>
                <w:szCs w:val="22"/>
              </w:rPr>
              <w:t xml:space="preserve">Once complete, submit this form via the </w:t>
            </w:r>
            <w:r>
              <w:rPr>
                <w:rFonts w:cs="Arial"/>
                <w:b/>
                <w:i/>
                <w:iCs/>
                <w:sz w:val="22"/>
                <w:szCs w:val="22"/>
                <w:u w:val="single"/>
              </w:rPr>
              <w:t>MyTSD Doctoral College Portal</w:t>
            </w:r>
            <w:r>
              <w:rPr>
                <w:rFonts w:cs="Arial"/>
                <w:bCs/>
                <w:sz w:val="22"/>
                <w:szCs w:val="22"/>
              </w:rPr>
              <w:t xml:space="preserve"> at (</w:t>
            </w:r>
            <w:r>
              <w:fldChar w:fldCharType="begin"/>
            </w:r>
            <w:r>
              <w:instrText xml:space="preserve"> HYPERLINK "https://mytsd.uwtsd.ac.uk" </w:instrText>
            </w:r>
            <w:r>
              <w:fldChar w:fldCharType="separate"/>
            </w:r>
            <w:r>
              <w:rPr>
                <w:rStyle w:val="16"/>
                <w:rFonts w:cs="Arial"/>
                <w:bCs/>
                <w:sz w:val="22"/>
                <w:szCs w:val="22"/>
              </w:rPr>
              <w:t>https://mytsd.uwtsd.ac.uk</w:t>
            </w:r>
            <w:r>
              <w:rPr>
                <w:rStyle w:val="16"/>
                <w:rFonts w:cs="Arial"/>
                <w:bCs/>
                <w:sz w:val="22"/>
                <w:szCs w:val="22"/>
              </w:rPr>
              <w:fldChar w:fldCharType="end"/>
            </w:r>
            <w:r>
              <w:rPr>
                <w:rFonts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bCs/>
                <w:sz w:val="22"/>
                <w:szCs w:val="22"/>
              </w:rPr>
            </w:pPr>
            <w:r>
              <w:rPr>
                <w:rFonts w:cs="Arial"/>
                <w:bCs/>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sz w:val="22"/>
                <w:szCs w:val="22"/>
              </w:rPr>
            </w:pPr>
          </w:p>
        </w:tc>
      </w:tr>
    </w:tbl>
    <w:p>
      <w:pPr>
        <w:rPr>
          <w:rFonts w:cs="Arial"/>
          <w:b/>
          <w:sz w:val="22"/>
          <w:szCs w:val="22"/>
        </w:rPr>
      </w:pPr>
    </w:p>
    <w:p>
      <w:pPr>
        <w:spacing w:before="240"/>
        <w:rPr>
          <w:rFonts w:cs="Arial"/>
          <w:b/>
          <w:sz w:val="22"/>
          <w:szCs w:val="22"/>
        </w:rPr>
      </w:pPr>
      <w:r>
        <w:rPr>
          <w:rFonts w:cs="Arial"/>
          <w:b/>
          <w:sz w:val="22"/>
          <w:szCs w:val="22"/>
        </w:rPr>
        <w:t xml:space="preserve">Student Details </w:t>
      </w:r>
    </w:p>
    <w:tbl>
      <w:tblPr>
        <w:tblStyle w:val="19"/>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55"/>
        <w:gridCol w:w="2056"/>
        <w:gridCol w:w="2835"/>
        <w:gridCol w:w="283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111" w:type="dxa"/>
            <w:gridSpan w:val="2"/>
            <w:shd w:val="clear" w:color="auto" w:fill="F1F1F1" w:themeFill="background1" w:themeFillShade="F2"/>
          </w:tcPr>
          <w:p>
            <w:pPr>
              <w:tabs>
                <w:tab w:val="center" w:pos="2202"/>
              </w:tabs>
              <w:rPr>
                <w:rFonts w:cs="Arial"/>
                <w:sz w:val="22"/>
                <w:szCs w:val="22"/>
              </w:rPr>
            </w:pPr>
            <w:r>
              <w:rPr>
                <w:rFonts w:cs="Arial"/>
                <w:sz w:val="22"/>
                <w:szCs w:val="22"/>
              </w:rPr>
              <w:t>Student Family / Surname:</w:t>
            </w:r>
          </w:p>
          <w:p>
            <w:pPr>
              <w:rPr>
                <w:rFonts w:cs="Arial"/>
                <w:sz w:val="22"/>
                <w:szCs w:val="22"/>
              </w:rPr>
            </w:pPr>
          </w:p>
        </w:tc>
        <w:tc>
          <w:tcPr>
            <w:tcW w:w="5670" w:type="dxa"/>
            <w:gridSpan w:val="2"/>
            <w:shd w:val="clear" w:color="auto" w:fill="auto"/>
          </w:tcPr>
          <w:p>
            <w:pPr>
              <w:rPr>
                <w:rFonts w:cs="Arial"/>
                <w:sz w:val="22"/>
                <w:szCs w:val="22"/>
              </w:rPr>
            </w:pPr>
            <w:r>
              <w:rPr>
                <w:rFonts w:cs="Arial"/>
                <w:sz w:val="22"/>
                <w:szCs w:val="22"/>
              </w:rPr>
              <w:t>Yan</w:t>
            </w:r>
          </w:p>
        </w:tc>
      </w:tr>
      <w:tr>
        <w:tc>
          <w:tcPr>
            <w:tcW w:w="4111" w:type="dxa"/>
            <w:gridSpan w:val="2"/>
            <w:shd w:val="clear" w:color="auto" w:fill="F1F1F1" w:themeFill="background1" w:themeFillShade="F2"/>
          </w:tcPr>
          <w:p>
            <w:pPr>
              <w:rPr>
                <w:rFonts w:cs="Arial"/>
                <w:sz w:val="22"/>
                <w:szCs w:val="22"/>
              </w:rPr>
            </w:pPr>
            <w:r>
              <w:rPr>
                <w:rFonts w:cs="Arial"/>
                <w:sz w:val="22"/>
                <w:szCs w:val="22"/>
              </w:rPr>
              <w:t>Student Given / First name:</w:t>
            </w:r>
          </w:p>
          <w:p>
            <w:pPr>
              <w:rPr>
                <w:rFonts w:cs="Arial"/>
                <w:sz w:val="22"/>
                <w:szCs w:val="22"/>
              </w:rPr>
            </w:pPr>
          </w:p>
        </w:tc>
        <w:tc>
          <w:tcPr>
            <w:tcW w:w="5670" w:type="dxa"/>
            <w:gridSpan w:val="2"/>
            <w:shd w:val="clear" w:color="auto" w:fill="auto"/>
          </w:tcPr>
          <w:p>
            <w:pPr>
              <w:rPr>
                <w:rFonts w:cs="Arial"/>
                <w:sz w:val="22"/>
                <w:szCs w:val="22"/>
              </w:rPr>
            </w:pPr>
            <w:r>
              <w:rPr>
                <w:rFonts w:cs="Arial"/>
                <w:sz w:val="22"/>
                <w:szCs w:val="22"/>
              </w:rPr>
              <w:t>Xuanyi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111" w:type="dxa"/>
            <w:gridSpan w:val="2"/>
            <w:shd w:val="clear" w:color="auto" w:fill="F1F1F1" w:themeFill="background1" w:themeFillShade="F2"/>
          </w:tcPr>
          <w:p>
            <w:pPr>
              <w:rPr>
                <w:rFonts w:cs="Arial"/>
                <w:sz w:val="22"/>
                <w:szCs w:val="22"/>
              </w:rPr>
            </w:pPr>
            <w:r>
              <w:rPr>
                <w:rFonts w:cs="Arial"/>
                <w:sz w:val="22"/>
                <w:szCs w:val="22"/>
              </w:rPr>
              <w:t>Student Number</w:t>
            </w:r>
          </w:p>
          <w:p>
            <w:pPr>
              <w:tabs>
                <w:tab w:val="center" w:pos="2202"/>
              </w:tabs>
              <w:rPr>
                <w:rFonts w:cs="Arial"/>
                <w:sz w:val="22"/>
                <w:szCs w:val="22"/>
              </w:rPr>
            </w:pPr>
          </w:p>
        </w:tc>
        <w:tc>
          <w:tcPr>
            <w:tcW w:w="5670" w:type="dxa"/>
            <w:gridSpan w:val="2"/>
            <w:shd w:val="clear" w:color="auto" w:fill="auto"/>
          </w:tcPr>
          <w:p>
            <w:pPr>
              <w:rPr>
                <w:rFonts w:cs="Arial"/>
                <w:sz w:val="22"/>
                <w:szCs w:val="22"/>
              </w:rPr>
            </w:pPr>
            <w:r>
              <w:rPr>
                <w:rFonts w:cs="Arial"/>
                <w:sz w:val="22"/>
                <w:szCs w:val="22"/>
              </w:rPr>
              <w:t>2122619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055" w:type="dxa"/>
            <w:shd w:val="clear" w:color="auto" w:fill="F1F1F1" w:themeFill="background1" w:themeFillShade="F2"/>
          </w:tcPr>
          <w:p>
            <w:pPr>
              <w:rPr>
                <w:rFonts w:cs="Arial"/>
                <w:sz w:val="22"/>
                <w:szCs w:val="22"/>
              </w:rPr>
            </w:pPr>
            <w:r>
              <w:rPr>
                <w:rFonts w:cs="Arial"/>
                <w:sz w:val="22"/>
                <w:szCs w:val="22"/>
              </w:rPr>
              <w:t>Start Date</w:t>
            </w:r>
          </w:p>
        </w:tc>
        <w:tc>
          <w:tcPr>
            <w:tcW w:w="2056" w:type="dxa"/>
            <w:shd w:val="clear" w:color="auto" w:fill="FFFFFF" w:themeFill="background1"/>
          </w:tcPr>
          <w:p>
            <w:pPr>
              <w:rPr>
                <w:rFonts w:cs="Arial"/>
                <w:sz w:val="22"/>
                <w:szCs w:val="22"/>
              </w:rPr>
            </w:pPr>
          </w:p>
        </w:tc>
        <w:tc>
          <w:tcPr>
            <w:tcW w:w="2835" w:type="dxa"/>
            <w:shd w:val="clear" w:color="auto" w:fill="F1F1F1" w:themeFill="background1" w:themeFillShade="F2"/>
          </w:tcPr>
          <w:p>
            <w:pPr>
              <w:rPr>
                <w:rFonts w:cs="Arial"/>
                <w:sz w:val="22"/>
                <w:szCs w:val="22"/>
              </w:rPr>
            </w:pPr>
            <w:r>
              <w:rPr>
                <w:rFonts w:cs="Arial"/>
                <w:sz w:val="22"/>
                <w:szCs w:val="22"/>
              </w:rPr>
              <w:t>End Date</w:t>
            </w:r>
          </w:p>
        </w:tc>
        <w:tc>
          <w:tcPr>
            <w:tcW w:w="2835" w:type="dxa"/>
            <w:shd w:val="clear" w:color="auto" w:fill="auto"/>
          </w:tcPr>
          <w:p>
            <w:pPr>
              <w:rPr>
                <w:rFonts w:cs="Arial"/>
                <w:sz w:val="22"/>
                <w:szCs w:val="22"/>
              </w:rPr>
            </w:pPr>
          </w:p>
        </w:tc>
      </w:tr>
    </w:tbl>
    <w:p/>
    <w:tbl>
      <w:tblPr>
        <w:tblStyle w:val="20"/>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23"/>
        <w:gridCol w:w="1660"/>
        <w:gridCol w:w="1648"/>
        <w:gridCol w:w="1662"/>
        <w:gridCol w:w="1629"/>
        <w:gridCol w:w="152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623" w:type="dxa"/>
            <w:shd w:val="clear" w:color="auto" w:fill="F1F1F1" w:themeFill="background1" w:themeFillShade="F2"/>
          </w:tcPr>
          <w:p>
            <w:pPr>
              <w:rPr>
                <w:rFonts w:cs="Arial"/>
                <w:sz w:val="22"/>
                <w:szCs w:val="22"/>
              </w:rPr>
            </w:pPr>
            <w:r>
              <w:rPr>
                <w:rFonts w:cs="Arial"/>
                <w:sz w:val="22"/>
                <w:szCs w:val="22"/>
              </w:rPr>
              <w:t>PhD</w:t>
            </w:r>
          </w:p>
          <w:p>
            <w:pPr>
              <w:rPr>
                <w:rFonts w:cs="Arial"/>
                <w:sz w:val="22"/>
                <w:szCs w:val="22"/>
              </w:rPr>
            </w:pPr>
            <w:r>
              <w:rPr>
                <w:rFonts w:cs="Arial"/>
                <w:sz w:val="22"/>
                <w:szCs w:val="22"/>
              </w:rPr>
              <w:t>by Research</w:t>
            </w:r>
          </w:p>
        </w:tc>
        <w:tc>
          <w:tcPr>
            <w:tcW w:w="1660" w:type="dxa"/>
            <w:shd w:val="clear" w:color="auto" w:fill="F1F1F1" w:themeFill="background1" w:themeFillShade="F2"/>
          </w:tcPr>
          <w:p>
            <w:pPr>
              <w:rPr>
                <w:rFonts w:cs="Arial"/>
                <w:sz w:val="22"/>
                <w:szCs w:val="22"/>
              </w:rPr>
            </w:pPr>
            <w:r>
              <w:rPr>
                <w:rFonts w:cs="Arial"/>
                <w:sz w:val="22"/>
                <w:szCs w:val="22"/>
              </w:rPr>
              <w:t xml:space="preserve">PhD </w:t>
            </w:r>
          </w:p>
          <w:p>
            <w:pPr>
              <w:rPr>
                <w:rFonts w:cs="Arial"/>
                <w:sz w:val="22"/>
                <w:szCs w:val="22"/>
              </w:rPr>
            </w:pPr>
            <w:r>
              <w:rPr>
                <w:rFonts w:cs="Arial"/>
                <w:sz w:val="22"/>
                <w:szCs w:val="22"/>
              </w:rPr>
              <w:t>Practice Based</w:t>
            </w:r>
          </w:p>
        </w:tc>
        <w:tc>
          <w:tcPr>
            <w:tcW w:w="1648" w:type="dxa"/>
            <w:shd w:val="clear" w:color="auto" w:fill="F1F1F1" w:themeFill="background1" w:themeFillShade="F2"/>
          </w:tcPr>
          <w:p>
            <w:pPr>
              <w:rPr>
                <w:rFonts w:cs="Arial"/>
                <w:sz w:val="22"/>
                <w:szCs w:val="22"/>
              </w:rPr>
            </w:pPr>
            <w:r>
              <w:rPr>
                <w:rFonts w:cs="Arial"/>
                <w:sz w:val="22"/>
                <w:szCs w:val="22"/>
              </w:rPr>
              <w:t xml:space="preserve">PhD by </w:t>
            </w:r>
          </w:p>
          <w:p>
            <w:pPr>
              <w:rPr>
                <w:rFonts w:cs="Arial"/>
                <w:sz w:val="22"/>
                <w:szCs w:val="22"/>
              </w:rPr>
            </w:pPr>
            <w:r>
              <w:rPr>
                <w:rFonts w:cs="Arial"/>
                <w:sz w:val="22"/>
                <w:szCs w:val="22"/>
              </w:rPr>
              <w:t>Published Works</w:t>
            </w:r>
          </w:p>
        </w:tc>
        <w:tc>
          <w:tcPr>
            <w:tcW w:w="1662" w:type="dxa"/>
            <w:shd w:val="clear" w:color="auto" w:fill="F1F1F1" w:themeFill="background1" w:themeFillShade="F2"/>
          </w:tcPr>
          <w:p>
            <w:pPr>
              <w:rPr>
                <w:rFonts w:cs="Arial"/>
                <w:sz w:val="22"/>
                <w:szCs w:val="22"/>
              </w:rPr>
            </w:pPr>
            <w:r>
              <w:rPr>
                <w:rFonts w:cs="Arial"/>
                <w:sz w:val="22"/>
                <w:szCs w:val="22"/>
              </w:rPr>
              <w:t>Professional Doctorate</w:t>
            </w:r>
          </w:p>
          <w:p>
            <w:pPr>
              <w:rPr>
                <w:rFonts w:cs="Arial"/>
                <w:sz w:val="22"/>
                <w:szCs w:val="22"/>
              </w:rPr>
            </w:pPr>
            <w:r>
              <w:rPr>
                <w:rFonts w:cs="Arial"/>
                <w:szCs w:val="22"/>
              </w:rPr>
              <w:t>(including DBA, DProf, Ed D)</w:t>
            </w:r>
          </w:p>
        </w:tc>
        <w:tc>
          <w:tcPr>
            <w:tcW w:w="1629" w:type="dxa"/>
            <w:shd w:val="clear" w:color="auto" w:fill="F1F1F1" w:themeFill="background1" w:themeFillShade="F2"/>
          </w:tcPr>
          <w:p>
            <w:pPr>
              <w:rPr>
                <w:rFonts w:cs="Arial"/>
                <w:sz w:val="22"/>
                <w:szCs w:val="22"/>
              </w:rPr>
            </w:pPr>
            <w:r>
              <w:rPr>
                <w:rFonts w:cs="Arial"/>
                <w:sz w:val="22"/>
                <w:szCs w:val="22"/>
              </w:rPr>
              <w:t>MPhil by Research</w:t>
            </w:r>
          </w:p>
          <w:p>
            <w:pPr>
              <w:rPr>
                <w:rFonts w:cs="Arial"/>
                <w:sz w:val="22"/>
                <w:szCs w:val="22"/>
              </w:rPr>
            </w:pPr>
          </w:p>
        </w:tc>
        <w:tc>
          <w:tcPr>
            <w:tcW w:w="1525" w:type="dxa"/>
            <w:shd w:val="clear" w:color="auto" w:fill="F1F1F1" w:themeFill="background1" w:themeFillShade="F2"/>
          </w:tcPr>
          <w:p>
            <w:pPr>
              <w:rPr>
                <w:rFonts w:cs="Arial"/>
                <w:sz w:val="22"/>
                <w:szCs w:val="22"/>
              </w:rPr>
            </w:pPr>
            <w:r>
              <w:rPr>
                <w:rFonts w:cs="Arial"/>
                <w:sz w:val="22"/>
                <w:szCs w:val="22"/>
              </w:rPr>
              <w:t>MPhil</w:t>
            </w:r>
          </w:p>
          <w:p>
            <w:pPr>
              <w:rPr>
                <w:rFonts w:cs="Arial"/>
                <w:sz w:val="22"/>
                <w:szCs w:val="22"/>
              </w:rPr>
            </w:pPr>
            <w:r>
              <w:rPr>
                <w:rFonts w:cs="Arial"/>
                <w:sz w:val="22"/>
                <w:szCs w:val="22"/>
              </w:rPr>
              <w:t xml:space="preserve">Practice Based </w:t>
            </w:r>
          </w:p>
          <w:p>
            <w:pPr>
              <w:rPr>
                <w:rFonts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623" w:type="dxa"/>
          </w:tcPr>
          <w:sdt>
            <w:sdtPr>
              <w:rPr>
                <w:rFonts w:cs="Arial"/>
                <w:sz w:val="22"/>
                <w:szCs w:val="22"/>
              </w:rPr>
              <w:id w:val="0"/>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sdt>
          <w:sdtPr>
            <w:rPr>
              <w:rFonts w:cs="Arial"/>
              <w:sz w:val="22"/>
              <w:szCs w:val="22"/>
            </w:rPr>
            <w:id w:val="0"/>
            <w14:checkbox>
              <w14:checked w14:val="0"/>
              <w14:checkedState w14:val="2612" w14:font="MS Gothic"/>
              <w14:uncheckedState w14:val="2610" w14:font="MS Gothic"/>
            </w14:checkbox>
          </w:sdtPr>
          <w:sdtEndPr>
            <w:rPr>
              <w:rFonts w:cs="Arial"/>
              <w:sz w:val="22"/>
              <w:szCs w:val="22"/>
            </w:rPr>
          </w:sdtEndPr>
          <w:sdtContent>
            <w:tc>
              <w:tcPr>
                <w:tcW w:w="1660" w:type="dxa"/>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rPr>
              <w:rFonts w:cs="Arial"/>
              <w:sz w:val="22"/>
              <w:szCs w:val="22"/>
            </w:rPr>
          </w:sdtEndPr>
          <w:sdtContent>
            <w:tc>
              <w:tcPr>
                <w:tcW w:w="1648" w:type="dxa"/>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0"/>
            <w14:checkbox>
              <w14:checked w14:val="1"/>
              <w14:checkedState w14:val="2612" w14:font="MS Gothic"/>
              <w14:uncheckedState w14:val="2610" w14:font="MS Gothic"/>
            </w14:checkbox>
          </w:sdtPr>
          <w:sdtEndPr>
            <w:rPr>
              <w:rFonts w:cs="Arial"/>
              <w:sz w:val="22"/>
              <w:szCs w:val="22"/>
            </w:rPr>
          </w:sdtEndPr>
          <w:sdtContent>
            <w:tc>
              <w:tcPr>
                <w:tcW w:w="1662" w:type="dxa"/>
              </w:tcPr>
              <w:p>
                <w:pPr>
                  <w:jc w:val="center"/>
                  <w:rPr>
                    <w:rFonts w:cs="Arial"/>
                    <w:sz w:val="22"/>
                    <w:szCs w:val="22"/>
                  </w:rPr>
                </w:pPr>
                <w:r>
                  <w:rPr>
                    <w:rFonts w:ascii="MS Gothic" w:hAnsi="MS Gothic" w:eastAsia="MS Gothic" w:cs="Arial"/>
                    <w:sz w:val="22"/>
                    <w:szCs w:val="22"/>
                    <w:lang w:val="en-GB" w:eastAsia="en-GB" w:bidi="ar-SA"/>
                  </w:rPr>
                  <w:t>☒</w:t>
                </w:r>
              </w:p>
            </w:tc>
          </w:sdtContent>
        </w:sdt>
        <w:sdt>
          <w:sdtPr>
            <w:rPr>
              <w:rFonts w:cs="Arial"/>
              <w:sz w:val="22"/>
              <w:szCs w:val="22"/>
            </w:rPr>
            <w:id w:val="239523278"/>
            <w14:checkbox>
              <w14:checked w14:val="0"/>
              <w14:checkedState w14:val="2612" w14:font="MS Gothic"/>
              <w14:uncheckedState w14:val="2610" w14:font="MS Gothic"/>
            </w14:checkbox>
          </w:sdtPr>
          <w:sdtEndPr>
            <w:rPr>
              <w:rFonts w:cs="Arial"/>
              <w:sz w:val="22"/>
              <w:szCs w:val="22"/>
            </w:rPr>
          </w:sdtEndPr>
          <w:sdtContent>
            <w:tc>
              <w:tcPr>
                <w:tcW w:w="1629" w:type="dxa"/>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rPr>
              <w:rFonts w:cs="Arial"/>
              <w:sz w:val="22"/>
              <w:szCs w:val="22"/>
            </w:rPr>
          </w:sdtEndPr>
          <w:sdtContent>
            <w:tc>
              <w:tcPr>
                <w:tcW w:w="1525" w:type="dxa"/>
              </w:tcPr>
              <w:p>
                <w:pPr>
                  <w:jc w:val="center"/>
                  <w:rPr>
                    <w:rFonts w:cs="Arial"/>
                    <w:sz w:val="22"/>
                    <w:szCs w:val="22"/>
                  </w:rPr>
                </w:pPr>
                <w:r>
                  <w:rPr>
                    <w:rFonts w:ascii="MS Gothic" w:hAnsi="MS Gothic" w:eastAsia="MS Gothic" w:cs="Arial"/>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623" w:type="dxa"/>
            <w:shd w:val="clear" w:color="auto" w:fill="D8D8D8" w:themeFill="background1" w:themeFillShade="D9"/>
          </w:tcPr>
          <w:p>
            <w:pPr>
              <w:jc w:val="center"/>
              <w:rPr>
                <w:rFonts w:cs="Arial"/>
                <w:sz w:val="22"/>
                <w:szCs w:val="22"/>
              </w:rPr>
            </w:pPr>
            <w:r>
              <w:rPr>
                <w:rFonts w:cs="Arial"/>
                <w:sz w:val="22"/>
                <w:szCs w:val="22"/>
              </w:rPr>
              <w:t>MA by Research</w:t>
            </w:r>
          </w:p>
        </w:tc>
        <w:tc>
          <w:tcPr>
            <w:tcW w:w="1660" w:type="dxa"/>
            <w:shd w:val="clear" w:color="auto" w:fill="D8D8D8" w:themeFill="background1" w:themeFillShade="D9"/>
          </w:tcPr>
          <w:p>
            <w:pPr>
              <w:jc w:val="center"/>
              <w:rPr>
                <w:rFonts w:cs="Arial"/>
                <w:sz w:val="22"/>
                <w:szCs w:val="22"/>
              </w:rPr>
            </w:pPr>
            <w:r>
              <w:rPr>
                <w:rFonts w:cs="Arial"/>
                <w:sz w:val="22"/>
                <w:szCs w:val="22"/>
              </w:rPr>
              <w:t>MSc by Research</w:t>
            </w:r>
          </w:p>
        </w:tc>
        <w:tc>
          <w:tcPr>
            <w:tcW w:w="1648" w:type="dxa"/>
            <w:shd w:val="clear" w:color="auto" w:fill="D8D8D8" w:themeFill="background1" w:themeFillShade="D9"/>
          </w:tcPr>
          <w:p>
            <w:pPr>
              <w:jc w:val="center"/>
              <w:rPr>
                <w:rFonts w:cs="Arial"/>
                <w:sz w:val="22"/>
                <w:szCs w:val="22"/>
              </w:rPr>
            </w:pPr>
            <w:r>
              <w:rPr>
                <w:rFonts w:cs="Arial"/>
                <w:sz w:val="22"/>
                <w:szCs w:val="22"/>
              </w:rPr>
              <w:t>MRes</w:t>
            </w:r>
          </w:p>
        </w:tc>
        <w:tc>
          <w:tcPr>
            <w:tcW w:w="1662" w:type="dxa"/>
            <w:shd w:val="clear" w:color="auto" w:fill="D8D8D8" w:themeFill="background1" w:themeFillShade="D9"/>
          </w:tcPr>
          <w:p>
            <w:pPr>
              <w:jc w:val="center"/>
              <w:rPr>
                <w:rFonts w:cs="Arial"/>
                <w:sz w:val="22"/>
                <w:szCs w:val="22"/>
              </w:rPr>
            </w:pPr>
          </w:p>
        </w:tc>
        <w:tc>
          <w:tcPr>
            <w:tcW w:w="1629" w:type="dxa"/>
            <w:shd w:val="clear" w:color="auto" w:fill="D8D8D8" w:themeFill="background1" w:themeFillShade="D9"/>
          </w:tcPr>
          <w:p>
            <w:pPr>
              <w:jc w:val="center"/>
              <w:rPr>
                <w:rFonts w:cs="Arial"/>
                <w:sz w:val="22"/>
                <w:szCs w:val="22"/>
              </w:rPr>
            </w:pPr>
          </w:p>
        </w:tc>
        <w:tc>
          <w:tcPr>
            <w:tcW w:w="1525" w:type="dxa"/>
            <w:shd w:val="clear" w:color="auto" w:fill="D8D8D8" w:themeFill="background1" w:themeFillShade="D9"/>
          </w:tcPr>
          <w:p>
            <w:pPr>
              <w:jc w:val="center"/>
              <w:rPr>
                <w:rFonts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623" w:type="dxa"/>
          </w:tcPr>
          <w:sdt>
            <w:sdtPr>
              <w:rPr>
                <w:rFonts w:cs="Arial"/>
                <w:sz w:val="22"/>
                <w:szCs w:val="22"/>
              </w:rPr>
              <w:id w:val="0"/>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tc>
          <w:tcPr>
            <w:tcW w:w="1662" w:type="dxa"/>
          </w:tcPr>
          <w:p>
            <w:pPr>
              <w:jc w:val="center"/>
              <w:rPr>
                <w:rFonts w:cs="Arial"/>
                <w:sz w:val="22"/>
                <w:szCs w:val="22"/>
              </w:rPr>
            </w:pPr>
          </w:p>
        </w:tc>
        <w:tc>
          <w:tcPr>
            <w:tcW w:w="1629" w:type="dxa"/>
          </w:tcPr>
          <w:p>
            <w:pPr>
              <w:jc w:val="center"/>
              <w:rPr>
                <w:rFonts w:cs="Arial"/>
                <w:sz w:val="22"/>
                <w:szCs w:val="22"/>
              </w:rPr>
            </w:pPr>
          </w:p>
        </w:tc>
        <w:tc>
          <w:tcPr>
            <w:tcW w:w="1525" w:type="dxa"/>
          </w:tcPr>
          <w:p>
            <w:pPr>
              <w:jc w:val="center"/>
              <w:rPr>
                <w:rFonts w:cs="Arial"/>
                <w:sz w:val="22"/>
                <w:szCs w:val="22"/>
              </w:rPr>
            </w:pPr>
          </w:p>
        </w:tc>
      </w:tr>
    </w:tbl>
    <w:p>
      <w:pPr>
        <w:ind w:left="180" w:hanging="270"/>
        <w:rPr>
          <w:rFonts w:cs="Arial"/>
          <w:b/>
          <w:sz w:val="22"/>
          <w:szCs w:val="22"/>
        </w:rPr>
      </w:pPr>
    </w:p>
    <w:p>
      <w:pPr>
        <w:rPr>
          <w:rFonts w:cs="Arial"/>
          <w:sz w:val="22"/>
          <w:szCs w:val="22"/>
        </w:rPr>
      </w:pPr>
    </w:p>
    <w:p>
      <w:pPr>
        <w:ind w:left="-142"/>
        <w:rPr>
          <w:rFonts w:cs="Arial"/>
          <w:bCs/>
          <w:sz w:val="22"/>
          <w:szCs w:val="22"/>
        </w:rPr>
      </w:pPr>
      <w:r>
        <w:rPr>
          <w:rFonts w:cs="Arial"/>
          <w:b/>
          <w:bCs/>
          <w:sz w:val="22"/>
          <w:szCs w:val="22"/>
        </w:rPr>
        <w:t>Proposed Research</w:t>
      </w:r>
    </w:p>
    <w:p>
      <w:pPr>
        <w:rPr>
          <w:rFonts w:cs="Arial"/>
          <w:sz w:val="22"/>
          <w:szCs w:val="22"/>
        </w:rPr>
      </w:pPr>
    </w:p>
    <w:tbl>
      <w:tblPr>
        <w:tblStyle w:val="19"/>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8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Current Proposed Title (20 / 30 words):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vAlign w:val="center"/>
          </w:tcPr>
          <w:p>
            <w:pPr>
              <w:rPr>
                <w:rFonts w:cs="Arial"/>
                <w:sz w:val="22"/>
                <w:szCs w:val="22"/>
              </w:rPr>
            </w:pPr>
            <w:r>
              <w:rPr>
                <w:rFonts w:cs="Arial"/>
                <w:sz w:val="22"/>
                <w:szCs w:val="22"/>
              </w:rPr>
              <w:t>A CRITICAL ANALYSIS OF THE ATTRACTIVENESS FACTOR FOR LIVE STREAMER IN CHINA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 xml:space="preserve"> </w:t>
            </w:r>
          </w:p>
          <w:p>
            <w:pPr>
              <w:rPr>
                <w:rFonts w:cs="Arial"/>
                <w:sz w:val="22"/>
                <w:szCs w:val="22"/>
              </w:rPr>
            </w:pPr>
            <w:r>
              <w:rPr>
                <w:rFonts w:cs="Arial"/>
                <w:sz w:val="22"/>
                <w:szCs w:val="22"/>
              </w:rPr>
              <w:t>Background &amp; Context (approx. 500 words)</w:t>
            </w:r>
          </w:p>
          <w:p>
            <w:pPr>
              <w:rPr>
                <w:rFonts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vAlign w:val="center"/>
          </w:tcPr>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Since the 2020s, the live streaming industry drive the booming Chinese online e-commerce. This is particularly the case during the Covid-19 lockdowns, Chinese consumers are increasingly demanding live streaming which is viewed as more interactive and also entertaining communication to promote the sales and the live streamer plays a cruial role in it (Ma, 2021).</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the 2022, there is an obvious trend for the shifting focus and priority for live streaming e-commerce: in the past, the live streamers are often leveraged their bargaining powers against the suppliers for providing the lowest priced products, in order to capture the interests from cost sensitive Chinese clients (Chen, 2022). However, recent trend has seen the live streamers and associated live streaming e-commerce platforms are growingly prioritising in the areas such as social responsibility and social sustainability, as well as higher business ethics.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research is thus positioned to understand the rationales and consequences for the changing focus and the transformative style of live streamers in China.</w:t>
            </w:r>
          </w:p>
          <w:p>
            <w:pPr>
              <w:spacing w:after="0" w:line="360" w:lineRule="auto"/>
              <w:jc w:val="both"/>
              <w:rPr>
                <w:rFonts w:ascii="Times New Roman" w:hAnsi="Times New Roman" w:cs="Times New Roman"/>
                <w:sz w:val="24"/>
                <w:szCs w:val="24"/>
              </w:rPr>
            </w:pPr>
          </w:p>
          <w:p>
            <w:pPr>
              <w:pStyle w:val="26"/>
              <w:numPr>
                <w:ilvl w:val="0"/>
                <w:numId w:val="0"/>
              </w:numPr>
              <w:spacing w:after="0" w:line="360" w:lineRule="auto"/>
              <w:ind w:leftChars="0"/>
              <w:jc w:val="both"/>
              <w:outlineLvl w:val="0"/>
              <w:rPr>
                <w:rFonts w:hint="default" w:ascii="Times New Roman Bold Italic" w:hAnsi="Times New Roman Bold Italic" w:cs="Times New Roman Bold Italic"/>
                <w:b/>
                <w:bCs/>
                <w:i/>
                <w:iCs/>
                <w:sz w:val="24"/>
                <w:szCs w:val="24"/>
              </w:rPr>
            </w:pPr>
            <w:bookmarkStart w:id="0" w:name="_Toc119324132"/>
            <w:r>
              <w:rPr>
                <w:rFonts w:hint="default" w:ascii="Times New Roman Bold Italic" w:hAnsi="Times New Roman Bold Italic" w:cs="Times New Roman Bold Italic"/>
                <w:b/>
                <w:bCs/>
                <w:i/>
                <w:iCs/>
                <w:sz w:val="24"/>
                <w:szCs w:val="24"/>
              </w:rPr>
              <w:t>Academic concept</w:t>
            </w:r>
            <w:bookmarkEnd w:id="0"/>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live streaming has emerged as the popular way of communication, and also the emerging trend for the social media and e-commerce. The study collects a range of the contemporary studies focusing on live streaming and beyond.</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Xiao et al. (2022) has seen that Mobile Live Streaming Shopping as the fast growing trend for e-commerce; the study creates the three layers model for the design features with design features and individual characteristics. This emphasises optimisation and improving design for the live streaming shopping via mobile in Taobao. Frade et al. (2021) has further enriched the research on streaming video via YouTube, this has further seen that live streaming is the key to drive the effective and targeted advertising, alongside with integrative marketing solutions. Gong et al. (2022) has further enriched the online retailer should adapt live streaming strategy, which is the catalyst to boost retailer’s profit and demand. This is particularly the case to diversify retail channel strategy, alongside with boosting supervision from authorities and governments to properly govern the live streaming sales. Thus existing studies have seen the huge importance and recognition for live streaming on e-commerce.</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Liu et al. (2022) have seen that popularity of live streaming may not achieve the targeted success, without the recognition for consumers’ motivation. The study analyse the Chinese travel industry, and showing hedonic and utilitarian value for the travel live streaming to boost client satisfaction and behavioural intensions. Lu et al. (2022) have further analysed the gift giving and purchase intension for the live streaming e-commerce, indicating key influencing factors such as peer pressure, swift guanxi and strong collectivism influences in the areas. Sun’s research (2022) has further evaluate the distinctive impacts for live streaming for consumer with different ages, showing that elder people may have less appetites on the live streaming but more traditional gain-framed product descriptions. The study has further illustrated consumer appetites and motivation to lead the impacts.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Ma, Zou and Lv (2022) have further indicated the hinder factors for live streaming purchase, seeing that strong focus on social and physical presence mediate participants’ interaction, and also trust is key factor for purchase intension in live streaming. Yang et al. (2022) have further evaluated the live streaming travel commerce, including the focus for the visualisation for the real time experience, as well as the interactive cocreation behaviours to drive the sale in the areas. Rungruangjit et al. (2022) have further focused on evaluating the relationship and credibility for consumers’ purchase intentions for live streaming commerce; this may contribute to the success of Taobao, which has gained the recognitions for both the clients and internet celebrities to boost the success.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Overall, the academic studies have further seen the extensive studies for live streaming, showing the significant recognition and increasing popularity, alongside with rising focuses on consumer appetites and measures. However, the finding has seen there is lacking of focus on changing trend on Chinese live streamers in this industry.</w:t>
            </w:r>
          </w:p>
          <w:p>
            <w:pPr>
              <w:spacing w:after="0" w:line="360" w:lineRule="auto"/>
              <w:jc w:val="both"/>
              <w:rPr>
                <w:rFonts w:ascii="Times New Roman" w:hAnsi="Times New Roman" w:cs="Times New Roman"/>
                <w:sz w:val="24"/>
                <w:szCs w:val="24"/>
              </w:rPr>
            </w:pPr>
          </w:p>
          <w:p>
            <w:pPr>
              <w:pStyle w:val="26"/>
              <w:numPr>
                <w:ilvl w:val="0"/>
                <w:numId w:val="0"/>
              </w:numPr>
              <w:autoSpaceDE w:val="0"/>
              <w:autoSpaceDN w:val="0"/>
              <w:adjustRightInd w:val="0"/>
              <w:contextualSpacing/>
              <w:rPr>
                <w:rFonts w:cs="Arial"/>
                <w:sz w:val="22"/>
                <w:szCs w:val="22"/>
              </w:rPr>
            </w:pPr>
          </w:p>
          <w:p>
            <w:pPr>
              <w:pStyle w:val="26"/>
              <w:numPr>
                <w:ilvl w:val="0"/>
                <w:numId w:val="0"/>
              </w:numPr>
              <w:spacing w:after="0" w:line="360" w:lineRule="auto"/>
              <w:ind w:leftChars="0"/>
              <w:jc w:val="both"/>
              <w:outlineLvl w:val="0"/>
              <w:rPr>
                <w:rFonts w:hint="default" w:ascii="Times New Roman Bold Italic" w:hAnsi="Times New Roman Bold Italic" w:cs="Times New Roman Bold Italic"/>
                <w:b/>
                <w:bCs/>
                <w:i/>
                <w:iCs/>
                <w:sz w:val="24"/>
                <w:szCs w:val="24"/>
              </w:rPr>
            </w:pPr>
            <w:bookmarkStart w:id="1" w:name="_Toc119324133"/>
            <w:r>
              <w:rPr>
                <w:rFonts w:hint="default" w:ascii="Times New Roman Bold Italic" w:hAnsi="Times New Roman Bold Italic" w:cs="Times New Roman Bold Italic"/>
                <w:b/>
                <w:bCs/>
                <w:i/>
                <w:iCs/>
                <w:sz w:val="24"/>
                <w:szCs w:val="24"/>
              </w:rPr>
              <w:t>Conceptual model</w:t>
            </w:r>
            <w:bookmarkEnd w:id="1"/>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changing landscape of the live streamers in China have been little touched, and the research proposal has leveraged the classic academic frameworks to evaluate the impacts.</w:t>
            </w:r>
          </w:p>
          <w:p>
            <w:pPr>
              <w:spacing w:after="0" w:line="360" w:lineRule="auto"/>
              <w:rPr>
                <w:rFonts w:ascii="Times New Roman" w:hAnsi="Times New Roman" w:cs="Times New Roman"/>
                <w:sz w:val="24"/>
                <w:szCs w:val="24"/>
              </w:rPr>
            </w:pPr>
          </w:p>
          <w:p>
            <w:pPr>
              <w:spacing w:after="0" w:line="360" w:lineRule="auto"/>
              <w:jc w:val="center"/>
              <w:rPr>
                <w:rFonts w:ascii="Times New Roman" w:hAnsi="Times New Roman" w:cs="Times New Roman"/>
                <w:sz w:val="24"/>
                <w:szCs w:val="24"/>
              </w:rPr>
            </w:pPr>
            <w:r>
              <w:drawing>
                <wp:inline distT="0" distB="0" distL="0" distR="0">
                  <wp:extent cx="5274310" cy="2925445"/>
                  <wp:effectExtent l="0" t="0" r="8890" b="209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stretch>
                            <a:fillRect/>
                          </a:stretch>
                        </pic:blipFill>
                        <pic:spPr>
                          <a:xfrm>
                            <a:off x="0" y="0"/>
                            <a:ext cx="5274310" cy="2925445"/>
                          </a:xfrm>
                          <a:prstGeom prst="rect">
                            <a:avLst/>
                          </a:prstGeom>
                        </pic:spPr>
                      </pic:pic>
                    </a:graphicData>
                  </a:graphic>
                </wp:inline>
              </w:drawing>
            </w:r>
          </w:p>
          <w:p>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Figure 1: The consumer decision theory (Chong et al., 2015)</w:t>
            </w:r>
          </w:p>
          <w:p>
            <w:pPr>
              <w:spacing w:after="0" w:line="360" w:lineRule="auto"/>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consequences for the changing priority of live streaming e-commerce is to meet and exceed the expectation of consumer decision. This has seen changing live streaming reflects the changing consumer behaviours, and associated influencing factors for the Chinese consumer (Deng, 2015). Thus the classic academic framework of consumer decision may provide the academic skeletons to conduct the researches on driving the goal. </w:t>
            </w:r>
          </w:p>
          <w:p>
            <w:pPr>
              <w:spacing w:after="0" w:line="360" w:lineRule="auto"/>
              <w:rPr>
                <w:rFonts w:ascii="Times New Roman" w:hAnsi="Times New Roman" w:cs="Times New Roman"/>
                <w:sz w:val="24"/>
                <w:szCs w:val="24"/>
              </w:rPr>
            </w:pPr>
          </w:p>
          <w:p>
            <w:pPr>
              <w:spacing w:after="0" w:line="360" w:lineRule="auto"/>
              <w:rPr>
                <w:rFonts w:ascii="Times New Roman" w:hAnsi="Times New Roman" w:cs="Times New Roman"/>
                <w:sz w:val="24"/>
                <w:szCs w:val="24"/>
              </w:rPr>
            </w:pPr>
          </w:p>
          <w:p>
            <w:pPr>
              <w:spacing w:after="0" w:line="360" w:lineRule="auto"/>
              <w:rPr>
                <w:rFonts w:ascii="Times New Roman" w:hAnsi="Times New Roman" w:cs="Times New Roman"/>
                <w:sz w:val="24"/>
                <w:szCs w:val="24"/>
              </w:rPr>
            </w:pPr>
          </w:p>
          <w:p>
            <w:pPr>
              <w:spacing w:after="0" w:line="360" w:lineRule="auto"/>
              <w:jc w:val="center"/>
              <w:rPr>
                <w:rFonts w:ascii="Times New Roman" w:hAnsi="Times New Roman" w:cs="Times New Roman"/>
                <w:sz w:val="24"/>
                <w:szCs w:val="24"/>
              </w:rPr>
            </w:pPr>
            <w:r>
              <w:drawing>
                <wp:inline distT="0" distB="0" distL="0" distR="0">
                  <wp:extent cx="2531110" cy="160020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1"/>
                          <a:stretch>
                            <a:fillRect/>
                          </a:stretch>
                        </pic:blipFill>
                        <pic:spPr>
                          <a:xfrm>
                            <a:off x="0" y="0"/>
                            <a:ext cx="2539545" cy="1605179"/>
                          </a:xfrm>
                          <a:prstGeom prst="rect">
                            <a:avLst/>
                          </a:prstGeom>
                        </pic:spPr>
                      </pic:pic>
                    </a:graphicData>
                  </a:graphic>
                </wp:inline>
              </w:drawing>
            </w:r>
            <w:r>
              <w:drawing>
                <wp:inline distT="0" distB="0" distL="0" distR="0">
                  <wp:extent cx="2495550" cy="1601470"/>
                  <wp:effectExtent l="0" t="0" r="19050" b="241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2"/>
                          <a:stretch>
                            <a:fillRect/>
                          </a:stretch>
                        </pic:blipFill>
                        <pic:spPr>
                          <a:xfrm>
                            <a:off x="0" y="0"/>
                            <a:ext cx="2505409" cy="1608035"/>
                          </a:xfrm>
                          <a:prstGeom prst="rect">
                            <a:avLst/>
                          </a:prstGeom>
                        </pic:spPr>
                      </pic:pic>
                    </a:graphicData>
                  </a:graphic>
                </wp:inline>
              </w:drawing>
            </w:r>
          </w:p>
          <w:p>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Figure 2: The stakeholder and stakeholder management map (Lahouel, 2022)</w:t>
            </w:r>
          </w:p>
          <w:p>
            <w:pPr>
              <w:spacing w:after="0" w:line="360" w:lineRule="auto"/>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Another key concept framework adapted for the research is the stakeholder: in the past, live streaming e-commerce may only focus on the economic value for limited stakeholders; however, with the enhancing social, economic and ethical standard, the live streaming has also driven the change for leading more focuses for the diversified stakeholder (Guo et al., 2022)</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review for the conceptual model for consumer decision making and associated influencing factors, as well as the stakeholder management are delivering the more structured insights to drill into the nature for the targeted research outcomes.  </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hint="default" w:ascii="Times New Roman Regular" w:hAnsi="Times New Roman Regular" w:cs="Times New Roman Regular"/>
              </w:rPr>
              <w:drawing>
                <wp:inline distT="0" distB="0" distL="114300" distR="114300">
                  <wp:extent cx="4763770" cy="4570730"/>
                  <wp:effectExtent l="0" t="0" r="11430" b="127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13"/>
                          <a:stretch>
                            <a:fillRect/>
                          </a:stretch>
                        </pic:blipFill>
                        <pic:spPr>
                          <a:xfrm>
                            <a:off x="0" y="0"/>
                            <a:ext cx="4763770" cy="4570730"/>
                          </a:xfrm>
                          <a:prstGeom prst="rect">
                            <a:avLst/>
                          </a:prstGeom>
                          <a:noFill/>
                          <a:ln w="9525">
                            <a:noFill/>
                          </a:ln>
                        </pic:spPr>
                      </pic:pic>
                    </a:graphicData>
                  </a:graphic>
                </wp:inline>
              </w:drawing>
            </w:r>
          </w:p>
          <w:p>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Figure 3: Conceptual Framework of My Thesis</w:t>
            </w:r>
          </w:p>
          <w:p>
            <w:pPr>
              <w:pStyle w:val="26"/>
              <w:numPr>
                <w:ilvl w:val="0"/>
                <w:numId w:val="0"/>
              </w:numPr>
              <w:autoSpaceDE w:val="0"/>
              <w:autoSpaceDN w:val="0"/>
              <w:adjustRightInd w:val="0"/>
              <w:contextualSpacing/>
              <w:rPr>
                <w:rFonts w:cs="Arial"/>
                <w:sz w:val="22"/>
                <w:szCs w:val="22"/>
              </w:rPr>
            </w:pPr>
          </w:p>
          <w:p>
            <w:pPr>
              <w:pStyle w:val="26"/>
              <w:autoSpaceDE w:val="0"/>
              <w:autoSpaceDN w:val="0"/>
              <w:adjustRightInd w:val="0"/>
              <w:contextualSpacing/>
              <w:rPr>
                <w:rFonts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Aims and Objectives (approx.. 250 – 500 words)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vAlign w:val="center"/>
          </w:tcPr>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Based comprehensive review, the research aims and objectives are established as below:</w:t>
            </w: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Research aim is to understand and critically evaluate the rationales and implications for the changing priority of live streaming e-commerce in China: from a pure economic and price focused to more social and ethical focused approach.  The p</w:t>
            </w:r>
            <w:r>
              <w:rPr>
                <w:rFonts w:ascii="Times New Roman" w:hAnsi="Times New Roman" w:cs="Times New Roman"/>
                <w:sz w:val="24"/>
                <w:szCs w:val="24"/>
                <w:lang w:eastAsia="zh-CN"/>
              </w:rPr>
              <w:t>urpose is that through</w:t>
            </w:r>
            <w:r>
              <w:rPr>
                <w:rFonts w:hint="eastAsia" w:ascii="Times New Roman" w:hAnsi="Times New Roman" w:cs="Times New Roman"/>
                <w:sz w:val="24"/>
                <w:szCs w:val="24"/>
                <w:lang w:eastAsia="zh-CN"/>
              </w:rPr>
              <w:t xml:space="preserve"> study </w:t>
            </w:r>
            <w:r>
              <w:rPr>
                <w:rFonts w:hint="default" w:ascii="Times New Roman" w:hAnsi="Times New Roman" w:cs="Times New Roman"/>
                <w:sz w:val="24"/>
                <w:szCs w:val="24"/>
                <w:lang w:eastAsia="zh-CN"/>
              </w:rPr>
              <w:t>on</w:t>
            </w:r>
            <w:r>
              <w:rPr>
                <w:rFonts w:hint="eastAsia" w:ascii="Times New Roman" w:hAnsi="Times New Roman" w:cs="Times New Roman"/>
                <w:sz w:val="24"/>
                <w:szCs w:val="24"/>
                <w:lang w:eastAsia="zh-CN"/>
              </w:rPr>
              <w:t xml:space="preserve"> the impact of a new</w:t>
            </w:r>
            <w:r>
              <w:rPr>
                <w:rFonts w:hint="default" w:ascii="Times New Roman" w:hAnsi="Times New Roman" w:cs="Times New Roman"/>
                <w:sz w:val="24"/>
                <w:szCs w:val="24"/>
                <w:lang w:eastAsia="zh-CN"/>
              </w:rPr>
              <w:t xml:space="preserve"> </w:t>
            </w:r>
            <w:r>
              <w:rPr>
                <w:rFonts w:hint="eastAsia" w:ascii="Times New Roman" w:hAnsi="Times New Roman" w:cs="Times New Roman"/>
                <w:sz w:val="24"/>
                <w:szCs w:val="24"/>
                <w:lang w:eastAsia="zh-CN"/>
              </w:rPr>
              <w:t>shift</w:t>
            </w:r>
            <w:r>
              <w:rPr>
                <w:rFonts w:hint="default" w:ascii="Times New Roman" w:hAnsi="Times New Roman" w:cs="Times New Roman"/>
                <w:sz w:val="24"/>
                <w:szCs w:val="24"/>
                <w:lang w:eastAsia="zh-CN"/>
              </w:rPr>
              <w:t xml:space="preserve"> of live streamers</w:t>
            </w:r>
            <w:r>
              <w:rPr>
                <w:rFonts w:hint="eastAsia" w:ascii="Times New Roman" w:hAnsi="Times New Roman" w:cs="Times New Roman"/>
                <w:sz w:val="24"/>
                <w:szCs w:val="24"/>
                <w:lang w:eastAsia="zh-CN"/>
              </w:rPr>
              <w:t xml:space="preserve"> </w:t>
            </w:r>
            <w:r>
              <w:rPr>
                <w:rFonts w:hint="default" w:ascii="Times New Roman" w:hAnsi="Times New Roman" w:cs="Times New Roman"/>
                <w:sz w:val="24"/>
                <w:szCs w:val="24"/>
                <w:lang w:eastAsia="zh-CN"/>
              </w:rPr>
              <w:t>in live stream</w:t>
            </w:r>
            <w:r>
              <w:rPr>
                <w:rFonts w:hint="eastAsia" w:ascii="Times New Roman" w:hAnsi="Times New Roman" w:cs="Times New Roman"/>
                <w:sz w:val="24"/>
                <w:szCs w:val="24"/>
                <w:lang w:eastAsia="zh-CN"/>
              </w:rPr>
              <w:t xml:space="preserve"> on consumer behaviour, </w:t>
            </w:r>
            <w:r>
              <w:rPr>
                <w:rFonts w:hint="default" w:ascii="Times New Roman" w:hAnsi="Times New Roman" w:cs="Times New Roman"/>
                <w:sz w:val="24"/>
                <w:szCs w:val="24"/>
                <w:lang w:eastAsia="zh-CN"/>
              </w:rPr>
              <w:t xml:space="preserve">to draw a serious of </w:t>
            </w:r>
            <w:r>
              <w:rPr>
                <w:rFonts w:hint="eastAsia" w:ascii="Times New Roman" w:hAnsi="Times New Roman" w:cs="Times New Roman"/>
                <w:sz w:val="24"/>
                <w:szCs w:val="24"/>
                <w:lang w:eastAsia="zh-CN"/>
              </w:rPr>
              <w:t xml:space="preserve">constructive </w:t>
            </w:r>
            <w:r>
              <w:rPr>
                <w:rFonts w:hint="default" w:ascii="Times New Roman" w:hAnsi="Times New Roman" w:cs="Times New Roman"/>
                <w:sz w:val="24"/>
                <w:szCs w:val="24"/>
                <w:lang w:eastAsia="zh-CN"/>
              </w:rPr>
              <w:t>recommendations</w:t>
            </w:r>
            <w:r>
              <w:rPr>
                <w:rFonts w:hint="eastAsia" w:ascii="Times New Roman" w:hAnsi="Times New Roman" w:cs="Times New Roman"/>
                <w:sz w:val="24"/>
                <w:szCs w:val="24"/>
                <w:lang w:eastAsia="zh-CN"/>
              </w:rPr>
              <w:t xml:space="preserve"> for </w:t>
            </w:r>
            <w:r>
              <w:rPr>
                <w:rFonts w:hint="default" w:ascii="Times New Roman" w:hAnsi="Times New Roman" w:cs="Times New Roman"/>
                <w:sz w:val="24"/>
                <w:szCs w:val="24"/>
                <w:lang w:eastAsia="zh-CN"/>
              </w:rPr>
              <w:t>live streamers</w:t>
            </w:r>
            <w:r>
              <w:rPr>
                <w:rFonts w:hint="eastAsia" w:ascii="Times New Roman" w:hAnsi="Times New Roman" w:cs="Times New Roman"/>
                <w:sz w:val="24"/>
                <w:szCs w:val="24"/>
                <w:lang w:eastAsia="zh-CN"/>
              </w:rPr>
              <w:t xml:space="preserve">, consumers and related </w:t>
            </w:r>
            <w:r>
              <w:rPr>
                <w:rFonts w:hint="default" w:ascii="Times New Roman" w:hAnsi="Times New Roman" w:cs="Times New Roman"/>
                <w:sz w:val="24"/>
                <w:szCs w:val="24"/>
                <w:lang w:eastAsia="zh-CN"/>
              </w:rPr>
              <w:t>stakeholders.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research objectives are:</w:t>
            </w:r>
          </w:p>
          <w:p>
            <w:pPr>
              <w:pStyle w:val="26"/>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To understand and interpret the fast growing trend of Chinese e-commerce and live streaming popularity since 2020s</w:t>
            </w:r>
          </w:p>
          <w:p>
            <w:pPr>
              <w:pStyle w:val="26"/>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To critically evaluate the changing focuses and priorities for the live streamers, from a pure economic and price focused to more social and ethical focused approach</w:t>
            </w:r>
          </w:p>
          <w:p>
            <w:pPr>
              <w:pStyle w:val="26"/>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To discuss the consumer motives and stakeholder impacts on changing live streaming e-commerce</w:t>
            </w:r>
          </w:p>
          <w:p>
            <w:pPr>
              <w:pStyle w:val="26"/>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To forecast and estimate the future change for the industry and live streaming direction of growth</w:t>
            </w:r>
          </w:p>
          <w:p>
            <w:pPr>
              <w:pStyle w:val="26"/>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To make recommendations to the relevant stakeholders in order to take advantage for the finding</w:t>
            </w:r>
          </w:p>
          <w:p>
            <w:pPr>
              <w:pStyle w:val="26"/>
              <w:numPr>
                <w:ilvl w:val="0"/>
                <w:numId w:val="0"/>
              </w:numPr>
              <w:spacing w:after="0" w:line="360" w:lineRule="auto"/>
              <w:ind w:left="360" w:leftChars="0"/>
              <w:jc w:val="both"/>
              <w:rPr>
                <w:rFonts w:ascii="Times New Roman" w:hAnsi="Times New Roman" w:cs="Times New Roman"/>
                <w:sz w:val="24"/>
                <w:szCs w:val="24"/>
              </w:rPr>
            </w:pPr>
          </w:p>
          <w:p>
            <w:pPr>
              <w:spacing w:after="0" w:line="360" w:lineRule="auto"/>
              <w:jc w:val="both"/>
              <w:rPr>
                <w:rFonts w:hint="default" w:ascii="Times New Roman" w:hAnsi="Times New Roman" w:cs="Times New Roman"/>
                <w:sz w:val="24"/>
                <w:szCs w:val="24"/>
                <w:lang w:eastAsia="zh-Hans"/>
              </w:rPr>
            </w:pPr>
            <w:r>
              <w:rPr>
                <w:rFonts w:ascii="Times New Roman" w:hAnsi="Times New Roman" w:cs="Times New Roman"/>
                <w:sz w:val="24"/>
                <w:szCs w:val="24"/>
              </w:rPr>
              <w:t xml:space="preserve">Live stream is a very new topics for analysis and the most recent big news of this topic is the new transferable way of marketing in live stream by New Oriental Education Group and have arisen an </w:t>
            </w:r>
            <w:r>
              <w:rPr>
                <w:rFonts w:hint="eastAsia" w:ascii="Times New Roman" w:hAnsi="Times New Roman" w:cs="Times New Roman"/>
                <w:sz w:val="24"/>
                <w:szCs w:val="24"/>
                <w:lang w:val="en-US" w:eastAsia="zh-Hans"/>
              </w:rPr>
              <w:t>over</w:t>
            </w:r>
            <w:r>
              <w:rPr>
                <w:rFonts w:hint="default" w:ascii="Times New Roman" w:hAnsi="Times New Roman" w:cs="Times New Roman"/>
                <w:sz w:val="24"/>
                <w:szCs w:val="24"/>
                <w:lang w:eastAsia="zh-Hans"/>
              </w:rPr>
              <w:t>whelming change of customers’ appetite in China. As a dynamic developed industry, through analyse the live streamers’ impact, to show the big influence about a move away from the traditional style towards a focus on authenticity and quality of content, the researcher can give a reflection on the future action of both academic and practice field.</w:t>
            </w:r>
          </w:p>
          <w:p>
            <w:pPr>
              <w:pStyle w:val="26"/>
              <w:numPr>
                <w:ilvl w:val="0"/>
                <w:numId w:val="0"/>
              </w:numPr>
              <w:autoSpaceDE w:val="0"/>
              <w:autoSpaceDN w:val="0"/>
              <w:adjustRightInd w:val="0"/>
              <w:ind w:left="360" w:leftChars="0"/>
              <w:contextualSpacing/>
              <w:rPr>
                <w:rFonts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 xml:space="preserve">Proposed plan of work including timetable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tcPr>
          <w:p>
            <w:pPr>
              <w:rPr>
                <w:rFonts w:cs="Arial"/>
                <w:i/>
                <w:sz w:val="22"/>
                <w:szCs w:val="22"/>
              </w:rPr>
            </w:pPr>
            <w:r>
              <w:rPr>
                <w:rFonts w:cs="Arial"/>
                <w:i/>
                <w:sz w:val="22"/>
                <w:szCs w:val="22"/>
              </w:rPr>
              <w:t>Proposed plan of work</w:t>
            </w:r>
          </w:p>
          <w:p>
            <w:pPr>
              <w:rPr>
                <w:rFonts w:cs="Arial"/>
                <w:sz w:val="22"/>
                <w:szCs w:val="22"/>
              </w:rPr>
            </w:pPr>
          </w:p>
          <w:p>
            <w:pPr>
              <w:rPr>
                <w:rFonts w:cs="Arial"/>
                <w:sz w:val="22"/>
                <w:szCs w:val="22"/>
              </w:rPr>
            </w:pPr>
            <w:r>
              <w:rPr>
                <w:rFonts w:cs="Arial"/>
                <w:sz w:val="22"/>
                <w:szCs w:val="22"/>
              </w:rPr>
              <w:t>This plan should indicate that the research will be completed by the end of the fee paying period (the minimum period of candidature.</w:t>
            </w:r>
          </w:p>
          <w:p>
            <w:pPr>
              <w:rPr>
                <w:rFonts w:cs="Arial"/>
                <w:sz w:val="22"/>
                <w:szCs w:val="22"/>
              </w:rPr>
            </w:pPr>
          </w:p>
          <w:tbl>
            <w:tblPr>
              <w:tblStyle w:val="2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777"/>
              <w:gridCol w:w="477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77" w:type="dxa"/>
                </w:tcPr>
                <w:p>
                  <w:pPr>
                    <w:rPr>
                      <w:rFonts w:cs="Arial"/>
                      <w:sz w:val="22"/>
                      <w:szCs w:val="22"/>
                    </w:rPr>
                  </w:pPr>
                  <w:r>
                    <w:rPr>
                      <w:rFonts w:cs="Arial"/>
                      <w:sz w:val="22"/>
                      <w:szCs w:val="22"/>
                    </w:rPr>
                    <w:t>Planned Development (e.g. submission of form, completion of chapter, submission of thesis)</w:t>
                  </w:r>
                </w:p>
              </w:tc>
              <w:tc>
                <w:tcPr>
                  <w:tcW w:w="4778" w:type="dxa"/>
                </w:tcPr>
                <w:p>
                  <w:pPr>
                    <w:rPr>
                      <w:rFonts w:cs="Arial"/>
                      <w:sz w:val="22"/>
                      <w:szCs w:val="22"/>
                    </w:rPr>
                  </w:pPr>
                  <w:r>
                    <w:rPr>
                      <w:rFonts w:cs="Arial"/>
                      <w:sz w:val="22"/>
                      <w:szCs w:val="22"/>
                    </w:rPr>
                    <w:t>Target 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77" w:type="dxa"/>
                </w:tcPr>
                <w:p>
                  <w:pPr>
                    <w:rPr>
                      <w:rFonts w:cs="Arial"/>
                      <w:sz w:val="22"/>
                      <w:szCs w:val="22"/>
                    </w:rPr>
                  </w:pPr>
                  <w:r>
                    <w:rPr>
                      <w:rFonts w:cs="Arial"/>
                      <w:sz w:val="22"/>
                      <w:szCs w:val="22"/>
                      <w:lang w:eastAsia="zh-CN"/>
                    </w:rPr>
                    <w:t>Submission of research proposal</w:t>
                  </w:r>
                </w:p>
              </w:tc>
              <w:tc>
                <w:tcPr>
                  <w:tcW w:w="4778" w:type="dxa"/>
                </w:tcPr>
                <w:p>
                  <w:pPr>
                    <w:rPr>
                      <w:rFonts w:cs="Arial"/>
                      <w:sz w:val="22"/>
                      <w:szCs w:val="22"/>
                    </w:rPr>
                  </w:pPr>
                  <w:r>
                    <w:rPr>
                      <w:rFonts w:hint="eastAsia" w:cs="Arial"/>
                      <w:sz w:val="22"/>
                      <w:szCs w:val="22"/>
                      <w:lang w:eastAsia="zh-CN"/>
                    </w:rPr>
                    <w:t>J</w:t>
                  </w:r>
                  <w:r>
                    <w:rPr>
                      <w:rFonts w:cs="Arial"/>
                      <w:sz w:val="22"/>
                      <w:szCs w:val="22"/>
                      <w:lang w:eastAsia="zh-CN"/>
                    </w:rPr>
                    <w:t>an.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77" w:type="dxa"/>
                </w:tcPr>
                <w:p>
                  <w:pPr>
                    <w:rPr>
                      <w:rFonts w:cs="Arial"/>
                      <w:sz w:val="22"/>
                      <w:szCs w:val="22"/>
                    </w:rPr>
                  </w:pPr>
                  <w:r>
                    <w:rPr>
                      <w:rFonts w:hint="eastAsia" w:cs="Arial"/>
                      <w:sz w:val="22"/>
                      <w:szCs w:val="22"/>
                      <w:lang w:eastAsia="zh-CN"/>
                    </w:rPr>
                    <w:t>L</w:t>
                  </w:r>
                  <w:r>
                    <w:rPr>
                      <w:rFonts w:cs="Arial"/>
                      <w:sz w:val="22"/>
                      <w:szCs w:val="22"/>
                      <w:lang w:eastAsia="zh-CN"/>
                    </w:rPr>
                    <w:t>iterature review (drafts)</w:t>
                  </w:r>
                </w:p>
              </w:tc>
              <w:tc>
                <w:tcPr>
                  <w:tcW w:w="4778" w:type="dxa"/>
                </w:tcPr>
                <w:p>
                  <w:pPr>
                    <w:rPr>
                      <w:rFonts w:cs="Arial"/>
                      <w:sz w:val="22"/>
                      <w:szCs w:val="22"/>
                    </w:rPr>
                  </w:pPr>
                  <w:r>
                    <w:rPr>
                      <w:rFonts w:cs="Arial"/>
                      <w:sz w:val="22"/>
                      <w:szCs w:val="22"/>
                      <w:lang w:eastAsia="zh-CN"/>
                    </w:rPr>
                    <w:t>Feb.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77" w:type="dxa"/>
                </w:tcPr>
                <w:p>
                  <w:pPr>
                    <w:rPr>
                      <w:rFonts w:cs="Arial"/>
                      <w:sz w:val="22"/>
                      <w:szCs w:val="22"/>
                    </w:rPr>
                  </w:pPr>
                  <w:r>
                    <w:rPr>
                      <w:rFonts w:hint="eastAsia" w:cs="Arial"/>
                      <w:sz w:val="22"/>
                      <w:szCs w:val="22"/>
                      <w:lang w:eastAsia="zh-CN"/>
                    </w:rPr>
                    <w:t>L</w:t>
                  </w:r>
                  <w:r>
                    <w:rPr>
                      <w:rFonts w:cs="Arial"/>
                      <w:sz w:val="22"/>
                      <w:szCs w:val="22"/>
                      <w:lang w:eastAsia="zh-CN"/>
                    </w:rPr>
                    <w:t>iterature review (final)</w:t>
                  </w:r>
                </w:p>
              </w:tc>
              <w:tc>
                <w:tcPr>
                  <w:tcW w:w="4778" w:type="dxa"/>
                </w:tcPr>
                <w:p>
                  <w:pPr>
                    <w:rPr>
                      <w:rFonts w:cs="Arial"/>
                      <w:sz w:val="22"/>
                      <w:szCs w:val="22"/>
                    </w:rPr>
                  </w:pPr>
                  <w:r>
                    <w:rPr>
                      <w:rFonts w:cs="Arial"/>
                      <w:sz w:val="22"/>
                      <w:szCs w:val="22"/>
                      <w:lang w:eastAsia="zh-CN"/>
                    </w:rPr>
                    <w:t>Apr.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77" w:type="dxa"/>
                </w:tcPr>
                <w:p>
                  <w:pPr>
                    <w:rPr>
                      <w:rFonts w:cs="Arial"/>
                      <w:sz w:val="22"/>
                      <w:szCs w:val="22"/>
                    </w:rPr>
                  </w:pPr>
                  <w:r>
                    <w:rPr>
                      <w:rFonts w:hint="eastAsia" w:cs="Arial"/>
                      <w:sz w:val="22"/>
                      <w:szCs w:val="22"/>
                      <w:lang w:eastAsia="zh-CN"/>
                    </w:rPr>
                    <w:t>M</w:t>
                  </w:r>
                  <w:r>
                    <w:rPr>
                      <w:rFonts w:cs="Arial"/>
                      <w:sz w:val="22"/>
                      <w:szCs w:val="22"/>
                      <w:lang w:eastAsia="zh-CN"/>
                    </w:rPr>
                    <w:t>ethodology</w:t>
                  </w:r>
                </w:p>
              </w:tc>
              <w:tc>
                <w:tcPr>
                  <w:tcW w:w="4778" w:type="dxa"/>
                </w:tcPr>
                <w:p>
                  <w:pPr>
                    <w:rPr>
                      <w:rFonts w:cs="Arial"/>
                      <w:sz w:val="22"/>
                      <w:szCs w:val="22"/>
                    </w:rPr>
                  </w:pPr>
                  <w:r>
                    <w:rPr>
                      <w:rFonts w:cs="Arial"/>
                      <w:sz w:val="22"/>
                      <w:szCs w:val="22"/>
                      <w:lang w:eastAsia="zh-CN"/>
                    </w:rPr>
                    <w:t>Jul.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77" w:type="dxa"/>
                </w:tcPr>
                <w:p>
                  <w:pPr>
                    <w:rPr>
                      <w:rFonts w:cs="Arial"/>
                      <w:sz w:val="22"/>
                      <w:szCs w:val="22"/>
                    </w:rPr>
                  </w:pPr>
                  <w:r>
                    <w:rPr>
                      <w:rFonts w:hint="eastAsia" w:cs="Arial"/>
                      <w:sz w:val="22"/>
                      <w:szCs w:val="22"/>
                      <w:lang w:eastAsia="zh-CN"/>
                    </w:rPr>
                    <w:t>D</w:t>
                  </w:r>
                  <w:r>
                    <w:rPr>
                      <w:rFonts w:cs="Arial"/>
                      <w:sz w:val="22"/>
                      <w:szCs w:val="22"/>
                      <w:lang w:eastAsia="zh-CN"/>
                    </w:rPr>
                    <w:t>ata collection</w:t>
                  </w:r>
                </w:p>
              </w:tc>
              <w:tc>
                <w:tcPr>
                  <w:tcW w:w="4778" w:type="dxa"/>
                </w:tcPr>
                <w:p>
                  <w:pPr>
                    <w:rPr>
                      <w:rFonts w:cs="Arial"/>
                      <w:sz w:val="22"/>
                      <w:szCs w:val="22"/>
                    </w:rPr>
                  </w:pPr>
                  <w:r>
                    <w:rPr>
                      <w:rFonts w:hint="eastAsia" w:cs="Arial"/>
                      <w:sz w:val="22"/>
                      <w:szCs w:val="22"/>
                      <w:lang w:eastAsia="zh-CN"/>
                    </w:rPr>
                    <w:t>Aug</w:t>
                  </w:r>
                  <w:r>
                    <w:rPr>
                      <w:rFonts w:cs="Arial"/>
                      <w:sz w:val="22"/>
                      <w:szCs w:val="22"/>
                      <w:lang w:eastAsia="zh-CN"/>
                    </w:rPr>
                    <w:t>.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77" w:type="dxa"/>
                </w:tcPr>
                <w:p>
                  <w:pPr>
                    <w:rPr>
                      <w:rFonts w:cs="Arial"/>
                      <w:sz w:val="22"/>
                      <w:szCs w:val="22"/>
                    </w:rPr>
                  </w:pPr>
                  <w:r>
                    <w:rPr>
                      <w:rFonts w:hint="eastAsia" w:cs="Arial"/>
                      <w:sz w:val="22"/>
                      <w:szCs w:val="22"/>
                      <w:lang w:eastAsia="zh-CN"/>
                    </w:rPr>
                    <w:t>D</w:t>
                  </w:r>
                  <w:r>
                    <w:rPr>
                      <w:rFonts w:cs="Arial"/>
                      <w:sz w:val="22"/>
                      <w:szCs w:val="22"/>
                      <w:lang w:eastAsia="zh-CN"/>
                    </w:rPr>
                    <w:t>ata analysis</w:t>
                  </w:r>
                </w:p>
              </w:tc>
              <w:tc>
                <w:tcPr>
                  <w:tcW w:w="4778" w:type="dxa"/>
                </w:tcPr>
                <w:p>
                  <w:pPr>
                    <w:rPr>
                      <w:rFonts w:cs="Arial"/>
                      <w:sz w:val="22"/>
                      <w:szCs w:val="22"/>
                    </w:rPr>
                  </w:pPr>
                  <w:r>
                    <w:rPr>
                      <w:rFonts w:hint="eastAsia" w:cs="Arial"/>
                      <w:sz w:val="22"/>
                      <w:szCs w:val="22"/>
                      <w:lang w:eastAsia="zh-CN"/>
                    </w:rPr>
                    <w:t>Nov</w:t>
                  </w:r>
                  <w:r>
                    <w:rPr>
                      <w:rFonts w:cs="Arial"/>
                      <w:sz w:val="22"/>
                      <w:szCs w:val="22"/>
                      <w:lang w:eastAsia="zh-CN"/>
                    </w:rPr>
                    <w:t>.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77" w:type="dxa"/>
                </w:tcPr>
                <w:p>
                  <w:pPr>
                    <w:rPr>
                      <w:rFonts w:hint="eastAsia" w:cs="Arial"/>
                      <w:sz w:val="22"/>
                      <w:szCs w:val="22"/>
                      <w:lang w:eastAsia="zh-CN"/>
                    </w:rPr>
                  </w:pPr>
                  <w:r>
                    <w:rPr>
                      <w:rFonts w:cs="Arial"/>
                      <w:sz w:val="22"/>
                      <w:szCs w:val="22"/>
                      <w:lang w:eastAsia="zh-CN"/>
                    </w:rPr>
                    <w:t>Discussion and Findings</w:t>
                  </w:r>
                </w:p>
              </w:tc>
              <w:tc>
                <w:tcPr>
                  <w:tcW w:w="4778" w:type="dxa"/>
                </w:tcPr>
                <w:p>
                  <w:pPr>
                    <w:rPr>
                      <w:rFonts w:hint="eastAsia" w:cs="Arial"/>
                      <w:sz w:val="22"/>
                      <w:szCs w:val="22"/>
                      <w:lang w:eastAsia="zh-CN"/>
                    </w:rPr>
                  </w:pPr>
                  <w:r>
                    <w:rPr>
                      <w:rFonts w:cs="Arial"/>
                      <w:sz w:val="22"/>
                      <w:szCs w:val="22"/>
                      <w:lang w:eastAsia="zh-CN"/>
                    </w:rPr>
                    <w:t>Jun. 2024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77" w:type="dxa"/>
                </w:tcPr>
                <w:p>
                  <w:pPr>
                    <w:rPr>
                      <w:rFonts w:hint="eastAsia" w:cs="Arial"/>
                      <w:sz w:val="22"/>
                      <w:szCs w:val="22"/>
                      <w:lang w:eastAsia="zh-CN"/>
                    </w:rPr>
                  </w:pPr>
                  <w:r>
                    <w:rPr>
                      <w:rFonts w:cs="Arial"/>
                      <w:sz w:val="22"/>
                      <w:szCs w:val="22"/>
                      <w:lang w:eastAsia="zh-CN"/>
                    </w:rPr>
                    <w:t>Conclusion</w:t>
                  </w:r>
                </w:p>
              </w:tc>
              <w:tc>
                <w:tcPr>
                  <w:tcW w:w="4778" w:type="dxa"/>
                </w:tcPr>
                <w:p>
                  <w:pPr>
                    <w:rPr>
                      <w:rFonts w:hint="eastAsia" w:cs="Arial"/>
                      <w:sz w:val="22"/>
                      <w:szCs w:val="22"/>
                      <w:lang w:eastAsia="zh-CN"/>
                    </w:rPr>
                  </w:pPr>
                  <w:r>
                    <w:rPr>
                      <w:rFonts w:cs="Arial"/>
                      <w:sz w:val="22"/>
                      <w:szCs w:val="22"/>
                      <w:lang w:eastAsia="zh-CN"/>
                    </w:rPr>
                    <w:t>Aug. 2024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77" w:type="dxa"/>
                </w:tcPr>
                <w:p>
                  <w:pPr>
                    <w:rPr>
                      <w:rFonts w:cs="Arial"/>
                      <w:sz w:val="22"/>
                      <w:szCs w:val="22"/>
                      <w:lang w:eastAsia="zh-CN"/>
                    </w:rPr>
                  </w:pPr>
                  <w:r>
                    <w:rPr>
                      <w:rFonts w:cs="Arial"/>
                      <w:sz w:val="22"/>
                      <w:szCs w:val="22"/>
                      <w:lang w:eastAsia="zh-CN"/>
                    </w:rPr>
                    <w:t>Footnotes, Appendices and References</w:t>
                  </w:r>
                </w:p>
              </w:tc>
              <w:tc>
                <w:tcPr>
                  <w:tcW w:w="4778" w:type="dxa"/>
                  <w:vAlign w:val="top"/>
                </w:tcPr>
                <w:p>
                  <w:pPr>
                    <w:rPr>
                      <w:rFonts w:ascii="Arial" w:hAnsi="Arial" w:eastAsia="Times New Roman" w:cs="Arial"/>
                      <w:sz w:val="22"/>
                      <w:szCs w:val="22"/>
                      <w:lang w:val="en-GB" w:eastAsia="zh-CN" w:bidi="ar-SA"/>
                    </w:rPr>
                  </w:pPr>
                  <w:r>
                    <w:rPr>
                      <w:rFonts w:cs="Arial"/>
                      <w:sz w:val="22"/>
                      <w:szCs w:val="22"/>
                      <w:lang w:eastAsia="zh-CN"/>
                    </w:rPr>
                    <w:t>Sep. 2024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77" w:type="dxa"/>
                </w:tcPr>
                <w:p>
                  <w:pPr>
                    <w:rPr>
                      <w:rFonts w:cs="Arial"/>
                      <w:sz w:val="22"/>
                      <w:szCs w:val="22"/>
                      <w:lang w:eastAsia="zh-CN"/>
                    </w:rPr>
                  </w:pPr>
                  <w:r>
                    <w:rPr>
                      <w:rFonts w:hint="eastAsia" w:cs="Arial"/>
                      <w:sz w:val="22"/>
                      <w:szCs w:val="22"/>
                      <w:lang w:eastAsia="zh-CN"/>
                    </w:rPr>
                    <w:t>S</w:t>
                  </w:r>
                  <w:r>
                    <w:rPr>
                      <w:rFonts w:cs="Arial"/>
                      <w:sz w:val="22"/>
                      <w:szCs w:val="22"/>
                      <w:lang w:eastAsia="zh-CN"/>
                    </w:rPr>
                    <w:t>ubmission of dissertation</w:t>
                  </w:r>
                </w:p>
              </w:tc>
              <w:tc>
                <w:tcPr>
                  <w:tcW w:w="4778" w:type="dxa"/>
                  <w:vAlign w:val="top"/>
                </w:tcPr>
                <w:p>
                  <w:pPr>
                    <w:rPr>
                      <w:rFonts w:cs="Arial"/>
                      <w:sz w:val="22"/>
                      <w:szCs w:val="22"/>
                      <w:lang w:eastAsia="zh-CN"/>
                    </w:rPr>
                  </w:pPr>
                  <w:r>
                    <w:rPr>
                      <w:rFonts w:cs="Arial"/>
                      <w:sz w:val="22"/>
                      <w:szCs w:val="22"/>
                      <w:lang w:eastAsia="zh-CN"/>
                    </w:rPr>
                    <w:t>Sep. 2024</w:t>
                  </w:r>
                </w:p>
              </w:tc>
            </w:tr>
          </w:tbl>
          <w:p>
            <w:pPr>
              <w:rPr>
                <w:rFonts w:cs="Arial"/>
                <w:sz w:val="22"/>
                <w:szCs w:val="22"/>
              </w:rPr>
            </w:pPr>
          </w:p>
          <w:p>
            <w:pPr>
              <w:rPr>
                <w:rFonts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Proposed methodology (approx. 500 words):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vAlign w:val="center"/>
          </w:tcPr>
          <w:p>
            <w:pPr>
              <w:rPr>
                <w:rFonts w:hint="default" w:ascii="Times New Roman Bold Italic" w:hAnsi="Times New Roman Bold Italic" w:cs="Times New Roman Bold Italic"/>
                <w:b/>
                <w:bCs/>
                <w:i/>
                <w:iCs/>
                <w:sz w:val="24"/>
                <w:szCs w:val="24"/>
                <w:lang w:eastAsia="zh-Hans"/>
              </w:rPr>
            </w:pPr>
          </w:p>
          <w:p>
            <w:pPr>
              <w:rPr>
                <w:rFonts w:hint="default" w:ascii="Times New Roman Bold Italic" w:hAnsi="Times New Roman Bold Italic" w:cs="Times New Roman Bold Italic"/>
                <w:b/>
                <w:bCs/>
                <w:i/>
                <w:iCs/>
                <w:sz w:val="24"/>
                <w:szCs w:val="24"/>
                <w:lang w:eastAsia="zh-Hans"/>
              </w:rPr>
            </w:pPr>
            <w:r>
              <w:rPr>
                <w:rFonts w:hint="default" w:ascii="Times New Roman Bold Italic" w:hAnsi="Times New Roman Bold Italic" w:cs="Times New Roman Bold Italic"/>
                <w:b/>
                <w:bCs/>
                <w:i/>
                <w:iCs/>
                <w:sz w:val="24"/>
                <w:szCs w:val="24"/>
                <w:lang w:eastAsia="zh-Hans"/>
              </w:rPr>
              <w:t>Research Philosophy and Paradigm</w:t>
            </w:r>
          </w:p>
          <w:p>
            <w:pPr>
              <w:spacing w:after="0" w:line="360" w:lineRule="auto"/>
              <w:jc w:val="both"/>
              <w:rPr>
                <w:rFonts w:hint="default" w:ascii="Times New Roman" w:hAnsi="Times New Roman" w:cs="Times New Roman"/>
                <w:sz w:val="24"/>
                <w:szCs w:val="24"/>
                <w:lang w:eastAsia="zh-Hans"/>
              </w:rPr>
            </w:pPr>
            <w:r>
              <w:rPr>
                <w:rFonts w:hint="default" w:ascii="Times New Roman" w:hAnsi="Times New Roman" w:cs="Times New Roman"/>
                <w:sz w:val="24"/>
                <w:szCs w:val="24"/>
                <w:lang w:eastAsia="zh-Hans"/>
              </w:rPr>
              <w:t>Research philosophy sets the overarching principle and skeleton for the study. The nature for the research topic is viewed as highly subjective, and thus the research philosophy is adapting the interpretivism or constructivism philosophy. According to Guba and Lincoln (1994), a paradigm is a common set of beliefs and consensus among scientists，and it is about how to understand and solve problems，a methodical point of view that directs the researcher as they conduct research and integrates</w:t>
            </w:r>
            <w:r>
              <w:rPr>
                <w:rFonts w:hint="default" w:ascii="Times New Roman" w:hAnsi="Times New Roman" w:cs="Times New Roman"/>
                <w:sz w:val="24"/>
                <w:szCs w:val="24"/>
                <w:lang w:val="en-US" w:eastAsia="zh-CN"/>
              </w:rPr>
              <w:t xml:space="preserve"> ontology,</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epistemology</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methodology and axiology.</w:t>
            </w:r>
          </w:p>
          <w:p>
            <w:pPr>
              <w:spacing w:after="0" w:line="360" w:lineRule="auto"/>
              <w:jc w:val="both"/>
              <w:rPr>
                <w:rFonts w:ascii="Times New Roman" w:hAnsi="Times New Roman" w:cs="Times New Roman"/>
                <w:sz w:val="24"/>
                <w:szCs w:val="24"/>
              </w:rPr>
            </w:pPr>
          </w:p>
          <w:p>
            <w:pPr>
              <w:spacing w:after="0" w:line="360" w:lineRule="auto"/>
              <w:jc w:val="both"/>
              <w:rPr>
                <w:rFonts w:hint="default" w:ascii="Times New Roman" w:hAnsi="Times New Roman" w:cs="Times New Roman"/>
                <w:sz w:val="24"/>
                <w:szCs w:val="24"/>
                <w:lang w:eastAsia="zh-Hans"/>
              </w:rPr>
            </w:pPr>
            <w:r>
              <w:rPr>
                <w:rFonts w:hint="default" w:ascii="Times New Roman" w:hAnsi="Times New Roman" w:cs="Times New Roman"/>
                <w:sz w:val="24"/>
                <w:szCs w:val="24"/>
                <w:lang w:eastAsia="zh-Hans"/>
              </w:rPr>
              <w:t>The paradigm involves positivism, interpretivism/constructivism and pragmatism. Positivists believe that there is a single realit</w:t>
            </w:r>
            <w:r>
              <w:rPr>
                <w:rFonts w:hint="eastAsia" w:ascii="Times New Roman" w:hAnsi="Times New Roman" w:cs="Times New Roman"/>
                <w:sz w:val="24"/>
                <w:szCs w:val="24"/>
                <w:lang w:val="en-US" w:eastAsia="zh-Hans"/>
              </w:rPr>
              <w:t>y</w:t>
            </w:r>
            <w:r>
              <w:rPr>
                <w:rFonts w:hint="default" w:ascii="Times New Roman" w:hAnsi="Times New Roman" w:cs="Times New Roman"/>
                <w:sz w:val="24"/>
                <w:szCs w:val="24"/>
                <w:lang w:eastAsia="zh-Hans"/>
              </w:rPr>
              <w:t xml:space="preserve"> and the reality that can be measured and known, so they prefer to adopt quantitative methods to measure this reality. By contrast, constructivists argue that there is no single reality or truth, and therefore need to interpret reality, so they are more likely to use qualitative methods to obtain those multiple truth or realities. Moreover, pragmatists insist that reality is constantly being renegotiated, debated, and interpreted, so the best approach is the one that can solve the problem, and usually choose mixed methods (</w:t>
            </w:r>
            <w:r>
              <w:rPr>
                <w:rFonts w:hint="default" w:ascii="Times New Roman" w:hAnsi="Times New Roman" w:cs="Times New Roman"/>
                <w:b w:val="0"/>
                <w:bCs w:val="0"/>
                <w:i w:val="0"/>
                <w:iCs w:val="0"/>
                <w:sz w:val="24"/>
                <w:szCs w:val="24"/>
              </w:rPr>
              <w:t>Crotty ,1998)</w:t>
            </w:r>
            <w:r>
              <w:rPr>
                <w:rFonts w:hint="default" w:ascii="Times New Roman" w:hAnsi="Times New Roman" w:cs="Times New Roman"/>
                <w:sz w:val="24"/>
                <w:szCs w:val="24"/>
                <w:lang w:eastAsia="zh-Hans"/>
              </w:rPr>
              <w:t xml:space="preserve">. </w:t>
            </w:r>
          </w:p>
          <w:p>
            <w:pPr>
              <w:spacing w:after="0" w:line="360" w:lineRule="auto"/>
              <w:jc w:val="both"/>
              <w:rPr>
                <w:rFonts w:hint="default" w:ascii="Times New Roman" w:hAnsi="Times New Roman" w:cs="Times New Roman"/>
                <w:sz w:val="24"/>
                <w:szCs w:val="24"/>
                <w:lang w:eastAsia="zh-Hans"/>
              </w:rPr>
            </w:pPr>
          </w:p>
          <w:p>
            <w:pPr>
              <w:spacing w:after="0" w:line="360" w:lineRule="auto"/>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eastAsia="zh-Hans"/>
              </w:rPr>
              <w:t xml:space="preserve">In my research, it adopts the Constructivist Paradigm, </w:t>
            </w:r>
            <w:r>
              <w:rPr>
                <w:rFonts w:hint="eastAsia" w:ascii="Times New Roman" w:hAnsi="Times New Roman" w:cs="Times New Roman"/>
                <w:sz w:val="24"/>
                <w:szCs w:val="24"/>
                <w:lang w:val="en-US" w:eastAsia="zh-Hans"/>
              </w:rPr>
              <w:t>R</w:t>
            </w:r>
            <w:r>
              <w:rPr>
                <w:rFonts w:hint="default" w:ascii="Times New Roman" w:hAnsi="Times New Roman" w:cs="Times New Roman"/>
                <w:sz w:val="24"/>
                <w:szCs w:val="24"/>
                <w:lang w:eastAsia="zh-Hans"/>
              </w:rPr>
              <w:t xml:space="preserve">elativist Ontology and Subjectivist Epistemology. </w:t>
            </w:r>
            <w:r>
              <w:rPr>
                <w:rFonts w:hint="default" w:ascii="Times New Roman" w:hAnsi="Times New Roman" w:cs="Times New Roman"/>
                <w:sz w:val="24"/>
                <w:szCs w:val="24"/>
                <w:lang w:eastAsia="zh-CN"/>
              </w:rPr>
              <w:t>1) Ontological</w:t>
            </w:r>
            <w:r>
              <w:rPr>
                <w:rFonts w:hint="eastAsia" w:ascii="Times New Roman" w:hAnsi="Times New Roman" w:cs="Times New Roman"/>
                <w:sz w:val="24"/>
                <w:szCs w:val="24"/>
                <w:lang w:eastAsia="zh-CN"/>
              </w:rPr>
              <w:t>l</w:t>
            </w:r>
            <w:r>
              <w:rPr>
                <w:rFonts w:hint="default" w:ascii="Times New Roman" w:hAnsi="Times New Roman" w:cs="Times New Roman"/>
                <w:sz w:val="24"/>
                <w:szCs w:val="24"/>
                <w:lang w:eastAsia="zh-CN"/>
              </w:rPr>
              <w:t xml:space="preserve">y, the research attempt to integrate the AIDA Model together with positioning theory and consumer decision theory, to find out the attractiveness factors of the live streamers. In essence, the specific analysis of the </w:t>
            </w:r>
            <w:r>
              <w:rPr>
                <w:rFonts w:hint="eastAsia" w:ascii="Times New Roman" w:hAnsi="Times New Roman" w:cs="Times New Roman"/>
                <w:sz w:val="24"/>
                <w:szCs w:val="24"/>
                <w:lang w:val="en-US" w:eastAsia="zh-Hans"/>
              </w:rPr>
              <w:t>live</w:t>
            </w:r>
            <w:r>
              <w:rPr>
                <w:rFonts w:hint="default" w:ascii="Times New Roman" w:hAnsi="Times New Roman" w:cs="Times New Roman"/>
                <w:sz w:val="24"/>
                <w:szCs w:val="24"/>
                <w:lang w:eastAsia="zh-Hans"/>
              </w:rPr>
              <w:t xml:space="preserve"> s</w:t>
            </w:r>
            <w:r>
              <w:rPr>
                <w:rFonts w:hint="eastAsia" w:ascii="Times New Roman" w:hAnsi="Times New Roman" w:cs="Times New Roman"/>
                <w:sz w:val="24"/>
                <w:szCs w:val="24"/>
                <w:lang w:val="en-US" w:eastAsia="zh-Hans"/>
              </w:rPr>
              <w:t>treamer</w:t>
            </w:r>
            <w:r>
              <w:rPr>
                <w:rFonts w:hint="default" w:ascii="Times New Roman" w:hAnsi="Times New Roman" w:cs="Times New Roman"/>
                <w:sz w:val="24"/>
                <w:szCs w:val="24"/>
                <w:lang w:eastAsia="zh-CN"/>
              </w:rPr>
              <w:t xml:space="preserve"> as an target of study is constructed and inherently pluralistic. There is no single answer and it can not be found out all the outcomes as well. 2) Epistemologically, the research conduct a series of single-case study design of interviews, to critically analysis the impact of the live streamers to the consumer online behaviours. These outcomes are constructed subjectively and still continue changing and developing. </w:t>
            </w:r>
            <w:r>
              <w:rPr>
                <w:rFonts w:hint="default" w:ascii="Times New Roman" w:hAnsi="Times New Roman" w:cs="Times New Roman"/>
                <w:sz w:val="24"/>
                <w:szCs w:val="24"/>
                <w:lang w:eastAsia="zh-Hans"/>
              </w:rPr>
              <w:t xml:space="preserve">3) Methodologically, the research choose qualitative and inductive approach to collect data, and then adopt the thematic analysis to analyse the data. 4) </w:t>
            </w:r>
            <w:r>
              <w:rPr>
                <w:rFonts w:hint="default" w:ascii="Times New Roman" w:hAnsi="Times New Roman" w:cs="Times New Roman"/>
                <w:sz w:val="24"/>
                <w:szCs w:val="24"/>
                <w:lang w:eastAsia="zh-CN"/>
              </w:rPr>
              <w:t>Axiologically, benefiting to this research, it can find out</w:t>
            </w:r>
            <w:r>
              <w:rPr>
                <w:rFonts w:hint="eastAsia" w:ascii="Times New Roman" w:hAnsi="Times New Roman" w:cs="Times New Roman"/>
                <w:sz w:val="24"/>
                <w:szCs w:val="24"/>
                <w:lang w:eastAsia="zh-CN"/>
              </w:rPr>
              <w:t xml:space="preserve"> the impact of the </w:t>
            </w:r>
            <w:r>
              <w:rPr>
                <w:rFonts w:hint="default" w:ascii="Times New Roman" w:hAnsi="Times New Roman" w:cs="Times New Roman"/>
                <w:sz w:val="24"/>
                <w:szCs w:val="24"/>
                <w:lang w:eastAsia="zh-CN"/>
              </w:rPr>
              <w:t xml:space="preserve">transformation </w:t>
            </w:r>
            <w:r>
              <w:rPr>
                <w:rFonts w:hint="eastAsia" w:ascii="Times New Roman" w:hAnsi="Times New Roman" w:cs="Times New Roman"/>
                <w:sz w:val="24"/>
                <w:szCs w:val="24"/>
                <w:lang w:eastAsia="zh-CN"/>
              </w:rPr>
              <w:t xml:space="preserve">of </w:t>
            </w:r>
            <w:r>
              <w:rPr>
                <w:rFonts w:hint="eastAsia" w:ascii="Times New Roman" w:hAnsi="Times New Roman" w:cs="Times New Roman"/>
                <w:sz w:val="24"/>
                <w:szCs w:val="24"/>
                <w:lang w:val="en-US" w:eastAsia="zh-Hans"/>
              </w:rPr>
              <w:t>t</w:t>
            </w:r>
            <w:r>
              <w:rPr>
                <w:rFonts w:hint="default" w:ascii="Times New Roman" w:hAnsi="Times New Roman" w:cs="Times New Roman"/>
                <w:sz w:val="24"/>
                <w:szCs w:val="24"/>
                <w:lang w:eastAsia="zh-Hans"/>
              </w:rPr>
              <w:t xml:space="preserve">he marketing mode of </w:t>
            </w:r>
            <w:r>
              <w:rPr>
                <w:rFonts w:hint="eastAsia" w:ascii="Times New Roman" w:hAnsi="Times New Roman" w:cs="Times New Roman"/>
                <w:sz w:val="24"/>
                <w:szCs w:val="24"/>
                <w:lang w:eastAsia="zh-CN"/>
              </w:rPr>
              <w:t xml:space="preserve">live </w:t>
            </w:r>
            <w:r>
              <w:rPr>
                <w:rFonts w:hint="default" w:ascii="Times New Roman" w:hAnsi="Times New Roman" w:cs="Times New Roman"/>
                <w:sz w:val="24"/>
                <w:szCs w:val="24"/>
                <w:lang w:eastAsia="zh-CN"/>
              </w:rPr>
              <w:t>streamer during e-commerce, and give reflection about the way to be an attractive live streamers，thus this is a positive contribution to the academic gap in this section （</w:t>
            </w:r>
            <w:r>
              <w:rPr>
                <w:rFonts w:hint="eastAsia" w:ascii="Times New Roman" w:hAnsi="Times New Roman" w:cs="Times New Roman"/>
                <w:sz w:val="24"/>
                <w:szCs w:val="24"/>
                <w:lang w:val="en-US" w:eastAsia="zh-Hans"/>
              </w:rPr>
              <w:t>Si</w:t>
            </w:r>
            <w:r>
              <w:rPr>
                <w:rFonts w:hint="default" w:ascii="Times New Roman" w:hAnsi="Times New Roman" w:cs="Times New Roman"/>
                <w:sz w:val="24"/>
                <w:szCs w:val="24"/>
                <w:lang w:eastAsia="zh-Hans"/>
              </w:rPr>
              <w:t>, 2021)</w:t>
            </w:r>
            <w:r>
              <w:rPr>
                <w:rFonts w:hint="default" w:ascii="Times New Roman" w:hAnsi="Times New Roman" w:cs="Times New Roman"/>
                <w:sz w:val="24"/>
                <w:szCs w:val="24"/>
                <w:lang w:eastAsia="zh-CN"/>
              </w:rPr>
              <w:t>.</w:t>
            </w:r>
            <w:bookmarkStart w:id="2" w:name="_Toc119324137"/>
          </w:p>
          <w:p>
            <w:pPr>
              <w:spacing w:after="0" w:line="360" w:lineRule="auto"/>
              <w:jc w:val="both"/>
              <w:rPr>
                <w:rFonts w:hint="default" w:ascii="Times New Roman" w:hAnsi="Times New Roman" w:cs="Times New Roman"/>
                <w:sz w:val="24"/>
                <w:szCs w:val="24"/>
                <w:lang w:eastAsia="zh-CN"/>
              </w:rPr>
            </w:pPr>
          </w:p>
          <w:p>
            <w:pPr>
              <w:spacing w:after="0" w:line="360" w:lineRule="auto"/>
              <w:jc w:val="both"/>
              <w:rPr>
                <w:rFonts w:hint="default" w:ascii="Times New Roman Bold Italic" w:hAnsi="Times New Roman Bold Italic" w:cs="Times New Roman Bold Italic"/>
                <w:b/>
                <w:bCs/>
                <w:i/>
                <w:iCs/>
                <w:sz w:val="24"/>
                <w:szCs w:val="24"/>
              </w:rPr>
            </w:pPr>
            <w:r>
              <w:rPr>
                <w:rFonts w:hint="default" w:ascii="Times New Roman Bold Italic" w:hAnsi="Times New Roman Bold Italic" w:cs="Times New Roman Bold Italic"/>
                <w:b/>
                <w:bCs/>
                <w:i/>
                <w:iCs/>
                <w:sz w:val="24"/>
                <w:szCs w:val="24"/>
              </w:rPr>
              <w:t>Research Approach</w:t>
            </w:r>
            <w:bookmarkEnd w:id="2"/>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Based on the finding, the research selects the focus group as the core for the research outcomes. Focus group provides the opportunity to invite a range of impacting stakeholders to critically discuss if not debate. In contrast to the traditional interview, focus group could be more viable, as it captures outcomes from distinctive stakeholders, leading more critical and representative outcomes.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From the participant selections, the research may select the stakeholders with different if not opposite interests, such as live streaming consumers with different levels of spending powers; the live streamers; the live streaming business; the business partners such as suppliers to the live streaming e-commerce; the industry analysts, policy maker and even the investors and financial providers in the areas (Bryman and Bell, 2019) This leads to the much more mixed outcome to reduce the potential academic biases.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From the research design, focus group is delivering the semi-open manner. On one hand, questions are poised to address on the key questions such as changing motivates, consumer appetites and impact on the stakeholders. On the other hand, the questions will also be provided with opportunities for open nature, enabling the participants to proactively discuss and even debate with each other (Bryman, 2014). This approach delivers the good balance between finding the targeted outcome and maintain the new finding in the areas.</w:t>
            </w:r>
          </w:p>
          <w:p>
            <w:pPr>
              <w:spacing w:after="0" w:line="360" w:lineRule="auto"/>
              <w:jc w:val="both"/>
              <w:rPr>
                <w:rFonts w:ascii="Times New Roman" w:hAnsi="Times New Roman" w:cs="Times New Roman"/>
                <w:sz w:val="24"/>
                <w:szCs w:val="24"/>
              </w:rPr>
            </w:pP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Once data collection from focus group completed, this will be used to drive the thematic analyses and generalised research to lead the success. This provides the critical discussion and evaluation to address on the research aim and objectives. </w:t>
            </w:r>
          </w:p>
          <w:p>
            <w:pPr>
              <w:rPr>
                <w:rFonts w:cs="Arial"/>
                <w:sz w:val="22"/>
                <w:szCs w:val="22"/>
              </w:rPr>
            </w:pPr>
          </w:p>
          <w:p>
            <w:pPr>
              <w:rPr>
                <w:rFonts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Introductory bibliography: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vAlign w:val="center"/>
          </w:tcPr>
          <w:p>
            <w:pPr>
              <w:spacing w:after="0" w:line="360" w:lineRule="auto"/>
              <w:jc w:val="both"/>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Aerts et al (2022). An inside-out perspective on stakeholder management in university technology transfer offices. Technological Forecasting and Social Change, Volume 175, 121291</w:t>
            </w:r>
          </w:p>
          <w:p>
            <w:pPr>
              <w:keepNext w:val="0"/>
              <w:keepLines w:val="0"/>
              <w:pageBreakBefore w:val="0"/>
              <w:widowControl/>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ascii="Times New Roman" w:hAnsi="Times New Roman" w:cs="Times New Roman"/>
                <w:sz w:val="24"/>
                <w:szCs w:val="24"/>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Booth, A., Sutton, A. and Papaioannou, D. (2016) Systematic Approaches to a Successful Literature Review.</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Bryman, A. (2004), Quantity and Quality in Social Research, Routledge, New York: USA.</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Bryman (2014). Social Research Method. 4th edition. UK: Oxford University Press</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Bryman and Bell (2019). Business Research Method. 6th edition. UK: Oxford University Press</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Chen H (2022). The dual-process model of product information and habit in influencing consumers’ purchase intention: The role of live streaming features. Electronic Commerce Research and Applications, Volume 53, 101150</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Chong A, Chan F and Ooi K (2012). Predicting consumer decisions to adopt mobile commerce: Cross country empirical examination between China and Malaysia. Decision Support Systems, Volume 53, Issue 1, Pages 34-43</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Cohen, L.; Manion, L. and Morrison, K. (2007), Research Methods in Education, 6th edn, Routledge, New York: USA</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Creswell, J.W. 2003. Research design: qualitative, quantitative, and mixed method approaches. SAGE.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Creswell, J. W. (2007). Qualitative inquiry and research design. (2n ed.). Thousand Oaks, CA: Sage.</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eastAsia"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eastAsia"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Creswell, </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J.W.2018. </w:t>
            </w:r>
            <w:r>
              <w:rPr>
                <w:rFonts w:hint="eastAsia" w:ascii="Times New Roman Regular" w:hAnsi="Times New Roman Regular" w:eastAsia="宋体" w:cs="Times New Roman Regular"/>
                <w:i w:val="0"/>
                <w:caps w:val="0"/>
                <w:color w:val="222222"/>
                <w:spacing w:val="0"/>
                <w:kern w:val="0"/>
                <w:sz w:val="24"/>
                <w:szCs w:val="24"/>
                <w:shd w:val="clear" w:fill="FFFFFF"/>
                <w:lang w:val="en-US" w:eastAsia="zh-CN" w:bidi="ar"/>
              </w:rPr>
              <w:t>Qualitative Inquiry &amp; Research Design 4e. SAGE Publishing</w:t>
            </w: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Crotty, M. (1998). The Foundations of Social Research: Meaning and Perspective in the Research Process. London: SAGE Publications Ltd</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Denscombe, M., (2009) Ground rules for social research: Guidelines for good practice. McGraw-Hill Education (UK).</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Denscombe, M (2010), The Good Research Guide: for small scale social research projects, 4th edn, McGraw-Hill, New York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Deng X (2015). Understanding Chinese consumers’ ethical purchasing decision-making process: A combination of qualitative and quantitative study. Geoforum, Volume 67, Pages 204-213</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Efron, SE, &amp; Ravid, R. (2018) Writing the Literature Review : A Practical Guide, Guilford Publications, New York. Available from: ProQuest Ebook Central. [5 May 2022].</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Frade J, Oliveira J and Giraldi J (2021). Advertising in streaming video: An integrative literature review and research agenda. Telecommunications Policy, Volume 45, Issue 9, 102186</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eastAsia" w:ascii="Times New Roman Regular" w:hAnsi="Times New Roman Regular" w:eastAsia="宋体" w:cs="Times New Roman Regular"/>
                <w:i w:val="0"/>
                <w:caps w:val="0"/>
                <w:color w:val="222222"/>
                <w:spacing w:val="0"/>
                <w:kern w:val="0"/>
                <w:sz w:val="24"/>
                <w:szCs w:val="24"/>
                <w:shd w:val="clear" w:fill="FFFFFF"/>
                <w:lang w:val="en-US" w:eastAsia="zh-Hans" w:bidi="ar"/>
              </w:rPr>
            </w:pPr>
            <w:r>
              <w:rPr>
                <w:rFonts w:hint="eastAsia" w:ascii="Times New Roman Regular" w:hAnsi="Times New Roman Regular" w:eastAsia="宋体" w:cs="Times New Roman Regular"/>
                <w:i w:val="0"/>
                <w:caps w:val="0"/>
                <w:color w:val="222222"/>
                <w:spacing w:val="0"/>
                <w:kern w:val="0"/>
                <w:sz w:val="24"/>
                <w:szCs w:val="24"/>
                <w:shd w:val="clear" w:fill="FFFFFF"/>
                <w:lang w:val="en-US" w:eastAsia="zh-Hans" w:bidi="ar"/>
              </w:rPr>
              <w:t>Goffman, E. (1959), The Presentation of Self in Everyday Life, Doubleday, Garden City, New York, NY.</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Gong H, Zhao M, Ren J and Hao Z (2022). Live streaming strategy under multi-channel sales of the online retailer. Electronic Commerce Research and Applications, Volume 55, 101184</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Guba, E.G. and Lincoln, Y.S., 1994. Competing paradigms in qualitative research. Handbook of qualitative research, 2(163-194), p.105.</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Guo et al (2022). Developing sustainable business model innovation through stakeholder management and dynamic capability: A longitudinal case study. Journal of Cleaner Production, Volume 372, 133626</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Lahouel B et al (2022). Does primary stakeholder management improve competitiveness? A dynamic network non-parametric frontier approach. Economic Modelling, Volume 116, 106010</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Liu X, Zeng Y, Li Z and Dan H (2022). Understanding consumers' motivations to view travel live streaming: Scale development and validation. Tourism Management Perspectives, Volume 44, 101027</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Lu Y, He Y and Ke Y (2022). The influence of e-commerce live streaming affordance on consumer's gift-giving and purchase intention. Data Science and Management</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Ma X, Zou X and Lv J (2022). Why do consumers hesitate to purchase in live streaming? A perspective of interaction between participants. Electronic Commerce Research and Applications, Volume 55, 101193</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Ma Y (2021). Elucidating determinants of customer satisfaction with live-stream shopping: An extension of the information systems success model. Telematics and Informatics, Volume 65, 101707</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Maxwell, J. A. (2005). Qualitative research design: An interactive approach (2nd ed.). Thousand Oaks, CA: Sage. </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Maxwell, J.A., 2008. Designing a qualitative study. The SAGE handbook of applied social research methods, 2, pp.214-253.</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bookmarkStart w:id="3" w:name="_Hlk119310233"/>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 xml:space="preserve">Rungruangjit et al </w:t>
            </w:r>
            <w:bookmarkEnd w:id="3"/>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(2022). What drives Taobao live streaming commerce? The role of parasocial relationships, congruence and source credibility in Chinese consumers’ purchase intentions. Heliyon, Volume 8, Issue 6, e09676</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Sun Z, Fu S and Jiang T (2022). Gain-framed product descriptions are more appealing to elderly consumers in live streaming E-commerce: Implications from a controlled experiment. Data and Information Management, 100022</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Xiao Q, Wan S, Zhang X, Siponen M, Qu L and Li X (2022). How consumers’ perceptions differ towards the design features of mobile live streaming shopping platform: A mixed-method investigation of respondents from Taobao Live. Journal of Retailing and Consumer Services, Volume 69, 103098</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t>Yin, R.K., 2009. Case study research: Design and methods (Vol. 5). sage.</w:t>
            </w:r>
          </w:p>
          <w:p>
            <w:pPr>
              <w:keepNext w:val="0"/>
              <w:keepLines w:val="0"/>
              <w:pageBreakBefore w:val="0"/>
              <w:widowControl/>
              <w:suppressLineNumbers w:val="0"/>
              <w:kinsoku/>
              <w:wordWrap/>
              <w:overflowPunct/>
              <w:topLinePunct w:val="0"/>
              <w:autoSpaceDE/>
              <w:autoSpaceDN/>
              <w:bidi w:val="0"/>
              <w:adjustRightInd/>
              <w:snapToGrid/>
              <w:spacing w:after="0"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i w:val="0"/>
                <w:caps w:val="0"/>
                <w:color w:val="222222"/>
                <w:spacing w:val="0"/>
                <w:kern w:val="0"/>
                <w:sz w:val="24"/>
                <w:szCs w:val="24"/>
                <w:shd w:val="clear" w:fill="FFFFFF"/>
                <w:lang w:val="en-US" w:eastAsia="zh-CN" w:bidi="ar"/>
              </w:rPr>
            </w:pPr>
          </w:p>
          <w:p>
            <w:pPr>
              <w:rPr>
                <w:rFonts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Facilities and resources available for the investigation: please indicate if you expect to need any special resources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7" w:hRule="atLeast"/>
        </w:trPr>
        <w:tc>
          <w:tcPr>
            <w:tcW w:w="9781" w:type="dxa"/>
            <w:vAlign w:val="center"/>
          </w:tcPr>
          <w:p>
            <w:pPr>
              <w:autoSpaceDE w:val="0"/>
              <w:autoSpaceDN w:val="0"/>
              <w:adjustRightInd w:val="0"/>
              <w:spacing w:line="360" w:lineRule="auto"/>
              <w:contextualSpacing/>
              <w:jc w:val="both"/>
              <w:rPr>
                <w:rFonts w:cs="Arial"/>
                <w:b/>
                <w:bCs/>
                <w:i/>
                <w:iCs/>
                <w:sz w:val="22"/>
                <w:szCs w:val="22"/>
                <w:lang w:eastAsia="zh-CN"/>
              </w:rPr>
            </w:pPr>
          </w:p>
          <w:p>
            <w:pPr>
              <w:autoSpaceDE w:val="0"/>
              <w:autoSpaceDN w:val="0"/>
              <w:adjustRightInd w:val="0"/>
              <w:spacing w:line="360" w:lineRule="auto"/>
              <w:contextualSpacing/>
              <w:jc w:val="both"/>
              <w:rPr>
                <w:rFonts w:cs="Arial"/>
                <w:sz w:val="22"/>
                <w:szCs w:val="22"/>
                <w:lang w:eastAsia="zh-CN"/>
              </w:rPr>
            </w:pPr>
            <w:r>
              <w:rPr>
                <w:rFonts w:cs="Arial"/>
                <w:b/>
                <w:bCs/>
                <w:i/>
                <w:iCs/>
                <w:sz w:val="22"/>
                <w:szCs w:val="22"/>
                <w:lang w:eastAsia="zh-CN"/>
              </w:rPr>
              <w:t>Facilities and Resources</w:t>
            </w:r>
          </w:p>
          <w:p>
            <w:pPr>
              <w:autoSpaceDE w:val="0"/>
              <w:autoSpaceDN w:val="0"/>
              <w:adjustRightInd w:val="0"/>
              <w:spacing w:line="360" w:lineRule="auto"/>
              <w:contextualSpacing/>
              <w:jc w:val="both"/>
              <w:rPr>
                <w:rFonts w:hint="default" w:ascii="Times New Roman" w:hAnsi="Times New Roman" w:eastAsia="Times New Roman" w:cs="Times New Roman"/>
                <w:sz w:val="24"/>
                <w:szCs w:val="24"/>
                <w:lang w:eastAsia="zh-CN" w:bidi="ar-SA"/>
              </w:rPr>
            </w:pPr>
            <w:r>
              <w:rPr>
                <w:rFonts w:hint="default" w:ascii="Times New Roman" w:hAnsi="Times New Roman" w:eastAsia="Times New Roman" w:cs="Times New Roman"/>
                <w:sz w:val="24"/>
                <w:szCs w:val="24"/>
                <w:lang w:eastAsia="zh-CN" w:bidi="ar-SA"/>
              </w:rPr>
              <w:t>During the whole research, the researcher will need the university library  (</w:t>
            </w:r>
            <w:r>
              <w:rPr>
                <w:rFonts w:hint="default" w:ascii="Times New Roman" w:hAnsi="Times New Roman" w:eastAsia="Times New Roman" w:cs="Times New Roman"/>
                <w:sz w:val="24"/>
                <w:szCs w:val="24"/>
                <w:lang w:val="en-GB" w:eastAsia="zh-CN" w:bidi="ar-SA"/>
              </w:rPr>
              <w:t>both physical and virtual)</w:t>
            </w:r>
            <w:r>
              <w:rPr>
                <w:rFonts w:hint="default" w:ascii="Times New Roman" w:hAnsi="Times New Roman" w:eastAsia="Times New Roman" w:cs="Times New Roman"/>
                <w:sz w:val="24"/>
                <w:szCs w:val="24"/>
                <w:lang w:eastAsia="zh-CN" w:bidi="ar-SA"/>
              </w:rPr>
              <w:t xml:space="preserve">, library online sources, </w:t>
            </w:r>
            <w:r>
              <w:rPr>
                <w:rFonts w:hint="default" w:ascii="Times New Roman" w:hAnsi="Times New Roman" w:eastAsia="Times New Roman" w:cs="Times New Roman"/>
                <w:sz w:val="24"/>
                <w:szCs w:val="24"/>
                <w:lang w:val="en-GB" w:eastAsia="zh-CN" w:bidi="ar-SA"/>
              </w:rPr>
              <w:t>N</w:t>
            </w:r>
            <w:r>
              <w:rPr>
                <w:rFonts w:hint="default" w:ascii="Times New Roman" w:hAnsi="Times New Roman" w:eastAsia="Times New Roman" w:cs="Times New Roman"/>
                <w:sz w:val="24"/>
                <w:szCs w:val="24"/>
                <w:lang w:eastAsia="zh-CN" w:bidi="ar-SA"/>
              </w:rPr>
              <w:t>Vi</w:t>
            </w:r>
            <w:r>
              <w:rPr>
                <w:rFonts w:hint="default" w:ascii="Times New Roman" w:hAnsi="Times New Roman" w:eastAsia="Times New Roman" w:cs="Times New Roman"/>
                <w:sz w:val="24"/>
                <w:szCs w:val="24"/>
                <w:lang w:val="en-GB" w:eastAsia="zh-CN" w:bidi="ar-SA"/>
              </w:rPr>
              <w:t>vo software</w:t>
            </w:r>
            <w:r>
              <w:rPr>
                <w:rFonts w:hint="default" w:ascii="Times New Roman" w:hAnsi="Times New Roman" w:eastAsia="Times New Roman" w:cs="Times New Roman"/>
                <w:sz w:val="24"/>
                <w:szCs w:val="24"/>
                <w:lang w:eastAsia="zh-CN" w:bidi="ar-SA"/>
              </w:rPr>
              <w:t>, or some other facilities supported by the UWTSD. The researcher has full rights to use these equipment. Besides, the research will also  conduct the interviews with Yuelu App for record and transcript via computer or mobile phone.</w:t>
            </w:r>
          </w:p>
          <w:p>
            <w:pPr>
              <w:spacing w:after="0" w:line="360" w:lineRule="auto"/>
              <w:jc w:val="both"/>
              <w:rPr>
                <w:rFonts w:hint="default" w:ascii="Times New Roman" w:hAnsi="Times New Roman" w:eastAsia="Times New Roman" w:cs="Times New Roman"/>
                <w:sz w:val="24"/>
                <w:szCs w:val="24"/>
                <w:lang w:val="en-GB" w:eastAsia="zh-CN" w:bidi="ar-SA"/>
              </w:rPr>
            </w:pPr>
          </w:p>
          <w:p>
            <w:pPr>
              <w:spacing w:line="360" w:lineRule="auto"/>
              <w:jc w:val="both"/>
              <w:rPr>
                <w:rFonts w:hint="default" w:ascii="Times New Roman" w:hAnsi="Times New Roman" w:eastAsia="Times New Roman" w:cs="Times New Roman"/>
                <w:sz w:val="24"/>
                <w:szCs w:val="24"/>
                <w:lang w:val="en-GB" w:eastAsia="zh-CN" w:bidi="ar-SA"/>
              </w:rPr>
            </w:pPr>
            <w:r>
              <w:rPr>
                <w:rFonts w:cs="Arial"/>
                <w:b/>
                <w:bCs/>
                <w:i/>
                <w:iCs/>
                <w:sz w:val="22"/>
                <w:szCs w:val="22"/>
                <w:lang w:eastAsia="zh-CN"/>
              </w:rPr>
              <w:t>Ethical considerations</w:t>
            </w:r>
          </w:p>
          <w:p>
            <w:pPr>
              <w:spacing w:after="0" w:line="360" w:lineRule="auto"/>
              <w:jc w:val="both"/>
              <w:rPr>
                <w:rFonts w:hint="default" w:ascii="Times New Roman" w:hAnsi="Times New Roman" w:eastAsia="Times New Roman" w:cs="Times New Roman"/>
                <w:sz w:val="24"/>
                <w:szCs w:val="24"/>
                <w:lang w:val="en-GB" w:eastAsia="zh-CN" w:bidi="ar-SA"/>
              </w:rPr>
            </w:pPr>
            <w:r>
              <w:rPr>
                <w:rFonts w:hint="default" w:ascii="Times New Roman" w:hAnsi="Times New Roman" w:eastAsia="Times New Roman" w:cs="Times New Roman"/>
                <w:sz w:val="24"/>
                <w:szCs w:val="24"/>
                <w:lang w:val="en-GB" w:eastAsia="zh-CN" w:bidi="ar-SA"/>
              </w:rPr>
              <w:t>Due to the nature for primary study, the study maintains the high level of the research ethical standard.</w:t>
            </w:r>
            <w:r>
              <w:rPr>
                <w:rFonts w:hint="default" w:ascii="Times New Roman" w:hAnsi="Times New Roman" w:cs="Times New Roman"/>
                <w:sz w:val="24"/>
                <w:szCs w:val="24"/>
                <w:lang w:eastAsia="zh-CN" w:bidi="ar-SA"/>
              </w:rPr>
              <w:t xml:space="preserve"> </w:t>
            </w:r>
            <w:r>
              <w:rPr>
                <w:rFonts w:hint="default" w:ascii="Times New Roman" w:hAnsi="Times New Roman" w:eastAsia="Times New Roman" w:cs="Times New Roman"/>
                <w:sz w:val="24"/>
                <w:szCs w:val="24"/>
                <w:lang w:val="en-GB" w:eastAsia="zh-CN" w:bidi="ar-SA"/>
              </w:rPr>
              <w:t>The researcher will focus in the areas of providing the full information to the participants; gaining the full consent and acknowledged for the participation; maintaining highest standard of data protections, the exclusive use for the data, and deletion for the data after completion for the works (Bryman and Bell 2019). On top of that, research is also going to grant the university ethical approvals before conducting the research</w:t>
            </w:r>
            <w:r>
              <w:rPr>
                <w:rFonts w:hint="default" w:ascii="Times New Roman" w:hAnsi="Times New Roman" w:cs="Times New Roman"/>
                <w:sz w:val="24"/>
                <w:szCs w:val="24"/>
                <w:lang w:eastAsia="zh-CN" w:bidi="ar-SA"/>
              </w:rPr>
              <w:t>, including the Ethical Form, Information Sheet and Consent Form.</w:t>
            </w:r>
          </w:p>
          <w:p>
            <w:pPr>
              <w:rPr>
                <w:rFonts w:cs="Arial"/>
                <w:sz w:val="22"/>
                <w:szCs w:val="22"/>
              </w:rPr>
            </w:pPr>
          </w:p>
          <w:p>
            <w:pPr>
              <w:rPr>
                <w:rFonts w:cs="Arial"/>
                <w:sz w:val="22"/>
                <w:szCs w:val="22"/>
              </w:rPr>
            </w:pPr>
          </w:p>
        </w:tc>
      </w:tr>
    </w:tbl>
    <w:p>
      <w:pPr>
        <w:rPr>
          <w:rFonts w:cs="Arial"/>
          <w:sz w:val="22"/>
          <w:szCs w:val="22"/>
        </w:rPr>
      </w:pPr>
    </w:p>
    <w:p>
      <w:pPr>
        <w:rPr>
          <w:rFonts w:cs="Arial"/>
          <w:b/>
          <w:sz w:val="22"/>
          <w:szCs w:val="22"/>
        </w:rPr>
      </w:pPr>
    </w:p>
    <w:p>
      <w:pPr>
        <w:rPr>
          <w:rFonts w:cs="Arial"/>
          <w:b/>
          <w:sz w:val="22"/>
          <w:szCs w:val="22"/>
        </w:rPr>
      </w:pPr>
    </w:p>
    <w:p>
      <w:pPr>
        <w:rPr>
          <w:rFonts w:cs="Arial"/>
          <w:b/>
          <w:sz w:val="22"/>
          <w:szCs w:val="22"/>
        </w:rPr>
      </w:pPr>
      <w:r>
        <w:rPr>
          <w:rFonts w:cs="Arial"/>
          <w:b/>
          <w:sz w:val="22"/>
          <w:szCs w:val="22"/>
        </w:rPr>
        <w:t>Intellectual Property IP</w:t>
      </w:r>
    </w:p>
    <w:p>
      <w:pPr>
        <w:rPr>
          <w:rFonts w:cs="Arial"/>
          <w:b/>
          <w:sz w:val="22"/>
          <w:szCs w:val="22"/>
        </w:rPr>
      </w:pPr>
      <w:r>
        <w:rPr>
          <w:sz w:val="22"/>
        </w:rPr>
        <w:t>It is anticipated that Intellectual Property (IP) will be produced as a result of this research.</w:t>
      </w:r>
    </w:p>
    <w:tbl>
      <w:tblPr>
        <w:tblStyle w:val="19"/>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946"/>
        <w:gridCol w:w="1418"/>
        <w:gridCol w:w="141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27" w:hRule="atLeast"/>
        </w:trPr>
        <w:tc>
          <w:tcPr>
            <w:tcW w:w="9781" w:type="dxa"/>
            <w:gridSpan w:val="3"/>
            <w:tcBorders>
              <w:top w:val="nil"/>
              <w:left w:val="nil"/>
              <w:bottom w:val="nil"/>
              <w:right w:val="nil"/>
            </w:tcBorders>
            <w:shd w:val="clear" w:color="auto" w:fill="auto"/>
          </w:tcPr>
          <w:p>
            <w:pPr>
              <w:jc w:val="right"/>
              <w:rPr>
                <w:rFonts w:cs="Arial"/>
                <w:b/>
              </w:rPr>
            </w:pPr>
            <w:r>
              <w:rPr>
                <w:rFonts w:cs="Arial"/>
                <w:b/>
              </w:rPr>
              <w:t xml:space="preserve">Tick </w:t>
            </w:r>
            <w:r>
              <w:rPr>
                <w:rFonts w:ascii="Agency FB" w:hAnsi="Agency FB" w:cs="Arial"/>
                <w:b/>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pPr>
              <w:rPr>
                <w:rFonts w:cs="Arial"/>
                <w:sz w:val="22"/>
                <w:szCs w:val="22"/>
              </w:rPr>
            </w:pPr>
          </w:p>
        </w:tc>
        <w:tc>
          <w:tcPr>
            <w:tcW w:w="1418" w:type="dxa"/>
            <w:tcBorders>
              <w:top w:val="single" w:color="auto" w:sz="4" w:space="0"/>
              <w:left w:val="single" w:color="auto" w:sz="4" w:space="0"/>
            </w:tcBorders>
            <w:shd w:val="clear" w:color="auto" w:fill="F1F1F1" w:themeFill="background1" w:themeFillShade="F2"/>
          </w:tcPr>
          <w:p>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pPr>
              <w:rPr>
                <w:rFonts w:cs="Arial"/>
                <w:sz w:val="22"/>
                <w:szCs w:val="22"/>
              </w:rPr>
            </w:pPr>
            <w:r>
              <w:rPr>
                <w:rFonts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27" w:hRule="atLeast"/>
        </w:trPr>
        <w:tc>
          <w:tcPr>
            <w:tcW w:w="6946" w:type="dxa"/>
            <w:tcBorders>
              <w:top w:val="single" w:color="auto" w:sz="4" w:space="0"/>
            </w:tcBorders>
            <w:shd w:val="clear" w:color="auto" w:fill="F1F1F1" w:themeFill="background1" w:themeFillShade="F2"/>
          </w:tcPr>
          <w:p>
            <w:pPr>
              <w:rPr>
                <w:rFonts w:cs="Arial"/>
                <w:sz w:val="22"/>
                <w:szCs w:val="22"/>
              </w:rPr>
            </w:pPr>
            <w:r>
              <w:rPr>
                <w:sz w:val="22"/>
              </w:rPr>
              <w:t>Is the IP already subject to a separate agreement with a third party (e.g. employer, sponsor or external funder)? If so please provide details below</w:t>
            </w:r>
          </w:p>
        </w:tc>
        <w:sdt>
          <w:sdtPr>
            <w:rPr>
              <w:rFonts w:cs="Arial"/>
              <w:sz w:val="22"/>
              <w:szCs w:val="22"/>
            </w:rPr>
            <w:id w:val="1557745169"/>
            <w14:checkbox>
              <w14:checked w14:val="0"/>
              <w14:checkedState w14:val="2612" w14:font="MS Gothic"/>
              <w14:uncheckedState w14:val="2610" w14:font="MS Gothic"/>
            </w14:checkbox>
          </w:sdtPr>
          <w:sdtEndPr>
            <w:rPr>
              <w:rFonts w:cs="Arial"/>
              <w:sz w:val="22"/>
              <w:szCs w:val="22"/>
            </w:rPr>
          </w:sdtEndPr>
          <w:sdtContent>
            <w:tc>
              <w:tcPr>
                <w:tcW w:w="1418" w:type="dxa"/>
                <w:tcBorders>
                  <w:top w:val="single" w:color="auto" w:sz="4" w:space="0"/>
                </w:tcBorders>
                <w:shd w:val="clear" w:color="auto" w:fill="auto"/>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rPr>
              <w:rFonts w:cs="Arial"/>
              <w:sz w:val="22"/>
              <w:szCs w:val="22"/>
            </w:rPr>
          </w:sdtEndPr>
          <w:sdtContent>
            <w:tc>
              <w:tcPr>
                <w:tcW w:w="1417" w:type="dxa"/>
                <w:tcBorders>
                  <w:top w:val="single" w:color="auto" w:sz="4" w:space="0"/>
                </w:tcBorders>
                <w:shd w:val="clear" w:color="auto" w:fill="auto"/>
              </w:tcPr>
              <w:p>
                <w:pPr>
                  <w:jc w:val="center"/>
                  <w:rPr>
                    <w:rFonts w:cs="Arial"/>
                    <w:sz w:val="22"/>
                    <w:szCs w:val="22"/>
                  </w:rPr>
                </w:pPr>
                <w:r>
                  <w:rPr>
                    <w:rFonts w:ascii="MS Gothic" w:hAnsi="MS Gothic" w:eastAsia="MS Gothic" w:cs="Arial"/>
                    <w:sz w:val="22"/>
                    <w:szCs w:val="22"/>
                    <w:lang w:val="en-GB" w:eastAsia="en-GB"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72" w:hRule="atLeast"/>
        </w:trPr>
        <w:tc>
          <w:tcPr>
            <w:tcW w:w="6946" w:type="dxa"/>
            <w:shd w:val="clear" w:color="auto" w:fill="F1F1F1" w:themeFill="background1" w:themeFillShade="F2"/>
          </w:tcPr>
          <w:p>
            <w:pPr>
              <w:rPr>
                <w:sz w:val="22"/>
              </w:rPr>
            </w:pPr>
            <w:r>
              <w:rPr>
                <w:sz w:val="22"/>
              </w:rPr>
              <w:t xml:space="preserve">Is the research dependent upon background IP owned by: </w:t>
            </w:r>
          </w:p>
          <w:p>
            <w:pPr>
              <w:rPr>
                <w:rFonts w:cs="Arial"/>
                <w:sz w:val="22"/>
                <w:szCs w:val="22"/>
              </w:rPr>
            </w:pPr>
            <w:r>
              <w:rPr>
                <w:sz w:val="22"/>
              </w:rPr>
              <w:t>If so, please provide details below</w:t>
            </w:r>
          </w:p>
        </w:tc>
        <w:tc>
          <w:tcPr>
            <w:tcW w:w="1418" w:type="dxa"/>
            <w:shd w:val="clear" w:color="auto" w:fill="auto"/>
          </w:tcPr>
          <w:p>
            <w:pPr>
              <w:jc w:val="center"/>
              <w:rPr>
                <w:sz w:val="22"/>
              </w:rPr>
            </w:pPr>
            <w:r>
              <w:rPr>
                <w:sz w:val="22"/>
              </w:rPr>
              <w:t>UWTSD</w:t>
            </w:r>
          </w:p>
          <w:sdt>
            <w:sdtPr>
              <w:rPr>
                <w:rFonts w:cs="Arial"/>
                <w:sz w:val="22"/>
                <w:szCs w:val="22"/>
              </w:rPr>
              <w:id w:val="123590131"/>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tc>
        <w:tc>
          <w:tcPr>
            <w:tcW w:w="1417" w:type="dxa"/>
            <w:shd w:val="clear" w:color="auto" w:fill="auto"/>
          </w:tcPr>
          <w:p>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72" w:hRule="atLeast"/>
        </w:trPr>
        <w:tc>
          <w:tcPr>
            <w:tcW w:w="9781" w:type="dxa"/>
            <w:gridSpan w:val="3"/>
            <w:shd w:val="clear" w:color="auto" w:fill="auto"/>
          </w:tcPr>
          <w:p>
            <w:pPr>
              <w:rPr>
                <w:i/>
                <w:sz w:val="18"/>
                <w:szCs w:val="18"/>
              </w:rPr>
            </w:pPr>
            <w:r>
              <w:rPr>
                <w:i/>
                <w:sz w:val="18"/>
                <w:szCs w:val="18"/>
              </w:rPr>
              <w:t>Text box will expand</w:t>
            </w:r>
          </w:p>
          <w:p>
            <w:pPr>
              <w:rPr>
                <w:sz w:val="18"/>
                <w:szCs w:val="18"/>
              </w:rPr>
            </w:pPr>
          </w:p>
          <w:p>
            <w:pPr>
              <w:rPr>
                <w:sz w:val="18"/>
                <w:szCs w:val="18"/>
              </w:rPr>
            </w:pPr>
          </w:p>
          <w:p>
            <w:pPr>
              <w:rPr>
                <w:sz w:val="18"/>
                <w:szCs w:val="18"/>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27" w:hRule="atLeast"/>
        </w:trPr>
        <w:tc>
          <w:tcPr>
            <w:tcW w:w="9781" w:type="dxa"/>
            <w:gridSpan w:val="3"/>
            <w:tcBorders>
              <w:top w:val="nil"/>
              <w:left w:val="nil"/>
              <w:bottom w:val="nil"/>
              <w:right w:val="nil"/>
            </w:tcBorders>
            <w:shd w:val="clear" w:color="auto" w:fill="auto"/>
          </w:tcPr>
          <w:p>
            <w:pPr>
              <w:jc w:val="right"/>
              <w:rPr>
                <w:rFonts w:cs="Arial"/>
                <w:b/>
              </w:rPr>
            </w:pPr>
            <w:r>
              <w:rPr>
                <w:rFonts w:cs="Arial"/>
                <w:b/>
              </w:rPr>
              <w:t xml:space="preserve">Tick </w:t>
            </w:r>
            <w:r>
              <w:rPr>
                <w:rFonts w:ascii="Agency FB" w:hAnsi="Agency FB" w:cs="Arial"/>
                <w:b/>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pPr>
              <w:rPr>
                <w:rFonts w:cs="Arial"/>
                <w:sz w:val="22"/>
                <w:szCs w:val="22"/>
              </w:rPr>
            </w:pPr>
            <w:r>
              <w:rPr>
                <w:rFonts w:cs="Arial"/>
                <w:sz w:val="22"/>
                <w:szCs w:val="22"/>
              </w:rPr>
              <w:t>I understand that:</w:t>
            </w:r>
          </w:p>
        </w:tc>
        <w:tc>
          <w:tcPr>
            <w:tcW w:w="1418" w:type="dxa"/>
            <w:tcBorders>
              <w:top w:val="single" w:color="auto" w:sz="4" w:space="0"/>
              <w:left w:val="single" w:color="auto" w:sz="4" w:space="0"/>
            </w:tcBorders>
            <w:shd w:val="clear" w:color="auto" w:fill="F1F1F1" w:themeFill="background1" w:themeFillShade="F2"/>
          </w:tcPr>
          <w:p>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pPr>
              <w:rPr>
                <w:rFonts w:cs="Arial"/>
                <w:sz w:val="22"/>
                <w:szCs w:val="22"/>
              </w:rPr>
            </w:pPr>
            <w:r>
              <w:rPr>
                <w:rFonts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99" w:hRule="atLeast"/>
        </w:trPr>
        <w:tc>
          <w:tcPr>
            <w:tcW w:w="6946" w:type="dxa"/>
            <w:shd w:val="clear" w:color="auto" w:fill="F1F1F1" w:themeFill="background1" w:themeFillShade="F2"/>
          </w:tcPr>
          <w:p>
            <w:pPr>
              <w:rPr>
                <w:sz w:val="22"/>
              </w:rPr>
            </w:pPr>
            <w:r>
              <w:rPr>
                <w:sz w:val="22"/>
              </w:rPr>
              <w:t>If any party other than the student is likely to be involved in the development of IP a separate IP agreement will be needed and it may be necessary for the student to assign the IP rights to the University.</w:t>
            </w:r>
          </w:p>
          <w:p>
            <w:pPr>
              <w:rPr>
                <w:rFonts w:cs="Arial"/>
                <w:sz w:val="22"/>
                <w:szCs w:val="22"/>
              </w:rPr>
            </w:pPr>
          </w:p>
        </w:tc>
        <w:sdt>
          <w:sdtPr>
            <w:rPr>
              <w:rFonts w:cs="Arial"/>
              <w:sz w:val="22"/>
              <w:szCs w:val="22"/>
            </w:rPr>
            <w:id w:val="1219639617"/>
            <w14:checkbox>
              <w14:checked w14:val="0"/>
              <w14:checkedState w14:val="2612" w14:font="MS Gothic"/>
              <w14:uncheckedState w14:val="2610" w14:font="MS Gothic"/>
            </w14:checkbox>
          </w:sdtPr>
          <w:sdtEndPr>
            <w:rPr>
              <w:rFonts w:cs="Arial"/>
              <w:sz w:val="22"/>
              <w:szCs w:val="22"/>
            </w:rPr>
          </w:sdtEndPr>
          <w:sdtContent>
            <w:tc>
              <w:tcPr>
                <w:tcW w:w="1418" w:type="dxa"/>
                <w:shd w:val="clear" w:color="auto" w:fill="auto"/>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0"/>
            <w14:checkbox>
              <w14:checked w14:val="1"/>
              <w14:checkedState w14:val="2612" w14:font="MS Gothic"/>
              <w14:uncheckedState w14:val="2610" w14:font="MS Gothic"/>
            </w14:checkbox>
          </w:sdtPr>
          <w:sdtEndPr>
            <w:rPr>
              <w:rFonts w:cs="Arial"/>
              <w:sz w:val="22"/>
              <w:szCs w:val="22"/>
            </w:rPr>
          </w:sdtEndPr>
          <w:sdtContent>
            <w:tc>
              <w:tcPr>
                <w:tcW w:w="1417" w:type="dxa"/>
                <w:shd w:val="clear" w:color="auto" w:fill="auto"/>
              </w:tcPr>
              <w:p>
                <w:pPr>
                  <w:jc w:val="center"/>
                  <w:rPr>
                    <w:rFonts w:cs="Arial"/>
                    <w:sz w:val="22"/>
                    <w:szCs w:val="22"/>
                  </w:rPr>
                </w:pPr>
                <w:r>
                  <w:rPr>
                    <w:rFonts w:ascii="MS Gothic" w:hAnsi="MS Gothic" w:eastAsia="MS Gothic" w:cs="Arial"/>
                    <w:sz w:val="22"/>
                    <w:szCs w:val="22"/>
                    <w:lang w:val="en-GB" w:eastAsia="en-GB"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36" w:hRule="atLeast"/>
        </w:trPr>
        <w:tc>
          <w:tcPr>
            <w:tcW w:w="6946" w:type="dxa"/>
            <w:shd w:val="clear" w:color="auto" w:fill="F1F1F1" w:themeFill="background1" w:themeFillShade="F2"/>
          </w:tcPr>
          <w:p>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r>
              <w:fldChar w:fldCharType="begin"/>
            </w:r>
            <w:r>
              <w:instrText xml:space="preserve"> HYPERLINK "https://www.uwtsd.ac.uk/iiced/protecting-innovation-and-creativity---intellectual-property/" </w:instrText>
            </w:r>
            <w:r>
              <w:fldChar w:fldCharType="separate"/>
            </w:r>
            <w:r>
              <w:rPr>
                <w:rStyle w:val="16"/>
              </w:rPr>
              <w:t>https://www.uwtsd.ac.uk/iiced/protecting-innovation-and-creativity---intellectual-property/</w:t>
            </w:r>
            <w:r>
              <w:rPr>
                <w:rStyle w:val="16"/>
              </w:rPr>
              <w:fldChar w:fldCharType="end"/>
            </w:r>
          </w:p>
          <w:p>
            <w:pPr>
              <w:rPr>
                <w:rFonts w:ascii="Calibri" w:hAnsi="Calibri"/>
              </w:rPr>
            </w:pPr>
          </w:p>
        </w:tc>
        <w:tc>
          <w:tcPr>
            <w:tcW w:w="1418" w:type="dxa"/>
            <w:shd w:val="clear" w:color="auto" w:fill="auto"/>
          </w:tcPr>
          <w:p>
            <w:pPr>
              <w:jc w:val="center"/>
              <w:rPr>
                <w:rFonts w:cs="Arial"/>
                <w:sz w:val="22"/>
                <w:szCs w:val="22"/>
              </w:rPr>
            </w:pPr>
            <w:sdt>
              <w:sdtPr>
                <w:rPr>
                  <w:rFonts w:cs="Arial"/>
                  <w:sz w:val="22"/>
                  <w:szCs w:val="22"/>
                </w:rPr>
                <w:id w:val="0"/>
                <w14:checkbox>
                  <w14:checked w14:val="0"/>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rPr>
                  <w:t>☐</w:t>
                </w:r>
              </w:sdtContent>
            </w:sdt>
          </w:p>
        </w:tc>
        <w:tc>
          <w:tcPr>
            <w:tcW w:w="1417" w:type="dxa"/>
            <w:shd w:val="clear" w:color="auto" w:fill="auto"/>
          </w:tcPr>
          <w:p>
            <w:pPr>
              <w:jc w:val="center"/>
              <w:rPr>
                <w:rFonts w:cs="Arial"/>
                <w:sz w:val="22"/>
                <w:szCs w:val="22"/>
              </w:rPr>
            </w:pPr>
            <w:sdt>
              <w:sdtPr>
                <w:rPr>
                  <w:rFonts w:cs="Arial"/>
                  <w:sz w:val="22"/>
                  <w:szCs w:val="22"/>
                </w:rPr>
                <w:id w:val="1455208757"/>
                <w14:checkbox>
                  <w14:checked w14:val="1"/>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lang w:val="en-GB" w:eastAsia="en-GB" w:bidi="ar-SA"/>
                  </w:rPr>
                  <w:t>☒</w:t>
                </w:r>
              </w:sdtContent>
            </w:sdt>
          </w:p>
        </w:tc>
      </w:tr>
    </w:tbl>
    <w:p>
      <w:pPr>
        <w:rPr>
          <w:rFonts w:cs="Arial"/>
          <w:sz w:val="22"/>
          <w:szCs w:val="22"/>
        </w:rPr>
      </w:pPr>
    </w:p>
    <w:tbl>
      <w:tblPr>
        <w:tblStyle w:val="20"/>
        <w:tblW w:w="9747"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9747"/>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c>
          <w:tcPr>
            <w:tcW w:w="9747" w:type="dxa"/>
          </w:tcPr>
          <w:p>
            <w:pPr>
              <w:rPr>
                <w:rFonts w:cs="Arial"/>
                <w:sz w:val="22"/>
                <w:szCs w:val="22"/>
              </w:rPr>
            </w:pPr>
          </w:p>
          <w:p>
            <w:pPr>
              <w:rPr>
                <w:rFonts w:cs="Arial"/>
                <w:b/>
                <w:sz w:val="22"/>
                <w:szCs w:val="22"/>
              </w:rPr>
            </w:pPr>
            <w:r>
              <w:rPr>
                <w:rFonts w:cs="Arial"/>
                <w:b/>
                <w:sz w:val="22"/>
                <w:szCs w:val="22"/>
              </w:rPr>
              <w:t>Student Signature</w:t>
            </w:r>
          </w:p>
          <w:p>
            <w:pPr>
              <w:rPr>
                <w:rFonts w:cs="Arial"/>
                <w:sz w:val="22"/>
                <w:szCs w:val="22"/>
              </w:rPr>
            </w:pPr>
          </w:p>
          <w:tbl>
            <w:tblPr>
              <w:tblStyle w:val="2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57"/>
              <w:gridCol w:w="6051"/>
              <w:gridCol w:w="141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094" w:type="dxa"/>
                  <w:shd w:val="clear" w:color="auto" w:fill="F1F1F1" w:themeFill="background1" w:themeFillShade="F2"/>
                </w:tcPr>
                <w:p>
                  <w:pPr>
                    <w:rPr>
                      <w:rFonts w:cs="Arial"/>
                      <w:sz w:val="22"/>
                      <w:szCs w:val="22"/>
                    </w:rPr>
                  </w:pPr>
                </w:p>
                <w:p>
                  <w:pPr>
                    <w:rPr>
                      <w:rFonts w:cs="Arial"/>
                      <w:sz w:val="22"/>
                      <w:szCs w:val="22"/>
                    </w:rPr>
                  </w:pPr>
                  <w:r>
                    <w:rPr>
                      <w:rFonts w:cs="Arial"/>
                      <w:sz w:val="22"/>
                      <w:szCs w:val="22"/>
                    </w:rPr>
                    <w:t>Signature or Print Name:</w:t>
                  </w:r>
                </w:p>
                <w:p>
                  <w:pPr>
                    <w:rPr>
                      <w:rFonts w:cs="Arial"/>
                      <w:sz w:val="22"/>
                      <w:szCs w:val="22"/>
                    </w:rPr>
                  </w:pPr>
                </w:p>
              </w:tc>
              <w:tc>
                <w:tcPr>
                  <w:tcW w:w="6265" w:type="dxa"/>
                </w:tcPr>
                <w:p>
                  <w:pPr>
                    <w:rPr>
                      <w:rFonts w:cs="Arial"/>
                      <w:sz w:val="22"/>
                      <w:szCs w:val="22"/>
                    </w:rPr>
                  </w:pPr>
                </w:p>
                <w:p>
                  <w:pPr>
                    <w:rPr>
                      <w:rFonts w:cs="Arial"/>
                      <w:sz w:val="22"/>
                      <w:szCs w:val="22"/>
                    </w:rPr>
                  </w:pPr>
                  <w:r>
                    <w:rPr>
                      <w:rFonts w:cs="Arial"/>
                      <w:sz w:val="22"/>
                      <w:szCs w:val="22"/>
                    </w:rPr>
                    <w:t>Xuanyi Yan</w:t>
                  </w:r>
                </w:p>
              </w:tc>
              <w:tc>
                <w:tcPr>
                  <w:tcW w:w="1417" w:type="dxa"/>
                </w:tcPr>
                <w:p>
                  <w:pPr>
                    <w:rPr>
                      <w:rFonts w:cs="Arial"/>
                      <w:sz w:val="22"/>
                      <w:szCs w:val="22"/>
                    </w:rPr>
                  </w:pPr>
                  <w:r>
                    <w:rPr>
                      <w:rFonts w:cs="Arial"/>
                      <w:sz w:val="22"/>
                      <w:szCs w:val="22"/>
                    </w:rPr>
                    <w:t>Date:</w:t>
                  </w:r>
                </w:p>
                <w:p>
                  <w:pPr>
                    <w:rPr>
                      <w:rFonts w:cs="Arial"/>
                      <w:sz w:val="22"/>
                      <w:szCs w:val="22"/>
                    </w:rPr>
                  </w:pPr>
                </w:p>
                <w:p>
                  <w:pPr>
                    <w:rPr>
                      <w:rFonts w:cs="Arial"/>
                      <w:sz w:val="22"/>
                      <w:szCs w:val="22"/>
                    </w:rPr>
                  </w:pPr>
                  <w:bookmarkStart w:id="4" w:name="_GoBack"/>
                  <w:bookmarkEnd w:id="4"/>
                  <w:r>
                    <w:rPr>
                      <w:rFonts w:cs="Arial"/>
                      <w:sz w:val="22"/>
                      <w:szCs w:val="22"/>
                    </w:rPr>
                    <w:t>0</w:t>
                  </w:r>
                  <w:r>
                    <w:rPr>
                      <w:rFonts w:cs="Arial"/>
                      <w:sz w:val="22"/>
                      <w:szCs w:val="22"/>
                    </w:rPr>
                    <w:t>8</w:t>
                  </w:r>
                  <w:r>
                    <w:rPr>
                      <w:rFonts w:cs="Arial"/>
                      <w:sz w:val="22"/>
                      <w:szCs w:val="22"/>
                    </w:rPr>
                    <w:t>/01/2023</w:t>
                  </w:r>
                </w:p>
              </w:tc>
            </w:tr>
          </w:tbl>
          <w:p>
            <w:pPr>
              <w:rPr>
                <w:rFonts w:cs="Arial"/>
                <w:sz w:val="22"/>
                <w:szCs w:val="22"/>
              </w:rPr>
            </w:pPr>
          </w:p>
          <w:p>
            <w:pPr>
              <w:rPr>
                <w:rFonts w:cs="Arial"/>
                <w:sz w:val="22"/>
                <w:szCs w:val="22"/>
              </w:rPr>
            </w:pPr>
          </w:p>
        </w:tc>
      </w:tr>
    </w:tbl>
    <w:p>
      <w:pPr>
        <w:rPr>
          <w:rFonts w:cs="Arial"/>
          <w:sz w:val="22"/>
          <w:szCs w:val="22"/>
        </w:rPr>
      </w:pPr>
    </w:p>
    <w:p>
      <w:pPr>
        <w:ind w:left="-142" w:firstLine="142"/>
        <w:rPr>
          <w:rFonts w:cs="Arial"/>
          <w:sz w:val="22"/>
          <w:szCs w:val="22"/>
        </w:rPr>
      </w:pPr>
      <w:r>
        <w:rPr>
          <w:rFonts w:cs="Arial"/>
          <w:b/>
          <w:bCs/>
          <w:sz w:val="22"/>
          <w:szCs w:val="22"/>
        </w:rPr>
        <w:t>Supervisory Team</w:t>
      </w:r>
    </w:p>
    <w:p>
      <w:pPr>
        <w:rPr>
          <w:rFonts w:cs="Arial"/>
          <w:sz w:val="22"/>
          <w:szCs w:val="22"/>
        </w:rPr>
      </w:pPr>
    </w:p>
    <w:p>
      <w:pPr>
        <w:ind w:left="180"/>
        <w:rPr>
          <w:rFonts w:cs="Arial"/>
          <w:b/>
          <w:sz w:val="22"/>
          <w:szCs w:val="22"/>
        </w:rPr>
      </w:pPr>
    </w:p>
    <w:tbl>
      <w:tblPr>
        <w:tblStyle w:val="20"/>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747" w:type="dxa"/>
            <w:shd w:val="clear" w:color="auto" w:fill="F1F1F1" w:themeFill="background1" w:themeFillShade="F2"/>
          </w:tcPr>
          <w:p>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747" w:type="dxa"/>
          </w:tcPr>
          <w:p>
            <w:pPr>
              <w:rPr>
                <w:rFonts w:cs="Arial"/>
                <w:b/>
                <w:sz w:val="22"/>
                <w:szCs w:val="22"/>
              </w:rPr>
            </w:pPr>
          </w:p>
          <w:p>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rPr>
                  <w:rFonts w:cs="Arial"/>
                  <w:b/>
                  <w:sz w:val="22"/>
                  <w:szCs w:val="22"/>
                </w:rPr>
              </w:sdtEndPr>
              <w:sdtContent>
                <w:r>
                  <w:rPr>
                    <w:rFonts w:ascii="MS Gothic" w:hAnsi="MS Gothic" w:eastAsia="MS Gothic" w:cs="Arial"/>
                    <w:b/>
                    <w:sz w:val="22"/>
                    <w:szCs w:val="22"/>
                  </w:rPr>
                  <w:t>☐</w:t>
                </w:r>
              </w:sdtContent>
            </w:sdt>
            <w:r>
              <w:rPr>
                <w:rFonts w:cs="Arial"/>
                <w:b/>
                <w:sz w:val="22"/>
                <w:szCs w:val="22"/>
              </w:rPr>
              <w:t xml:space="preserve">                                                     Not Supported:  </w:t>
            </w:r>
            <w:sdt>
              <w:sdtPr>
                <w:rPr>
                  <w:rFonts w:cs="Arial"/>
                  <w:b/>
                  <w:sz w:val="22"/>
                  <w:szCs w:val="22"/>
                </w:rPr>
                <w:id w:val="0"/>
                <w14:checkbox>
                  <w14:checked w14:val="0"/>
                  <w14:checkedState w14:val="2612" w14:font="MS Gothic"/>
                  <w14:uncheckedState w14:val="2610" w14:font="MS Gothic"/>
                </w14:checkbox>
              </w:sdtPr>
              <w:sdtEndPr>
                <w:rPr>
                  <w:rFonts w:cs="Arial"/>
                  <w:b/>
                  <w:sz w:val="22"/>
                  <w:szCs w:val="22"/>
                </w:rPr>
              </w:sdtEndPr>
              <w:sdtContent>
                <w:r>
                  <w:rPr>
                    <w:rFonts w:ascii="MS Gothic" w:hAnsi="MS Gothic" w:eastAsia="MS Gothic" w:cs="MS Gothic"/>
                    <w:b/>
                    <w:sz w:val="22"/>
                    <w:szCs w:val="22"/>
                  </w:rPr>
                  <w:t>☐</w:t>
                </w:r>
              </w:sdtContent>
            </w:sdt>
          </w:p>
          <w:p>
            <w:pPr>
              <w:rPr>
                <w:rFonts w:cs="Arial"/>
                <w:b/>
                <w:sz w:val="22"/>
                <w:szCs w:val="22"/>
              </w:rPr>
            </w:pPr>
          </w:p>
          <w:p>
            <w:pPr>
              <w:rPr>
                <w:rFonts w:cs="Arial"/>
                <w:b/>
                <w:sz w:val="22"/>
                <w:szCs w:val="22"/>
              </w:rPr>
            </w:pPr>
          </w:p>
        </w:tc>
      </w:tr>
    </w:tbl>
    <w:p>
      <w:pPr>
        <w:rPr>
          <w:rFonts w:cs="Arial"/>
          <w:sz w:val="22"/>
          <w:szCs w:val="22"/>
        </w:rPr>
      </w:pPr>
    </w:p>
    <w:p>
      <w:pPr>
        <w:rPr>
          <w:rFonts w:cs="Arial"/>
          <w:b/>
          <w:sz w:val="22"/>
          <w:szCs w:val="22"/>
        </w:rPr>
      </w:pPr>
      <w:r>
        <w:rPr>
          <w:rFonts w:cs="Arial"/>
          <w:b/>
          <w:sz w:val="22"/>
          <w:szCs w:val="22"/>
        </w:rPr>
        <w:t>Authorisation</w:t>
      </w:r>
    </w:p>
    <w:p>
      <w:pPr>
        <w:rPr>
          <w:rFonts w:cs="Arial"/>
          <w:sz w:val="22"/>
          <w:szCs w:val="22"/>
        </w:rPr>
      </w:pPr>
    </w:p>
    <w:tbl>
      <w:tblPr>
        <w:tblStyle w:val="20"/>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52"/>
        <w:gridCol w:w="5387"/>
        <w:gridCol w:w="184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552" w:type="dxa"/>
            <w:shd w:val="clear" w:color="auto" w:fill="F1F1F1" w:themeFill="background1" w:themeFillShade="F2"/>
          </w:tcPr>
          <w:p>
            <w:pPr>
              <w:rPr>
                <w:rFonts w:cs="Arial"/>
                <w:sz w:val="22"/>
                <w:szCs w:val="22"/>
              </w:rPr>
            </w:pPr>
            <w:r>
              <w:rPr>
                <w:rFonts w:cs="Arial"/>
                <w:sz w:val="22"/>
                <w:szCs w:val="22"/>
              </w:rPr>
              <w:t>Director of Studies</w:t>
            </w:r>
          </w:p>
        </w:tc>
        <w:tc>
          <w:tcPr>
            <w:tcW w:w="5387" w:type="dxa"/>
          </w:tcPr>
          <w:p>
            <w:pPr>
              <w:rPr>
                <w:rFonts w:cs="Arial"/>
                <w:sz w:val="22"/>
                <w:szCs w:val="22"/>
              </w:rPr>
            </w:pPr>
            <w:r>
              <w:rPr>
                <w:rFonts w:cs="Arial"/>
                <w:sz w:val="22"/>
                <w:szCs w:val="22"/>
              </w:rPr>
              <w:t>Signature or Print Name:</w:t>
            </w:r>
          </w:p>
          <w:p>
            <w:pPr>
              <w:rPr>
                <w:rFonts w:cs="Arial"/>
                <w:sz w:val="22"/>
                <w:szCs w:val="22"/>
              </w:rPr>
            </w:pPr>
          </w:p>
          <w:p>
            <w:pPr>
              <w:rPr>
                <w:rFonts w:cs="Arial"/>
                <w:sz w:val="22"/>
                <w:szCs w:val="22"/>
              </w:rPr>
            </w:pPr>
          </w:p>
          <w:p>
            <w:pPr>
              <w:rPr>
                <w:rFonts w:cs="Arial"/>
                <w:sz w:val="22"/>
                <w:szCs w:val="22"/>
              </w:rPr>
            </w:pPr>
          </w:p>
        </w:tc>
        <w:tc>
          <w:tcPr>
            <w:tcW w:w="1842" w:type="dxa"/>
          </w:tcPr>
          <w:p>
            <w:pPr>
              <w:rPr>
                <w:rFonts w:cs="Arial"/>
                <w:sz w:val="22"/>
                <w:szCs w:val="22"/>
              </w:rPr>
            </w:pPr>
            <w:r>
              <w:rPr>
                <w:rFonts w:cs="Arial"/>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552" w:type="dxa"/>
            <w:shd w:val="clear" w:color="auto" w:fill="F1F1F1" w:themeFill="background1" w:themeFillShade="F2"/>
          </w:tcPr>
          <w:p>
            <w:pPr>
              <w:rPr>
                <w:rFonts w:cs="Arial"/>
                <w:sz w:val="22"/>
                <w:szCs w:val="22"/>
              </w:rPr>
            </w:pPr>
            <w:r>
              <w:rPr>
                <w:rFonts w:cs="Arial"/>
                <w:sz w:val="22"/>
                <w:szCs w:val="22"/>
              </w:rPr>
              <w:t>Institute Manager of Research Degrees</w:t>
            </w:r>
          </w:p>
          <w:p>
            <w:pPr>
              <w:rPr>
                <w:rFonts w:cs="Arial"/>
                <w:sz w:val="22"/>
                <w:szCs w:val="22"/>
              </w:rPr>
            </w:pPr>
          </w:p>
        </w:tc>
        <w:tc>
          <w:tcPr>
            <w:tcW w:w="5387" w:type="dxa"/>
          </w:tcPr>
          <w:p>
            <w:pPr>
              <w:rPr>
                <w:rFonts w:cs="Arial"/>
                <w:sz w:val="22"/>
                <w:szCs w:val="22"/>
              </w:rPr>
            </w:pPr>
            <w:r>
              <w:rPr>
                <w:rFonts w:cs="Arial"/>
                <w:sz w:val="22"/>
                <w:szCs w:val="22"/>
              </w:rPr>
              <w:t>Signature or Print Name:</w:t>
            </w:r>
          </w:p>
          <w:p>
            <w:pPr>
              <w:rPr>
                <w:rFonts w:cs="Arial"/>
                <w:sz w:val="22"/>
                <w:szCs w:val="22"/>
              </w:rPr>
            </w:pPr>
          </w:p>
          <w:p>
            <w:pPr>
              <w:rPr>
                <w:rFonts w:cs="Arial"/>
                <w:sz w:val="22"/>
                <w:szCs w:val="22"/>
              </w:rPr>
            </w:pPr>
          </w:p>
          <w:p>
            <w:pPr>
              <w:rPr>
                <w:rFonts w:cs="Arial"/>
                <w:sz w:val="22"/>
                <w:szCs w:val="22"/>
              </w:rPr>
            </w:pPr>
          </w:p>
        </w:tc>
        <w:tc>
          <w:tcPr>
            <w:tcW w:w="1842" w:type="dxa"/>
          </w:tcPr>
          <w:p>
            <w:pPr>
              <w:rPr>
                <w:rFonts w:cs="Arial"/>
                <w:sz w:val="22"/>
                <w:szCs w:val="22"/>
              </w:rPr>
            </w:pPr>
            <w:r>
              <w:rPr>
                <w:rFonts w:cs="Arial"/>
                <w:sz w:val="22"/>
                <w:szCs w:val="22"/>
              </w:rPr>
              <w:t>Date:</w:t>
            </w:r>
          </w:p>
        </w:tc>
      </w:tr>
    </w:tbl>
    <w:p>
      <w:pPr>
        <w:rPr>
          <w:rFonts w:cs="Arial"/>
          <w:sz w:val="22"/>
          <w:szCs w:val="22"/>
        </w:rPr>
      </w:pPr>
    </w:p>
    <w:p>
      <w:pPr>
        <w:jc w:val="center"/>
        <w:rPr>
          <w:rFonts w:cs="Arial"/>
          <w:sz w:val="22"/>
          <w:szCs w:val="22"/>
        </w:rPr>
      </w:pPr>
      <w:r>
        <w:rPr>
          <w:rFonts w:cs="Arial"/>
          <w:b/>
          <w:sz w:val="22"/>
          <w:szCs w:val="22"/>
        </w:rPr>
        <w:t xml:space="preserve">Once complete, submit this form via the </w:t>
      </w:r>
      <w:r>
        <w:rPr>
          <w:rFonts w:cs="Arial"/>
          <w:b/>
          <w:sz w:val="22"/>
          <w:szCs w:val="22"/>
          <w:u w:val="single"/>
        </w:rPr>
        <w:t>MyTSD Doctoral College Portal</w:t>
      </w:r>
      <w:r>
        <w:rPr>
          <w:rFonts w:cs="Arial"/>
          <w:b/>
          <w:sz w:val="22"/>
          <w:szCs w:val="22"/>
        </w:rPr>
        <w:t xml:space="preserve"> at (</w:t>
      </w:r>
      <w:r>
        <w:fldChar w:fldCharType="begin"/>
      </w:r>
      <w:r>
        <w:instrText xml:space="preserve"> HYPERLINK "https://mytsd.uwtsd.ac.uk" </w:instrText>
      </w:r>
      <w:r>
        <w:fldChar w:fldCharType="separate"/>
      </w:r>
      <w:r>
        <w:rPr>
          <w:rStyle w:val="16"/>
          <w:rFonts w:cs="Arial"/>
          <w:b/>
          <w:sz w:val="22"/>
          <w:szCs w:val="22"/>
        </w:rPr>
        <w:t>https://mytsd.uwtsd.ac.uk</w:t>
      </w:r>
      <w:r>
        <w:rPr>
          <w:rStyle w:val="16"/>
          <w:rFonts w:cs="Arial"/>
          <w:b/>
          <w:sz w:val="22"/>
          <w:szCs w:val="22"/>
        </w:rPr>
        <w:fldChar w:fldCharType="end"/>
      </w:r>
      <w:r>
        <w:rPr>
          <w:rFonts w:cs="Arial"/>
          <w:b/>
          <w:sz w:val="22"/>
          <w:szCs w:val="22"/>
        </w:rPr>
        <w:t>).</w:t>
      </w:r>
    </w:p>
    <w:sectPr>
      <w:headerReference r:id="rId5" w:type="first"/>
      <w:footerReference r:id="rId8" w:type="first"/>
      <w:headerReference r:id="rId3" w:type="default"/>
      <w:footerReference r:id="rId6" w:type="default"/>
      <w:headerReference r:id="rId4" w:type="even"/>
      <w:footerReference r:id="rId7" w:type="even"/>
      <w:pgSz w:w="11906" w:h="16838"/>
      <w:pgMar w:top="1701" w:right="1440" w:bottom="1440" w:left="1440" w:header="284" w:footer="709"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8030705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Arial">
    <w:panose1 w:val="020B0704020202020204"/>
    <w:charset w:val="00"/>
    <w:family w:val="swiss"/>
    <w:pitch w:val="default"/>
    <w:sig w:usb0="E0002AFF" w:usb1="C0007843" w:usb2="00000009" w:usb3="00000000" w:csb0="400001FF" w:csb1="FFFF0000"/>
  </w:font>
  <w:font w:name="Tahoma">
    <w:panose1 w:val="020B0604030504040204"/>
    <w:charset w:val="00"/>
    <w:family w:val="swiss"/>
    <w:pitch w:val="default"/>
    <w:sig w:usb0="E1002AFF" w:usb1="C000605B" w:usb2="00000029" w:usb3="00000000" w:csb0="200101FF" w:csb1="20280000"/>
  </w:font>
  <w:font w:name="MS Gothic">
    <w:altName w:val="Hiragino Sans"/>
    <w:panose1 w:val="020B0609070205080204"/>
    <w:charset w:val="80"/>
    <w:family w:val="modern"/>
    <w:pitch w:val="default"/>
    <w:sig w:usb0="00000000" w:usb1="00000000" w:usb2="08000012" w:usb3="00000000" w:csb0="0002009F" w:csb1="00000000"/>
  </w:font>
  <w:font w:name="Agency FB">
    <w:altName w:val="苹方-简"/>
    <w:panose1 w:val="020B0503020202020204"/>
    <w:charset w:val="00"/>
    <w:family w:val="swiss"/>
    <w:pitch w:val="default"/>
    <w:sig w:usb0="00000000" w:usb1="00000000" w:usb2="00000000" w:usb3="00000000" w:csb0="00000001" w:csb1="00000000"/>
  </w:font>
  <w:font w:name="冬青黑体简体中文">
    <w:panose1 w:val="020B0300000000000000"/>
    <w:charset w:val="86"/>
    <w:family w:val="auto"/>
    <w:pitch w:val="default"/>
    <w:sig w:usb0="A00002BF" w:usb1="1ACF7CFA" w:usb2="00000016" w:usb3="00000000" w:csb0="00060007" w:csb1="00000000"/>
  </w:font>
  <w:font w:name="Hiragino Sans">
    <w:panose1 w:val="020B0700000000000000"/>
    <w:charset w:val="80"/>
    <w:family w:val="auto"/>
    <w:pitch w:val="default"/>
    <w:sig w:usb0="800002CF" w:usb1="6AC7FCFC" w:usb2="00000012" w:usb3="00000000" w:csb0="0002000D" w:csb1="00000000"/>
  </w:font>
  <w:font w:name="Arial Unicode MS">
    <w:panose1 w:val="020B0604020202020204"/>
    <w:charset w:val="86"/>
    <w:family w:val="auto"/>
    <w:pitch w:val="default"/>
    <w:sig w:usb0="FFFFFFFF" w:usb1="E9FFFFFF" w:usb2="0000003F" w:usb3="00000000" w:csb0="603F01FF" w:csb1="FFFF0000"/>
  </w:font>
  <w:font w:name="Kingsoft Sign">
    <w:panose1 w:val="05050102010706020507"/>
    <w:charset w:val="00"/>
    <w:family w:val="auto"/>
    <w:pitch w:val="default"/>
    <w:sig w:usb0="00000000" w:usb1="10000000" w:usb2="00000000" w:usb3="00000000" w:csb0="00000001" w:csb1="00000000"/>
  </w:font>
  <w:font w:name="PingFangHK">
    <w:altName w:val="苹方-简"/>
    <w:panose1 w:val="00000000000000000000"/>
    <w:charset w:val="00"/>
    <w:family w:val="auto"/>
    <w:pitch w:val="default"/>
    <w:sig w:usb0="00000000" w:usb1="00000000" w:usb2="00000000" w:usb3="00000000" w:csb0="00000000" w:csb1="00000000"/>
  </w:font>
  <w:font w:name="MS Gothic">
    <w:altName w:val="苹方-简"/>
    <w:panose1 w:val="00000000000000000000"/>
    <w:charset w:val="00"/>
    <w:family w:val="auto"/>
    <w:pitch w:val="default"/>
    <w:sig w:usb0="00000000" w:usb1="00000000" w:usb2="00000000" w:usb3="00000000" w:csb0="00000000" w:csb1="00000000"/>
  </w:font>
  <w:font w:name="等线">
    <w:altName w:val="汉仪中等线KW"/>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汉仪中等线KW"/>
    <w:panose1 w:val="02010600030101010101"/>
    <w:charset w:val="86"/>
    <w:family w:val="auto"/>
    <w:pitch w:val="default"/>
    <w:sig w:usb0="00000000" w:usb1="00000000" w:usb2="00000016" w:usb3="00000000" w:csb0="0004000F" w:csb1="00000000"/>
  </w:font>
  <w:font w:name="汉仪中等线KW">
    <w:panose1 w:val="01010104010101010101"/>
    <w:charset w:val="86"/>
    <w:family w:val="auto"/>
    <w:pitch w:val="default"/>
    <w:sig w:usb0="800002BF" w:usb1="004F7CFA" w:usb2="00000000" w:usb3="00000000" w:csb0="00040001" w:csb1="00000000"/>
  </w:font>
  <w:font w:name="Segoe UI Symbol">
    <w:altName w:val="苹方-简"/>
    <w:panose1 w:val="020B0502040204020203"/>
    <w:charset w:val="00"/>
    <w:family w:val="swiss"/>
    <w:pitch w:val="default"/>
    <w:sig w:usb0="00000000" w:usb1="00000000" w:usb2="00040000" w:usb3="00000000" w:csb0="00000001" w:csb1="00000000"/>
  </w:font>
  <w:font w:name="Wingdings">
    <w:panose1 w:val="05000000000000000000"/>
    <w:charset w:val="00"/>
    <w:family w:val="decorative"/>
    <w:pitch w:val="default"/>
    <w:sig w:usb0="00000000" w:usb1="00000000" w:usb2="00000000" w:usb3="00000000" w:csb0="80000000" w:csb1="00000000"/>
  </w:font>
  <w:font w:name="Segoe Script">
    <w:altName w:val="苹方-简"/>
    <w:panose1 w:val="030B0804020000000003"/>
    <w:charset w:val="00"/>
    <w:family w:val="swiss"/>
    <w:pitch w:val="default"/>
    <w:sig w:usb0="00000000" w:usb1="00000000" w:usb2="00000000" w:usb3="00000000" w:csb0="0000009F" w:csb1="00000000"/>
  </w:font>
  <w:font w:name="Times New Roman Regular">
    <w:panose1 w:val="02020803070505020304"/>
    <w:charset w:val="00"/>
    <w:family w:val="auto"/>
    <w:pitch w:val="default"/>
    <w:sig w:usb0="E0002AEF" w:usb1="C0007841" w:usb2="00000009" w:usb3="00000000" w:csb0="400001FF" w:csb1="FFFF0000"/>
  </w:font>
  <w:font w:name="Times New Roman Bold">
    <w:panose1 w:val="02020803070505020304"/>
    <w:charset w:val="00"/>
    <w:family w:val="auto"/>
    <w:pitch w:val="default"/>
    <w:sig w:usb0="E0002AEF" w:usb1="C0007841" w:usb2="00000009" w:usb3="00000000" w:csb0="400001FF" w:csb1="FFFF0000"/>
  </w:font>
  <w:font w:name="Source Sans Pro">
    <w:altName w:val="苹方-简"/>
    <w:panose1 w:val="00000000000000000000"/>
    <w:charset w:val="00"/>
    <w:family w:val="auto"/>
    <w:pitch w:val="default"/>
    <w:sig w:usb0="00000000" w:usb1="00000000" w:usb2="00000000" w:usb3="00000000" w:csb0="00000000" w:csb1="00000000"/>
  </w:font>
  <w:font w:name="Times New Roman Italic">
    <w:panose1 w:val="02020803070505020304"/>
    <w:charset w:val="00"/>
    <w:family w:val="auto"/>
    <w:pitch w:val="default"/>
    <w:sig w:usb0="E0002AEF" w:usb1="C0007841" w:usb2="00000009" w:usb3="00000000" w:csb0="400001FF" w:csb1="FFFF0000"/>
  </w:font>
  <w:font w:name="Times New Roman Bold Italic">
    <w:panose1 w:val="02020803070505020304"/>
    <w:charset w:val="00"/>
    <w:family w:val="auto"/>
    <w:pitch w:val="default"/>
    <w:sig w:usb0="E0002AEF" w:usb1="C0007841" w:usb2="00000009" w:usb3="00000000" w:csb0="400001FF" w:csb1="FFFF0000"/>
  </w:font>
  <w:font w:name="TimesNewRomanPSMT">
    <w:panose1 w:val="02020803070505020304"/>
    <w:charset w:val="00"/>
    <w:family w:val="auto"/>
    <w:pitch w:val="default"/>
    <w:sig w:usb0="E0002AEF" w:usb1="C0007841" w:usb2="00000009" w:usb3="00000000" w:csb0="400001FF" w:csb1="FFFF0000"/>
  </w:font>
  <w:font w:name="AdvOT6520a694">
    <w:altName w:val="苹方-简"/>
    <w:panose1 w:val="00000000000000000000"/>
    <w:charset w:val="00"/>
    <w:family w:val="auto"/>
    <w:pitch w:val="default"/>
    <w:sig w:usb0="00000000" w:usb1="00000000" w:usb2="00000000" w:usb3="00000000" w:csb0="00000000" w:csb1="00000000"/>
  </w:font>
  <w:font w:name="AdvOT6520a694 + fb">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w:panose1 w:val="00000000000000000000"/>
    <w:charset w:val="00"/>
    <w:family w:val="swiss"/>
    <w:pitch w:val="default"/>
    <w:sig w:usb0="E00002FF" w:usb1="5000785B" w:usb2="00000000" w:usb3="00000000" w:csb0="2000019F" w:csb1="4F010000"/>
  </w:font>
  <w:font w:name="Segoe UI">
    <w:altName w:val="苹方-简"/>
    <w:panose1 w:val="020B0502040204020203"/>
    <w:charset w:val="00"/>
    <w:family w:val="swiss"/>
    <w:pitch w:val="default"/>
    <w:sig w:usb0="00000000" w:usb1="00000000" w:usb2="00000009" w:usb3="00000000" w:csb0="000001FF" w:csb1="00000000"/>
  </w:font>
  <w:font w:name="宋体-简">
    <w:panose1 w:val="02010800040101010101"/>
    <w:charset w:val="86"/>
    <w:family w:val="auto"/>
    <w:pitch w:val="default"/>
    <w:sig w:usb0="00000001" w:usb1="080F0000" w:usb2="00000000" w:usb3="00000000" w:csb0="00040000" w:csb1="00000000"/>
  </w:font>
  <w:font w:name="DengXian">
    <w:altName w:val="汉仪中等线KW"/>
    <w:panose1 w:val="02010600030101010101"/>
    <w:charset w:val="86"/>
    <w:family w:val="auto"/>
    <w:pitch w:val="default"/>
    <w:sig w:usb0="00000000" w:usb1="00000000" w:usb2="00000016" w:usb3="00000000" w:csb0="0004000F" w:csb1="00000000"/>
  </w:font>
  <w:font w:name="DengXian Light">
    <w:altName w:val="汉仪中等线KW"/>
    <w:panose1 w:val="02010600030101010101"/>
    <w:charset w:val="86"/>
    <w:family w:val="auto"/>
    <w:pitch w:val="default"/>
    <w:sig w:usb0="00000000" w:usb1="00000000" w:usb2="00000016" w:usb3="00000000" w:csb0="0004000F" w:csb1="00000000"/>
  </w:font>
  <w:font w:name="StoneSerifStd-Medium">
    <w:altName w:val="苹方-简"/>
    <w:panose1 w:val="00000000000000000000"/>
    <w:charset w:val="00"/>
    <w:family w:val="auto"/>
    <w:pitch w:val="default"/>
    <w:sig w:usb0="00000000" w:usb1="00000000" w:usb2="00000000" w:usb3="00000000" w:csb0="00000000" w:csb1="00000000"/>
  </w:font>
  <w:font w:name="Interstate-Light">
    <w:altName w:val="苹方-简"/>
    <w:panose1 w:val="00000000000000000000"/>
    <w:charset w:val="00"/>
    <w:family w:val="auto"/>
    <w:pitch w:val="default"/>
    <w:sig w:usb0="00000000" w:usb1="00000000" w:usb2="00000000" w:usb3="00000000" w:csb0="00000000" w:csb1="00000000"/>
  </w:font>
  <w:font w:name="Interstate-Bold">
    <w:altName w:val="苹方-简"/>
    <w:panose1 w:val="00000000000000000000"/>
    <w:charset w:val="00"/>
    <w:family w:val="auto"/>
    <w:pitch w:val="default"/>
    <w:sig w:usb0="00000000" w:usb1="00000000" w:usb2="00000000" w:usb3="00000000" w:csb0="00000000" w:csb1="00000000"/>
  </w:font>
  <w:font w:name="StoneSerifStd-MediumItalic">
    <w:altName w:val="苹方-简"/>
    <w:panose1 w:val="00000000000000000000"/>
    <w:charset w:val="00"/>
    <w:family w:val="auto"/>
    <w:pitch w:val="default"/>
    <w:sig w:usb0="00000000" w:usb1="00000000" w:usb2="00000000" w:usb3="00000000" w:csb0="00000000" w:csb1="00000000"/>
  </w:font>
  <w:font w:name="StoneSerifStd-Bold">
    <w:altName w:val="苹方-简"/>
    <w:panose1 w:val="00000000000000000000"/>
    <w:charset w:val="00"/>
    <w:family w:val="auto"/>
    <w:pitch w:val="default"/>
    <w:sig w:usb0="00000000" w:usb1="00000000" w:usb2="00000000" w:usb3="00000000" w:csb0="00000000" w:csb1="00000000"/>
  </w:font>
  <w:font w:name="robotoregular">
    <w:altName w:val="苹方-简"/>
    <w:panose1 w:val="00000000000000000000"/>
    <w:charset w:val="00"/>
    <w:family w:val="auto"/>
    <w:pitch w:val="default"/>
    <w:sig w:usb0="00000000" w:usb1="00000000" w:usb2="00000000" w:usb3="00000000" w:csb0="00000000" w:csb1="00000000"/>
  </w:font>
  <w:font w:name="AdvPS8588">
    <w:altName w:val="苹方-简"/>
    <w:panose1 w:val="00000000000000000000"/>
    <w:charset w:val="00"/>
    <w:family w:val="auto"/>
    <w:pitch w:val="default"/>
    <w:sig w:usb0="00000000" w:usb1="00000000" w:usb2="00000000" w:usb3="00000000" w:csb0="00000000" w:csb1="00000000"/>
  </w:font>
  <w:font w:name="Open Sans">
    <w:altName w:val="苹方-简"/>
    <w:panose1 w:val="00000000000000000000"/>
    <w:charset w:val="00"/>
    <w:family w:val="auto"/>
    <w:pitch w:val="default"/>
    <w:sig w:usb0="00000000" w:usb1="00000000" w:usb2="00000000" w:usb3="00000000" w:csb0="00000000" w:csb1="00000000"/>
  </w:font>
  <w:font w:name="AdvOT55248eb3 . B">
    <w:altName w:val="苹方-简"/>
    <w:panose1 w:val="00000000000000000000"/>
    <w:charset w:val="00"/>
    <w:family w:val="auto"/>
    <w:pitch w:val="default"/>
    <w:sig w:usb0="00000000" w:usb1="00000000" w:usb2="00000000" w:usb3="00000000" w:csb0="00000000" w:csb1="00000000"/>
  </w:font>
  <w:font w:name="AdvOT4b47d116">
    <w:altName w:val="苹方-简"/>
    <w:panose1 w:val="00000000000000000000"/>
    <w:charset w:val="00"/>
    <w:family w:val="auto"/>
    <w:pitch w:val="default"/>
    <w:sig w:usb0="00000000" w:usb1="00000000" w:usb2="00000000" w:usb3="00000000" w:csb0="00000000" w:csb1="00000000"/>
  </w:font>
  <w:font w:name="AdvOT4b47d116 + 20">
    <w:altName w:val="苹方-简"/>
    <w:panose1 w:val="00000000000000000000"/>
    <w:charset w:val="00"/>
    <w:family w:val="auto"/>
    <w:pitch w:val="default"/>
    <w:sig w:usb0="00000000" w:usb1="00000000" w:usb2="00000000" w:usb3="00000000" w:csb0="00000000" w:csb1="00000000"/>
  </w:font>
  <w:font w:name="AdvOT4b47d116 + fb">
    <w:altName w:val="苹方-简"/>
    <w:panose1 w:val="00000000000000000000"/>
    <w:charset w:val="00"/>
    <w:family w:val="auto"/>
    <w:pitch w:val="default"/>
    <w:sig w:usb0="00000000" w:usb1="00000000" w:usb2="00000000" w:usb3="00000000" w:csb0="00000000" w:csb1="00000000"/>
  </w:font>
  <w:font w:name="AdvOTb63a3543 . I">
    <w:altName w:val="苹方-简"/>
    <w:panose1 w:val="00000000000000000000"/>
    <w:charset w:val="00"/>
    <w:family w:val="auto"/>
    <w:pitch w:val="default"/>
    <w:sig w:usb0="00000000" w:usb1="00000000" w:usb2="00000000" w:usb3="00000000" w:csb0="00000000" w:csb1="00000000"/>
  </w:font>
  <w:font w:name="OpenSymbol">
    <w:altName w:val="Thonburi"/>
    <w:panose1 w:val="00000000000000000000"/>
    <w:charset w:val="02"/>
    <w:family w:val="auto"/>
    <w:pitch w:val="default"/>
    <w:sig w:usb0="00000000" w:usb1="00000000" w:usb2="00000000" w:usb3="00000000" w:csb0="00000000" w:csb1="00000000"/>
  </w:font>
  <w:font w:name="Georgia">
    <w:panose1 w:val="02040502050405020303"/>
    <w:charset w:val="00"/>
    <w:family w:val="roman"/>
    <w:pitch w:val="default"/>
    <w:sig w:usb0="00000287" w:usb1="00000000" w:usb2="00000000" w:usb3="00000000" w:csb0="2000009F" w:csb1="00000000"/>
  </w:font>
  <w:font w:name="Thonburi">
    <w:panose1 w:val="00000400000000000000"/>
    <w:charset w:val="00"/>
    <w:family w:val="auto"/>
    <w:pitch w:val="default"/>
    <w:sig w:usb0="01000000" w:usb1="00000000" w:usb2="00000000" w:usb3="00000000" w:csb0="20000193" w:csb1="4D000000"/>
  </w:font>
  <w:font w:name="Arial Bold">
    <w:panose1 w:val="020B0704020202020204"/>
    <w:charset w:val="00"/>
    <w:family w:val="auto"/>
    <w:pitch w:val="default"/>
    <w:sig w:usb0="E0002AFF" w:usb1="C0007843" w:usb2="00000009" w:usb3="00000000" w:csb0="400001FF" w:csb1="FFFF0000"/>
  </w:font>
  <w:font w:name="Arial Bold Italic">
    <w:panose1 w:val="020B0704020202020204"/>
    <w:charset w:val="00"/>
    <w:family w:val="auto"/>
    <w:pitch w:val="default"/>
    <w:sig w:usb0="E0002AFF" w:usb1="C0007843" w:usb2="00000009" w:usb3="00000000" w:csb0="400001FF" w:csb1="FFFF0000"/>
  </w:font>
  <w:font w:name="Interstate-Regular">
    <w:altName w:val="苹方-简"/>
    <w:panose1 w:val="00000000000000000000"/>
    <w:charset w:val="00"/>
    <w:family w:val="auto"/>
    <w:pitch w:val="default"/>
    <w:sig w:usb0="00000000" w:usb1="00000000" w:usb2="00000000" w:usb3="00000000" w:csb0="00000000" w:csb1="00000000"/>
  </w:font>
  <w:font w:name="SymbolMT">
    <w:altName w:val="苹方-简"/>
    <w:panose1 w:val="00000000000000000000"/>
    <w:charset w:val="00"/>
    <w:family w:val="auto"/>
    <w:pitch w:val="default"/>
    <w:sig w:usb0="00000000" w:usb1="00000000" w:usb2="00000000" w:usb3="00000000" w:csb0="00000000" w:csb1="00000000"/>
  </w:font>
  <w:font w:name="MinionPro-Regular">
    <w:altName w:val="苹方-简"/>
    <w:panose1 w:val="00000000000000000000"/>
    <w:charset w:val="00"/>
    <w:family w:val="auto"/>
    <w:pitch w:val="default"/>
    <w:sig w:usb0="00000000" w:usb1="00000000" w:usb2="00000000" w:usb3="00000000" w:csb0="00000000" w:csb1="00000000"/>
  </w:font>
  <w:font w:name="SourceSansPro-Regular">
    <w:altName w:val="苹方-简"/>
    <w:panose1 w:val="00000000000000000000"/>
    <w:charset w:val="00"/>
    <w:family w:val="auto"/>
    <w:pitch w:val="default"/>
    <w:sig w:usb0="00000000" w:usb1="00000000" w:usb2="00000000" w:usb3="00000000" w:csb0="00000000" w:csb1="00000000"/>
  </w:font>
  <w:font w:name="PalatinoLinotype-Roman">
    <w:altName w:val="苹方-简"/>
    <w:panose1 w:val="00000000000000000000"/>
    <w:charset w:val="00"/>
    <w:family w:val="auto"/>
    <w:pitch w:val="default"/>
    <w:sig w:usb0="00000000" w:usb1="00000000" w:usb2="00000000" w:usb3="00000000" w:csb0="00000000" w:csb1="00000000"/>
  </w:font>
  <w:font w:name="PalatinoLinotype-Italic">
    <w:altName w:val="苹方-简"/>
    <w:panose1 w:val="00000000000000000000"/>
    <w:charset w:val="00"/>
    <w:family w:val="auto"/>
    <w:pitch w:val="default"/>
    <w:sig w:usb0="00000000" w:usb1="00000000" w:usb2="0000000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Fd5430">
    <w:altName w:val="苹方-简"/>
    <w:panose1 w:val="00000000000000000000"/>
    <w:charset w:val="00"/>
    <w:family w:val="auto"/>
    <w:pitch w:val="default"/>
    <w:sig w:usb0="00000000" w:usb1="00000000" w:usb2="00000000" w:usb3="00000000" w:csb0="00000000" w:csb1="00000000"/>
  </w:font>
  <w:font w:name="TimesNewRomanPS-BoldMT">
    <w:panose1 w:val="02020803070505020304"/>
    <w:charset w:val="00"/>
    <w:family w:val="auto"/>
    <w:pitch w:val="default"/>
    <w:sig w:usb0="E0002AEF" w:usb1="C0007841" w:usb2="00000009" w:usb3="00000000" w:csb0="400001FF" w:csb1="FFFF0000"/>
  </w:font>
  <w:font w:name="ITCGaramondStd-Bk">
    <w:altName w:val="苹方-简"/>
    <w:panose1 w:val="00000000000000000000"/>
    <w:charset w:val="00"/>
    <w:family w:val="auto"/>
    <w:pitch w:val="default"/>
    <w:sig w:usb0="00000000" w:usb1="00000000" w:usb2="00000000" w:usb3="00000000" w:csb0="00000000" w:csb1="00000000"/>
  </w:font>
  <w:font w:name="AdvOTc9c0ed35 . B">
    <w:altName w:val="苹方-简"/>
    <w:panose1 w:val="00000000000000000000"/>
    <w:charset w:val="00"/>
    <w:family w:val="auto"/>
    <w:pitch w:val="default"/>
    <w:sig w:usb0="00000000" w:usb1="00000000" w:usb2="00000000" w:usb3="00000000" w:csb0="00000000" w:csb1="00000000"/>
  </w:font>
  <w:font w:name="AdvOT6520a694 + 20">
    <w:altName w:val="苹方-简"/>
    <w:panose1 w:val="00000000000000000000"/>
    <w:charset w:val="00"/>
    <w:family w:val="auto"/>
    <w:pitch w:val="default"/>
    <w:sig w:usb0="00000000" w:usb1="00000000" w:usb2="00000000" w:usb3="00000000" w:csb0="00000000" w:csb1="00000000"/>
  </w:font>
  <w:font w:name="Times Regular">
    <w:panose1 w:val="00000500000000020000"/>
    <w:charset w:val="00"/>
    <w:family w:val="auto"/>
    <w:pitch w:val="default"/>
    <w:sig w:usb0="E00002FF" w:usb1="5000205A" w:usb2="00000000" w:usb3="00000000" w:csb0="2000019F" w:csb1="4F010000"/>
  </w:font>
  <w:font w:name="CharisSIL">
    <w:altName w:val="苹方-简"/>
    <w:panose1 w:val="00000000000000000000"/>
    <w:charset w:val="00"/>
    <w:family w:val="auto"/>
    <w:pitch w:val="default"/>
    <w:sig w:usb0="00000000" w:usb1="00000000" w:usb2="00000000" w:usb3="00000000" w:csb0="00000000" w:csb1="00000000"/>
  </w:font>
  <w:font w:name="NexusSerif">
    <w:altName w:val="苹方-简"/>
    <w:panose1 w:val="00000000000000000000"/>
    <w:charset w:val="00"/>
    <w:family w:val="auto"/>
    <w:pitch w:val="default"/>
    <w:sig w:usb0="00000000" w:usb1="00000000" w:usb2="00000000" w:usb3="00000000" w:csb0="0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00000000" w:usb1="00000000"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幼圆">
    <w:altName w:val="华文宋体"/>
    <w:panose1 w:val="02010509060101010101"/>
    <w:charset w:val="86"/>
    <w:family w:val="auto"/>
    <w:pitch w:val="default"/>
    <w:sig w:usb0="00000000" w:usb1="00000000" w:usb2="00000000" w:usb3="00000000" w:csb0="00040000" w:csb1="00000000"/>
  </w:font>
  <w:font w:name="汉仪中黑KW">
    <w:panose1 w:val="00020600040101010101"/>
    <w:charset w:val="86"/>
    <w:family w:val="auto"/>
    <w:pitch w:val="default"/>
    <w:sig w:usb0="A00002BF" w:usb1="18EF7CFA" w:usb2="00000016" w:usb3="00000000" w:csb0="00040000" w:csb1="00000000"/>
  </w:font>
  <w:font w:name="华文宋体">
    <w:panose1 w:val="02010600040101010101"/>
    <w:charset w:val="86"/>
    <w:family w:val="auto"/>
    <w:pitch w:val="default"/>
    <w:sig w:usb0="80000287" w:usb1="280F3C52" w:usb2="00000016" w:usb3="00000000" w:csb0="0004001F" w:csb1="00000000"/>
  </w:font>
  <w:font w:name="等线 Light">
    <w:altName w:val="汉仪中等线KW"/>
    <w:panose1 w:val="00000000000000000000"/>
    <w:charset w:val="00"/>
    <w:family w:val="auto"/>
    <w:pitch w:val="default"/>
    <w:sig w:usb0="00000000" w:usb1="00000000" w:usb2="00000000" w:usb3="00000000" w:csb0="00000000" w:csb1="00000000"/>
  </w:font>
  <w:font w:name="Arial Unicode MS">
    <w:panose1 w:val="020B0604020202020204"/>
    <w:charset w:val="80"/>
    <w:family w:val="swiss"/>
    <w:pitch w:val="default"/>
    <w:sig w:usb0="FFFFFFFF" w:usb1="E9FFFFFF" w:usb2="0000003F" w:usb3="00000000" w:csb0="603F01FF" w:csb1="FFFF0000"/>
  </w:font>
  <w:font w:name="CG Times (WN)">
    <w:altName w:val="苹方-简"/>
    <w:panose1 w:val="00000000000000000000"/>
    <w:charset w:val="00"/>
    <w:family w:val="roman"/>
    <w:pitch w:val="default"/>
    <w:sig w:usb0="00000000" w:usb1="00000000" w:usb2="00000000" w:usb3="00000000" w:csb0="00000001" w:csb1="00000000"/>
  </w:font>
  <w:font w:name="Verdana">
    <w:panose1 w:val="020B0604030504040204"/>
    <w:charset w:val="00"/>
    <w:family w:val="swiss"/>
    <w:pitch w:val="default"/>
    <w:sig w:usb0="A10006FF" w:usb1="4000205B" w:usb2="00000010" w:usb3="00000000" w:csb0="2000019F" w:csb1="00000000"/>
  </w:font>
  <w:font w:name="calib">
    <w:altName w:val="苹方-简"/>
    <w:panose1 w:val="00000000000000000000"/>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Apple Color Emoji">
    <w:panose1 w:val="00000000000000000000"/>
    <w:charset w:val="00"/>
    <w:family w:val="auto"/>
    <w:pitch w:val="default"/>
    <w:sig w:usb0="00000003" w:usb1="18000000" w:usb2="14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t>April 2022</w:t>
    </w:r>
    <w:r>
      <w:ptab w:relativeTo="margin" w:alignment="center" w:leader="none"/>
    </w:r>
    <w:sdt>
      <w:sdtPr>
        <w:id w:val="1691110303"/>
      </w:sdtPr>
      <w:sdtContent>
        <w:r>
          <w:fldChar w:fldCharType="begin"/>
        </w:r>
        <w:r>
          <w:instrText xml:space="preserve"> PAGE   \* MERGEFORMAT </w:instrText>
        </w:r>
        <w:r>
          <w:fldChar w:fldCharType="separate"/>
        </w:r>
        <w:r>
          <w:t>1</w:t>
        </w:r>
        <w:r>
          <w:fldChar w:fldCharType="end"/>
        </w:r>
      </w:sdtContent>
    </w:sdt>
    <w:r>
      <w:ptab w:relativeTo="margin" w:alignment="right" w:leader="none"/>
    </w:r>
    <w:r>
      <w:t>PG1 Full Research Proposal</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p>
  <w:p>
    <w:pPr>
      <w:pStyle w:val="10"/>
      <w:jc w:val="right"/>
    </w:pPr>
    <w:r>
      <w:drawing>
        <wp:anchor distT="0" distB="0" distL="114300" distR="114300" simplePos="0" relativeHeight="251658240" behindDoc="0" locked="0" layoutInCell="1" allowOverlap="1">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r>
      <w:tab/>
    </w:r>
    <w:r>
      <w:t>Appendix PG1</w:t>
    </w:r>
  </w:p>
  <w:p>
    <w:pPr>
      <w:pStyle w:val="10"/>
    </w:pPr>
  </w:p>
  <w:p>
    <w:pPr>
      <w:pStyle w:val="10"/>
    </w:pPr>
  </w:p>
  <w:p>
    <w:pPr>
      <w:pStyle w:val="10"/>
    </w:pPr>
  </w:p>
  <w:p>
    <w:pPr>
      <w:pStyle w:val="10"/>
    </w:pPr>
    <w:r>
      <w:tab/>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D33FF4"/>
    <w:multiLevelType w:val="multilevel"/>
    <w:tmpl w:val="2DD33FF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documentProtection w:enforcement="0"/>
  <w:defaultTabStop w:val="720"/>
  <w:displayHorizontalDrawingGridEvery w:val="0"/>
  <w:displayVerticalDrawingGridEvery w:val="0"/>
  <w:doNotUseMarginsForDrawingGridOrigin w:val="1"/>
  <w:drawingGridHorizontalOrigin w:val="1800"/>
  <w:drawingGridVerticalOrigin w:val="1440"/>
  <w:noPunctuationKerning w:val="1"/>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4ED0"/>
    <w:rsid w:val="000C6D22"/>
    <w:rsid w:val="000D166A"/>
    <w:rsid w:val="000D3D72"/>
    <w:rsid w:val="000F5B56"/>
    <w:rsid w:val="0010084E"/>
    <w:rsid w:val="001217FD"/>
    <w:rsid w:val="00121AC3"/>
    <w:rsid w:val="001400B5"/>
    <w:rsid w:val="00141DF3"/>
    <w:rsid w:val="0015311B"/>
    <w:rsid w:val="00154D0F"/>
    <w:rsid w:val="00157905"/>
    <w:rsid w:val="00165D23"/>
    <w:rsid w:val="00166B83"/>
    <w:rsid w:val="00172F4C"/>
    <w:rsid w:val="00173CC3"/>
    <w:rsid w:val="00176160"/>
    <w:rsid w:val="00185554"/>
    <w:rsid w:val="001B1EEF"/>
    <w:rsid w:val="001C367F"/>
    <w:rsid w:val="001C6B27"/>
    <w:rsid w:val="001D074C"/>
    <w:rsid w:val="001F47B0"/>
    <w:rsid w:val="001F5E3E"/>
    <w:rsid w:val="002114E6"/>
    <w:rsid w:val="0022098F"/>
    <w:rsid w:val="00221A9E"/>
    <w:rsid w:val="00222D05"/>
    <w:rsid w:val="0022643E"/>
    <w:rsid w:val="002370BA"/>
    <w:rsid w:val="0024548B"/>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D7CD9"/>
    <w:rsid w:val="003E5663"/>
    <w:rsid w:val="003E7D6B"/>
    <w:rsid w:val="003F4C86"/>
    <w:rsid w:val="003F7948"/>
    <w:rsid w:val="003F7D77"/>
    <w:rsid w:val="00404C72"/>
    <w:rsid w:val="004262CD"/>
    <w:rsid w:val="00430E87"/>
    <w:rsid w:val="004310AE"/>
    <w:rsid w:val="004375FD"/>
    <w:rsid w:val="004448A0"/>
    <w:rsid w:val="0045240A"/>
    <w:rsid w:val="00452942"/>
    <w:rsid w:val="00455BEF"/>
    <w:rsid w:val="00474F13"/>
    <w:rsid w:val="00475B50"/>
    <w:rsid w:val="00476944"/>
    <w:rsid w:val="00476E74"/>
    <w:rsid w:val="004971D4"/>
    <w:rsid w:val="004B251B"/>
    <w:rsid w:val="004B2A69"/>
    <w:rsid w:val="004E363A"/>
    <w:rsid w:val="004F22A4"/>
    <w:rsid w:val="004F5A06"/>
    <w:rsid w:val="00512288"/>
    <w:rsid w:val="005140FB"/>
    <w:rsid w:val="00516A38"/>
    <w:rsid w:val="005302A6"/>
    <w:rsid w:val="005363FE"/>
    <w:rsid w:val="005419D3"/>
    <w:rsid w:val="00541CFE"/>
    <w:rsid w:val="005513E3"/>
    <w:rsid w:val="0055230D"/>
    <w:rsid w:val="00556BFF"/>
    <w:rsid w:val="00557BD7"/>
    <w:rsid w:val="005608A4"/>
    <w:rsid w:val="00595F5B"/>
    <w:rsid w:val="00595FC4"/>
    <w:rsid w:val="005A6F56"/>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4556F"/>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4C27"/>
    <w:rsid w:val="006D503F"/>
    <w:rsid w:val="006D7C2A"/>
    <w:rsid w:val="006F1BDC"/>
    <w:rsid w:val="006F4865"/>
    <w:rsid w:val="00702A7E"/>
    <w:rsid w:val="00703A24"/>
    <w:rsid w:val="0071332A"/>
    <w:rsid w:val="00717DFA"/>
    <w:rsid w:val="00753EDE"/>
    <w:rsid w:val="00763457"/>
    <w:rsid w:val="00795C79"/>
    <w:rsid w:val="007A0692"/>
    <w:rsid w:val="007A3641"/>
    <w:rsid w:val="007C2A63"/>
    <w:rsid w:val="007C512A"/>
    <w:rsid w:val="007C755A"/>
    <w:rsid w:val="007E550E"/>
    <w:rsid w:val="007F6FC1"/>
    <w:rsid w:val="00802E0D"/>
    <w:rsid w:val="00816ED8"/>
    <w:rsid w:val="00820E04"/>
    <w:rsid w:val="00825E70"/>
    <w:rsid w:val="0083144B"/>
    <w:rsid w:val="00831EF8"/>
    <w:rsid w:val="00832FEA"/>
    <w:rsid w:val="00836FA9"/>
    <w:rsid w:val="008422EE"/>
    <w:rsid w:val="00855925"/>
    <w:rsid w:val="008571F8"/>
    <w:rsid w:val="00877A6B"/>
    <w:rsid w:val="008812C3"/>
    <w:rsid w:val="008859B3"/>
    <w:rsid w:val="0088683F"/>
    <w:rsid w:val="008876C0"/>
    <w:rsid w:val="008944DE"/>
    <w:rsid w:val="00896244"/>
    <w:rsid w:val="008A397A"/>
    <w:rsid w:val="008C0ACE"/>
    <w:rsid w:val="008C1EE6"/>
    <w:rsid w:val="008D129A"/>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3514"/>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079A2"/>
    <w:rsid w:val="00B12AB0"/>
    <w:rsid w:val="00B273A5"/>
    <w:rsid w:val="00B3408B"/>
    <w:rsid w:val="00B65D5E"/>
    <w:rsid w:val="00B70B7E"/>
    <w:rsid w:val="00B718D3"/>
    <w:rsid w:val="00B84A54"/>
    <w:rsid w:val="00B95514"/>
    <w:rsid w:val="00BA3707"/>
    <w:rsid w:val="00BB2F10"/>
    <w:rsid w:val="00BD2727"/>
    <w:rsid w:val="00BD589F"/>
    <w:rsid w:val="00BD7EF3"/>
    <w:rsid w:val="00BE24D4"/>
    <w:rsid w:val="00BF0916"/>
    <w:rsid w:val="00C037ED"/>
    <w:rsid w:val="00C056C2"/>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B652D"/>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B03EA"/>
    <w:rsid w:val="00DC2AE7"/>
    <w:rsid w:val="00DD1E66"/>
    <w:rsid w:val="00DE3885"/>
    <w:rsid w:val="00DE54F9"/>
    <w:rsid w:val="00DF2827"/>
    <w:rsid w:val="00DF3FF2"/>
    <w:rsid w:val="00DF7459"/>
    <w:rsid w:val="00E03A7C"/>
    <w:rsid w:val="00E17B09"/>
    <w:rsid w:val="00E26E40"/>
    <w:rsid w:val="00E60894"/>
    <w:rsid w:val="00E800B4"/>
    <w:rsid w:val="00E8752A"/>
    <w:rsid w:val="00E90E39"/>
    <w:rsid w:val="00E90FFB"/>
    <w:rsid w:val="00EA4DDB"/>
    <w:rsid w:val="00EB29E8"/>
    <w:rsid w:val="00EC2239"/>
    <w:rsid w:val="00ED34D1"/>
    <w:rsid w:val="00EE3F65"/>
    <w:rsid w:val="00EE49AE"/>
    <w:rsid w:val="00EE4E91"/>
    <w:rsid w:val="00F02051"/>
    <w:rsid w:val="00F15764"/>
    <w:rsid w:val="00F20553"/>
    <w:rsid w:val="00F26723"/>
    <w:rsid w:val="00F274DA"/>
    <w:rsid w:val="00F340BA"/>
    <w:rsid w:val="00F343C8"/>
    <w:rsid w:val="00F377CD"/>
    <w:rsid w:val="00F41F11"/>
    <w:rsid w:val="00F50670"/>
    <w:rsid w:val="00F6356A"/>
    <w:rsid w:val="00F65BA4"/>
    <w:rsid w:val="00F65ECA"/>
    <w:rsid w:val="00F678E5"/>
    <w:rsid w:val="00F7569E"/>
    <w:rsid w:val="00F77B80"/>
    <w:rsid w:val="00F8710D"/>
    <w:rsid w:val="00F90183"/>
    <w:rsid w:val="00F901BB"/>
    <w:rsid w:val="00F9606E"/>
    <w:rsid w:val="00FD60D8"/>
    <w:rsid w:val="00FD70D5"/>
    <w:rsid w:val="00FE3258"/>
    <w:rsid w:val="00FF5FBE"/>
    <w:rsid w:val="0FD7FEF7"/>
    <w:rsid w:val="3AAF5C9C"/>
    <w:rsid w:val="7A7F7804"/>
    <w:rsid w:val="7E750725"/>
    <w:rsid w:val="7E99F0AB"/>
    <w:rsid w:val="7F7989DA"/>
    <w:rsid w:val="8FD7F97D"/>
    <w:rsid w:val="9BEE84FB"/>
    <w:rsid w:val="A7F4F37D"/>
    <w:rsid w:val="AEFBB50D"/>
    <w:rsid w:val="AFFF198D"/>
    <w:rsid w:val="D366D559"/>
    <w:rsid w:val="DB0B45D9"/>
    <w:rsid w:val="EDDDCC28"/>
    <w:rsid w:val="EE7FAFFB"/>
    <w:rsid w:val="F3FFD9E3"/>
    <w:rsid w:val="F4B1D5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nhideWhenUsed="0" w:uiPriority="0" w:name="footnote text"/>
    <w:lsdException w:qFormat="1" w:uiPriority="99" w:semiHidden="0" w:name="annotation text"/>
    <w:lsdException w:qFormat="1" w:unhideWhenUsed="0" w:uiPriority="0" w:semiHidden="0"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nhideWhenUsed="0" w:uiPriority="0" w:name="footnote reference"/>
    <w:lsdException w:qFormat="1"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qFormat="1"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qFormat="1"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0"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Times New Roman" w:cs="Times New Roman"/>
      <w:lang w:val="en-GB" w:eastAsia="en-GB" w:bidi="ar-SA"/>
    </w:rPr>
  </w:style>
  <w:style w:type="paragraph" w:styleId="2">
    <w:name w:val="heading 1"/>
    <w:basedOn w:val="1"/>
    <w:next w:val="1"/>
    <w:qFormat/>
    <w:uiPriority w:val="0"/>
    <w:pPr>
      <w:keepNext/>
      <w:outlineLvl w:val="0"/>
    </w:pPr>
    <w:rPr>
      <w:b/>
    </w:rPr>
  </w:style>
  <w:style w:type="paragraph" w:styleId="3">
    <w:name w:val="heading 2"/>
    <w:basedOn w:val="1"/>
    <w:next w:val="1"/>
    <w:qFormat/>
    <w:uiPriority w:val="0"/>
    <w:pPr>
      <w:keepNext/>
      <w:spacing w:before="240" w:after="60"/>
      <w:outlineLvl w:val="1"/>
    </w:pPr>
    <w:rPr>
      <w:b/>
      <w:i/>
      <w:sz w:val="24"/>
    </w:rPr>
  </w:style>
  <w:style w:type="character" w:default="1" w:styleId="13">
    <w:name w:val="Default Paragraph Font"/>
    <w:unhideWhenUsed/>
    <w:qFormat/>
    <w:uiPriority w:val="1"/>
  </w:style>
  <w:style w:type="table" w:default="1" w:styleId="19">
    <w:name w:val="Normal Table"/>
    <w:unhideWhenUsed/>
    <w:qFormat/>
    <w:uiPriority w:val="99"/>
    <w:tblPr>
      <w:tblCellMar>
        <w:top w:w="0" w:type="dxa"/>
        <w:left w:w="108" w:type="dxa"/>
        <w:bottom w:w="0" w:type="dxa"/>
        <w:right w:w="108" w:type="dxa"/>
      </w:tblCellMar>
    </w:tblPr>
  </w:style>
  <w:style w:type="paragraph" w:styleId="4">
    <w:name w:val="annotation subject"/>
    <w:basedOn w:val="5"/>
    <w:next w:val="5"/>
    <w:link w:val="24"/>
    <w:unhideWhenUsed/>
    <w:qFormat/>
    <w:uiPriority w:val="99"/>
    <w:rPr>
      <w:b/>
      <w:bCs/>
    </w:rPr>
  </w:style>
  <w:style w:type="paragraph" w:styleId="5">
    <w:name w:val="annotation text"/>
    <w:basedOn w:val="1"/>
    <w:link w:val="23"/>
    <w:unhideWhenUsed/>
    <w:qFormat/>
    <w:uiPriority w:val="99"/>
    <w:rPr>
      <w:lang w:val="zh-CN" w:eastAsia="zh-CN"/>
    </w:rPr>
  </w:style>
  <w:style w:type="paragraph" w:styleId="6">
    <w:name w:val="Body Text"/>
    <w:basedOn w:val="1"/>
    <w:qFormat/>
    <w:uiPriority w:val="0"/>
    <w:pPr>
      <w:jc w:val="both"/>
    </w:pPr>
    <w:rPr>
      <w:b/>
    </w:rPr>
  </w:style>
  <w:style w:type="paragraph" w:styleId="7">
    <w:name w:val="Block Text"/>
    <w:basedOn w:val="1"/>
    <w:qFormat/>
    <w:uiPriority w:val="0"/>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8">
    <w:name w:val="Balloon Text"/>
    <w:basedOn w:val="1"/>
    <w:semiHidden/>
    <w:qFormat/>
    <w:uiPriority w:val="0"/>
    <w:rPr>
      <w:rFonts w:ascii="Tahoma" w:hAnsi="Tahoma" w:cs="Tahoma"/>
      <w:sz w:val="16"/>
      <w:szCs w:val="16"/>
    </w:rPr>
  </w:style>
  <w:style w:type="paragraph" w:styleId="9">
    <w:name w:val="footer"/>
    <w:basedOn w:val="1"/>
    <w:link w:val="25"/>
    <w:qFormat/>
    <w:uiPriority w:val="99"/>
    <w:pPr>
      <w:tabs>
        <w:tab w:val="center" w:pos="4320"/>
        <w:tab w:val="right" w:pos="8640"/>
      </w:tabs>
    </w:pPr>
  </w:style>
  <w:style w:type="paragraph" w:styleId="10">
    <w:name w:val="header"/>
    <w:basedOn w:val="1"/>
    <w:qFormat/>
    <w:uiPriority w:val="0"/>
    <w:pPr>
      <w:tabs>
        <w:tab w:val="center" w:pos="4320"/>
        <w:tab w:val="right" w:pos="8640"/>
      </w:tabs>
    </w:pPr>
  </w:style>
  <w:style w:type="paragraph" w:styleId="11">
    <w:name w:val="footnote text"/>
    <w:basedOn w:val="1"/>
    <w:semiHidden/>
    <w:qFormat/>
    <w:uiPriority w:val="0"/>
  </w:style>
  <w:style w:type="paragraph" w:styleId="12">
    <w:name w:val="Normal (Web)"/>
    <w:basedOn w:val="1"/>
    <w:unhideWhenUsed/>
    <w:qFormat/>
    <w:uiPriority w:val="99"/>
    <w:pPr>
      <w:spacing w:before="100" w:beforeAutospacing="1" w:after="100" w:afterAutospacing="1"/>
    </w:pPr>
    <w:rPr>
      <w:rFonts w:ascii="Times New Roman" w:hAnsi="Times New Roman"/>
      <w:sz w:val="24"/>
      <w:szCs w:val="24"/>
    </w:rPr>
  </w:style>
  <w:style w:type="character" w:styleId="14">
    <w:name w:val="Strong"/>
    <w:qFormat/>
    <w:uiPriority w:val="22"/>
    <w:rPr>
      <w:b/>
      <w:bCs/>
    </w:rPr>
  </w:style>
  <w:style w:type="character" w:styleId="15">
    <w:name w:val="FollowedHyperlink"/>
    <w:qFormat/>
    <w:uiPriority w:val="0"/>
    <w:rPr>
      <w:color w:val="800080"/>
      <w:u w:val="single"/>
    </w:rPr>
  </w:style>
  <w:style w:type="character" w:styleId="16">
    <w:name w:val="Hyperlink"/>
    <w:qFormat/>
    <w:uiPriority w:val="0"/>
    <w:rPr>
      <w:color w:val="0000FF"/>
      <w:u w:val="single"/>
    </w:rPr>
  </w:style>
  <w:style w:type="character" w:styleId="17">
    <w:name w:val="annotation reference"/>
    <w:unhideWhenUsed/>
    <w:qFormat/>
    <w:uiPriority w:val="99"/>
    <w:rPr>
      <w:sz w:val="16"/>
      <w:szCs w:val="16"/>
    </w:rPr>
  </w:style>
  <w:style w:type="character" w:styleId="18">
    <w:name w:val="footnote reference"/>
    <w:semiHidden/>
    <w:qFormat/>
    <w:uiPriority w:val="0"/>
    <w:rPr>
      <w:vertAlign w:val="superscript"/>
    </w:rPr>
  </w:style>
  <w:style w:type="table" w:styleId="20">
    <w:name w:val="Table Grid"/>
    <w:basedOn w:val="19"/>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21">
    <w:name w:val="Heading Erasmod"/>
    <w:basedOn w:val="3"/>
    <w:qFormat/>
    <w:uiPriority w:val="0"/>
    <w:pPr>
      <w:pBdr>
        <w:top w:val="single" w:color="auto" w:sz="6" w:space="1"/>
        <w:left w:val="single" w:color="auto" w:sz="6" w:space="1"/>
        <w:bottom w:val="single" w:color="auto" w:sz="6" w:space="1"/>
        <w:right w:val="single" w:color="auto" w:sz="6" w:space="1"/>
      </w:pBdr>
      <w:spacing w:before="0" w:after="120"/>
    </w:pPr>
    <w:rPr>
      <w:i w:val="0"/>
      <w:caps/>
      <w:sz w:val="28"/>
    </w:rPr>
  </w:style>
  <w:style w:type="paragraph" w:customStyle="1" w:styleId="22">
    <w:name w:val="Medium List 2 - Accent 21"/>
    <w:hidden/>
    <w:semiHidden/>
    <w:qFormat/>
    <w:uiPriority w:val="99"/>
    <w:rPr>
      <w:rFonts w:ascii="Arial" w:hAnsi="Arial" w:eastAsia="Times New Roman" w:cs="Times New Roman"/>
      <w:lang w:val="en-GB" w:eastAsia="en-GB" w:bidi="ar-SA"/>
    </w:rPr>
  </w:style>
  <w:style w:type="character" w:customStyle="1" w:styleId="23">
    <w:name w:val="Comment Text Char"/>
    <w:link w:val="5"/>
    <w:semiHidden/>
    <w:qFormat/>
    <w:uiPriority w:val="99"/>
    <w:rPr>
      <w:rFonts w:ascii="Arial" w:hAnsi="Arial"/>
    </w:rPr>
  </w:style>
  <w:style w:type="character" w:customStyle="1" w:styleId="24">
    <w:name w:val="Comment Subject Char"/>
    <w:link w:val="4"/>
    <w:semiHidden/>
    <w:qFormat/>
    <w:uiPriority w:val="99"/>
    <w:rPr>
      <w:rFonts w:ascii="Arial" w:hAnsi="Arial"/>
      <w:b/>
      <w:bCs/>
    </w:rPr>
  </w:style>
  <w:style w:type="character" w:customStyle="1" w:styleId="25">
    <w:name w:val="Footer Char"/>
    <w:link w:val="9"/>
    <w:qFormat/>
    <w:uiPriority w:val="99"/>
    <w:rPr>
      <w:rFonts w:ascii="Arial" w:hAnsi="Arial"/>
    </w:rPr>
  </w:style>
  <w:style w:type="paragraph" w:customStyle="1" w:styleId="26">
    <w:name w:val="List Paragraph"/>
    <w:basedOn w:val="1"/>
    <w:qFormat/>
    <w:uiPriority w:val="99"/>
    <w:pPr>
      <w:ind w:left="720"/>
    </w:pPr>
  </w:style>
  <w:style w:type="paragraph" w:customStyle="1" w:styleId="27">
    <w:name w:val="Revision"/>
    <w:hidden/>
    <w:semiHidden/>
    <w:qFormat/>
    <w:uiPriority w:val="99"/>
    <w:rPr>
      <w:rFonts w:ascii="Arial" w:hAnsi="Arial" w:eastAsia="Times New Roman" w:cs="Times New Roman"/>
      <w:lang w:val="en-GB" w:eastAsia="en-GB" w:bidi="ar-SA"/>
    </w:rPr>
  </w:style>
  <w:style w:type="paragraph" w:customStyle="1" w:styleId="28">
    <w:name w:val="No Spacing"/>
    <w:qFormat/>
    <w:uiPriority w:val="99"/>
    <w:pPr>
      <w:overflowPunct w:val="0"/>
      <w:autoSpaceDE w:val="0"/>
      <w:autoSpaceDN w:val="0"/>
      <w:adjustRightInd w:val="0"/>
    </w:pPr>
    <w:rPr>
      <w:rFonts w:ascii="Calibri" w:hAnsi="Calibri" w:eastAsia="Times New Roman" w:cs="Times New Roman"/>
      <w:sz w:val="22"/>
      <w:lang w:val="en-GB" w:eastAsia="en-US" w:bidi="ar-SA"/>
    </w:rPr>
  </w:style>
  <w:style w:type="character" w:customStyle="1" w:styleId="29">
    <w:name w:val="Unresolved Mention1"/>
    <w:basedOn w:val="13"/>
    <w:unhideWhenUsed/>
    <w:qFormat/>
    <w:uiPriority w:val="99"/>
    <w:rPr>
      <w:color w:val="605E5C"/>
      <w:shd w:val="clear" w:color="auto" w:fill="E1DFDD"/>
    </w:rPr>
  </w:style>
  <w:style w:type="character" w:customStyle="1" w:styleId="30">
    <w:name w:val="Unresolved Mention"/>
    <w:basedOn w:val="13"/>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image" Target="media/image5.jpeg"/><Relationship Id="rId12" Type="http://schemas.openxmlformats.org/officeDocument/2006/relationships/image" Target="media/image4.png"/><Relationship Id="rId11" Type="http://schemas.openxmlformats.org/officeDocument/2006/relationships/image" Target="media/image3.png"/><Relationship Id="rId10" Type="http://schemas.openxmlformats.org/officeDocument/2006/relationships/image" Target="media/image2.png"/><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UWTSD</Company>
  <Pages>4</Pages>
  <Words>723</Words>
  <Characters>4216</Characters>
  <Lines>35</Lines>
  <Paragraphs>9</Paragraphs>
  <ScaleCrop>false</ScaleCrop>
  <LinksUpToDate>false</LinksUpToDate>
  <CharactersWithSpaces>4930</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2022-11-17T13:36:00Z</dcterms:created>
  <dc:creator>Academic Office</dc:creator>
  <cp:lastModifiedBy>xuanyiyan</cp:lastModifiedBy>
  <cp:lastPrinted>2016-11-03T14:01:00Z</cp:lastPrinted>
  <dcterms:modified xsi:type="dcterms:W3CDTF">2023-01-08T01:37:52Z</dcterms:modified>
  <dc:title>PG1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y fmtid="{D5CDD505-2E9C-101B-9397-08002B2CF9AE}" pid="7" name="KSOProductBuildVer">
    <vt:lpwstr>2052-3.9.0.6159</vt:lpwstr>
  </property>
</Properties>
</file>