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3DB9708" w14:textId="77777777" w:rsidR="004B096A" w:rsidRPr="008A3EBA" w:rsidRDefault="004B096A">
      <w:pPr>
        <w:jc w:val="center"/>
        <w:rPr>
          <w:b/>
          <w:bCs/>
          <w:color w:val="000000" w:themeColor="text1"/>
          <w:sz w:val="32"/>
          <w:szCs w:val="32"/>
          <w:lang w:val="en-GB"/>
        </w:rPr>
      </w:pPr>
    </w:p>
    <w:p w14:paraId="694F7BA2" w14:textId="77777777" w:rsidR="004B096A" w:rsidRPr="008A3EBA" w:rsidRDefault="004B096A">
      <w:pPr>
        <w:jc w:val="center"/>
        <w:rPr>
          <w:b/>
          <w:bCs/>
          <w:color w:val="000000" w:themeColor="text1"/>
          <w:sz w:val="32"/>
          <w:szCs w:val="32"/>
          <w:lang w:val="en-GB"/>
        </w:rPr>
      </w:pPr>
    </w:p>
    <w:p w14:paraId="63D243DC" w14:textId="77777777" w:rsidR="002A520E" w:rsidRPr="008A3EBA" w:rsidRDefault="002A520E" w:rsidP="002A520E">
      <w:pPr>
        <w:pBdr>
          <w:top w:val="nil"/>
          <w:left w:val="nil"/>
          <w:bottom w:val="nil"/>
          <w:right w:val="nil"/>
          <w:between w:val="nil"/>
        </w:pBdr>
        <w:jc w:val="center"/>
        <w:rPr>
          <w:i/>
          <w:iCs/>
          <w:color w:val="000000" w:themeColor="text1"/>
          <w:sz w:val="32"/>
          <w:szCs w:val="32"/>
        </w:rPr>
      </w:pPr>
      <w:r w:rsidRPr="008A3EBA">
        <w:rPr>
          <w:i/>
          <w:iCs/>
          <w:color w:val="000000" w:themeColor="text1"/>
          <w:sz w:val="32"/>
          <w:szCs w:val="32"/>
        </w:rPr>
        <w:t xml:space="preserve">Module Title: Social Epidemiology and Public Health Development </w:t>
      </w:r>
      <w:r w:rsidRPr="008A3EBA">
        <w:rPr>
          <w:i/>
          <w:iCs/>
          <w:color w:val="000000" w:themeColor="text1"/>
          <w:sz w:val="32"/>
          <w:szCs w:val="32"/>
        </w:rPr>
        <w:br/>
        <w:t>Module Code:</w:t>
      </w:r>
      <w:r w:rsidRPr="008A3EBA">
        <w:rPr>
          <w:color w:val="000000" w:themeColor="text1"/>
        </w:rPr>
        <w:t xml:space="preserve"> </w:t>
      </w:r>
      <w:r w:rsidRPr="008A3EBA">
        <w:rPr>
          <w:i/>
          <w:iCs/>
          <w:color w:val="000000" w:themeColor="text1"/>
          <w:sz w:val="32"/>
          <w:szCs w:val="32"/>
        </w:rPr>
        <w:t>LCHS7000</w:t>
      </w:r>
    </w:p>
    <w:p w14:paraId="43CA6B27" w14:textId="4C513E5D" w:rsidR="002A520E" w:rsidRPr="008A3EBA" w:rsidRDefault="002A520E" w:rsidP="002A520E">
      <w:pPr>
        <w:pBdr>
          <w:top w:val="nil"/>
          <w:left w:val="nil"/>
          <w:bottom w:val="nil"/>
          <w:right w:val="nil"/>
          <w:between w:val="nil"/>
        </w:pBdr>
        <w:jc w:val="center"/>
        <w:rPr>
          <w:i/>
          <w:iCs/>
          <w:color w:val="000000" w:themeColor="text1"/>
          <w:sz w:val="32"/>
          <w:szCs w:val="32"/>
        </w:rPr>
      </w:pPr>
      <w:r w:rsidRPr="008A3EBA">
        <w:rPr>
          <w:i/>
          <w:iCs/>
          <w:color w:val="000000" w:themeColor="text1"/>
          <w:sz w:val="32"/>
          <w:szCs w:val="32"/>
        </w:rPr>
        <w:t>Assignment Title:</w:t>
      </w:r>
      <w:r w:rsidRPr="008A3EBA">
        <w:rPr>
          <w:b/>
          <w:bCs/>
          <w:color w:val="000000" w:themeColor="text1"/>
          <w:sz w:val="32"/>
          <w:szCs w:val="32"/>
          <w:lang w:val="en-GB"/>
        </w:rPr>
        <w:t xml:space="preserve"> </w:t>
      </w:r>
      <w:r w:rsidRPr="008A3EBA">
        <w:rPr>
          <w:i/>
          <w:iCs/>
          <w:color w:val="000000" w:themeColor="text1"/>
          <w:sz w:val="32"/>
          <w:szCs w:val="32"/>
          <w:lang w:val="en-GB"/>
        </w:rPr>
        <w:t>GENDER AND HEALTH INEQUALITIES: EPIDEMIOLOGICAL PERSPECTIVES AND PUBLIC HEALTH RESPONSES</w:t>
      </w:r>
    </w:p>
    <w:p w14:paraId="50314322" w14:textId="0DBF3626" w:rsidR="002A520E" w:rsidRPr="008A3EBA" w:rsidRDefault="002A520E" w:rsidP="008D7BA2">
      <w:pPr>
        <w:pBdr>
          <w:top w:val="nil"/>
          <w:left w:val="nil"/>
          <w:bottom w:val="nil"/>
          <w:right w:val="nil"/>
          <w:between w:val="nil"/>
        </w:pBdr>
        <w:jc w:val="center"/>
        <w:rPr>
          <w:i/>
          <w:iCs/>
          <w:color w:val="000000" w:themeColor="text1"/>
          <w:sz w:val="32"/>
          <w:szCs w:val="32"/>
        </w:rPr>
      </w:pPr>
      <w:r w:rsidRPr="008A3EBA">
        <w:rPr>
          <w:i/>
          <w:iCs/>
          <w:color w:val="000000" w:themeColor="text1"/>
          <w:sz w:val="32"/>
          <w:szCs w:val="32"/>
        </w:rPr>
        <w:t xml:space="preserve"> Student Name: </w:t>
      </w:r>
      <w:proofErr w:type="spellStart"/>
      <w:r w:rsidRPr="008A3EBA">
        <w:rPr>
          <w:i/>
          <w:iCs/>
          <w:color w:val="000000" w:themeColor="text1"/>
          <w:sz w:val="32"/>
          <w:szCs w:val="32"/>
        </w:rPr>
        <w:t>AdnanKhan</w:t>
      </w:r>
      <w:proofErr w:type="spellEnd"/>
      <w:r w:rsidRPr="008A3EBA">
        <w:rPr>
          <w:i/>
          <w:iCs/>
          <w:color w:val="000000" w:themeColor="text1"/>
          <w:sz w:val="32"/>
          <w:szCs w:val="32"/>
        </w:rPr>
        <w:t xml:space="preserve"> </w:t>
      </w:r>
      <w:proofErr w:type="spellStart"/>
      <w:r w:rsidRPr="008A3EBA">
        <w:rPr>
          <w:i/>
          <w:iCs/>
          <w:color w:val="000000" w:themeColor="text1"/>
          <w:sz w:val="32"/>
          <w:szCs w:val="32"/>
        </w:rPr>
        <w:t>FirojKhan</w:t>
      </w:r>
      <w:proofErr w:type="spellEnd"/>
      <w:r w:rsidRPr="008A3EBA">
        <w:rPr>
          <w:i/>
          <w:iCs/>
          <w:color w:val="000000" w:themeColor="text1"/>
          <w:sz w:val="32"/>
          <w:szCs w:val="32"/>
        </w:rPr>
        <w:t xml:space="preserve"> Sindhi</w:t>
      </w:r>
    </w:p>
    <w:p w14:paraId="0134F7CF" w14:textId="77777777" w:rsidR="002A520E" w:rsidRPr="008A3EBA" w:rsidRDefault="002A520E" w:rsidP="002A520E">
      <w:pPr>
        <w:pBdr>
          <w:top w:val="nil"/>
          <w:left w:val="nil"/>
          <w:bottom w:val="nil"/>
          <w:right w:val="nil"/>
          <w:between w:val="nil"/>
        </w:pBdr>
        <w:jc w:val="center"/>
        <w:rPr>
          <w:i/>
          <w:iCs/>
          <w:color w:val="000000" w:themeColor="text1"/>
          <w:sz w:val="32"/>
          <w:szCs w:val="32"/>
        </w:rPr>
      </w:pPr>
      <w:r w:rsidRPr="008A3EBA">
        <w:rPr>
          <w:i/>
          <w:iCs/>
          <w:color w:val="000000" w:themeColor="text1"/>
          <w:sz w:val="32"/>
          <w:szCs w:val="32"/>
        </w:rPr>
        <w:t>Student ID</w:t>
      </w:r>
      <w:r w:rsidRPr="008A3EBA">
        <w:rPr>
          <w:b/>
          <w:bCs/>
          <w:i/>
          <w:iCs/>
          <w:color w:val="000000" w:themeColor="text1"/>
          <w:sz w:val="32"/>
          <w:szCs w:val="32"/>
        </w:rPr>
        <w:t>: 2528923</w:t>
      </w:r>
    </w:p>
    <w:p w14:paraId="0567315D" w14:textId="77777777" w:rsidR="008E5C34" w:rsidRPr="008E5C34" w:rsidRDefault="00EA3CBE" w:rsidP="008E5C34">
      <w:pPr>
        <w:pBdr>
          <w:top w:val="nil"/>
          <w:left w:val="nil"/>
          <w:bottom w:val="nil"/>
          <w:right w:val="nil"/>
          <w:between w:val="nil"/>
        </w:pBdr>
        <w:jc w:val="center"/>
        <w:rPr>
          <w:b/>
          <w:bCs/>
          <w:i/>
          <w:iCs/>
          <w:color w:val="000000" w:themeColor="text1"/>
          <w:sz w:val="32"/>
          <w:szCs w:val="32"/>
          <w:lang w:val="en-US"/>
        </w:rPr>
      </w:pPr>
      <w:r w:rsidRPr="008A3EBA">
        <w:rPr>
          <w:i/>
          <w:iCs/>
          <w:color w:val="000000" w:themeColor="text1"/>
          <w:sz w:val="32"/>
          <w:szCs w:val="32"/>
          <w:lang w:val="en-GB"/>
        </w:rPr>
        <w:t>LECTURER’S NAME</w:t>
      </w:r>
      <w:r w:rsidR="002A520E" w:rsidRPr="008E5C34">
        <w:rPr>
          <w:i/>
          <w:iCs/>
          <w:color w:val="000000" w:themeColor="text1"/>
          <w:sz w:val="32"/>
          <w:szCs w:val="32"/>
        </w:rPr>
        <w:t xml:space="preserve">: </w:t>
      </w:r>
      <w:r w:rsidR="008E5C34" w:rsidRPr="008E5C34">
        <w:rPr>
          <w:i/>
          <w:iCs/>
          <w:color w:val="000000" w:themeColor="text1"/>
          <w:sz w:val="32"/>
          <w:szCs w:val="32"/>
        </w:rPr>
        <w:t>Muhammad Aliyu</w:t>
      </w:r>
    </w:p>
    <w:p w14:paraId="7B90D68B" w14:textId="2C815550" w:rsidR="004B096A" w:rsidRPr="008A3EBA" w:rsidRDefault="004B096A" w:rsidP="002A520E">
      <w:pPr>
        <w:pBdr>
          <w:top w:val="nil"/>
          <w:left w:val="nil"/>
          <w:bottom w:val="nil"/>
          <w:right w:val="nil"/>
          <w:between w:val="nil"/>
        </w:pBdr>
        <w:jc w:val="center"/>
        <w:rPr>
          <w:i/>
          <w:iCs/>
          <w:color w:val="000000" w:themeColor="text1"/>
          <w:sz w:val="32"/>
          <w:szCs w:val="32"/>
          <w:lang w:val="en-GB"/>
        </w:rPr>
      </w:pPr>
    </w:p>
    <w:p w14:paraId="7E839B29" w14:textId="77777777" w:rsidR="004B096A" w:rsidRPr="008A3EBA" w:rsidRDefault="00EA3CBE">
      <w:pPr>
        <w:rPr>
          <w:color w:val="000000" w:themeColor="text1"/>
          <w:lang w:val="en-GB"/>
        </w:rPr>
      </w:pPr>
      <w:r w:rsidRPr="008A3EBA">
        <w:rPr>
          <w:color w:val="000000" w:themeColor="text1"/>
          <w:lang w:val="en-GB"/>
        </w:rPr>
        <w:br w:type="page"/>
      </w:r>
    </w:p>
    <w:sdt>
      <w:sdtPr>
        <w:rPr>
          <w:rFonts w:ascii="Arial" w:eastAsia="Arial" w:hAnsi="Arial" w:cs="Arial"/>
          <w:color w:val="000000" w:themeColor="text1"/>
          <w:sz w:val="22"/>
          <w:szCs w:val="22"/>
          <w:lang w:val="en-GB"/>
        </w:rPr>
        <w:id w:val="2120792380"/>
        <w:docPartObj>
          <w:docPartGallery w:val="Table of Contents"/>
          <w:docPartUnique/>
        </w:docPartObj>
      </w:sdtPr>
      <w:sdtEndPr>
        <w:rPr>
          <w:b/>
          <w:bCs/>
          <w:noProof/>
        </w:rPr>
      </w:sdtEndPr>
      <w:sdtContent>
        <w:p w14:paraId="78FC6DA8" w14:textId="229731AF" w:rsidR="00F72AB2" w:rsidRPr="008A3EBA" w:rsidRDefault="00F72AB2" w:rsidP="00F72AB2">
          <w:pPr>
            <w:pStyle w:val="TOCHeading"/>
            <w:jc w:val="center"/>
            <w:rPr>
              <w:rFonts w:ascii="Arial" w:hAnsi="Arial" w:cs="Arial"/>
              <w:b/>
              <w:bCs/>
              <w:color w:val="000000" w:themeColor="text1"/>
              <w:sz w:val="28"/>
              <w:szCs w:val="28"/>
              <w:lang w:val="en-GB"/>
            </w:rPr>
          </w:pPr>
          <w:r w:rsidRPr="008A3EBA">
            <w:rPr>
              <w:rFonts w:ascii="Arial" w:hAnsi="Arial" w:cs="Arial"/>
              <w:b/>
              <w:bCs/>
              <w:color w:val="000000" w:themeColor="text1"/>
              <w:sz w:val="28"/>
              <w:szCs w:val="28"/>
              <w:lang w:val="en-GB"/>
            </w:rPr>
            <w:t>Table of Contents</w:t>
          </w:r>
        </w:p>
        <w:p w14:paraId="4C54F01D" w14:textId="0D769DAF" w:rsidR="008D7BA2" w:rsidRPr="008A3EBA" w:rsidRDefault="00F72AB2">
          <w:pPr>
            <w:pStyle w:val="TOC1"/>
            <w:tabs>
              <w:tab w:val="right" w:leader="dot" w:pos="9016"/>
            </w:tabs>
            <w:rPr>
              <w:rFonts w:asciiTheme="minorHAnsi" w:eastAsiaTheme="minorEastAsia" w:hAnsiTheme="minorHAnsi" w:cstheme="minorBidi"/>
              <w:noProof/>
              <w:color w:val="000000" w:themeColor="text1"/>
              <w:lang w:val="en-GB" w:eastAsia="en-GB"/>
            </w:rPr>
          </w:pPr>
          <w:r w:rsidRPr="008A3EBA">
            <w:rPr>
              <w:color w:val="000000" w:themeColor="text1"/>
              <w:lang w:val="en-GB"/>
            </w:rPr>
            <w:fldChar w:fldCharType="begin"/>
          </w:r>
          <w:r w:rsidRPr="008A3EBA">
            <w:rPr>
              <w:color w:val="000000" w:themeColor="text1"/>
              <w:lang w:val="en-GB"/>
            </w:rPr>
            <w:instrText xml:space="preserve"> TOC \o "1-3" \h \z \u </w:instrText>
          </w:r>
          <w:r w:rsidRPr="008A3EBA">
            <w:rPr>
              <w:color w:val="000000" w:themeColor="text1"/>
              <w:lang w:val="en-GB"/>
            </w:rPr>
            <w:fldChar w:fldCharType="separate"/>
          </w:r>
          <w:hyperlink w:anchor="_Toc228193457" w:history="1">
            <w:r w:rsidR="008D7BA2" w:rsidRPr="008A3EBA">
              <w:rPr>
                <w:rStyle w:val="Hyperlink"/>
                <w:noProof/>
                <w:color w:val="000000" w:themeColor="text1"/>
                <w:lang w:val="en-GB"/>
              </w:rPr>
              <w:t>Task 1: Social Epidemiological Analysis (Gender &amp; Health Inequalities)</w:t>
            </w:r>
            <w:r w:rsidR="008D7BA2" w:rsidRPr="008A3EBA">
              <w:rPr>
                <w:noProof/>
                <w:webHidden/>
                <w:color w:val="000000" w:themeColor="text1"/>
              </w:rPr>
              <w:tab/>
            </w:r>
            <w:r w:rsidR="008D7BA2" w:rsidRPr="008A3EBA">
              <w:rPr>
                <w:noProof/>
                <w:webHidden/>
                <w:color w:val="000000" w:themeColor="text1"/>
              </w:rPr>
              <w:fldChar w:fldCharType="begin"/>
            </w:r>
            <w:r w:rsidR="008D7BA2" w:rsidRPr="008A3EBA">
              <w:rPr>
                <w:noProof/>
                <w:webHidden/>
                <w:color w:val="000000" w:themeColor="text1"/>
              </w:rPr>
              <w:instrText xml:space="preserve"> PAGEREF _Toc228193457 \h </w:instrText>
            </w:r>
            <w:r w:rsidR="008D7BA2" w:rsidRPr="008A3EBA">
              <w:rPr>
                <w:noProof/>
                <w:webHidden/>
                <w:color w:val="000000" w:themeColor="text1"/>
              </w:rPr>
            </w:r>
            <w:r w:rsidR="008D7BA2" w:rsidRPr="008A3EBA">
              <w:rPr>
                <w:noProof/>
                <w:webHidden/>
                <w:color w:val="000000" w:themeColor="text1"/>
              </w:rPr>
              <w:fldChar w:fldCharType="separate"/>
            </w:r>
            <w:r w:rsidR="009716B5">
              <w:rPr>
                <w:noProof/>
                <w:webHidden/>
                <w:color w:val="000000" w:themeColor="text1"/>
              </w:rPr>
              <w:t>3</w:t>
            </w:r>
            <w:r w:rsidR="008D7BA2" w:rsidRPr="008A3EBA">
              <w:rPr>
                <w:noProof/>
                <w:webHidden/>
                <w:color w:val="000000" w:themeColor="text1"/>
              </w:rPr>
              <w:fldChar w:fldCharType="end"/>
            </w:r>
          </w:hyperlink>
        </w:p>
        <w:p w14:paraId="718C5496" w14:textId="4EFB5166"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58" w:history="1">
            <w:r w:rsidRPr="008A3EBA">
              <w:rPr>
                <w:rStyle w:val="Hyperlink"/>
                <w:noProof/>
                <w:color w:val="000000" w:themeColor="text1"/>
                <w:lang w:val="en-GB"/>
              </w:rPr>
              <w:t>Introduction</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_Toc228193458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3</w:t>
            </w:r>
            <w:r w:rsidRPr="008A3EBA">
              <w:rPr>
                <w:noProof/>
                <w:webHidden/>
                <w:color w:val="000000" w:themeColor="text1"/>
              </w:rPr>
              <w:fldChar w:fldCharType="end"/>
            </w:r>
          </w:hyperlink>
        </w:p>
        <w:p w14:paraId="2F95E658" w14:textId="11CC9C31"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59" w:history="1">
            <w:r w:rsidRPr="008A3EBA">
              <w:rPr>
                <w:rStyle w:val="Hyperlink"/>
                <w:noProof/>
                <w:color w:val="000000" w:themeColor="text1"/>
                <w:lang w:val="en-GB"/>
              </w:rPr>
              <w:t>Disease/Illness Issues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_Toc228193459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3</w:t>
            </w:r>
            <w:r w:rsidRPr="008A3EBA">
              <w:rPr>
                <w:noProof/>
                <w:webHidden/>
                <w:color w:val="000000" w:themeColor="text1"/>
              </w:rPr>
              <w:fldChar w:fldCharType="end"/>
            </w:r>
          </w:hyperlink>
        </w:p>
        <w:p w14:paraId="24B28E85" w14:textId="5F489B26"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0" w:history="1">
            <w:r w:rsidRPr="008A3EBA">
              <w:rPr>
                <w:rStyle w:val="Hyperlink"/>
                <w:noProof/>
                <w:color w:val="000000" w:themeColor="text1"/>
                <w:lang w:val="en-GB"/>
              </w:rPr>
              <w:t>Social Issues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_Toc228193460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4</w:t>
            </w:r>
            <w:r w:rsidRPr="008A3EBA">
              <w:rPr>
                <w:noProof/>
                <w:webHidden/>
                <w:color w:val="000000" w:themeColor="text1"/>
              </w:rPr>
              <w:fldChar w:fldCharType="end"/>
            </w:r>
          </w:hyperlink>
        </w:p>
        <w:p w14:paraId="711241E8" w14:textId="5107631B"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1" w:history="1">
            <w:r w:rsidRPr="008A3EBA">
              <w:rPr>
                <w:rStyle w:val="Hyperlink"/>
                <w:noProof/>
                <w:color w:val="000000" w:themeColor="text1"/>
                <w:lang w:val="en-GB"/>
              </w:rPr>
              <w:t>National Response to Reduce Inequalities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_Toc228193461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5</w:t>
            </w:r>
            <w:r w:rsidRPr="008A3EBA">
              <w:rPr>
                <w:noProof/>
                <w:webHidden/>
                <w:color w:val="000000" w:themeColor="text1"/>
              </w:rPr>
              <w:fldChar w:fldCharType="end"/>
            </w:r>
          </w:hyperlink>
        </w:p>
        <w:p w14:paraId="647746F5" w14:textId="5C5F3C0C"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2" w:history="1">
            <w:r w:rsidRPr="008A3EBA">
              <w:rPr>
                <w:rStyle w:val="Hyperlink"/>
                <w:noProof/>
                <w:color w:val="000000" w:themeColor="text1"/>
                <w:lang w:val="en-GB"/>
              </w:rPr>
              <w:t>Organisations Supporting Gender Equality</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_Toc228193462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6</w:t>
            </w:r>
            <w:r w:rsidRPr="008A3EBA">
              <w:rPr>
                <w:noProof/>
                <w:webHidden/>
                <w:color w:val="000000" w:themeColor="text1"/>
              </w:rPr>
              <w:fldChar w:fldCharType="end"/>
            </w:r>
          </w:hyperlink>
        </w:p>
        <w:p w14:paraId="4EEA1193" w14:textId="047B9F06"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3" w:history="1">
            <w:r w:rsidRPr="008A3EBA">
              <w:rPr>
                <w:rStyle w:val="Hyperlink"/>
                <w:noProof/>
                <w:color w:val="000000" w:themeColor="text1"/>
                <w:lang w:val="en-GB"/>
              </w:rPr>
              <w:t>Conclusion &amp; Recommendations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_Toc228193463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6</w:t>
            </w:r>
            <w:r w:rsidRPr="008A3EBA">
              <w:rPr>
                <w:noProof/>
                <w:webHidden/>
                <w:color w:val="000000" w:themeColor="text1"/>
              </w:rPr>
              <w:fldChar w:fldCharType="end"/>
            </w:r>
          </w:hyperlink>
        </w:p>
        <w:p w14:paraId="04B115D0" w14:textId="39F46D34" w:rsidR="008D7BA2" w:rsidRPr="008A3EBA" w:rsidRDefault="008D7BA2">
          <w:pPr>
            <w:pStyle w:val="TOC1"/>
            <w:tabs>
              <w:tab w:val="right" w:leader="dot" w:pos="9016"/>
            </w:tabs>
            <w:rPr>
              <w:rFonts w:asciiTheme="minorHAnsi" w:eastAsiaTheme="minorEastAsia" w:hAnsiTheme="minorHAnsi" w:cstheme="minorBidi"/>
              <w:noProof/>
              <w:color w:val="000000" w:themeColor="text1"/>
              <w:lang w:val="en-GB" w:eastAsia="en-GB"/>
            </w:rPr>
          </w:pPr>
          <w:hyperlink w:anchor="_Toc228193464" w:history="1">
            <w:r w:rsidRPr="008A3EBA">
              <w:rPr>
                <w:rStyle w:val="Hyperlink"/>
                <w:noProof/>
                <w:color w:val="000000" w:themeColor="text1"/>
                <w:lang w:val="en-GB"/>
              </w:rPr>
              <w:t>Task 2: Epidemiological Analysis (Gender &amp; Health Inequalities)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_Toc228193464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6</w:t>
            </w:r>
            <w:r w:rsidRPr="008A3EBA">
              <w:rPr>
                <w:noProof/>
                <w:webHidden/>
                <w:color w:val="000000" w:themeColor="text1"/>
              </w:rPr>
              <w:fldChar w:fldCharType="end"/>
            </w:r>
          </w:hyperlink>
        </w:p>
        <w:p w14:paraId="189E8523" w14:textId="669C70EA"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5" w:history="1">
            <w:r w:rsidRPr="008A3EBA">
              <w:rPr>
                <w:rStyle w:val="Hyperlink"/>
                <w:noProof/>
                <w:color w:val="000000" w:themeColor="text1"/>
                <w:lang w:val="en-GB"/>
              </w:rPr>
              <w:t>Introduction</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_Toc228193465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6</w:t>
            </w:r>
            <w:r w:rsidRPr="008A3EBA">
              <w:rPr>
                <w:noProof/>
                <w:webHidden/>
                <w:color w:val="000000" w:themeColor="text1"/>
              </w:rPr>
              <w:fldChar w:fldCharType="end"/>
            </w:r>
          </w:hyperlink>
        </w:p>
        <w:p w14:paraId="14664883" w14:textId="3B85322D"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6" w:history="1">
            <w:r w:rsidRPr="008A3EBA">
              <w:rPr>
                <w:rStyle w:val="Hyperlink"/>
                <w:noProof/>
                <w:color w:val="000000" w:themeColor="text1"/>
                <w:lang w:val="en-GB"/>
              </w:rPr>
              <w:t>Public Health Measures (3Ps: Protection, Prevention, Promotion)</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_Toc228193466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6</w:t>
            </w:r>
            <w:r w:rsidRPr="008A3EBA">
              <w:rPr>
                <w:noProof/>
                <w:webHidden/>
                <w:color w:val="000000" w:themeColor="text1"/>
              </w:rPr>
              <w:fldChar w:fldCharType="end"/>
            </w:r>
          </w:hyperlink>
        </w:p>
        <w:p w14:paraId="32F8974B" w14:textId="218BA346"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7" w:history="1">
            <w:r w:rsidRPr="008A3EBA">
              <w:rPr>
                <w:rStyle w:val="Hyperlink"/>
                <w:noProof/>
                <w:color w:val="000000" w:themeColor="text1"/>
                <w:lang w:val="en-GB"/>
              </w:rPr>
              <w:t>Determinants / Risk Factors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_Toc228193467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7</w:t>
            </w:r>
            <w:r w:rsidRPr="008A3EBA">
              <w:rPr>
                <w:noProof/>
                <w:webHidden/>
                <w:color w:val="000000" w:themeColor="text1"/>
              </w:rPr>
              <w:fldChar w:fldCharType="end"/>
            </w:r>
          </w:hyperlink>
        </w:p>
        <w:p w14:paraId="05D0D996" w14:textId="0425ED77"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8" w:history="1">
            <w:r w:rsidRPr="008A3EBA">
              <w:rPr>
                <w:rStyle w:val="Hyperlink"/>
                <w:noProof/>
                <w:color w:val="000000" w:themeColor="text1"/>
                <w:lang w:val="en-GB"/>
              </w:rPr>
              <w:t>Health Needs Assessment &amp; Epidemiological Studies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_Toc228193468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8</w:t>
            </w:r>
            <w:r w:rsidRPr="008A3EBA">
              <w:rPr>
                <w:noProof/>
                <w:webHidden/>
                <w:color w:val="000000" w:themeColor="text1"/>
              </w:rPr>
              <w:fldChar w:fldCharType="end"/>
            </w:r>
          </w:hyperlink>
        </w:p>
        <w:p w14:paraId="383811F4" w14:textId="4293090D"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69" w:history="1">
            <w:r w:rsidRPr="008A3EBA">
              <w:rPr>
                <w:rStyle w:val="Hyperlink"/>
                <w:noProof/>
                <w:color w:val="000000" w:themeColor="text1"/>
                <w:lang w:val="en-GB"/>
              </w:rPr>
              <w:t>Monitoring &amp; Surveillance Systems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_Toc228193469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9</w:t>
            </w:r>
            <w:r w:rsidRPr="008A3EBA">
              <w:rPr>
                <w:noProof/>
                <w:webHidden/>
                <w:color w:val="000000" w:themeColor="text1"/>
              </w:rPr>
              <w:fldChar w:fldCharType="end"/>
            </w:r>
          </w:hyperlink>
        </w:p>
        <w:p w14:paraId="5A159BE6" w14:textId="4CB0FE34"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70" w:history="1">
            <w:r w:rsidRPr="008A3EBA">
              <w:rPr>
                <w:rStyle w:val="Hyperlink"/>
                <w:noProof/>
                <w:color w:val="000000" w:themeColor="text1"/>
                <w:lang w:val="en-GB"/>
              </w:rPr>
              <w:t>Public Health Impact (Short &amp; Long</w:t>
            </w:r>
            <w:r w:rsidRPr="008A3EBA">
              <w:rPr>
                <w:rStyle w:val="Hyperlink"/>
                <w:rFonts w:ascii="Cambria Math" w:hAnsi="Cambria Math" w:cs="Cambria Math"/>
                <w:noProof/>
                <w:color w:val="000000" w:themeColor="text1"/>
                <w:lang w:val="en-GB"/>
              </w:rPr>
              <w:t>‑</w:t>
            </w:r>
            <w:r w:rsidRPr="008A3EBA">
              <w:rPr>
                <w:rStyle w:val="Hyperlink"/>
                <w:noProof/>
                <w:color w:val="000000" w:themeColor="text1"/>
                <w:lang w:val="en-GB"/>
              </w:rPr>
              <w:t>term Consequences)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_Toc228193470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9</w:t>
            </w:r>
            <w:r w:rsidRPr="008A3EBA">
              <w:rPr>
                <w:noProof/>
                <w:webHidden/>
                <w:color w:val="000000" w:themeColor="text1"/>
              </w:rPr>
              <w:fldChar w:fldCharType="end"/>
            </w:r>
          </w:hyperlink>
        </w:p>
        <w:p w14:paraId="0A0AB3BB" w14:textId="18D17FFB"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71" w:history="1">
            <w:r w:rsidRPr="008A3EBA">
              <w:rPr>
                <w:rStyle w:val="Hyperlink"/>
                <w:noProof/>
                <w:color w:val="000000" w:themeColor="text1"/>
                <w:lang w:val="en-GB"/>
              </w:rPr>
              <w:t>Health Intervention Programme Design</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_Toc228193471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9</w:t>
            </w:r>
            <w:r w:rsidRPr="008A3EBA">
              <w:rPr>
                <w:noProof/>
                <w:webHidden/>
                <w:color w:val="000000" w:themeColor="text1"/>
              </w:rPr>
              <w:fldChar w:fldCharType="end"/>
            </w:r>
          </w:hyperlink>
        </w:p>
        <w:p w14:paraId="579DB2FF" w14:textId="5038C0EF"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72" w:history="1">
            <w:r w:rsidRPr="008A3EBA">
              <w:rPr>
                <w:rStyle w:val="Hyperlink"/>
                <w:noProof/>
                <w:color w:val="000000" w:themeColor="text1"/>
                <w:lang w:val="en-GB"/>
              </w:rPr>
              <w:t>Strengths &amp; Weaknesses of Epidemiological Approach</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_Toc228193472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10</w:t>
            </w:r>
            <w:r w:rsidRPr="008A3EBA">
              <w:rPr>
                <w:noProof/>
                <w:webHidden/>
                <w:color w:val="000000" w:themeColor="text1"/>
              </w:rPr>
              <w:fldChar w:fldCharType="end"/>
            </w:r>
          </w:hyperlink>
        </w:p>
        <w:p w14:paraId="57E8C4F7" w14:textId="63603E18" w:rsidR="008D7BA2" w:rsidRPr="008A3EBA" w:rsidRDefault="008D7BA2">
          <w:pPr>
            <w:pStyle w:val="TOC2"/>
            <w:tabs>
              <w:tab w:val="right" w:leader="dot" w:pos="9016"/>
            </w:tabs>
            <w:rPr>
              <w:rFonts w:asciiTheme="minorHAnsi" w:eastAsiaTheme="minorEastAsia" w:hAnsiTheme="minorHAnsi" w:cstheme="minorBidi"/>
              <w:noProof/>
              <w:color w:val="000000" w:themeColor="text1"/>
              <w:lang w:val="en-GB" w:eastAsia="en-GB"/>
            </w:rPr>
          </w:pPr>
          <w:hyperlink w:anchor="_Toc228193473" w:history="1">
            <w:r w:rsidRPr="008A3EBA">
              <w:rPr>
                <w:rStyle w:val="Hyperlink"/>
                <w:noProof/>
                <w:color w:val="000000" w:themeColor="text1"/>
                <w:lang w:val="en-GB"/>
              </w:rPr>
              <w:t>Conclusion &amp; Recommendations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_Toc228193473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10</w:t>
            </w:r>
            <w:r w:rsidRPr="008A3EBA">
              <w:rPr>
                <w:noProof/>
                <w:webHidden/>
                <w:color w:val="000000" w:themeColor="text1"/>
              </w:rPr>
              <w:fldChar w:fldCharType="end"/>
            </w:r>
          </w:hyperlink>
        </w:p>
        <w:p w14:paraId="17D919E4" w14:textId="684FE9EF" w:rsidR="008D7BA2" w:rsidRPr="008A3EBA" w:rsidRDefault="008D7BA2">
          <w:pPr>
            <w:pStyle w:val="TOC1"/>
            <w:tabs>
              <w:tab w:val="right" w:leader="dot" w:pos="9016"/>
            </w:tabs>
            <w:rPr>
              <w:rFonts w:asciiTheme="minorHAnsi" w:eastAsiaTheme="minorEastAsia" w:hAnsiTheme="minorHAnsi" w:cstheme="minorBidi"/>
              <w:noProof/>
              <w:color w:val="000000" w:themeColor="text1"/>
              <w:lang w:val="en-GB" w:eastAsia="en-GB"/>
            </w:rPr>
          </w:pPr>
          <w:hyperlink w:anchor="_Toc228193474" w:history="1">
            <w:r w:rsidRPr="008A3EBA">
              <w:rPr>
                <w:rStyle w:val="Hyperlink"/>
                <w:noProof/>
                <w:color w:val="000000" w:themeColor="text1"/>
                <w:lang w:val="en-GB"/>
              </w:rPr>
              <w:t>References</w:t>
            </w:r>
            <w:r w:rsidRPr="008A3EBA">
              <w:rPr>
                <w:noProof/>
                <w:webHidden/>
                <w:color w:val="000000" w:themeColor="text1"/>
              </w:rPr>
              <w:tab/>
            </w:r>
            <w:r w:rsidRPr="008A3EBA">
              <w:rPr>
                <w:noProof/>
                <w:webHidden/>
                <w:color w:val="000000" w:themeColor="text1"/>
              </w:rPr>
              <w:fldChar w:fldCharType="begin"/>
            </w:r>
            <w:r w:rsidRPr="008A3EBA">
              <w:rPr>
                <w:noProof/>
                <w:webHidden/>
                <w:color w:val="000000" w:themeColor="text1"/>
              </w:rPr>
              <w:instrText xml:space="preserve"> PAGEREF _Toc228193474 \h </w:instrText>
            </w:r>
            <w:r w:rsidRPr="008A3EBA">
              <w:rPr>
                <w:noProof/>
                <w:webHidden/>
                <w:color w:val="000000" w:themeColor="text1"/>
              </w:rPr>
            </w:r>
            <w:r w:rsidRPr="008A3EBA">
              <w:rPr>
                <w:noProof/>
                <w:webHidden/>
                <w:color w:val="000000" w:themeColor="text1"/>
              </w:rPr>
              <w:fldChar w:fldCharType="separate"/>
            </w:r>
            <w:r w:rsidR="009716B5">
              <w:rPr>
                <w:noProof/>
                <w:webHidden/>
                <w:color w:val="000000" w:themeColor="text1"/>
              </w:rPr>
              <w:t>12</w:t>
            </w:r>
            <w:r w:rsidRPr="008A3EBA">
              <w:rPr>
                <w:noProof/>
                <w:webHidden/>
                <w:color w:val="000000" w:themeColor="text1"/>
              </w:rPr>
              <w:fldChar w:fldCharType="end"/>
            </w:r>
          </w:hyperlink>
        </w:p>
        <w:p w14:paraId="0707B2D5" w14:textId="7EC2F15A" w:rsidR="00F72AB2" w:rsidRPr="008A3EBA" w:rsidRDefault="00F72AB2">
          <w:pPr>
            <w:rPr>
              <w:color w:val="000000" w:themeColor="text1"/>
              <w:lang w:val="en-GB"/>
            </w:rPr>
          </w:pPr>
          <w:r w:rsidRPr="008A3EBA">
            <w:rPr>
              <w:b/>
              <w:bCs/>
              <w:noProof/>
              <w:color w:val="000000" w:themeColor="text1"/>
              <w:lang w:val="en-GB"/>
            </w:rPr>
            <w:fldChar w:fldCharType="end"/>
          </w:r>
        </w:p>
      </w:sdtContent>
    </w:sdt>
    <w:p w14:paraId="19E48017" w14:textId="77777777" w:rsidR="004B096A" w:rsidRPr="008A3EBA" w:rsidRDefault="00EA3CBE">
      <w:pPr>
        <w:rPr>
          <w:color w:val="000000" w:themeColor="text1"/>
          <w:lang w:val="en-GB"/>
        </w:rPr>
      </w:pPr>
      <w:r w:rsidRPr="008A3EBA">
        <w:rPr>
          <w:color w:val="000000" w:themeColor="text1"/>
          <w:lang w:val="en-GB"/>
        </w:rPr>
        <w:br w:type="page"/>
      </w:r>
    </w:p>
    <w:p w14:paraId="6E12A022" w14:textId="77777777" w:rsidR="004B096A" w:rsidRPr="008A3EBA" w:rsidRDefault="00EA3CBE">
      <w:pPr>
        <w:pStyle w:val="Heading1"/>
        <w:rPr>
          <w:color w:val="000000" w:themeColor="text1"/>
          <w:lang w:val="en-GB"/>
        </w:rPr>
      </w:pPr>
      <w:bookmarkStart w:id="0" w:name="_qk3hh1n6ed53" w:colFirst="0" w:colLast="0"/>
      <w:bookmarkStart w:id="1" w:name="_Toc228193457"/>
      <w:bookmarkEnd w:id="0"/>
      <w:r w:rsidRPr="008A3EBA">
        <w:rPr>
          <w:color w:val="000000" w:themeColor="text1"/>
          <w:lang w:val="en-GB"/>
        </w:rPr>
        <w:lastRenderedPageBreak/>
        <w:t>Task 1: Social Epidemiological Analysis (Gender &amp; Health Inequalities)</w:t>
      </w:r>
      <w:bookmarkEnd w:id="1"/>
    </w:p>
    <w:p w14:paraId="5B9637E1" w14:textId="77777777" w:rsidR="004B096A" w:rsidRPr="008A3EBA" w:rsidRDefault="00EA3CBE">
      <w:pPr>
        <w:pStyle w:val="Heading2"/>
        <w:keepNext w:val="0"/>
        <w:keepLines w:val="0"/>
        <w:rPr>
          <w:color w:val="000000" w:themeColor="text1"/>
          <w:sz w:val="26"/>
          <w:szCs w:val="26"/>
          <w:lang w:val="en-GB"/>
        </w:rPr>
      </w:pPr>
      <w:bookmarkStart w:id="2" w:name="_vlttb6qvu7ii" w:colFirst="0" w:colLast="0"/>
      <w:bookmarkStart w:id="3" w:name="_Toc228193458"/>
      <w:bookmarkEnd w:id="2"/>
      <w:r w:rsidRPr="008A3EBA">
        <w:rPr>
          <w:color w:val="000000" w:themeColor="text1"/>
          <w:sz w:val="26"/>
          <w:szCs w:val="26"/>
          <w:lang w:val="en-GB"/>
        </w:rPr>
        <w:t>Introduction</w:t>
      </w:r>
      <w:bookmarkEnd w:id="3"/>
    </w:p>
    <w:p w14:paraId="2CEA9293" w14:textId="549564C1" w:rsidR="004B096A" w:rsidRPr="008A3EBA" w:rsidRDefault="00EA3CBE">
      <w:pPr>
        <w:rPr>
          <w:color w:val="000000" w:themeColor="text1"/>
          <w:lang w:val="en-GB"/>
        </w:rPr>
      </w:pPr>
      <w:r w:rsidRPr="008A3EBA">
        <w:rPr>
          <w:color w:val="000000" w:themeColor="text1"/>
          <w:lang w:val="en-GB"/>
        </w:rPr>
        <w:t xml:space="preserve">Gender is a key health-related factor, influencing resource allocation, vulnerability, and quality of life. Biological, socio-cultural and discriminatory factors contribute to health inequalities among men, women, and gender‑diverse people. Women disproportionately experience inequality in reproductive, mental, cardiovascular disease and chronic disease, while men have greater mortality from heart disease and occupational injuries. </w:t>
      </w:r>
      <w:r w:rsidR="00EE3D62" w:rsidRPr="008A3EBA">
        <w:rPr>
          <w:color w:val="000000" w:themeColor="text1"/>
        </w:rPr>
        <w:t xml:space="preserve">This report focuses specifically on gender as a determinant of health inequality in the UK, highlighting how women and gender minorities are disproportionately affected due to structural, social, and biological factors. </w:t>
      </w:r>
      <w:r w:rsidRPr="008A3EBA">
        <w:rPr>
          <w:color w:val="000000" w:themeColor="text1"/>
          <w:lang w:val="en-GB"/>
        </w:rPr>
        <w:t>Gender minorities face health discrimination and stigma. Such disparities are influenced by broader social factors including poverty, education and cultural norms, and so are a key focus for public health.</w:t>
      </w:r>
    </w:p>
    <w:p w14:paraId="3E05D118" w14:textId="77777777" w:rsidR="004B096A" w:rsidRPr="008A3EBA" w:rsidRDefault="00EA3CBE" w:rsidP="008D7BA2">
      <w:pPr>
        <w:pStyle w:val="Heading2"/>
        <w:keepNext w:val="0"/>
        <w:keepLines w:val="0"/>
        <w:rPr>
          <w:color w:val="000000" w:themeColor="text1"/>
          <w:sz w:val="26"/>
          <w:szCs w:val="26"/>
          <w:lang w:val="en-GB"/>
        </w:rPr>
      </w:pPr>
      <w:bookmarkStart w:id="4" w:name="_uffhvyxx6ibt" w:colFirst="0" w:colLast="0"/>
      <w:bookmarkStart w:id="5" w:name="_Toc228193459"/>
      <w:bookmarkEnd w:id="4"/>
      <w:r w:rsidRPr="008A3EBA">
        <w:rPr>
          <w:color w:val="000000" w:themeColor="text1"/>
          <w:sz w:val="26"/>
          <w:szCs w:val="26"/>
          <w:lang w:val="en-GB"/>
        </w:rPr>
        <w:t>Disease/Illness Issues</w:t>
      </w:r>
      <w:bookmarkEnd w:id="5"/>
    </w:p>
    <w:p w14:paraId="00334856" w14:textId="77777777" w:rsidR="004B096A" w:rsidRPr="008A3EBA" w:rsidRDefault="00EA3CBE">
      <w:pPr>
        <w:spacing w:before="280"/>
        <w:rPr>
          <w:b/>
          <w:bCs/>
          <w:color w:val="000000" w:themeColor="text1"/>
          <w:lang w:val="en-GB"/>
        </w:rPr>
      </w:pPr>
      <w:r w:rsidRPr="008A3EBA">
        <w:rPr>
          <w:b/>
          <w:bCs/>
          <w:color w:val="000000" w:themeColor="text1"/>
          <w:lang w:val="en-GB"/>
        </w:rPr>
        <w:t>1. Higher Rates of Mental Health Disorders</w:t>
      </w:r>
    </w:p>
    <w:p w14:paraId="4A6AAAB6" w14:textId="423D93DA" w:rsidR="004B096A" w:rsidRPr="008A3EBA" w:rsidRDefault="00EA3CBE">
      <w:pPr>
        <w:rPr>
          <w:color w:val="000000" w:themeColor="text1"/>
          <w:lang w:val="en-GB"/>
        </w:rPr>
      </w:pPr>
      <w:r w:rsidRPr="008A3EBA">
        <w:rPr>
          <w:color w:val="000000" w:themeColor="text1"/>
          <w:lang w:val="en-GB"/>
        </w:rPr>
        <w:t xml:space="preserve">Gender is also an important element in mental health. Depression and anxiety are nearly twice as common in women as men, and are often linked to social pressures, caregiving responsibilities and gender‑based violence (Delgado-Herrera </w:t>
      </w:r>
      <w:r w:rsidRPr="008A3EBA">
        <w:rPr>
          <w:i/>
          <w:iCs/>
          <w:color w:val="000000" w:themeColor="text1"/>
          <w:lang w:val="en-GB"/>
        </w:rPr>
        <w:t>et al</w:t>
      </w:r>
      <w:r w:rsidR="00856631" w:rsidRPr="008A3EBA">
        <w:rPr>
          <w:i/>
          <w:iCs/>
          <w:color w:val="000000" w:themeColor="text1"/>
          <w:lang w:val="en-GB"/>
        </w:rPr>
        <w:t>.</w:t>
      </w:r>
      <w:proofErr w:type="gramStart"/>
      <w:r w:rsidR="00856631" w:rsidRPr="008A3EBA">
        <w:rPr>
          <w:i/>
          <w:iCs/>
          <w:color w:val="000000" w:themeColor="text1"/>
          <w:lang w:val="en-GB"/>
        </w:rPr>
        <w:t>,</w:t>
      </w:r>
      <w:r w:rsidR="00856631" w:rsidRPr="008A3EBA">
        <w:rPr>
          <w:color w:val="000000" w:themeColor="text1"/>
          <w:lang w:val="en-GB"/>
        </w:rPr>
        <w:t xml:space="preserve"> </w:t>
      </w:r>
      <w:r w:rsidRPr="008A3EBA">
        <w:rPr>
          <w:color w:val="000000" w:themeColor="text1"/>
          <w:lang w:val="en-GB"/>
        </w:rPr>
        <w:t xml:space="preserve"> 2024</w:t>
      </w:r>
      <w:proofErr w:type="gramEnd"/>
      <w:r w:rsidRPr="008A3EBA">
        <w:rPr>
          <w:color w:val="000000" w:themeColor="text1"/>
          <w:lang w:val="en-GB"/>
        </w:rPr>
        <w:t xml:space="preserve">). However, suicide rates are higher in men, influenced by help‑seeking stigma and gender stereotypes. Gender minorities are at higher risk of depression and self‑harm due to discrimination and marginalisation. NHS Digital shows that women have a greater prevalence of common mental disorders (CMDs), while men make up three‑quarters of suicides in the UK. </w:t>
      </w:r>
      <w:r w:rsidR="00EE3D62" w:rsidRPr="008A3EBA">
        <w:rPr>
          <w:color w:val="000000" w:themeColor="text1"/>
        </w:rPr>
        <w:t>These inequalities exist due to gendered social roles, unpaid care burden, and under-recognition of male mental health needs, demonstrating systemic gaps in mental health services and policy response.</w:t>
      </w:r>
    </w:p>
    <w:p w14:paraId="7923ED0B" w14:textId="77777777" w:rsidR="004B096A" w:rsidRPr="008A3EBA" w:rsidRDefault="00EA3CBE">
      <w:pPr>
        <w:spacing w:before="280"/>
        <w:rPr>
          <w:b/>
          <w:bCs/>
          <w:color w:val="000000" w:themeColor="text1"/>
          <w:lang w:val="en-GB"/>
        </w:rPr>
      </w:pPr>
      <w:r w:rsidRPr="008A3EBA">
        <w:rPr>
          <w:b/>
          <w:bCs/>
          <w:color w:val="000000" w:themeColor="text1"/>
          <w:lang w:val="en-GB"/>
        </w:rPr>
        <w:t>2. Gender Disparities in Cardiovascular Disease</w:t>
      </w:r>
    </w:p>
    <w:p w14:paraId="7249C0EB" w14:textId="2B75E6C1" w:rsidR="004B096A" w:rsidRPr="008A3EBA" w:rsidRDefault="00EA3CBE">
      <w:pPr>
        <w:rPr>
          <w:b/>
          <w:bCs/>
          <w:color w:val="000000" w:themeColor="text1"/>
          <w:lang w:val="en-GB"/>
        </w:rPr>
      </w:pPr>
      <w:r w:rsidRPr="008A3EBA">
        <w:rPr>
          <w:color w:val="000000" w:themeColor="text1"/>
          <w:lang w:val="en-GB"/>
        </w:rPr>
        <w:t xml:space="preserve">Cardiovascular disease (CVD) is the world's leading cause of death, but there are significant gender disparities in prevalence, diagnosis and treatment. Coronary heart disease occurs earlier in men than women, and women are more likely to report atypical symptoms, resulting in misdiagnosis and poorer health outcomes (Sawan </w:t>
      </w:r>
      <w:r w:rsidRPr="008A3EBA">
        <w:rPr>
          <w:i/>
          <w:iCs/>
          <w:color w:val="000000" w:themeColor="text1"/>
          <w:lang w:val="en-GB"/>
        </w:rPr>
        <w:t>et al</w:t>
      </w:r>
      <w:r w:rsidRPr="008A3EBA">
        <w:rPr>
          <w:color w:val="000000" w:themeColor="text1"/>
          <w:lang w:val="en-GB"/>
        </w:rPr>
        <w:t xml:space="preserve">. 2023). Research indicates women are less likely to have timely procedures like angioplasty or bypass. In the United Kingdom, </w:t>
      </w:r>
      <w:r w:rsidRPr="008A3EBA">
        <w:rPr>
          <w:color w:val="000000" w:themeColor="text1"/>
          <w:lang w:val="en-GB"/>
        </w:rPr>
        <w:lastRenderedPageBreak/>
        <w:t xml:space="preserve">the British Heart Foundation states women are 50% more likely to be misdiagnosed in the event of a heart attack (BHF, 2026). Biological differences and gender bias in health-care play a role. </w:t>
      </w:r>
      <w:r w:rsidR="00EE3D62" w:rsidRPr="008A3EBA">
        <w:rPr>
          <w:color w:val="000000" w:themeColor="text1"/>
        </w:rPr>
        <w:t xml:space="preserve">This reflects a systemic bias in clinical research and healthcare delivery, where male symptoms are often </w:t>
      </w:r>
      <w:proofErr w:type="spellStart"/>
      <w:r w:rsidR="00EE3D62" w:rsidRPr="008A3EBA">
        <w:rPr>
          <w:color w:val="000000" w:themeColor="text1"/>
        </w:rPr>
        <w:t>prioritised</w:t>
      </w:r>
      <w:proofErr w:type="spellEnd"/>
      <w:r w:rsidR="00EE3D62" w:rsidRPr="008A3EBA">
        <w:rPr>
          <w:color w:val="000000" w:themeColor="text1"/>
        </w:rPr>
        <w:t xml:space="preserve">, leading to delayed diagnosis and poorer outcomes in women. </w:t>
      </w:r>
      <w:r w:rsidRPr="008A3EBA">
        <w:rPr>
          <w:color w:val="000000" w:themeColor="text1"/>
          <w:lang w:val="en-GB"/>
        </w:rPr>
        <w:t>Overcoming them firstly requires better training of health professionals, attention to gender specific research and preventative screening and treatment programs.</w:t>
      </w:r>
    </w:p>
    <w:p w14:paraId="127AF661" w14:textId="77777777" w:rsidR="004B096A" w:rsidRPr="008A3EBA" w:rsidRDefault="00EA3CBE">
      <w:pPr>
        <w:rPr>
          <w:b/>
          <w:bCs/>
          <w:color w:val="000000" w:themeColor="text1"/>
          <w:lang w:val="en-GB"/>
        </w:rPr>
      </w:pPr>
      <w:r w:rsidRPr="008A3EBA">
        <w:rPr>
          <w:b/>
          <w:bCs/>
          <w:color w:val="000000" w:themeColor="text1"/>
          <w:lang w:val="en-GB"/>
        </w:rPr>
        <w:t>3. Maternal Health and Reproductive Health Inequalities</w:t>
      </w:r>
    </w:p>
    <w:p w14:paraId="124A9639" w14:textId="16A095DF" w:rsidR="004B096A" w:rsidRPr="008A3EBA" w:rsidRDefault="00EA3CBE">
      <w:pPr>
        <w:rPr>
          <w:color w:val="000000" w:themeColor="text1"/>
          <w:lang w:val="en-GB"/>
        </w:rPr>
      </w:pPr>
      <w:r w:rsidRPr="008A3EBA">
        <w:rPr>
          <w:color w:val="000000" w:themeColor="text1"/>
          <w:lang w:val="en-GB"/>
        </w:rPr>
        <w:t xml:space="preserve">Gender inequalities in maternal health also remain. Every year 287,000 women worldwide lose their lives to pregnancy‑related complications, most of which could be prevented with timely, appropriate medical care (WHO, 2025). Maternal mortality rates in the UK are higher across the women from the ethnic minority groups exemplifying the intersecting racial and gender inequities. Class position relates for accessing reproductive health care involving fertility care and contraception. Reproductive autonomy is limited by the stigma and gender norms (Ouahid </w:t>
      </w:r>
      <w:r w:rsidRPr="008A3EBA">
        <w:rPr>
          <w:i/>
          <w:iCs/>
          <w:color w:val="000000" w:themeColor="text1"/>
          <w:lang w:val="en-GB"/>
        </w:rPr>
        <w:t>et al</w:t>
      </w:r>
      <w:r w:rsidRPr="008A3EBA">
        <w:rPr>
          <w:color w:val="000000" w:themeColor="text1"/>
          <w:lang w:val="en-GB"/>
        </w:rPr>
        <w:t xml:space="preserve">. 2026). The world health organisation (WHO) has identified preventable complications of pregnancy - such as pre‑eclampsia and postpartum haemorrhage - as major causes of maternal death. </w:t>
      </w:r>
      <w:r w:rsidR="00EE3D62" w:rsidRPr="008A3EBA">
        <w:rPr>
          <w:color w:val="000000" w:themeColor="text1"/>
        </w:rPr>
        <w:t xml:space="preserve">These disparities are further influenced by intersectionality, where ethnicity, socioeconomic status, and access to healthcare services amplify health risks among women. </w:t>
      </w:r>
      <w:r w:rsidRPr="008A3EBA">
        <w:rPr>
          <w:color w:val="000000" w:themeColor="text1"/>
          <w:lang w:val="en-GB"/>
        </w:rPr>
        <w:t>Addressing these disparities means investing in maternal health, providing culturally sensitive services, and ensuring all women have equal access to reproductive health care to protect women's rights, health and well-being.</w:t>
      </w:r>
    </w:p>
    <w:p w14:paraId="5271B7E9" w14:textId="77777777" w:rsidR="004B096A" w:rsidRPr="008A3EBA" w:rsidRDefault="00EA3CBE" w:rsidP="008D7BA2">
      <w:pPr>
        <w:pStyle w:val="Heading2"/>
        <w:keepNext w:val="0"/>
        <w:keepLines w:val="0"/>
        <w:rPr>
          <w:color w:val="000000" w:themeColor="text1"/>
          <w:sz w:val="26"/>
          <w:szCs w:val="26"/>
          <w:lang w:val="en-GB"/>
        </w:rPr>
      </w:pPr>
      <w:bookmarkStart w:id="6" w:name="_fxbxpiv8stsx" w:colFirst="0" w:colLast="0"/>
      <w:bookmarkStart w:id="7" w:name="_Toc228193460"/>
      <w:bookmarkEnd w:id="6"/>
      <w:r w:rsidRPr="008A3EBA">
        <w:rPr>
          <w:color w:val="000000" w:themeColor="text1"/>
          <w:sz w:val="26"/>
          <w:szCs w:val="26"/>
          <w:lang w:val="en-GB"/>
        </w:rPr>
        <w:t>Social Issues</w:t>
      </w:r>
      <w:bookmarkEnd w:id="7"/>
    </w:p>
    <w:p w14:paraId="6FA9501D" w14:textId="77777777" w:rsidR="004B096A" w:rsidRPr="008A3EBA" w:rsidRDefault="00EA3CBE">
      <w:pPr>
        <w:spacing w:before="280"/>
        <w:rPr>
          <w:b/>
          <w:bCs/>
          <w:color w:val="000000" w:themeColor="text1"/>
          <w:lang w:val="en-GB"/>
        </w:rPr>
      </w:pPr>
      <w:r w:rsidRPr="008A3EBA">
        <w:rPr>
          <w:b/>
          <w:bCs/>
          <w:color w:val="000000" w:themeColor="text1"/>
          <w:lang w:val="en-GB"/>
        </w:rPr>
        <w:t>1. Gender Pay Gap and Poverty</w:t>
      </w:r>
    </w:p>
    <w:p w14:paraId="4D736D02" w14:textId="77777777" w:rsidR="004B096A" w:rsidRPr="008A3EBA" w:rsidRDefault="00EA3CBE">
      <w:pPr>
        <w:rPr>
          <w:color w:val="000000" w:themeColor="text1"/>
          <w:lang w:val="en-GB"/>
        </w:rPr>
      </w:pPr>
      <w:r w:rsidRPr="008A3EBA">
        <w:rPr>
          <w:color w:val="000000" w:themeColor="text1"/>
          <w:lang w:val="en-GB"/>
        </w:rPr>
        <w:t>Economic inequality leads to health inequalities. The Office for National Statistics (ONS) reports UK women earn 14% less than men (ONS, 2025). The gender pay gap raises the risk of poverty, reducing access to nutritious food, adequate shelter and medical care. The situation is worsened for single mothers, who have a higher rate of poverty resulting in poor child health effects. Poverty worsens chronic health conditions, mental illness and longevity. Gender minorities also experience discrimination at work, fuelling inequality. To address this, there needs to be more equal pay laws, changes to workplaces and social security programs to help women and gender‑diverse people to reduce their poverty, which in turn will improve health equity.</w:t>
      </w:r>
    </w:p>
    <w:p w14:paraId="6029C4F5" w14:textId="77777777" w:rsidR="004B096A" w:rsidRPr="008A3EBA" w:rsidRDefault="00EA3CBE">
      <w:pPr>
        <w:spacing w:before="280"/>
        <w:rPr>
          <w:b/>
          <w:bCs/>
          <w:color w:val="000000" w:themeColor="text1"/>
          <w:lang w:val="en-GB"/>
        </w:rPr>
      </w:pPr>
      <w:r w:rsidRPr="008A3EBA">
        <w:rPr>
          <w:b/>
          <w:bCs/>
          <w:color w:val="000000" w:themeColor="text1"/>
          <w:lang w:val="en-GB"/>
        </w:rPr>
        <w:t>2. Access to Healthcare and Discrimination</w:t>
      </w:r>
    </w:p>
    <w:p w14:paraId="3D75E609" w14:textId="77777777" w:rsidR="004B096A" w:rsidRPr="008A3EBA" w:rsidRDefault="00EA3CBE">
      <w:pPr>
        <w:rPr>
          <w:color w:val="000000" w:themeColor="text1"/>
          <w:lang w:val="en-GB"/>
        </w:rPr>
      </w:pPr>
      <w:r w:rsidRPr="008A3EBA">
        <w:rPr>
          <w:color w:val="000000" w:themeColor="text1"/>
          <w:lang w:val="en-GB"/>
        </w:rPr>
        <w:lastRenderedPageBreak/>
        <w:t>Gender plays a role in access to health care. Women face obstacles accessing timely diagnosis and treatment, particularly for cardiovascular disease and pain diagnoses, whose symptoms are neglected or misdiagnosed. And men can be reluctant to seek care because of a fear of appearing vulnerable. Gender minorities face discrimination, including with trans and non‑binary people reporting poor access to healthcare and services. In a 2023 NHS survey, almost a fifth of LGBTQ+ people reported experiencing discrimination when accessing health care (NHS England, 2025). These disparities point to the need for inclusive policies and training for health care providers, and equitable service delivery, to ensure the diverse genders get the care they need.</w:t>
      </w:r>
    </w:p>
    <w:p w14:paraId="6F06CAD9" w14:textId="77777777" w:rsidR="004B096A" w:rsidRPr="008A3EBA" w:rsidRDefault="00EA3CBE">
      <w:pPr>
        <w:spacing w:before="280"/>
        <w:rPr>
          <w:b/>
          <w:bCs/>
          <w:color w:val="000000" w:themeColor="text1"/>
          <w:lang w:val="en-GB"/>
        </w:rPr>
      </w:pPr>
      <w:r w:rsidRPr="008A3EBA">
        <w:rPr>
          <w:b/>
          <w:bCs/>
          <w:color w:val="000000" w:themeColor="text1"/>
          <w:lang w:val="en-GB"/>
        </w:rPr>
        <w:t>3. Gender‑Based Violence and Social Exclusion</w:t>
      </w:r>
    </w:p>
    <w:p w14:paraId="72A0D007" w14:textId="77777777" w:rsidR="004B096A" w:rsidRPr="008A3EBA" w:rsidRDefault="00EA3CBE">
      <w:pPr>
        <w:rPr>
          <w:color w:val="000000" w:themeColor="text1"/>
          <w:lang w:val="en-GB"/>
        </w:rPr>
      </w:pPr>
      <w:r w:rsidRPr="008A3EBA">
        <w:rPr>
          <w:color w:val="000000" w:themeColor="text1"/>
          <w:lang w:val="en-GB"/>
        </w:rPr>
        <w:t>Gender‑based violence (GBV) is a social and public health problem. In fact, according to WHO, one in three women globally experience physical or sexual violence in their lifetime. In the UK, domestic abuse represents almost 20% of violent crime and has severe health effects (ONS, 2025). Victims can face social stigma and discrimination and difficulties accessing support. However, the gender minorities are disproportionately influenced by the trans individuals that report the high rates of assault and harassment. GBV contributes to long term health inequities involving trauma, chronic illness, and substance misuse. Identifying this requires multi sectoral interventions that involve the stronger protections, expanded support services and public awareness campaigns for promoting social inclusion and decreasing violence</w:t>
      </w:r>
    </w:p>
    <w:p w14:paraId="1E599DA6" w14:textId="77777777" w:rsidR="004B096A" w:rsidRPr="008A3EBA" w:rsidRDefault="00EA3CBE">
      <w:pPr>
        <w:pStyle w:val="Heading2"/>
        <w:keepNext w:val="0"/>
        <w:keepLines w:val="0"/>
        <w:rPr>
          <w:color w:val="000000" w:themeColor="text1"/>
          <w:sz w:val="26"/>
          <w:szCs w:val="26"/>
          <w:lang w:val="en-GB"/>
        </w:rPr>
      </w:pPr>
      <w:bookmarkStart w:id="8" w:name="_grgp4cjegato" w:colFirst="0" w:colLast="0"/>
      <w:bookmarkStart w:id="9" w:name="_Toc228193461"/>
      <w:bookmarkEnd w:id="8"/>
      <w:r w:rsidRPr="008A3EBA">
        <w:rPr>
          <w:color w:val="000000" w:themeColor="text1"/>
          <w:sz w:val="26"/>
          <w:szCs w:val="26"/>
          <w:lang w:val="en-GB"/>
        </w:rPr>
        <w:t>National Response to Reduce Inequalities</w:t>
      </w:r>
      <w:bookmarkEnd w:id="9"/>
    </w:p>
    <w:p w14:paraId="6F019B94" w14:textId="26EC205C" w:rsidR="004B096A" w:rsidRPr="008A3EBA" w:rsidRDefault="00EA3CBE">
      <w:pPr>
        <w:rPr>
          <w:color w:val="000000" w:themeColor="text1"/>
          <w:lang w:val="en-US"/>
        </w:rPr>
      </w:pPr>
      <w:r w:rsidRPr="008A3EBA">
        <w:rPr>
          <w:color w:val="000000" w:themeColor="text1"/>
          <w:lang w:val="en-GB"/>
        </w:rPr>
        <w:t xml:space="preserve">The Gender Equality Roadmap and the NHS Long Term Plan - the Core20PLUS5 framework - are two key UK national responses to mitigate gender health inequalities. These seek to address health inequality through improving access, care and outcomes, and tackling the social determinants of health. The Gender Equality Roadmap from the UK Government has measures to reduce the gender pay gap, promote workplace equality, and increase protection against gender‑related violence, addressing social determinants of health issues (GOV, 2026). Meanwhile, the NHS Long Term Plan has built-in health inequality reduction, taking a Core20PLUS5 approach to target vulnerable populations and ensure equal access to services, including in women's health (maternal health) and cardiovascular health (NHS England, 2026). </w:t>
      </w:r>
      <w:r w:rsidR="00EE3D62" w:rsidRPr="008A3EBA">
        <w:rPr>
          <w:color w:val="000000" w:themeColor="text1"/>
          <w:lang w:val="en-US"/>
        </w:rPr>
        <w:t xml:space="preserve">However, despite these policies, gaps remain in implementation, particularly in addressing intersectional inequalities and ensuring equal access for gender minorities. </w:t>
      </w:r>
      <w:r w:rsidRPr="008A3EBA">
        <w:rPr>
          <w:color w:val="000000" w:themeColor="text1"/>
          <w:lang w:val="en-GB"/>
        </w:rPr>
        <w:t>These measures are national approaches to address gender‑related health inequalities.</w:t>
      </w:r>
    </w:p>
    <w:p w14:paraId="2BBA7866" w14:textId="77777777" w:rsidR="004B096A" w:rsidRPr="008A3EBA" w:rsidRDefault="00EA3CBE">
      <w:pPr>
        <w:pStyle w:val="Heading2"/>
        <w:keepNext w:val="0"/>
        <w:keepLines w:val="0"/>
        <w:rPr>
          <w:color w:val="000000" w:themeColor="text1"/>
          <w:sz w:val="26"/>
          <w:szCs w:val="26"/>
          <w:lang w:val="en-GB"/>
        </w:rPr>
      </w:pPr>
      <w:bookmarkStart w:id="10" w:name="_dutsthn7e0lo" w:colFirst="0" w:colLast="0"/>
      <w:bookmarkStart w:id="11" w:name="_Toc228193462"/>
      <w:bookmarkEnd w:id="10"/>
      <w:r w:rsidRPr="008A3EBA">
        <w:rPr>
          <w:color w:val="000000" w:themeColor="text1"/>
          <w:sz w:val="26"/>
          <w:szCs w:val="26"/>
          <w:lang w:val="en-GB"/>
        </w:rPr>
        <w:lastRenderedPageBreak/>
        <w:t>Organisations Supporting Gender Equality</w:t>
      </w:r>
      <w:bookmarkEnd w:id="11"/>
    </w:p>
    <w:p w14:paraId="2BA9AFCE" w14:textId="2B62BB9F" w:rsidR="004B096A" w:rsidRPr="008A3EBA" w:rsidRDefault="00EA3CBE">
      <w:pPr>
        <w:rPr>
          <w:color w:val="000000" w:themeColor="text1"/>
          <w:lang w:val="en-GB"/>
        </w:rPr>
      </w:pPr>
      <w:r w:rsidRPr="008A3EBA">
        <w:rPr>
          <w:color w:val="000000" w:themeColor="text1"/>
          <w:lang w:val="en-GB"/>
        </w:rPr>
        <w:t>Not‑for‑profits like Women's Health Concern are key to reducing gender health inequalities. They offer evidence‑based and vetted resources, advocacy, and support, increasing awareness of women's health concerns, advocating for equitable access to health care, and influencing policy.</w:t>
      </w:r>
      <w:r w:rsidR="00EE3D62" w:rsidRPr="008A3EBA">
        <w:rPr>
          <w:color w:val="000000" w:themeColor="text1"/>
          <w:lang w:val="en-GB"/>
        </w:rPr>
        <w:t xml:space="preserve"> </w:t>
      </w:r>
      <w:r w:rsidR="00EE3D62" w:rsidRPr="008A3EBA">
        <w:rPr>
          <w:color w:val="000000" w:themeColor="text1"/>
        </w:rPr>
        <w:t xml:space="preserve">The </w:t>
      </w:r>
      <w:proofErr w:type="spellStart"/>
      <w:r w:rsidR="00EE3D62" w:rsidRPr="008A3EBA">
        <w:rPr>
          <w:color w:val="000000" w:themeColor="text1"/>
        </w:rPr>
        <w:t>organisation</w:t>
      </w:r>
      <w:proofErr w:type="spellEnd"/>
      <w:r w:rsidR="00EE3D62" w:rsidRPr="008A3EBA">
        <w:rPr>
          <w:color w:val="000000" w:themeColor="text1"/>
        </w:rPr>
        <w:t xml:space="preserve"> also plays a key role in research, policy advocacy, and public education, aiming to reduce gender health inequalities and improve access to healthcare services.</w:t>
      </w:r>
    </w:p>
    <w:p w14:paraId="27CA4801" w14:textId="77777777" w:rsidR="004B096A" w:rsidRPr="008A3EBA" w:rsidRDefault="00EA3CBE">
      <w:pPr>
        <w:pStyle w:val="Heading2"/>
        <w:keepNext w:val="0"/>
        <w:keepLines w:val="0"/>
        <w:rPr>
          <w:color w:val="000000" w:themeColor="text1"/>
          <w:sz w:val="26"/>
          <w:szCs w:val="26"/>
          <w:lang w:val="en-GB"/>
        </w:rPr>
      </w:pPr>
      <w:bookmarkStart w:id="12" w:name="_el1lngruji8" w:colFirst="0" w:colLast="0"/>
      <w:bookmarkStart w:id="13" w:name="_Toc228193463"/>
      <w:bookmarkEnd w:id="12"/>
      <w:r w:rsidRPr="008A3EBA">
        <w:rPr>
          <w:color w:val="000000" w:themeColor="text1"/>
          <w:sz w:val="26"/>
          <w:szCs w:val="26"/>
          <w:lang w:val="en-GB"/>
        </w:rPr>
        <w:t>Conclusion &amp; Recommendations</w:t>
      </w:r>
      <w:bookmarkEnd w:id="13"/>
    </w:p>
    <w:p w14:paraId="163923DC" w14:textId="5DA70420" w:rsidR="004B096A" w:rsidRPr="008A3EBA" w:rsidRDefault="00EE3D62">
      <w:pPr>
        <w:rPr>
          <w:color w:val="000000" w:themeColor="text1"/>
          <w:lang w:val="en-US"/>
        </w:rPr>
      </w:pPr>
      <w:r w:rsidRPr="008A3EBA">
        <w:rPr>
          <w:color w:val="000000" w:themeColor="text1"/>
          <w:lang w:val="en-US"/>
        </w:rPr>
        <w:t>A multi-sectoral approach involving policy reform, healthcare improvement, and social change is essential to effectively reduce gender-based health inequalities</w:t>
      </w:r>
      <w:r w:rsidR="00EA3CBE" w:rsidRPr="008A3EBA">
        <w:rPr>
          <w:color w:val="000000" w:themeColor="text1"/>
          <w:lang w:val="en-GB"/>
        </w:rPr>
        <w:t>.</w:t>
      </w:r>
    </w:p>
    <w:p w14:paraId="29216C11" w14:textId="77777777" w:rsidR="004B096A" w:rsidRPr="008A3EBA" w:rsidRDefault="00EA3CBE">
      <w:pPr>
        <w:pStyle w:val="Heading1"/>
        <w:keepNext w:val="0"/>
        <w:keepLines w:val="0"/>
        <w:spacing w:before="280"/>
        <w:rPr>
          <w:color w:val="000000" w:themeColor="text1"/>
          <w:lang w:val="en-GB"/>
        </w:rPr>
      </w:pPr>
      <w:bookmarkStart w:id="14" w:name="_5gzbqwt9gc6w" w:colFirst="0" w:colLast="0"/>
      <w:bookmarkStart w:id="15" w:name="_Toc228193464"/>
      <w:bookmarkEnd w:id="14"/>
      <w:r w:rsidRPr="008A3EBA">
        <w:rPr>
          <w:color w:val="000000" w:themeColor="text1"/>
          <w:lang w:val="en-GB"/>
        </w:rPr>
        <w:t>Task 2: Epidemiological Analysis (Gender &amp; Health Inequalities)</w:t>
      </w:r>
      <w:bookmarkEnd w:id="15"/>
    </w:p>
    <w:p w14:paraId="023B840C" w14:textId="77777777" w:rsidR="004B096A" w:rsidRPr="008A3EBA" w:rsidRDefault="00EA3CBE" w:rsidP="008D7BA2">
      <w:pPr>
        <w:pStyle w:val="Heading2"/>
        <w:keepNext w:val="0"/>
        <w:keepLines w:val="0"/>
        <w:rPr>
          <w:color w:val="000000" w:themeColor="text1"/>
          <w:sz w:val="26"/>
          <w:szCs w:val="26"/>
          <w:lang w:val="en-GB"/>
        </w:rPr>
      </w:pPr>
      <w:bookmarkStart w:id="16" w:name="_11ujr7pl148r" w:colFirst="0" w:colLast="0"/>
      <w:bookmarkStart w:id="17" w:name="_Toc228193465"/>
      <w:bookmarkEnd w:id="16"/>
      <w:r w:rsidRPr="008A3EBA">
        <w:rPr>
          <w:color w:val="000000" w:themeColor="text1"/>
          <w:sz w:val="26"/>
          <w:szCs w:val="26"/>
          <w:lang w:val="en-GB"/>
        </w:rPr>
        <w:t>Introduction</w:t>
      </w:r>
      <w:bookmarkEnd w:id="17"/>
    </w:p>
    <w:p w14:paraId="404578DB" w14:textId="302F44BF" w:rsidR="004B096A" w:rsidRPr="008A3EBA" w:rsidRDefault="00396807">
      <w:pPr>
        <w:rPr>
          <w:color w:val="000000" w:themeColor="text1"/>
          <w:lang w:val="en-US"/>
        </w:rPr>
      </w:pPr>
      <w:r w:rsidRPr="008A3EBA">
        <w:rPr>
          <w:color w:val="000000" w:themeColor="text1"/>
        </w:rPr>
        <w:t xml:space="preserve">This report focuses on gender differences in cardiovascular disease (CVD) as a major public health issue in the UK. </w:t>
      </w:r>
      <w:r w:rsidR="00EA3CBE" w:rsidRPr="008A3EBA">
        <w:rPr>
          <w:color w:val="000000" w:themeColor="text1"/>
          <w:lang w:val="en-GB"/>
        </w:rPr>
        <w:t xml:space="preserve">Gender health inequality is a significant public health issue, influenced by biological, socioeconomic and discrimination. Women experience greater burdens of reproductive health issues and men have higher rates of death from heart disease and suicide. Gender minorities face discrimination and stigma, underpinning poorer health. </w:t>
      </w:r>
      <w:r w:rsidRPr="008A3EBA">
        <w:rPr>
          <w:color w:val="000000" w:themeColor="text1"/>
          <w:lang w:val="en-US"/>
        </w:rPr>
        <w:t xml:space="preserve">In the UK, cardiovascular disease accounts for approximately 27% of all deaths, with men affected at earlier ages while women experience higher mortality due to delayed diagnosis (BHF, 2026). </w:t>
      </w:r>
      <w:r w:rsidR="00EA3CBE" w:rsidRPr="008A3EBA">
        <w:rPr>
          <w:color w:val="000000" w:themeColor="text1"/>
          <w:lang w:val="en-GB"/>
        </w:rPr>
        <w:t>The WHO reports that gender differences permeate unequal access to health care and resources. In the UK, the Office for National Statistics reveals inequalities in life expectancy, mental health and maternal death. This suggests a need for epidemiological investigation and intervention.</w:t>
      </w:r>
    </w:p>
    <w:p w14:paraId="443A41C0" w14:textId="77777777" w:rsidR="004B096A" w:rsidRPr="008A3EBA" w:rsidRDefault="00EA3CBE">
      <w:pPr>
        <w:pStyle w:val="Heading2"/>
        <w:keepNext w:val="0"/>
        <w:keepLines w:val="0"/>
        <w:rPr>
          <w:color w:val="000000" w:themeColor="text1"/>
          <w:sz w:val="26"/>
          <w:szCs w:val="26"/>
          <w:lang w:val="en-GB"/>
        </w:rPr>
      </w:pPr>
      <w:bookmarkStart w:id="18" w:name="_4vby20d07swa" w:colFirst="0" w:colLast="0"/>
      <w:bookmarkStart w:id="19" w:name="_Toc228193466"/>
      <w:bookmarkEnd w:id="18"/>
      <w:r w:rsidRPr="008A3EBA">
        <w:rPr>
          <w:color w:val="000000" w:themeColor="text1"/>
          <w:sz w:val="26"/>
          <w:szCs w:val="26"/>
          <w:lang w:val="en-GB"/>
        </w:rPr>
        <w:t>Public Health Measures (3Ps: Protection, Prevention, Promotion)</w:t>
      </w:r>
      <w:bookmarkEnd w:id="19"/>
    </w:p>
    <w:p w14:paraId="09F94B94" w14:textId="77777777" w:rsidR="004B096A" w:rsidRPr="008A3EBA" w:rsidRDefault="00EA3CBE">
      <w:pPr>
        <w:rPr>
          <w:color w:val="000000" w:themeColor="text1"/>
          <w:lang w:val="en-GB"/>
        </w:rPr>
      </w:pPr>
      <w:r w:rsidRPr="008A3EBA">
        <w:rPr>
          <w:color w:val="000000" w:themeColor="text1"/>
          <w:lang w:val="en-GB"/>
        </w:rPr>
        <w:t>Public health strategies to tackle gender health inequalities involve the 3Ps: Protection, Prevention and Promotion.</w:t>
      </w:r>
    </w:p>
    <w:p w14:paraId="3BD524AA" w14:textId="7C016FBA" w:rsidR="004B096A" w:rsidRPr="008A3EBA" w:rsidRDefault="00EA3CBE">
      <w:pPr>
        <w:rPr>
          <w:color w:val="000000" w:themeColor="text1"/>
          <w:lang w:val="en-GB"/>
        </w:rPr>
      </w:pPr>
      <w:r w:rsidRPr="008A3EBA">
        <w:rPr>
          <w:color w:val="000000" w:themeColor="text1"/>
          <w:lang w:val="en-GB"/>
        </w:rPr>
        <w:t xml:space="preserve">Protection includes protecting marginalised groups from discrimination and disadvantage. Protective laws in the UK include the Equality Act 2010, which prohibits discrimination in health care, workplaces, and education (Hussain </w:t>
      </w:r>
      <w:r w:rsidRPr="008A3EBA">
        <w:rPr>
          <w:i/>
          <w:iCs/>
          <w:color w:val="000000" w:themeColor="text1"/>
          <w:lang w:val="en-GB"/>
        </w:rPr>
        <w:t>et al</w:t>
      </w:r>
      <w:r w:rsidR="00856631" w:rsidRPr="008A3EBA">
        <w:rPr>
          <w:i/>
          <w:iCs/>
          <w:color w:val="000000" w:themeColor="text1"/>
          <w:lang w:val="en-GB"/>
        </w:rPr>
        <w:t>.</w:t>
      </w:r>
      <w:r w:rsidR="00BF65CB" w:rsidRPr="008A3EBA">
        <w:rPr>
          <w:i/>
          <w:iCs/>
          <w:color w:val="000000" w:themeColor="text1"/>
          <w:lang w:val="en-GB"/>
        </w:rPr>
        <w:t>,</w:t>
      </w:r>
      <w:r w:rsidR="00BF65CB" w:rsidRPr="008A3EBA">
        <w:rPr>
          <w:color w:val="000000" w:themeColor="text1"/>
          <w:lang w:val="en-GB"/>
        </w:rPr>
        <w:t xml:space="preserve"> 2022</w:t>
      </w:r>
      <w:r w:rsidRPr="008A3EBA">
        <w:rPr>
          <w:color w:val="000000" w:themeColor="text1"/>
          <w:lang w:val="en-GB"/>
        </w:rPr>
        <w:t xml:space="preserve">). Protection also includes measures to </w:t>
      </w:r>
      <w:r w:rsidRPr="008A3EBA">
        <w:rPr>
          <w:color w:val="000000" w:themeColor="text1"/>
          <w:lang w:val="en-GB"/>
        </w:rPr>
        <w:lastRenderedPageBreak/>
        <w:t>protect women from gender‑based violence, including domestic violence and support. These measures mitigate immediate health dangers and promote safer contexts for health promotion.</w:t>
      </w:r>
    </w:p>
    <w:p w14:paraId="7AEC5490" w14:textId="308A7074" w:rsidR="004B096A" w:rsidRPr="008A3EBA" w:rsidRDefault="00EA3CBE">
      <w:pPr>
        <w:rPr>
          <w:color w:val="000000" w:themeColor="text1"/>
          <w:lang w:val="en-GB"/>
        </w:rPr>
      </w:pPr>
      <w:r w:rsidRPr="008A3EBA">
        <w:rPr>
          <w:color w:val="000000" w:themeColor="text1"/>
          <w:lang w:val="en-GB"/>
        </w:rPr>
        <w:t xml:space="preserve">Prevention aims to prevent the occurrence of gender‑related health issues (Cataldo </w:t>
      </w:r>
      <w:r w:rsidRPr="008A3EBA">
        <w:rPr>
          <w:i/>
          <w:iCs/>
          <w:color w:val="000000" w:themeColor="text1"/>
          <w:lang w:val="en-GB"/>
        </w:rPr>
        <w:t>et al.</w:t>
      </w:r>
      <w:r w:rsidR="00856631" w:rsidRPr="008A3EBA">
        <w:rPr>
          <w:i/>
          <w:iCs/>
          <w:color w:val="000000" w:themeColor="text1"/>
          <w:lang w:val="en-GB"/>
        </w:rPr>
        <w:t>,</w:t>
      </w:r>
      <w:r w:rsidR="00856631" w:rsidRPr="008A3EBA">
        <w:rPr>
          <w:color w:val="000000" w:themeColor="text1"/>
          <w:lang w:val="en-GB"/>
        </w:rPr>
        <w:t xml:space="preserve"> </w:t>
      </w:r>
      <w:r w:rsidRPr="008A3EBA">
        <w:rPr>
          <w:color w:val="000000" w:themeColor="text1"/>
          <w:lang w:val="en-GB"/>
        </w:rPr>
        <w:t xml:space="preserve">2023). Prevention measures range from cervical and breast cancer screening, to gender‑specific cardiovascular risk assessments and suicide prevention for men. Prevention also includes sexual health care, including access to birth control and antenatal care (Davidson </w:t>
      </w:r>
      <w:r w:rsidRPr="008A3EBA">
        <w:rPr>
          <w:i/>
          <w:iCs/>
          <w:color w:val="000000" w:themeColor="text1"/>
          <w:lang w:val="en-GB"/>
        </w:rPr>
        <w:t>et al</w:t>
      </w:r>
      <w:r w:rsidR="00856631" w:rsidRPr="008A3EBA">
        <w:rPr>
          <w:i/>
          <w:iCs/>
          <w:color w:val="000000" w:themeColor="text1"/>
          <w:lang w:val="en-GB"/>
        </w:rPr>
        <w:t>.</w:t>
      </w:r>
      <w:r w:rsidR="00502921" w:rsidRPr="008A3EBA">
        <w:rPr>
          <w:i/>
          <w:iCs/>
          <w:color w:val="000000" w:themeColor="text1"/>
          <w:lang w:val="en-GB"/>
        </w:rPr>
        <w:t>,</w:t>
      </w:r>
      <w:r w:rsidR="00502921" w:rsidRPr="008A3EBA">
        <w:rPr>
          <w:color w:val="000000" w:themeColor="text1"/>
          <w:lang w:val="en-GB"/>
        </w:rPr>
        <w:t xml:space="preserve"> 2022</w:t>
      </w:r>
      <w:r w:rsidRPr="008A3EBA">
        <w:rPr>
          <w:color w:val="000000" w:themeColor="text1"/>
          <w:lang w:val="en-GB"/>
        </w:rPr>
        <w:t>). Early intervention on risk factors not only lowers health burdens, but reduces health inequalities.</w:t>
      </w:r>
    </w:p>
    <w:p w14:paraId="57750B1A" w14:textId="77777777" w:rsidR="004B096A" w:rsidRPr="008A3EBA" w:rsidRDefault="00EA3CBE">
      <w:pPr>
        <w:rPr>
          <w:color w:val="000000" w:themeColor="text1"/>
          <w:lang w:val="en-GB"/>
        </w:rPr>
      </w:pPr>
      <w:r w:rsidRPr="008A3EBA">
        <w:rPr>
          <w:color w:val="000000" w:themeColor="text1"/>
          <w:lang w:val="en-GB"/>
        </w:rPr>
        <w:t>Promotion focuses on awareness-raising and community empowerment for equality (</w:t>
      </w:r>
      <w:proofErr w:type="spellStart"/>
      <w:r w:rsidRPr="008A3EBA">
        <w:rPr>
          <w:color w:val="000000" w:themeColor="text1"/>
          <w:lang w:val="en-GB"/>
        </w:rPr>
        <w:t>Dushkova</w:t>
      </w:r>
      <w:proofErr w:type="spellEnd"/>
      <w:r w:rsidRPr="008A3EBA">
        <w:rPr>
          <w:color w:val="000000" w:themeColor="text1"/>
          <w:lang w:val="en-GB"/>
        </w:rPr>
        <w:t xml:space="preserve"> and Ivlieva, 2024). National campaigns with campaigns like "This Girl Can" promote women's engagement in physical activity, and the National Health Services (NHS) campaigns aim to raise mental health awareness among genders. Promotion also provides educational campaigns to change gender attitudes and promote gender-inclusive healthcare. Such campaigns help to shift culture, culture stigma and encourage healthy living.</w:t>
      </w:r>
    </w:p>
    <w:p w14:paraId="4037C8C6" w14:textId="11BA2F7C" w:rsidR="004B096A" w:rsidRPr="008A3EBA" w:rsidRDefault="00EA3CBE">
      <w:pPr>
        <w:rPr>
          <w:color w:val="000000" w:themeColor="text1"/>
          <w:lang w:val="en-GB"/>
        </w:rPr>
      </w:pPr>
      <w:r w:rsidRPr="008A3EBA">
        <w:rPr>
          <w:color w:val="000000" w:themeColor="text1"/>
          <w:lang w:val="en-GB"/>
        </w:rPr>
        <w:t xml:space="preserve">The 3Ps offer a holistic approach to tackling gender-based health inequalities. Protection provides security and equity, prevention prevents illness, and promotion puts the power in people's hands (Xia </w:t>
      </w:r>
      <w:r w:rsidRPr="008A3EBA">
        <w:rPr>
          <w:i/>
          <w:iCs/>
          <w:color w:val="000000" w:themeColor="text1"/>
          <w:lang w:val="en-GB"/>
        </w:rPr>
        <w:t>et al</w:t>
      </w:r>
      <w:r w:rsidRPr="008A3EBA">
        <w:rPr>
          <w:color w:val="000000" w:themeColor="text1"/>
          <w:lang w:val="en-GB"/>
        </w:rPr>
        <w:t>. 2024). Taken together, these measures build public health capacity and achieve gender equity in health.</w:t>
      </w:r>
      <w:r w:rsidR="008C3C39" w:rsidRPr="008A3EBA">
        <w:rPr>
          <w:color w:val="000000" w:themeColor="text1"/>
          <w:lang w:val="en-GB"/>
        </w:rPr>
        <w:t xml:space="preserve"> </w:t>
      </w:r>
    </w:p>
    <w:p w14:paraId="0E09B315" w14:textId="79412437" w:rsidR="008C3C39" w:rsidRPr="008A3EBA" w:rsidRDefault="008C3C39">
      <w:pPr>
        <w:rPr>
          <w:color w:val="000000" w:themeColor="text1"/>
          <w:lang w:val="en-US"/>
        </w:rPr>
      </w:pPr>
      <w:r w:rsidRPr="008A3EBA">
        <w:rPr>
          <w:color w:val="000000" w:themeColor="text1"/>
          <w:lang w:val="en-US"/>
        </w:rPr>
        <w:t>The 3Ps framework is holistic but requires integration for effectiveness. Protection without enforcement, prevention without accessibility, and promotion without cultural sensitivity risk failure. Intersectionality complicates outcomes, demanding adaptation for diverse populations. Overall, while foundational, gaps in implementation, inclusivity, and sustainability limit the framework’s long</w:t>
      </w:r>
      <w:r w:rsidRPr="008A3EBA">
        <w:rPr>
          <w:color w:val="000000" w:themeColor="text1"/>
          <w:lang w:val="en-US"/>
        </w:rPr>
        <w:noBreakHyphen/>
        <w:t>term impact on equity.</w:t>
      </w:r>
    </w:p>
    <w:p w14:paraId="371E3616" w14:textId="77777777" w:rsidR="004B096A" w:rsidRPr="008A3EBA" w:rsidRDefault="00EA3CBE">
      <w:pPr>
        <w:pStyle w:val="Heading2"/>
        <w:keepNext w:val="0"/>
        <w:keepLines w:val="0"/>
        <w:rPr>
          <w:color w:val="000000" w:themeColor="text1"/>
          <w:sz w:val="26"/>
          <w:szCs w:val="26"/>
          <w:lang w:val="en-GB"/>
        </w:rPr>
      </w:pPr>
      <w:bookmarkStart w:id="20" w:name="_ldn84zl85mfr" w:colFirst="0" w:colLast="0"/>
      <w:bookmarkStart w:id="21" w:name="_Toc228193467"/>
      <w:bookmarkEnd w:id="20"/>
      <w:r w:rsidRPr="008A3EBA">
        <w:rPr>
          <w:color w:val="000000" w:themeColor="text1"/>
          <w:sz w:val="26"/>
          <w:szCs w:val="26"/>
          <w:lang w:val="en-GB"/>
        </w:rPr>
        <w:t>Determinants / Risk Factors</w:t>
      </w:r>
      <w:bookmarkEnd w:id="21"/>
    </w:p>
    <w:p w14:paraId="1D0DC1E3" w14:textId="77777777" w:rsidR="004B096A" w:rsidRPr="008A3EBA" w:rsidRDefault="00EA3CBE">
      <w:pPr>
        <w:rPr>
          <w:color w:val="000000" w:themeColor="text1"/>
          <w:lang w:val="en-GB"/>
        </w:rPr>
      </w:pPr>
      <w:r w:rsidRPr="008A3EBA">
        <w:rPr>
          <w:color w:val="000000" w:themeColor="text1"/>
          <w:lang w:val="en-GB"/>
        </w:rPr>
        <w:t>The complex social, cultural and biological factors driving gender health inequalities are varied.</w:t>
      </w:r>
    </w:p>
    <w:p w14:paraId="33D3D76A" w14:textId="49394BDA" w:rsidR="004B096A" w:rsidRPr="008A3EBA" w:rsidRDefault="00EA3CBE">
      <w:pPr>
        <w:rPr>
          <w:color w:val="000000" w:themeColor="text1"/>
          <w:lang w:val="en-GB"/>
        </w:rPr>
      </w:pPr>
      <w:r w:rsidRPr="008A3EBA">
        <w:rPr>
          <w:color w:val="000000" w:themeColor="text1"/>
          <w:lang w:val="en-GB"/>
        </w:rPr>
        <w:t xml:space="preserve">Social determinants include income, education and working conditions. Women face injustices from the gender pay gap, poverty and informal care responsibilities that restrict access to and ability for health and wellbeing (Dery </w:t>
      </w:r>
      <w:r w:rsidRPr="008A3EBA">
        <w:rPr>
          <w:i/>
          <w:iCs/>
          <w:color w:val="000000" w:themeColor="text1"/>
          <w:lang w:val="en-GB"/>
        </w:rPr>
        <w:t>et al</w:t>
      </w:r>
      <w:r w:rsidR="00856631" w:rsidRPr="008A3EBA">
        <w:rPr>
          <w:i/>
          <w:iCs/>
          <w:color w:val="000000" w:themeColor="text1"/>
          <w:lang w:val="en-GB"/>
        </w:rPr>
        <w:t>.</w:t>
      </w:r>
      <w:r w:rsidR="00502921" w:rsidRPr="008A3EBA">
        <w:rPr>
          <w:i/>
          <w:iCs/>
          <w:color w:val="000000" w:themeColor="text1"/>
          <w:lang w:val="en-GB"/>
        </w:rPr>
        <w:t>,</w:t>
      </w:r>
      <w:r w:rsidR="00502921" w:rsidRPr="008A3EBA">
        <w:rPr>
          <w:color w:val="000000" w:themeColor="text1"/>
          <w:lang w:val="en-GB"/>
        </w:rPr>
        <w:t xml:space="preserve"> 2025</w:t>
      </w:r>
      <w:r w:rsidRPr="008A3EBA">
        <w:rPr>
          <w:color w:val="000000" w:themeColor="text1"/>
          <w:lang w:val="en-GB"/>
        </w:rPr>
        <w:t>). Men, on the other hand, are at risk of injuries and illnesses caused by hazardous working conditions (construction, manufacturing).</w:t>
      </w:r>
    </w:p>
    <w:p w14:paraId="60FBCEF4" w14:textId="77777777" w:rsidR="004B096A" w:rsidRPr="008A3EBA" w:rsidRDefault="00EA3CBE">
      <w:pPr>
        <w:rPr>
          <w:color w:val="000000" w:themeColor="text1"/>
          <w:lang w:val="en-GB"/>
        </w:rPr>
      </w:pPr>
      <w:r w:rsidRPr="008A3EBA">
        <w:rPr>
          <w:color w:val="000000" w:themeColor="text1"/>
          <w:lang w:val="en-GB"/>
        </w:rPr>
        <w:lastRenderedPageBreak/>
        <w:t xml:space="preserve">Cultural determinants include societal and cultural factors. Cultural ideals about gender discourage men from seeking timely medical care, delaying diagnosis of severe diseases (Mokua </w:t>
      </w:r>
      <w:r w:rsidRPr="008A3EBA">
        <w:rPr>
          <w:i/>
          <w:iCs/>
          <w:color w:val="000000" w:themeColor="text1"/>
          <w:lang w:val="en-GB"/>
        </w:rPr>
        <w:t>et al</w:t>
      </w:r>
      <w:r w:rsidRPr="008A3EBA">
        <w:rPr>
          <w:color w:val="000000" w:themeColor="text1"/>
          <w:lang w:val="en-GB"/>
        </w:rPr>
        <w:t>. 2024). Women can face stigma regarding reproductive health and gender minorities can face exclusion and discrimination in health care. These cultural factors entrench disparities by obstructing access to appropriate and timely treatment.</w:t>
      </w:r>
    </w:p>
    <w:p w14:paraId="373F517D" w14:textId="77777777" w:rsidR="004B096A" w:rsidRPr="008A3EBA" w:rsidRDefault="00EA3CBE">
      <w:pPr>
        <w:rPr>
          <w:color w:val="000000" w:themeColor="text1"/>
          <w:lang w:val="en-GB"/>
        </w:rPr>
      </w:pPr>
      <w:r w:rsidRPr="008A3EBA">
        <w:rPr>
          <w:color w:val="000000" w:themeColor="text1"/>
          <w:lang w:val="en-GB"/>
        </w:rPr>
        <w:t xml:space="preserve">Biological factors also play a role in disparities. Women are more susceptible to reproductive health issues, autoimmune disorders and osteoporosis, while men are at higher risk of cardiovascular disease and some cancers. Biologically distinct presentations of disease, for instance, common signs of heart disease in women, lead to underdiagnosis and undertreatment (Mikail </w:t>
      </w:r>
      <w:r w:rsidRPr="008A3EBA">
        <w:rPr>
          <w:i/>
          <w:iCs/>
          <w:color w:val="000000" w:themeColor="text1"/>
          <w:lang w:val="en-GB"/>
        </w:rPr>
        <w:t>et al</w:t>
      </w:r>
      <w:r w:rsidRPr="008A3EBA">
        <w:rPr>
          <w:color w:val="000000" w:themeColor="text1"/>
          <w:lang w:val="en-GB"/>
        </w:rPr>
        <w:t>. 2022).</w:t>
      </w:r>
    </w:p>
    <w:p w14:paraId="13260300" w14:textId="77777777" w:rsidR="004B096A" w:rsidRPr="008A3EBA" w:rsidRDefault="00EA3CBE">
      <w:pPr>
        <w:rPr>
          <w:color w:val="000000" w:themeColor="text1"/>
          <w:lang w:val="en-GB"/>
        </w:rPr>
      </w:pPr>
      <w:r w:rsidRPr="008A3EBA">
        <w:rPr>
          <w:color w:val="000000" w:themeColor="text1"/>
          <w:lang w:val="en-GB"/>
        </w:rPr>
        <w:t>These factors compound to create gender health inequities. These can be overcome through comprehensive public health approaches that incorporate social change, cultural competence and gender‑related research.</w:t>
      </w:r>
    </w:p>
    <w:p w14:paraId="344DE1A1" w14:textId="77777777" w:rsidR="004B096A" w:rsidRPr="008A3EBA" w:rsidRDefault="00EA3CBE">
      <w:pPr>
        <w:pStyle w:val="Heading2"/>
        <w:keepNext w:val="0"/>
        <w:keepLines w:val="0"/>
        <w:rPr>
          <w:color w:val="000000" w:themeColor="text1"/>
          <w:sz w:val="26"/>
          <w:szCs w:val="26"/>
          <w:lang w:val="en-GB"/>
        </w:rPr>
      </w:pPr>
      <w:bookmarkStart w:id="22" w:name="_pudtedxaa903" w:colFirst="0" w:colLast="0"/>
      <w:bookmarkStart w:id="23" w:name="_Toc228193468"/>
      <w:bookmarkEnd w:id="22"/>
      <w:r w:rsidRPr="008A3EBA">
        <w:rPr>
          <w:color w:val="000000" w:themeColor="text1"/>
          <w:sz w:val="26"/>
          <w:szCs w:val="26"/>
          <w:lang w:val="en-GB"/>
        </w:rPr>
        <w:t>Health Needs Assessment &amp; Epidemiological Studies</w:t>
      </w:r>
      <w:bookmarkEnd w:id="23"/>
    </w:p>
    <w:p w14:paraId="2AD5B408" w14:textId="77777777" w:rsidR="004B096A" w:rsidRPr="008A3EBA" w:rsidRDefault="00EA3CBE">
      <w:pPr>
        <w:rPr>
          <w:color w:val="000000" w:themeColor="text1"/>
          <w:lang w:val="en-GB"/>
        </w:rPr>
      </w:pPr>
      <w:r w:rsidRPr="008A3EBA">
        <w:rPr>
          <w:color w:val="000000" w:themeColor="text1"/>
          <w:lang w:val="en-GB"/>
        </w:rPr>
        <w:t>A health needs assessment (HNA) is crucial to pinpoint the affected populations by gender health inequities to allocate resources accordingly. In England, UK, data from the Office for National Statistics (ONS) show persistent gender health inequalities: women have greater need of services for common mental health disorders, whereas men have a higher risk of cardiovascular disease and suicide (GOV, 2022). Black and South Asian women continue to experience significantly higher maternal mortality, with compounded race and gender impacts.</w:t>
      </w:r>
    </w:p>
    <w:p w14:paraId="636868E0" w14:textId="7C1BAE63" w:rsidR="004B096A" w:rsidRPr="008A3EBA" w:rsidRDefault="00EA3CBE">
      <w:pPr>
        <w:rPr>
          <w:color w:val="000000" w:themeColor="text1"/>
          <w:lang w:val="en-GB"/>
        </w:rPr>
      </w:pPr>
      <w:r w:rsidRPr="008A3EBA">
        <w:rPr>
          <w:color w:val="000000" w:themeColor="text1"/>
          <w:lang w:val="en-GB"/>
        </w:rPr>
        <w:t xml:space="preserve">Worldwide, studies conducted by the World Health Organisation (WHO) show women bear a greater burden of reproductive health problems, and men are at higher risk of occupational injuries and substance abuse. Gender minorities are largely absent in epidemiological research, but evidence demonstrates they face worse health outcomes because of stigma, discrimination and health service inequities (Clark </w:t>
      </w:r>
      <w:r w:rsidRPr="008A3EBA">
        <w:rPr>
          <w:i/>
          <w:iCs/>
          <w:color w:val="000000" w:themeColor="text1"/>
          <w:lang w:val="en-GB"/>
        </w:rPr>
        <w:t>et al.</w:t>
      </w:r>
      <w:r w:rsidR="00856631" w:rsidRPr="008A3EBA">
        <w:rPr>
          <w:i/>
          <w:iCs/>
          <w:color w:val="000000" w:themeColor="text1"/>
          <w:lang w:val="en-GB"/>
        </w:rPr>
        <w:t>,</w:t>
      </w:r>
      <w:r w:rsidR="00856631" w:rsidRPr="008A3EBA">
        <w:rPr>
          <w:color w:val="000000" w:themeColor="text1"/>
          <w:lang w:val="en-GB"/>
        </w:rPr>
        <w:t xml:space="preserve"> </w:t>
      </w:r>
      <w:r w:rsidRPr="008A3EBA">
        <w:rPr>
          <w:color w:val="000000" w:themeColor="text1"/>
          <w:lang w:val="en-GB"/>
        </w:rPr>
        <w:t>2023).</w:t>
      </w:r>
    </w:p>
    <w:p w14:paraId="378C4EA3" w14:textId="77777777" w:rsidR="004B096A" w:rsidRPr="008A3EBA" w:rsidRDefault="00EA3CBE">
      <w:pPr>
        <w:rPr>
          <w:color w:val="000000" w:themeColor="text1"/>
          <w:lang w:val="en-GB"/>
        </w:rPr>
      </w:pPr>
      <w:r w:rsidRPr="008A3EBA">
        <w:rPr>
          <w:color w:val="000000" w:themeColor="text1"/>
          <w:lang w:val="en-GB"/>
        </w:rPr>
        <w:t xml:space="preserve">These inequalities are demonstrated by epidemiological research, including cohort and cross‑sectional studies. For instance, UKHSA surveillance reports highlight disparities in screening rates by gender, and cohort studies reveal the long‑term consequences of poverty and gender‑based violence for health (Tabor </w:t>
      </w:r>
      <w:r w:rsidRPr="008A3EBA">
        <w:rPr>
          <w:i/>
          <w:iCs/>
          <w:color w:val="000000" w:themeColor="text1"/>
          <w:lang w:val="en-GB"/>
        </w:rPr>
        <w:t>et al</w:t>
      </w:r>
      <w:r w:rsidRPr="008A3EBA">
        <w:rPr>
          <w:color w:val="000000" w:themeColor="text1"/>
          <w:lang w:val="en-GB"/>
        </w:rPr>
        <w:t>. 2025). Linking HNA with epidemiological data, health professionals can pinpoint priority populations, estimate unmet needs, and develop interventions that focus on biological and social determinants of health.</w:t>
      </w:r>
    </w:p>
    <w:p w14:paraId="1CB1A752" w14:textId="77777777" w:rsidR="004B096A" w:rsidRPr="008A3EBA" w:rsidRDefault="00EA3CBE">
      <w:pPr>
        <w:pStyle w:val="Heading2"/>
        <w:keepNext w:val="0"/>
        <w:keepLines w:val="0"/>
        <w:rPr>
          <w:color w:val="000000" w:themeColor="text1"/>
          <w:sz w:val="26"/>
          <w:szCs w:val="26"/>
          <w:lang w:val="en-GB"/>
        </w:rPr>
      </w:pPr>
      <w:bookmarkStart w:id="24" w:name="_1yv1zri852yj" w:colFirst="0" w:colLast="0"/>
      <w:bookmarkStart w:id="25" w:name="_Toc228193469"/>
      <w:bookmarkEnd w:id="24"/>
      <w:r w:rsidRPr="008A3EBA">
        <w:rPr>
          <w:color w:val="000000" w:themeColor="text1"/>
          <w:sz w:val="26"/>
          <w:szCs w:val="26"/>
          <w:lang w:val="en-GB"/>
        </w:rPr>
        <w:lastRenderedPageBreak/>
        <w:t>Monitoring &amp; Surveillance Systems</w:t>
      </w:r>
      <w:bookmarkEnd w:id="25"/>
    </w:p>
    <w:p w14:paraId="666CC20A" w14:textId="68C755C5" w:rsidR="004B096A" w:rsidRPr="008A3EBA" w:rsidRDefault="00396807">
      <w:pPr>
        <w:rPr>
          <w:color w:val="000000" w:themeColor="text1"/>
          <w:lang w:val="en-GB"/>
        </w:rPr>
      </w:pPr>
      <w:r w:rsidRPr="008A3EBA">
        <w:rPr>
          <w:color w:val="000000" w:themeColor="text1"/>
        </w:rPr>
        <w:t xml:space="preserve">These systems collect, </w:t>
      </w:r>
      <w:proofErr w:type="spellStart"/>
      <w:r w:rsidRPr="008A3EBA">
        <w:rPr>
          <w:color w:val="000000" w:themeColor="text1"/>
        </w:rPr>
        <w:t>analyse</w:t>
      </w:r>
      <w:proofErr w:type="spellEnd"/>
      <w:r w:rsidRPr="008A3EBA">
        <w:rPr>
          <w:color w:val="000000" w:themeColor="text1"/>
        </w:rPr>
        <w:t xml:space="preserve">, and interpret health data, enabling policymakers to identify trends, monitor inequalities, and design targeted interventions. </w:t>
      </w:r>
      <w:r w:rsidR="00EA3CBE" w:rsidRPr="008A3EBA">
        <w:rPr>
          <w:color w:val="000000" w:themeColor="text1"/>
          <w:lang w:val="en-GB"/>
        </w:rPr>
        <w:t>Surveillance systems play a crucial role in monitoring gender and health inequalities and contributing to policy. In the UK, the Office for National Statistics (ONS) and NHS Digital gather gender‑disaggregated data, allowing examination of gender disparities in mental health, cardiovascular disease and reproductive health (NHS England, 2024). “</w:t>
      </w:r>
      <w:r w:rsidR="00EA3CBE" w:rsidRPr="008A3EBA">
        <w:rPr>
          <w:i/>
          <w:iCs/>
          <w:color w:val="000000" w:themeColor="text1"/>
          <w:lang w:val="en-GB"/>
        </w:rPr>
        <w:t>UK Health Security Agency (UKHSA)</w:t>
      </w:r>
      <w:r w:rsidR="00EA3CBE" w:rsidRPr="008A3EBA">
        <w:rPr>
          <w:color w:val="000000" w:themeColor="text1"/>
          <w:lang w:val="en-GB"/>
        </w:rPr>
        <w:t>” publishes reports of surveillance on reproductive health and chronic conditions. Internationally, the World Health Organisation (WHO) has a Global Health Observatory that tracks gender‑specific data including maternal health and reproductive health services.</w:t>
      </w:r>
    </w:p>
    <w:p w14:paraId="755CDDE2" w14:textId="00890D23" w:rsidR="004B096A" w:rsidRPr="008A3EBA" w:rsidRDefault="00EA3CBE">
      <w:pPr>
        <w:rPr>
          <w:color w:val="000000" w:themeColor="text1"/>
          <w:lang w:val="en-GB"/>
        </w:rPr>
      </w:pPr>
      <w:r w:rsidRPr="008A3EBA">
        <w:rPr>
          <w:color w:val="000000" w:themeColor="text1"/>
          <w:lang w:val="en-GB"/>
        </w:rPr>
        <w:t xml:space="preserve">Disease‑specific monitoring systems, like cancer registries and mental health population surveys, also show gender inequalities in prevalence and outcomes (Cooper </w:t>
      </w:r>
      <w:r w:rsidRPr="008A3EBA">
        <w:rPr>
          <w:i/>
          <w:iCs/>
          <w:color w:val="000000" w:themeColor="text1"/>
          <w:lang w:val="en-GB"/>
        </w:rPr>
        <w:t>et al</w:t>
      </w:r>
      <w:r w:rsidR="00856631" w:rsidRPr="008A3EBA">
        <w:rPr>
          <w:i/>
          <w:iCs/>
          <w:color w:val="000000" w:themeColor="text1"/>
          <w:lang w:val="en-GB"/>
        </w:rPr>
        <w:t>.,</w:t>
      </w:r>
      <w:r w:rsidR="00856631" w:rsidRPr="008A3EBA">
        <w:rPr>
          <w:color w:val="000000" w:themeColor="text1"/>
          <w:lang w:val="en-GB"/>
        </w:rPr>
        <w:t xml:space="preserve"> </w:t>
      </w:r>
      <w:r w:rsidRPr="008A3EBA">
        <w:rPr>
          <w:color w:val="000000" w:themeColor="text1"/>
          <w:lang w:val="en-GB"/>
        </w:rPr>
        <w:t>2023). Monitoring systems help policy makers target groups at risk, assess interventions and make informed decisions. Through disaggregation of data by gender, monitoring systems can inform policies to reduce gender inequities and support equitable health services.</w:t>
      </w:r>
    </w:p>
    <w:p w14:paraId="06B928A8" w14:textId="77777777" w:rsidR="004B096A" w:rsidRPr="008A3EBA" w:rsidRDefault="00EA3CBE">
      <w:pPr>
        <w:pStyle w:val="Heading2"/>
        <w:keepNext w:val="0"/>
        <w:keepLines w:val="0"/>
        <w:rPr>
          <w:color w:val="000000" w:themeColor="text1"/>
          <w:sz w:val="26"/>
          <w:szCs w:val="26"/>
          <w:lang w:val="en-GB"/>
        </w:rPr>
      </w:pPr>
      <w:bookmarkStart w:id="26" w:name="_jdraq4xlaqfl" w:colFirst="0" w:colLast="0"/>
      <w:bookmarkStart w:id="27" w:name="_Toc228193470"/>
      <w:bookmarkEnd w:id="26"/>
      <w:r w:rsidRPr="008A3EBA">
        <w:rPr>
          <w:color w:val="000000" w:themeColor="text1"/>
          <w:sz w:val="26"/>
          <w:szCs w:val="26"/>
          <w:lang w:val="en-GB"/>
        </w:rPr>
        <w:t>Public Health Impact (Short &amp; Long</w:t>
      </w:r>
      <w:r w:rsidRPr="008A3EBA">
        <w:rPr>
          <w:rFonts w:ascii="Cambria Math" w:hAnsi="Cambria Math" w:cs="Cambria Math"/>
          <w:color w:val="000000" w:themeColor="text1"/>
          <w:sz w:val="26"/>
          <w:szCs w:val="26"/>
          <w:lang w:val="en-GB"/>
        </w:rPr>
        <w:t>‑</w:t>
      </w:r>
      <w:r w:rsidRPr="008A3EBA">
        <w:rPr>
          <w:color w:val="000000" w:themeColor="text1"/>
          <w:sz w:val="26"/>
          <w:szCs w:val="26"/>
          <w:lang w:val="en-GB"/>
        </w:rPr>
        <w:t>term Consequences)</w:t>
      </w:r>
      <w:bookmarkEnd w:id="27"/>
    </w:p>
    <w:p w14:paraId="08596AC2" w14:textId="77777777" w:rsidR="004B096A" w:rsidRPr="008A3EBA" w:rsidRDefault="00EA3CBE">
      <w:pPr>
        <w:rPr>
          <w:color w:val="000000" w:themeColor="text1"/>
          <w:lang w:val="en-GB"/>
        </w:rPr>
      </w:pPr>
      <w:r w:rsidRPr="008A3EBA">
        <w:rPr>
          <w:color w:val="000000" w:themeColor="text1"/>
          <w:lang w:val="en-GB"/>
        </w:rPr>
        <w:t>Unequal gender health outcomes have short and long‑term impacts. Short term consequences include inequalities in access to health care, reproductive health and mental health services resulting in avoidable diseases, delays in treatment and increased mortality (OECD, 2025). Women are in immediate danger of maternal complications, and men of increased suicide and heart disease. Longer‑term impacts include persistent poverty, shorter life expectancy, and transgenerational transmission of disadvantage in single‑mother households and gender minorities (</w:t>
      </w:r>
      <w:proofErr w:type="spellStart"/>
      <w:r w:rsidRPr="008A3EBA">
        <w:rPr>
          <w:color w:val="000000" w:themeColor="text1"/>
          <w:lang w:val="en-GB"/>
        </w:rPr>
        <w:t>Assari</w:t>
      </w:r>
      <w:proofErr w:type="spellEnd"/>
      <w:r w:rsidRPr="008A3EBA">
        <w:rPr>
          <w:color w:val="000000" w:themeColor="text1"/>
          <w:lang w:val="en-GB"/>
        </w:rPr>
        <w:t>, 2024). These disparities also impact health systems and work productivity. These inequalities must be addressed to ensure long‑term health and promote social justice.</w:t>
      </w:r>
    </w:p>
    <w:p w14:paraId="69615104" w14:textId="77777777" w:rsidR="004B096A" w:rsidRPr="008A3EBA" w:rsidRDefault="00EA3CBE">
      <w:pPr>
        <w:pStyle w:val="Heading2"/>
        <w:keepNext w:val="0"/>
        <w:keepLines w:val="0"/>
        <w:rPr>
          <w:color w:val="000000" w:themeColor="text1"/>
          <w:sz w:val="26"/>
          <w:szCs w:val="26"/>
          <w:lang w:val="en-GB"/>
        </w:rPr>
      </w:pPr>
      <w:bookmarkStart w:id="28" w:name="_wb9di3pqpenj" w:colFirst="0" w:colLast="0"/>
      <w:bookmarkStart w:id="29" w:name="_Toc228193471"/>
      <w:bookmarkEnd w:id="28"/>
      <w:r w:rsidRPr="008A3EBA">
        <w:rPr>
          <w:color w:val="000000" w:themeColor="text1"/>
          <w:sz w:val="26"/>
          <w:szCs w:val="26"/>
          <w:lang w:val="en-GB"/>
        </w:rPr>
        <w:t>Health Intervention Programme Design</w:t>
      </w:r>
      <w:bookmarkEnd w:id="29"/>
    </w:p>
    <w:p w14:paraId="556DFDAA" w14:textId="6B83F394" w:rsidR="004B096A" w:rsidRPr="008A3EBA" w:rsidRDefault="00EA3CBE">
      <w:pPr>
        <w:rPr>
          <w:color w:val="000000" w:themeColor="text1"/>
          <w:lang w:val="en-GB"/>
        </w:rPr>
      </w:pPr>
      <w:r w:rsidRPr="008A3EBA">
        <w:rPr>
          <w:color w:val="000000" w:themeColor="text1"/>
          <w:lang w:val="en-GB"/>
        </w:rPr>
        <w:t>An intervention portfolio to decrease gender health inequalities should include education, service delivery and policy change. Community‑level programs can offer gender‑aware educational services, such as mental health awareness, reproductive rights and cardiac risk reduction (</w:t>
      </w:r>
      <w:proofErr w:type="spellStart"/>
      <w:r w:rsidRPr="008A3EBA">
        <w:rPr>
          <w:color w:val="000000" w:themeColor="text1"/>
          <w:lang w:val="en-GB"/>
        </w:rPr>
        <w:t>Parvand</w:t>
      </w:r>
      <w:proofErr w:type="spellEnd"/>
      <w:r w:rsidRPr="008A3EBA">
        <w:rPr>
          <w:color w:val="000000" w:themeColor="text1"/>
          <w:lang w:val="en-GB"/>
        </w:rPr>
        <w:t xml:space="preserve"> </w:t>
      </w:r>
      <w:r w:rsidRPr="008A3EBA">
        <w:rPr>
          <w:i/>
          <w:iCs/>
          <w:color w:val="000000" w:themeColor="text1"/>
          <w:lang w:val="en-GB"/>
        </w:rPr>
        <w:t>et al</w:t>
      </w:r>
      <w:r w:rsidRPr="008A3EBA">
        <w:rPr>
          <w:color w:val="000000" w:themeColor="text1"/>
          <w:lang w:val="en-GB"/>
        </w:rPr>
        <w:t xml:space="preserve">. 2024). Increased access to culturally sensitive health services promotes inclusivity of women, men and gender minorities. Legislative change, such as equal pay and gender‑based violence prevention, helps mitigate social determinants of health </w:t>
      </w:r>
      <w:r w:rsidRPr="008A3EBA">
        <w:rPr>
          <w:color w:val="000000" w:themeColor="text1"/>
          <w:lang w:val="en-GB"/>
        </w:rPr>
        <w:lastRenderedPageBreak/>
        <w:t xml:space="preserve">(Cookson </w:t>
      </w:r>
      <w:r w:rsidRPr="008A3EBA">
        <w:rPr>
          <w:i/>
          <w:iCs/>
          <w:color w:val="000000" w:themeColor="text1"/>
          <w:lang w:val="en-GB"/>
        </w:rPr>
        <w:t>et al.</w:t>
      </w:r>
      <w:r w:rsidR="00856631" w:rsidRPr="008A3EBA">
        <w:rPr>
          <w:i/>
          <w:iCs/>
          <w:color w:val="000000" w:themeColor="text1"/>
          <w:lang w:val="en-GB"/>
        </w:rPr>
        <w:t>,</w:t>
      </w:r>
      <w:r w:rsidRPr="008A3EBA">
        <w:rPr>
          <w:color w:val="000000" w:themeColor="text1"/>
          <w:lang w:val="en-GB"/>
        </w:rPr>
        <w:t xml:space="preserve"> 2025). Impact assessment via disaggregated data collection and longitudinal studies to provide evidence-will quantify benefits. </w:t>
      </w:r>
      <w:r w:rsidR="00396807" w:rsidRPr="008A3EBA">
        <w:rPr>
          <w:color w:val="000000" w:themeColor="text1"/>
        </w:rPr>
        <w:t xml:space="preserve">The effectiveness of these interventions can be evaluated using epidemiological indicators such as incidence, mortality rates, and healthcare access improvements. </w:t>
      </w:r>
      <w:r w:rsidRPr="008A3EBA">
        <w:rPr>
          <w:color w:val="000000" w:themeColor="text1"/>
          <w:lang w:val="en-GB"/>
        </w:rPr>
        <w:t>These programs promote equity, enhance health and diminish gender-based inequalities in the short- and long-term.</w:t>
      </w:r>
    </w:p>
    <w:p w14:paraId="77A93C38" w14:textId="77777777" w:rsidR="004B096A" w:rsidRPr="008A3EBA" w:rsidRDefault="00EA3CBE" w:rsidP="008D7BA2">
      <w:pPr>
        <w:pStyle w:val="Heading2"/>
        <w:keepNext w:val="0"/>
        <w:keepLines w:val="0"/>
        <w:rPr>
          <w:color w:val="000000" w:themeColor="text1"/>
          <w:sz w:val="26"/>
          <w:szCs w:val="26"/>
          <w:lang w:val="en-GB"/>
        </w:rPr>
      </w:pPr>
      <w:bookmarkStart w:id="30" w:name="_nzop9fvonmif" w:colFirst="0" w:colLast="0"/>
      <w:bookmarkStart w:id="31" w:name="_Toc228193472"/>
      <w:bookmarkEnd w:id="30"/>
      <w:r w:rsidRPr="008A3EBA">
        <w:rPr>
          <w:color w:val="000000" w:themeColor="text1"/>
          <w:sz w:val="26"/>
          <w:szCs w:val="26"/>
          <w:lang w:val="en-GB"/>
        </w:rPr>
        <w:t>Strengths &amp; Weaknesses of Epidemiological Approach</w:t>
      </w:r>
      <w:bookmarkEnd w:id="31"/>
    </w:p>
    <w:tbl>
      <w:tblPr>
        <w:tblStyle w:val="a"/>
        <w:tblW w:w="902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58"/>
        <w:gridCol w:w="4667"/>
      </w:tblGrid>
      <w:tr w:rsidR="008A3EBA" w:rsidRPr="008A3EBA" w14:paraId="71734171" w14:textId="77777777" w:rsidTr="00396807">
        <w:trPr>
          <w:trHeight w:val="500"/>
          <w:jc w:val="center"/>
        </w:trPr>
        <w:tc>
          <w:tcPr>
            <w:tcW w:w="4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82BE7" w14:textId="77777777" w:rsidR="004B096A" w:rsidRPr="008A3EBA" w:rsidRDefault="00EA3CBE" w:rsidP="00396807">
            <w:pPr>
              <w:spacing w:before="0" w:after="0"/>
              <w:jc w:val="center"/>
              <w:rPr>
                <w:color w:val="000000" w:themeColor="text1"/>
                <w:lang w:val="en-GB"/>
              </w:rPr>
            </w:pPr>
            <w:r w:rsidRPr="008A3EBA">
              <w:rPr>
                <w:b/>
                <w:bCs/>
                <w:color w:val="000000" w:themeColor="text1"/>
                <w:lang w:val="en-GB"/>
              </w:rPr>
              <w:t>Strengths</w:t>
            </w:r>
          </w:p>
        </w:tc>
        <w:tc>
          <w:tcPr>
            <w:tcW w:w="4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904A0" w14:textId="77777777" w:rsidR="004B096A" w:rsidRPr="008A3EBA" w:rsidRDefault="00EA3CBE" w:rsidP="00396807">
            <w:pPr>
              <w:spacing w:before="0" w:after="0"/>
              <w:jc w:val="center"/>
              <w:rPr>
                <w:color w:val="000000" w:themeColor="text1"/>
                <w:lang w:val="en-GB"/>
              </w:rPr>
            </w:pPr>
            <w:r w:rsidRPr="008A3EBA">
              <w:rPr>
                <w:b/>
                <w:bCs/>
                <w:color w:val="000000" w:themeColor="text1"/>
                <w:lang w:val="en-GB"/>
              </w:rPr>
              <w:t>Weaknesses</w:t>
            </w:r>
          </w:p>
        </w:tc>
      </w:tr>
      <w:tr w:rsidR="008A3EBA" w:rsidRPr="008A3EBA" w14:paraId="51CFCFA3" w14:textId="77777777" w:rsidTr="00396807">
        <w:trPr>
          <w:trHeight w:val="785"/>
          <w:jc w:val="center"/>
        </w:trPr>
        <w:tc>
          <w:tcPr>
            <w:tcW w:w="4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28BA7" w14:textId="77777777" w:rsidR="004B096A" w:rsidRPr="008A3EBA" w:rsidRDefault="00EA3CBE" w:rsidP="00396807">
            <w:pPr>
              <w:numPr>
                <w:ilvl w:val="0"/>
                <w:numId w:val="1"/>
              </w:numPr>
              <w:spacing w:before="0" w:after="0"/>
              <w:rPr>
                <w:color w:val="000000" w:themeColor="text1"/>
                <w:lang w:val="en-GB"/>
              </w:rPr>
            </w:pPr>
            <w:r w:rsidRPr="008A3EBA">
              <w:rPr>
                <w:color w:val="000000" w:themeColor="text1"/>
                <w:lang w:val="en-GB"/>
              </w:rPr>
              <w:t xml:space="preserve">Provides robust, population‑level evidence of gender health disparities (Kirkbride </w:t>
            </w:r>
            <w:r w:rsidRPr="008A3EBA">
              <w:rPr>
                <w:i/>
                <w:iCs/>
                <w:color w:val="000000" w:themeColor="text1"/>
                <w:lang w:val="en-GB"/>
              </w:rPr>
              <w:t>et al</w:t>
            </w:r>
            <w:r w:rsidRPr="008A3EBA">
              <w:rPr>
                <w:color w:val="000000" w:themeColor="text1"/>
                <w:lang w:val="en-GB"/>
              </w:rPr>
              <w:t>. 2024).</w:t>
            </w:r>
          </w:p>
          <w:p w14:paraId="0FD46C66" w14:textId="77777777" w:rsidR="004B096A" w:rsidRPr="008A3EBA" w:rsidRDefault="00EA3CBE" w:rsidP="00396807">
            <w:pPr>
              <w:numPr>
                <w:ilvl w:val="0"/>
                <w:numId w:val="1"/>
              </w:numPr>
              <w:spacing w:before="0" w:after="0"/>
              <w:rPr>
                <w:color w:val="000000" w:themeColor="text1"/>
                <w:lang w:val="en-GB"/>
              </w:rPr>
            </w:pPr>
            <w:r w:rsidRPr="008A3EBA">
              <w:rPr>
                <w:color w:val="000000" w:themeColor="text1"/>
                <w:lang w:val="en-GB"/>
              </w:rPr>
              <w:t>Enables identification of disease incidence, mortality, and healthcare access gaps.</w:t>
            </w:r>
          </w:p>
          <w:p w14:paraId="634F39BA" w14:textId="77777777" w:rsidR="004B096A" w:rsidRPr="008A3EBA" w:rsidRDefault="00EA3CBE" w:rsidP="00396807">
            <w:pPr>
              <w:numPr>
                <w:ilvl w:val="0"/>
                <w:numId w:val="1"/>
              </w:numPr>
              <w:spacing w:before="0" w:after="0"/>
              <w:rPr>
                <w:color w:val="000000" w:themeColor="text1"/>
                <w:lang w:val="en-GB"/>
              </w:rPr>
            </w:pPr>
            <w:r w:rsidRPr="008A3EBA">
              <w:rPr>
                <w:color w:val="000000" w:themeColor="text1"/>
                <w:lang w:val="en-GB"/>
              </w:rPr>
              <w:t>Supports targeted interventions, policy development, and resource allocation.</w:t>
            </w:r>
          </w:p>
          <w:p w14:paraId="71668902" w14:textId="77777777" w:rsidR="004B096A" w:rsidRPr="008A3EBA" w:rsidRDefault="00EA3CBE" w:rsidP="00396807">
            <w:pPr>
              <w:numPr>
                <w:ilvl w:val="0"/>
                <w:numId w:val="1"/>
              </w:numPr>
              <w:spacing w:before="0" w:after="0"/>
              <w:rPr>
                <w:color w:val="000000" w:themeColor="text1"/>
                <w:lang w:val="en-GB"/>
              </w:rPr>
            </w:pPr>
            <w:r w:rsidRPr="008A3EBA">
              <w:rPr>
                <w:color w:val="000000" w:themeColor="text1"/>
                <w:lang w:val="en-GB"/>
              </w:rPr>
              <w:t>Longitudinal studies highlight trends and strengthen causal inference (Siegel and Dee, 2025).</w:t>
            </w:r>
          </w:p>
          <w:p w14:paraId="05A2F5E9" w14:textId="77777777" w:rsidR="004B096A" w:rsidRPr="008A3EBA" w:rsidRDefault="00EA3CBE" w:rsidP="00396807">
            <w:pPr>
              <w:numPr>
                <w:ilvl w:val="0"/>
                <w:numId w:val="1"/>
              </w:numPr>
              <w:spacing w:before="0" w:after="0"/>
              <w:rPr>
                <w:color w:val="000000" w:themeColor="text1"/>
                <w:lang w:val="en-GB"/>
              </w:rPr>
            </w:pPr>
            <w:r w:rsidRPr="008A3EBA">
              <w:rPr>
                <w:color w:val="000000" w:themeColor="text1"/>
                <w:lang w:val="en-GB"/>
              </w:rPr>
              <w:t>Facilitates monitoring and evaluation of public health programmes.</w:t>
            </w:r>
          </w:p>
        </w:tc>
        <w:tc>
          <w:tcPr>
            <w:tcW w:w="46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09993" w14:textId="77777777" w:rsidR="004B096A" w:rsidRPr="008A3EBA" w:rsidRDefault="00EA3CBE" w:rsidP="00396807">
            <w:pPr>
              <w:numPr>
                <w:ilvl w:val="0"/>
                <w:numId w:val="2"/>
              </w:numPr>
              <w:spacing w:before="0" w:after="0"/>
              <w:rPr>
                <w:color w:val="000000" w:themeColor="text1"/>
                <w:lang w:val="en-GB"/>
              </w:rPr>
            </w:pPr>
            <w:r w:rsidRPr="008A3EBA">
              <w:rPr>
                <w:color w:val="000000" w:themeColor="text1"/>
                <w:lang w:val="en-GB"/>
              </w:rPr>
              <w:t xml:space="preserve">Underrepresentation of gender minorities in datasets (Karpel </w:t>
            </w:r>
            <w:r w:rsidRPr="008A3EBA">
              <w:rPr>
                <w:i/>
                <w:iCs/>
                <w:color w:val="000000" w:themeColor="text1"/>
                <w:lang w:val="en-GB"/>
              </w:rPr>
              <w:t>et al</w:t>
            </w:r>
            <w:r w:rsidRPr="008A3EBA">
              <w:rPr>
                <w:color w:val="000000" w:themeColor="text1"/>
                <w:lang w:val="en-GB"/>
              </w:rPr>
              <w:t>. 2025).</w:t>
            </w:r>
          </w:p>
          <w:p w14:paraId="12D08382" w14:textId="77777777" w:rsidR="004B096A" w:rsidRPr="008A3EBA" w:rsidRDefault="00EA3CBE" w:rsidP="00396807">
            <w:pPr>
              <w:numPr>
                <w:ilvl w:val="0"/>
                <w:numId w:val="2"/>
              </w:numPr>
              <w:spacing w:before="0" w:after="0"/>
              <w:rPr>
                <w:color w:val="000000" w:themeColor="text1"/>
                <w:lang w:val="en-GB"/>
              </w:rPr>
            </w:pPr>
            <w:r w:rsidRPr="008A3EBA">
              <w:rPr>
                <w:color w:val="000000" w:themeColor="text1"/>
                <w:lang w:val="en-GB"/>
              </w:rPr>
              <w:t>Reliance on binary gender categories oversimplifies diversity.</w:t>
            </w:r>
          </w:p>
          <w:p w14:paraId="6451C34D" w14:textId="77777777" w:rsidR="004B096A" w:rsidRPr="008A3EBA" w:rsidRDefault="00EA3CBE" w:rsidP="00396807">
            <w:pPr>
              <w:numPr>
                <w:ilvl w:val="0"/>
                <w:numId w:val="2"/>
              </w:numPr>
              <w:spacing w:before="0" w:after="0"/>
              <w:rPr>
                <w:color w:val="000000" w:themeColor="text1"/>
                <w:lang w:val="en-GB"/>
              </w:rPr>
            </w:pPr>
            <w:r w:rsidRPr="008A3EBA">
              <w:rPr>
                <w:color w:val="000000" w:themeColor="text1"/>
                <w:lang w:val="en-GB"/>
              </w:rPr>
              <w:t>Social determinants (poverty, discrimination) are difficult to quantify accurately.</w:t>
            </w:r>
          </w:p>
          <w:p w14:paraId="2FBE6034" w14:textId="77777777" w:rsidR="004B096A" w:rsidRPr="008A3EBA" w:rsidRDefault="00EA3CBE" w:rsidP="00396807">
            <w:pPr>
              <w:numPr>
                <w:ilvl w:val="0"/>
                <w:numId w:val="2"/>
              </w:numPr>
              <w:spacing w:before="0" w:after="0"/>
              <w:rPr>
                <w:color w:val="000000" w:themeColor="text1"/>
                <w:lang w:val="en-GB"/>
              </w:rPr>
            </w:pPr>
            <w:r w:rsidRPr="008A3EBA">
              <w:rPr>
                <w:color w:val="000000" w:themeColor="text1"/>
                <w:lang w:val="en-GB"/>
              </w:rPr>
              <w:t>Assumptions of homogeneity within gender groups mask intersectional inequalities.</w:t>
            </w:r>
          </w:p>
          <w:p w14:paraId="357D6EB4" w14:textId="77777777" w:rsidR="004B096A" w:rsidRPr="008A3EBA" w:rsidRDefault="00EA3CBE" w:rsidP="00396807">
            <w:pPr>
              <w:numPr>
                <w:ilvl w:val="0"/>
                <w:numId w:val="2"/>
              </w:numPr>
              <w:spacing w:before="0" w:after="0"/>
              <w:rPr>
                <w:color w:val="000000" w:themeColor="text1"/>
                <w:lang w:val="en-GB"/>
              </w:rPr>
            </w:pPr>
            <w:r w:rsidRPr="008A3EBA">
              <w:rPr>
                <w:color w:val="000000" w:themeColor="text1"/>
                <w:lang w:val="en-GB"/>
              </w:rPr>
              <w:t>Ethical concerns in data collection, privacy, and interpretation.</w:t>
            </w:r>
          </w:p>
          <w:p w14:paraId="280CB1A1" w14:textId="77777777" w:rsidR="004B096A" w:rsidRPr="008A3EBA" w:rsidRDefault="004B096A" w:rsidP="00396807">
            <w:pPr>
              <w:spacing w:before="0" w:after="0"/>
              <w:rPr>
                <w:color w:val="000000" w:themeColor="text1"/>
                <w:lang w:val="en-GB"/>
              </w:rPr>
            </w:pPr>
          </w:p>
          <w:p w14:paraId="0A0736D9" w14:textId="77777777" w:rsidR="004B096A" w:rsidRPr="008A3EBA" w:rsidRDefault="004B096A" w:rsidP="00396807">
            <w:pPr>
              <w:spacing w:before="0" w:after="0"/>
              <w:rPr>
                <w:color w:val="000000" w:themeColor="text1"/>
                <w:lang w:val="en-GB"/>
              </w:rPr>
            </w:pPr>
          </w:p>
        </w:tc>
      </w:tr>
    </w:tbl>
    <w:p w14:paraId="2C5D91E2" w14:textId="77777777" w:rsidR="004B096A" w:rsidRPr="008A3EBA" w:rsidRDefault="00EA3CBE">
      <w:pPr>
        <w:jc w:val="center"/>
        <w:rPr>
          <w:b/>
          <w:bCs/>
          <w:color w:val="000000" w:themeColor="text1"/>
          <w:lang w:val="en-GB"/>
        </w:rPr>
      </w:pPr>
      <w:r w:rsidRPr="008A3EBA">
        <w:rPr>
          <w:b/>
          <w:bCs/>
          <w:color w:val="000000" w:themeColor="text1"/>
          <w:lang w:val="en-GB"/>
        </w:rPr>
        <w:t>Table 1: Strengths &amp; Weaknesses of Epidemiological Approach</w:t>
      </w:r>
    </w:p>
    <w:p w14:paraId="1CB253A2" w14:textId="77777777" w:rsidR="004B096A" w:rsidRPr="008A3EBA" w:rsidRDefault="00EA3CBE">
      <w:pPr>
        <w:jc w:val="center"/>
        <w:rPr>
          <w:color w:val="000000" w:themeColor="text1"/>
          <w:lang w:val="en-GB"/>
        </w:rPr>
      </w:pPr>
      <w:r w:rsidRPr="008A3EBA">
        <w:rPr>
          <w:color w:val="000000" w:themeColor="text1"/>
          <w:lang w:val="en-GB"/>
        </w:rPr>
        <w:t>(Source: Self-created)</w:t>
      </w:r>
    </w:p>
    <w:p w14:paraId="003F411A" w14:textId="77777777" w:rsidR="004B096A" w:rsidRPr="008A3EBA" w:rsidRDefault="00EA3CBE">
      <w:pPr>
        <w:pStyle w:val="Heading2"/>
        <w:keepNext w:val="0"/>
        <w:keepLines w:val="0"/>
        <w:rPr>
          <w:color w:val="000000" w:themeColor="text1"/>
          <w:sz w:val="26"/>
          <w:szCs w:val="26"/>
          <w:lang w:val="en-GB"/>
        </w:rPr>
      </w:pPr>
      <w:bookmarkStart w:id="32" w:name="_pkcz6nb1sr6k" w:colFirst="0" w:colLast="0"/>
      <w:bookmarkStart w:id="33" w:name="_Toc228193473"/>
      <w:bookmarkEnd w:id="32"/>
      <w:r w:rsidRPr="008A3EBA">
        <w:rPr>
          <w:color w:val="000000" w:themeColor="text1"/>
          <w:sz w:val="26"/>
          <w:szCs w:val="26"/>
          <w:lang w:val="en-GB"/>
        </w:rPr>
        <w:t>Conclusion &amp; Recommendations</w:t>
      </w:r>
      <w:bookmarkEnd w:id="33"/>
    </w:p>
    <w:p w14:paraId="15B12E5B" w14:textId="7B0A74FC" w:rsidR="004B096A" w:rsidRPr="008A3EBA" w:rsidRDefault="00396807">
      <w:pPr>
        <w:rPr>
          <w:color w:val="000000" w:themeColor="text1"/>
          <w:lang w:val="en-GB"/>
        </w:rPr>
      </w:pPr>
      <w:r w:rsidRPr="008A3EBA">
        <w:rPr>
          <w:color w:val="000000" w:themeColor="text1"/>
        </w:rPr>
        <w:t xml:space="preserve">Based on the above discussion, gender health inequalities remain a significant public health challenge influenced by multiple determinants. </w:t>
      </w:r>
      <w:r w:rsidR="00EA3CBE" w:rsidRPr="008A3EBA">
        <w:rPr>
          <w:color w:val="000000" w:themeColor="text1"/>
          <w:lang w:val="en-GB"/>
        </w:rPr>
        <w:t xml:space="preserve">Health inequalities between different genders are a health challenge, with social, cultural and biological factors at play. Research shows significant inequalities in mental health, cardio‑vascular diseases, and maternal health. We </w:t>
      </w:r>
      <w:r w:rsidR="00EA3CBE" w:rsidRPr="008A3EBA">
        <w:rPr>
          <w:color w:val="000000" w:themeColor="text1"/>
          <w:lang w:val="en-GB"/>
        </w:rPr>
        <w:lastRenderedPageBreak/>
        <w:t>recommend gender‑specific health policies, data collection, and interventions, as well as increased advocacy to enhance access, health behaviours and outcomes for all.</w:t>
      </w:r>
    </w:p>
    <w:p w14:paraId="494C1D78" w14:textId="77777777" w:rsidR="004B096A" w:rsidRPr="00BC4680" w:rsidRDefault="00EA3CBE" w:rsidP="008D7BA2">
      <w:pPr>
        <w:pStyle w:val="Heading2"/>
        <w:keepNext w:val="0"/>
        <w:keepLines w:val="0"/>
        <w:rPr>
          <w:lang w:val="en-GB"/>
        </w:rPr>
      </w:pPr>
      <w:r w:rsidRPr="00BC4680">
        <w:rPr>
          <w:lang w:val="en-GB"/>
        </w:rPr>
        <w:br w:type="page"/>
      </w:r>
    </w:p>
    <w:p w14:paraId="08136696" w14:textId="77777777" w:rsidR="004B096A" w:rsidRPr="00BC4680" w:rsidRDefault="00EA3CBE">
      <w:pPr>
        <w:pStyle w:val="Heading1"/>
        <w:rPr>
          <w:lang w:val="en-GB"/>
        </w:rPr>
      </w:pPr>
      <w:bookmarkStart w:id="34" w:name="_d0nje29gotq6" w:colFirst="0" w:colLast="0"/>
      <w:bookmarkStart w:id="35" w:name="_Toc228193474"/>
      <w:bookmarkEnd w:id="34"/>
      <w:r w:rsidRPr="00BC4680">
        <w:rPr>
          <w:lang w:val="en-GB"/>
        </w:rPr>
        <w:lastRenderedPageBreak/>
        <w:t>References</w:t>
      </w:r>
      <w:bookmarkEnd w:id="35"/>
    </w:p>
    <w:p w14:paraId="4198F725" w14:textId="3789D132" w:rsidR="0095338E" w:rsidRPr="00BC4680" w:rsidRDefault="0095338E">
      <w:pPr>
        <w:spacing w:before="200" w:after="0"/>
        <w:rPr>
          <w:highlight w:val="white"/>
          <w:lang w:val="en-GB"/>
        </w:rPr>
      </w:pPr>
      <w:proofErr w:type="spellStart"/>
      <w:r w:rsidRPr="00BC4680">
        <w:rPr>
          <w:highlight w:val="white"/>
          <w:lang w:val="en-GB"/>
        </w:rPr>
        <w:t>Assari</w:t>
      </w:r>
      <w:proofErr w:type="spellEnd"/>
      <w:r w:rsidRPr="00BC4680">
        <w:rPr>
          <w:highlight w:val="white"/>
          <w:lang w:val="en-GB"/>
        </w:rPr>
        <w:t xml:space="preserve">, S., (2024). Intergenerational transmission of incarceration among Black men and boys: A vicious cycle caused by structural racism. </w:t>
      </w:r>
      <w:r w:rsidRPr="00BC4680">
        <w:rPr>
          <w:i/>
          <w:iCs/>
          <w:highlight w:val="white"/>
          <w:lang w:val="en-GB"/>
        </w:rPr>
        <w:t>Journal of Medicine, Surgery, and Public Health</w:t>
      </w:r>
      <w:r w:rsidRPr="00BC4680">
        <w:rPr>
          <w:highlight w:val="white"/>
          <w:lang w:val="en-GB"/>
        </w:rPr>
        <w:t xml:space="preserve">, </w:t>
      </w:r>
      <w:r w:rsidRPr="00BC4680">
        <w:rPr>
          <w:i/>
          <w:iCs/>
          <w:highlight w:val="white"/>
          <w:lang w:val="en-GB"/>
        </w:rPr>
        <w:t>3</w:t>
      </w:r>
      <w:r w:rsidRPr="00BC4680">
        <w:rPr>
          <w:highlight w:val="white"/>
          <w:lang w:val="en-GB"/>
        </w:rPr>
        <w:t xml:space="preserve">, p.100100.  </w:t>
      </w:r>
      <w:hyperlink r:id="rId8" w:history="1">
        <w:r w:rsidR="00856631" w:rsidRPr="00B46D23">
          <w:rPr>
            <w:rStyle w:val="Hyperlink"/>
            <w:highlight w:val="white"/>
            <w:lang w:val="en-GB"/>
          </w:rPr>
          <w:t>https://doi.org/10.1016/j.glmedi.2024.100100</w:t>
        </w:r>
      </w:hyperlink>
      <w:r w:rsidR="00856631">
        <w:rPr>
          <w:highlight w:val="white"/>
          <w:lang w:val="en-GB"/>
        </w:rPr>
        <w:t xml:space="preserve"> </w:t>
      </w:r>
    </w:p>
    <w:p w14:paraId="244E2441" w14:textId="13185731" w:rsidR="0095338E" w:rsidRPr="00BC4680" w:rsidRDefault="0095338E">
      <w:pPr>
        <w:spacing w:before="200" w:after="0"/>
        <w:rPr>
          <w:highlight w:val="white"/>
          <w:lang w:val="en-GB"/>
        </w:rPr>
      </w:pPr>
      <w:r w:rsidRPr="00BC4680">
        <w:rPr>
          <w:highlight w:val="white"/>
          <w:lang w:val="en-GB"/>
        </w:rPr>
        <w:t xml:space="preserve">BHF, (2026). </w:t>
      </w:r>
      <w:r w:rsidRPr="00BC4680">
        <w:rPr>
          <w:i/>
          <w:iCs/>
          <w:highlight w:val="white"/>
          <w:lang w:val="en-GB"/>
        </w:rPr>
        <w:t>Women and heart disease</w:t>
      </w:r>
      <w:r w:rsidRPr="00BC4680">
        <w:rPr>
          <w:highlight w:val="white"/>
          <w:lang w:val="en-GB"/>
        </w:rPr>
        <w:t xml:space="preserve">. Available at: </w:t>
      </w:r>
      <w:hyperlink r:id="rId9" w:history="1">
        <w:r w:rsidR="00856631" w:rsidRPr="00B46D23">
          <w:rPr>
            <w:rStyle w:val="Hyperlink"/>
            <w:highlight w:val="white"/>
            <w:lang w:val="en-GB"/>
          </w:rPr>
          <w:t>https://www.bhf.org.uk/informationsupport/support/women-with-a-heart-condition/women-and-heart-disease</w:t>
        </w:r>
      </w:hyperlink>
      <w:r w:rsidR="00856631">
        <w:rPr>
          <w:highlight w:val="white"/>
          <w:lang w:val="en-GB"/>
        </w:rPr>
        <w:t xml:space="preserve"> </w:t>
      </w:r>
      <w:r w:rsidRPr="00BC4680">
        <w:rPr>
          <w:highlight w:val="white"/>
          <w:lang w:val="en-GB"/>
        </w:rPr>
        <w:t xml:space="preserve"> [Accessed on: 25th April, 2026]</w:t>
      </w:r>
    </w:p>
    <w:p w14:paraId="64D194F9" w14:textId="294B0C09" w:rsidR="0095338E" w:rsidRPr="00BC4680" w:rsidRDefault="0095338E">
      <w:pPr>
        <w:spacing w:before="200" w:after="0"/>
        <w:rPr>
          <w:lang w:val="en-GB"/>
        </w:rPr>
      </w:pPr>
      <w:r w:rsidRPr="00BC4680">
        <w:rPr>
          <w:highlight w:val="white"/>
          <w:lang w:val="en-GB"/>
        </w:rPr>
        <w:t xml:space="preserve">Cataldo, C., </w:t>
      </w:r>
      <w:proofErr w:type="spellStart"/>
      <w:r w:rsidRPr="00BC4680">
        <w:rPr>
          <w:highlight w:val="white"/>
          <w:lang w:val="en-GB"/>
        </w:rPr>
        <w:t>Bellenghi</w:t>
      </w:r>
      <w:proofErr w:type="spellEnd"/>
      <w:r w:rsidRPr="00BC4680">
        <w:rPr>
          <w:highlight w:val="white"/>
          <w:lang w:val="en-GB"/>
        </w:rPr>
        <w:t xml:space="preserve">, M., Masella, R. and </w:t>
      </w:r>
      <w:proofErr w:type="spellStart"/>
      <w:r w:rsidRPr="00BC4680">
        <w:rPr>
          <w:highlight w:val="white"/>
          <w:lang w:val="en-GB"/>
        </w:rPr>
        <w:t>Busani</w:t>
      </w:r>
      <w:proofErr w:type="spellEnd"/>
      <w:r w:rsidRPr="00BC4680">
        <w:rPr>
          <w:highlight w:val="white"/>
          <w:lang w:val="en-GB"/>
        </w:rPr>
        <w:t xml:space="preserve">, L., (2023). One Health challenges and actions: Integration of gender considerations to reduce risks at the human-animal-environmental interface. </w:t>
      </w:r>
      <w:r w:rsidRPr="00BC4680">
        <w:rPr>
          <w:i/>
          <w:iCs/>
          <w:highlight w:val="white"/>
          <w:lang w:val="en-GB"/>
        </w:rPr>
        <w:t>One Health</w:t>
      </w:r>
      <w:r w:rsidRPr="00BC4680">
        <w:rPr>
          <w:highlight w:val="white"/>
          <w:lang w:val="en-GB"/>
        </w:rPr>
        <w:t xml:space="preserve">, </w:t>
      </w:r>
      <w:r w:rsidRPr="00BC4680">
        <w:rPr>
          <w:i/>
          <w:iCs/>
          <w:highlight w:val="white"/>
          <w:lang w:val="en-GB"/>
        </w:rPr>
        <w:t>16</w:t>
      </w:r>
      <w:r w:rsidRPr="00BC4680">
        <w:rPr>
          <w:highlight w:val="white"/>
          <w:lang w:val="en-GB"/>
        </w:rPr>
        <w:t xml:space="preserve">, p.100530. </w:t>
      </w:r>
      <w:hyperlink r:id="rId10" w:history="1">
        <w:r w:rsidR="00856631" w:rsidRPr="00B46D23">
          <w:rPr>
            <w:rStyle w:val="Hyperlink"/>
            <w:highlight w:val="white"/>
            <w:lang w:val="en-GB"/>
          </w:rPr>
          <w:t>https://doi.org/10.1016/j.onehlt.2023.100530</w:t>
        </w:r>
      </w:hyperlink>
      <w:r w:rsidR="00856631">
        <w:rPr>
          <w:lang w:val="en-GB"/>
        </w:rPr>
        <w:t xml:space="preserve"> </w:t>
      </w:r>
    </w:p>
    <w:p w14:paraId="574CF99C" w14:textId="0BFEC3DE" w:rsidR="0095338E" w:rsidRPr="00BC4680" w:rsidRDefault="0095338E">
      <w:pPr>
        <w:spacing w:before="200" w:after="0"/>
        <w:rPr>
          <w:highlight w:val="white"/>
          <w:lang w:val="en-GB"/>
        </w:rPr>
      </w:pPr>
      <w:r w:rsidRPr="00BC4680">
        <w:rPr>
          <w:highlight w:val="white"/>
          <w:lang w:val="en-GB"/>
        </w:rPr>
        <w:t xml:space="preserve">Clark, K.D., Lunn, M.R., Bosse, J.D., Sevelius, J.M., Dawson-Rose, C., Weiss, S.J., </w:t>
      </w:r>
      <w:proofErr w:type="spellStart"/>
      <w:r w:rsidRPr="00BC4680">
        <w:rPr>
          <w:highlight w:val="white"/>
          <w:lang w:val="en-GB"/>
        </w:rPr>
        <w:t>Lubensky</w:t>
      </w:r>
      <w:proofErr w:type="spellEnd"/>
      <w:r w:rsidRPr="00BC4680">
        <w:rPr>
          <w:highlight w:val="white"/>
          <w:lang w:val="en-GB"/>
        </w:rPr>
        <w:t>, M.E., Obedin-</w:t>
      </w:r>
      <w:proofErr w:type="spellStart"/>
      <w:r w:rsidRPr="00BC4680">
        <w:rPr>
          <w:highlight w:val="white"/>
          <w:lang w:val="en-GB"/>
        </w:rPr>
        <w:t>Maliver</w:t>
      </w:r>
      <w:proofErr w:type="spellEnd"/>
      <w:r w:rsidRPr="00BC4680">
        <w:rPr>
          <w:highlight w:val="white"/>
          <w:lang w:val="en-GB"/>
        </w:rPr>
        <w:t xml:space="preserve">, J. and Flentje, A., </w:t>
      </w:r>
      <w:r w:rsidR="00856631">
        <w:rPr>
          <w:highlight w:val="white"/>
          <w:lang w:val="en-GB"/>
        </w:rPr>
        <w:t>(</w:t>
      </w:r>
      <w:r w:rsidRPr="00BC4680">
        <w:rPr>
          <w:highlight w:val="white"/>
          <w:lang w:val="en-GB"/>
        </w:rPr>
        <w:t>2023</w:t>
      </w:r>
      <w:r w:rsidR="00856631">
        <w:rPr>
          <w:highlight w:val="white"/>
          <w:lang w:val="en-GB"/>
        </w:rPr>
        <w:t>)</w:t>
      </w:r>
      <w:r w:rsidRPr="00BC4680">
        <w:rPr>
          <w:highlight w:val="white"/>
          <w:lang w:val="en-GB"/>
        </w:rPr>
        <w:t xml:space="preserve">. Societal stigma and mistreatment in healthcare among gender minority people: a cross-sectional study. </w:t>
      </w:r>
      <w:r w:rsidRPr="00BC4680">
        <w:rPr>
          <w:i/>
          <w:iCs/>
          <w:highlight w:val="white"/>
          <w:lang w:val="en-GB"/>
        </w:rPr>
        <w:t>International Journal for Equity in Health</w:t>
      </w:r>
      <w:r w:rsidRPr="00BC4680">
        <w:rPr>
          <w:highlight w:val="white"/>
          <w:lang w:val="en-GB"/>
        </w:rPr>
        <w:t xml:space="preserve">, </w:t>
      </w:r>
      <w:r w:rsidRPr="00BC4680">
        <w:rPr>
          <w:i/>
          <w:iCs/>
          <w:highlight w:val="white"/>
          <w:lang w:val="en-GB"/>
        </w:rPr>
        <w:t>22</w:t>
      </w:r>
      <w:r w:rsidRPr="00BC4680">
        <w:rPr>
          <w:highlight w:val="white"/>
          <w:lang w:val="en-GB"/>
        </w:rPr>
        <w:t xml:space="preserve">(1), p.162. </w:t>
      </w:r>
      <w:hyperlink r:id="rId11" w:history="1">
        <w:r w:rsidR="00856631" w:rsidRPr="00B46D23">
          <w:rPr>
            <w:rStyle w:val="Hyperlink"/>
            <w:highlight w:val="white"/>
            <w:lang w:val="en-GB"/>
          </w:rPr>
          <w:t>https://doi.org/10.1186/s12939-023-01975-7</w:t>
        </w:r>
      </w:hyperlink>
      <w:r w:rsidR="00856631">
        <w:rPr>
          <w:highlight w:val="white"/>
          <w:lang w:val="en-GB"/>
        </w:rPr>
        <w:t xml:space="preserve"> </w:t>
      </w:r>
    </w:p>
    <w:p w14:paraId="3F10B7C1" w14:textId="552505D8" w:rsidR="0095338E" w:rsidRPr="00BC4680" w:rsidRDefault="0095338E">
      <w:pPr>
        <w:spacing w:before="200" w:after="0"/>
        <w:rPr>
          <w:highlight w:val="white"/>
          <w:lang w:val="en-GB"/>
        </w:rPr>
      </w:pPr>
      <w:r w:rsidRPr="00BC4680">
        <w:rPr>
          <w:highlight w:val="white"/>
          <w:lang w:val="en-GB"/>
        </w:rPr>
        <w:t xml:space="preserve">Cookson, T.P., Fuentes, L. and Bitterly, J., (2025). Addressing gender-based violence through social protection: a scoping review. </w:t>
      </w:r>
      <w:r w:rsidRPr="00BC4680">
        <w:rPr>
          <w:i/>
          <w:iCs/>
          <w:highlight w:val="white"/>
          <w:lang w:val="en-GB"/>
        </w:rPr>
        <w:t>Development in Practice</w:t>
      </w:r>
      <w:r w:rsidRPr="00BC4680">
        <w:rPr>
          <w:highlight w:val="white"/>
          <w:lang w:val="en-GB"/>
        </w:rPr>
        <w:t xml:space="preserve">, </w:t>
      </w:r>
      <w:r w:rsidRPr="00BC4680">
        <w:rPr>
          <w:i/>
          <w:iCs/>
          <w:highlight w:val="white"/>
          <w:lang w:val="en-GB"/>
        </w:rPr>
        <w:t>35</w:t>
      </w:r>
      <w:r w:rsidRPr="00BC4680">
        <w:rPr>
          <w:highlight w:val="white"/>
          <w:lang w:val="en-GB"/>
        </w:rPr>
        <w:t xml:space="preserve">(3), pp.305-320. </w:t>
      </w:r>
      <w:hyperlink r:id="rId12" w:history="1">
        <w:r w:rsidR="00856631" w:rsidRPr="00B46D23">
          <w:rPr>
            <w:rStyle w:val="Hyperlink"/>
            <w:highlight w:val="white"/>
            <w:lang w:val="en-GB"/>
          </w:rPr>
          <w:t>https://doi.org/10.1080/09614524.2023.2290438</w:t>
        </w:r>
      </w:hyperlink>
      <w:r w:rsidR="00856631">
        <w:rPr>
          <w:highlight w:val="white"/>
          <w:lang w:val="en-GB"/>
        </w:rPr>
        <w:t xml:space="preserve"> </w:t>
      </w:r>
    </w:p>
    <w:p w14:paraId="7F663808" w14:textId="26593931" w:rsidR="0095338E" w:rsidRPr="00BC4680" w:rsidRDefault="0095338E">
      <w:pPr>
        <w:spacing w:before="200" w:after="0"/>
        <w:rPr>
          <w:highlight w:val="white"/>
          <w:lang w:val="en-GB"/>
        </w:rPr>
      </w:pPr>
      <w:r w:rsidRPr="00BC4680">
        <w:rPr>
          <w:highlight w:val="white"/>
          <w:lang w:val="en-GB"/>
        </w:rPr>
        <w:t xml:space="preserve">Cooper, J., </w:t>
      </w:r>
      <w:proofErr w:type="spellStart"/>
      <w:r w:rsidRPr="00BC4680">
        <w:rPr>
          <w:highlight w:val="white"/>
          <w:lang w:val="en-GB"/>
        </w:rPr>
        <w:t>Nirantharakumar</w:t>
      </w:r>
      <w:proofErr w:type="spellEnd"/>
      <w:r w:rsidRPr="00BC4680">
        <w:rPr>
          <w:highlight w:val="white"/>
          <w:lang w:val="en-GB"/>
        </w:rPr>
        <w:t xml:space="preserve">, K., Crowe, F., Azcoaga-Lorenzo, A., McCowan, C., Jackson, T., Acharya, A., Gokhale, K., Gunathilaka, N., Marshall, T. and Haroon, S., (2023). Prevalence and demographic variation of cardiovascular, renal, metabolic, and mental health conditions in 12 million </w:t>
      </w:r>
      <w:proofErr w:type="spellStart"/>
      <w:r w:rsidRPr="00BC4680">
        <w:rPr>
          <w:highlight w:val="white"/>
          <w:lang w:val="en-GB"/>
        </w:rPr>
        <w:t>english</w:t>
      </w:r>
      <w:proofErr w:type="spellEnd"/>
      <w:r w:rsidRPr="00BC4680">
        <w:rPr>
          <w:highlight w:val="white"/>
          <w:lang w:val="en-GB"/>
        </w:rPr>
        <w:t xml:space="preserve"> primary care records. </w:t>
      </w:r>
      <w:r w:rsidRPr="00BC4680">
        <w:rPr>
          <w:i/>
          <w:iCs/>
          <w:highlight w:val="white"/>
          <w:lang w:val="en-GB"/>
        </w:rPr>
        <w:t>BMC Medical Informatics and Decision Making</w:t>
      </w:r>
      <w:r w:rsidRPr="00BC4680">
        <w:rPr>
          <w:highlight w:val="white"/>
          <w:lang w:val="en-GB"/>
        </w:rPr>
        <w:t xml:space="preserve">, </w:t>
      </w:r>
      <w:r w:rsidRPr="00BC4680">
        <w:rPr>
          <w:i/>
          <w:iCs/>
          <w:highlight w:val="white"/>
          <w:lang w:val="en-GB"/>
        </w:rPr>
        <w:t>23</w:t>
      </w:r>
      <w:r w:rsidRPr="00BC4680">
        <w:rPr>
          <w:highlight w:val="white"/>
          <w:lang w:val="en-GB"/>
        </w:rPr>
        <w:t xml:space="preserve">(1), p.220. </w:t>
      </w:r>
      <w:hyperlink r:id="rId13" w:history="1">
        <w:r w:rsidR="00856631" w:rsidRPr="00B46D23">
          <w:rPr>
            <w:rStyle w:val="Hyperlink"/>
            <w:highlight w:val="white"/>
            <w:lang w:val="en-GB"/>
          </w:rPr>
          <w:t>https://doi.org/10.1186/s12911-023-02296-z</w:t>
        </w:r>
      </w:hyperlink>
      <w:r w:rsidR="00856631">
        <w:rPr>
          <w:highlight w:val="white"/>
          <w:lang w:val="en-GB"/>
        </w:rPr>
        <w:t xml:space="preserve"> </w:t>
      </w:r>
    </w:p>
    <w:p w14:paraId="0F8091B5" w14:textId="500AF1E4" w:rsidR="0095338E" w:rsidRPr="00BC4680" w:rsidRDefault="0095338E">
      <w:pPr>
        <w:spacing w:before="200" w:after="0"/>
        <w:rPr>
          <w:highlight w:val="white"/>
          <w:lang w:val="en-GB"/>
        </w:rPr>
      </w:pPr>
      <w:r w:rsidRPr="00BC4680">
        <w:rPr>
          <w:highlight w:val="white"/>
          <w:lang w:val="en-GB"/>
        </w:rPr>
        <w:t xml:space="preserve">Davidson, N., Hammarberg, K., Romero, L. and Fisher, J., (2022). Access to preventive sexual and reproductive health care for women from refugee-like backgrounds: a systematic review. </w:t>
      </w:r>
      <w:r w:rsidRPr="00BC4680">
        <w:rPr>
          <w:i/>
          <w:iCs/>
          <w:highlight w:val="white"/>
          <w:lang w:val="en-GB"/>
        </w:rPr>
        <w:t>BMC public health</w:t>
      </w:r>
      <w:r w:rsidRPr="00BC4680">
        <w:rPr>
          <w:highlight w:val="white"/>
          <w:lang w:val="en-GB"/>
        </w:rPr>
        <w:t xml:space="preserve">, </w:t>
      </w:r>
      <w:r w:rsidRPr="00BC4680">
        <w:rPr>
          <w:i/>
          <w:iCs/>
          <w:highlight w:val="white"/>
          <w:lang w:val="en-GB"/>
        </w:rPr>
        <w:t>22</w:t>
      </w:r>
      <w:r w:rsidRPr="00BC4680">
        <w:rPr>
          <w:highlight w:val="white"/>
          <w:lang w:val="en-GB"/>
        </w:rPr>
        <w:t xml:space="preserve">(1), p.403. </w:t>
      </w:r>
      <w:hyperlink r:id="rId14" w:history="1">
        <w:r w:rsidR="00856631" w:rsidRPr="00B46D23">
          <w:rPr>
            <w:rStyle w:val="Hyperlink"/>
            <w:highlight w:val="white"/>
            <w:lang w:val="en-GB"/>
          </w:rPr>
          <w:t>https://doi.org/10.1186/s12889-022-12576-4</w:t>
        </w:r>
      </w:hyperlink>
      <w:r w:rsidR="00856631">
        <w:rPr>
          <w:highlight w:val="white"/>
          <w:lang w:val="en-GB"/>
        </w:rPr>
        <w:t xml:space="preserve"> </w:t>
      </w:r>
    </w:p>
    <w:p w14:paraId="5262778A" w14:textId="3B226AC8" w:rsidR="0095338E" w:rsidRPr="00BC4680" w:rsidRDefault="0095338E">
      <w:pPr>
        <w:spacing w:before="200" w:after="0"/>
        <w:rPr>
          <w:highlight w:val="white"/>
          <w:lang w:val="en-GB"/>
        </w:rPr>
      </w:pPr>
      <w:r w:rsidRPr="00BC4680">
        <w:rPr>
          <w:highlight w:val="white"/>
          <w:lang w:val="en-GB"/>
        </w:rPr>
        <w:t xml:space="preserve">Delgado-Herrera, M., Aceves-Gómez, A.C. and Reyes-Aguilar, A., (2024). Relationship between gender roles, motherhood beliefs </w:t>
      </w:r>
      <w:proofErr w:type="gramStart"/>
      <w:r w:rsidRPr="00BC4680">
        <w:rPr>
          <w:highlight w:val="white"/>
          <w:lang w:val="en-GB"/>
        </w:rPr>
        <w:t xml:space="preserve">and </w:t>
      </w:r>
      <w:r w:rsidR="00856631">
        <w:rPr>
          <w:highlight w:val="white"/>
          <w:lang w:val="en-GB"/>
        </w:rPr>
        <w:t xml:space="preserve"> </w:t>
      </w:r>
      <w:r w:rsidRPr="00BC4680">
        <w:rPr>
          <w:highlight w:val="white"/>
          <w:lang w:val="en-GB"/>
        </w:rPr>
        <w:t>mental</w:t>
      </w:r>
      <w:proofErr w:type="gramEnd"/>
      <w:r w:rsidRPr="00BC4680">
        <w:rPr>
          <w:highlight w:val="white"/>
          <w:lang w:val="en-GB"/>
        </w:rPr>
        <w:t xml:space="preserve"> health. </w:t>
      </w:r>
      <w:proofErr w:type="spellStart"/>
      <w:r w:rsidRPr="00BC4680">
        <w:rPr>
          <w:i/>
          <w:iCs/>
          <w:highlight w:val="white"/>
          <w:lang w:val="en-GB"/>
        </w:rPr>
        <w:t>PLoS</w:t>
      </w:r>
      <w:proofErr w:type="spellEnd"/>
      <w:r w:rsidRPr="00BC4680">
        <w:rPr>
          <w:i/>
          <w:iCs/>
          <w:highlight w:val="white"/>
          <w:lang w:val="en-GB"/>
        </w:rPr>
        <w:t xml:space="preserve"> One</w:t>
      </w:r>
      <w:r w:rsidRPr="00BC4680">
        <w:rPr>
          <w:highlight w:val="white"/>
          <w:lang w:val="en-GB"/>
        </w:rPr>
        <w:t xml:space="preserve">, </w:t>
      </w:r>
      <w:r w:rsidRPr="00BC4680">
        <w:rPr>
          <w:i/>
          <w:iCs/>
          <w:highlight w:val="white"/>
          <w:lang w:val="en-GB"/>
        </w:rPr>
        <w:t>19</w:t>
      </w:r>
      <w:r w:rsidRPr="00BC4680">
        <w:rPr>
          <w:highlight w:val="white"/>
          <w:lang w:val="en-GB"/>
        </w:rPr>
        <w:t xml:space="preserve">(3), p.e0298750.  </w:t>
      </w:r>
      <w:hyperlink r:id="rId15" w:history="1">
        <w:r w:rsidR="00856631" w:rsidRPr="00B46D23">
          <w:rPr>
            <w:rStyle w:val="Hyperlink"/>
            <w:highlight w:val="white"/>
            <w:lang w:val="en-GB"/>
          </w:rPr>
          <w:t>https://doi.org/10.1371/journal.pone.0298750</w:t>
        </w:r>
      </w:hyperlink>
      <w:r w:rsidR="00856631">
        <w:rPr>
          <w:highlight w:val="white"/>
          <w:lang w:val="en-GB"/>
        </w:rPr>
        <w:t xml:space="preserve"> </w:t>
      </w:r>
    </w:p>
    <w:p w14:paraId="2690B81C" w14:textId="193FA6A1" w:rsidR="0095338E" w:rsidRPr="00BC4680" w:rsidRDefault="0095338E">
      <w:pPr>
        <w:spacing w:before="200" w:after="0"/>
        <w:rPr>
          <w:highlight w:val="white"/>
          <w:lang w:val="en-GB"/>
        </w:rPr>
      </w:pPr>
      <w:r w:rsidRPr="00BC4680">
        <w:rPr>
          <w:highlight w:val="white"/>
          <w:lang w:val="en-GB"/>
        </w:rPr>
        <w:t xml:space="preserve">Dery, G.N., </w:t>
      </w:r>
      <w:proofErr w:type="spellStart"/>
      <w:r w:rsidRPr="00BC4680">
        <w:rPr>
          <w:highlight w:val="white"/>
          <w:lang w:val="en-GB"/>
        </w:rPr>
        <w:t>Duorinaah</w:t>
      </w:r>
      <w:proofErr w:type="spellEnd"/>
      <w:r w:rsidRPr="00BC4680">
        <w:rPr>
          <w:highlight w:val="white"/>
          <w:lang w:val="en-GB"/>
        </w:rPr>
        <w:t xml:space="preserve">, E. and </w:t>
      </w:r>
      <w:proofErr w:type="spellStart"/>
      <w:r w:rsidRPr="00BC4680">
        <w:rPr>
          <w:highlight w:val="white"/>
          <w:lang w:val="en-GB"/>
        </w:rPr>
        <w:t>Bonye</w:t>
      </w:r>
      <w:proofErr w:type="spellEnd"/>
      <w:r w:rsidRPr="00BC4680">
        <w:rPr>
          <w:highlight w:val="white"/>
          <w:lang w:val="en-GB"/>
        </w:rPr>
        <w:t xml:space="preserve">, S.Z., (2025, January). Intersectionality in gender inequality among women: Adopting policies to minimise unpaid care burden on rural women </w:t>
      </w:r>
      <w:r w:rsidRPr="00BC4680">
        <w:rPr>
          <w:highlight w:val="white"/>
          <w:lang w:val="en-GB"/>
        </w:rPr>
        <w:lastRenderedPageBreak/>
        <w:t xml:space="preserve">in north-western Ghana. In </w:t>
      </w:r>
      <w:r w:rsidRPr="00BC4680">
        <w:rPr>
          <w:i/>
          <w:iCs/>
          <w:highlight w:val="white"/>
          <w:lang w:val="en-GB"/>
        </w:rPr>
        <w:t>Women's Studies International Forum</w:t>
      </w:r>
      <w:r w:rsidRPr="00BC4680">
        <w:rPr>
          <w:highlight w:val="white"/>
          <w:lang w:val="en-GB"/>
        </w:rPr>
        <w:t xml:space="preserve"> (Vol. 108, p. 103020). Pergamon. </w:t>
      </w:r>
      <w:hyperlink r:id="rId16" w:history="1">
        <w:r w:rsidR="00856631" w:rsidRPr="00B46D23">
          <w:rPr>
            <w:rStyle w:val="Hyperlink"/>
            <w:highlight w:val="white"/>
            <w:lang w:val="en-GB"/>
          </w:rPr>
          <w:t>https://doi.org/10.1016/j.wsif.2024.103020</w:t>
        </w:r>
      </w:hyperlink>
      <w:r w:rsidR="00856631">
        <w:rPr>
          <w:highlight w:val="white"/>
          <w:lang w:val="en-GB"/>
        </w:rPr>
        <w:t xml:space="preserve"> </w:t>
      </w:r>
    </w:p>
    <w:p w14:paraId="18F3CEE2" w14:textId="485BD959" w:rsidR="0095338E" w:rsidRPr="00BC4680" w:rsidRDefault="0095338E">
      <w:pPr>
        <w:spacing w:before="200" w:after="0"/>
        <w:rPr>
          <w:highlight w:val="white"/>
          <w:lang w:val="en-GB"/>
        </w:rPr>
      </w:pPr>
      <w:r w:rsidRPr="00BC4680">
        <w:rPr>
          <w:highlight w:val="white"/>
          <w:lang w:val="en-GB"/>
        </w:rPr>
        <w:t xml:space="preserve">Dushkova, D. and Ivlieva, O., (2024). Empowering communities to act for a change: A review of the community empowerment programs towards sustainability and resilience. </w:t>
      </w:r>
      <w:r w:rsidRPr="00BC4680">
        <w:rPr>
          <w:i/>
          <w:iCs/>
          <w:highlight w:val="white"/>
          <w:lang w:val="en-GB"/>
        </w:rPr>
        <w:t>Sustainability</w:t>
      </w:r>
      <w:r w:rsidRPr="00BC4680">
        <w:rPr>
          <w:highlight w:val="white"/>
          <w:lang w:val="en-GB"/>
        </w:rPr>
        <w:t xml:space="preserve">, </w:t>
      </w:r>
      <w:r w:rsidRPr="00BC4680">
        <w:rPr>
          <w:i/>
          <w:iCs/>
          <w:highlight w:val="white"/>
          <w:lang w:val="en-GB"/>
        </w:rPr>
        <w:t>16</w:t>
      </w:r>
      <w:r w:rsidRPr="00BC4680">
        <w:rPr>
          <w:highlight w:val="white"/>
          <w:lang w:val="en-GB"/>
        </w:rPr>
        <w:t xml:space="preserve">(19), p.8700. </w:t>
      </w:r>
      <w:hyperlink r:id="rId17" w:history="1">
        <w:r w:rsidR="00856631" w:rsidRPr="00B46D23">
          <w:rPr>
            <w:rStyle w:val="Hyperlink"/>
            <w:highlight w:val="white"/>
            <w:lang w:val="en-GB"/>
          </w:rPr>
          <w:t>https://doi.org/10.3390/su16198700</w:t>
        </w:r>
      </w:hyperlink>
      <w:r w:rsidR="00856631">
        <w:rPr>
          <w:highlight w:val="white"/>
          <w:lang w:val="en-GB"/>
        </w:rPr>
        <w:t xml:space="preserve"> </w:t>
      </w:r>
    </w:p>
    <w:p w14:paraId="5C547D3B" w14:textId="4B9C0381" w:rsidR="0095338E" w:rsidRPr="00BC4680" w:rsidRDefault="0095338E">
      <w:pPr>
        <w:spacing w:before="200" w:after="0"/>
        <w:rPr>
          <w:highlight w:val="white"/>
          <w:lang w:val="en-GB"/>
        </w:rPr>
      </w:pPr>
      <w:r w:rsidRPr="00BC4680">
        <w:rPr>
          <w:highlight w:val="white"/>
          <w:lang w:val="en-GB"/>
        </w:rPr>
        <w:t xml:space="preserve">GOV, (2022). </w:t>
      </w:r>
      <w:r w:rsidRPr="00BC4680">
        <w:rPr>
          <w:i/>
          <w:iCs/>
          <w:highlight w:val="white"/>
          <w:lang w:val="en-GB"/>
        </w:rPr>
        <w:t>Women's Health Strategy for England</w:t>
      </w:r>
      <w:r w:rsidRPr="00BC4680">
        <w:rPr>
          <w:highlight w:val="white"/>
          <w:lang w:val="en-GB"/>
        </w:rPr>
        <w:t xml:space="preserve">. Available at: </w:t>
      </w:r>
      <w:hyperlink r:id="rId18" w:history="1">
        <w:r w:rsidR="00856631" w:rsidRPr="00B46D23">
          <w:rPr>
            <w:rStyle w:val="Hyperlink"/>
            <w:highlight w:val="white"/>
            <w:lang w:val="en-GB"/>
          </w:rPr>
          <w:t>https://www.gov.uk/government/publications/womens-health-strategy-for-england/womens-health-strategy-for-england</w:t>
        </w:r>
      </w:hyperlink>
      <w:r w:rsidR="00856631">
        <w:rPr>
          <w:highlight w:val="white"/>
          <w:lang w:val="en-GB"/>
        </w:rPr>
        <w:t xml:space="preserve"> </w:t>
      </w:r>
      <w:r w:rsidRPr="00BC4680">
        <w:rPr>
          <w:highlight w:val="white"/>
          <w:lang w:val="en-GB"/>
        </w:rPr>
        <w:t xml:space="preserve"> [Accessed on: 25th April, 2026]</w:t>
      </w:r>
    </w:p>
    <w:p w14:paraId="30552510" w14:textId="1511C9C6" w:rsidR="0095338E" w:rsidRPr="00BC4680" w:rsidRDefault="0095338E">
      <w:pPr>
        <w:spacing w:before="200" w:after="0"/>
        <w:rPr>
          <w:highlight w:val="white"/>
          <w:lang w:val="en-GB"/>
        </w:rPr>
      </w:pPr>
      <w:r w:rsidRPr="00BC4680">
        <w:rPr>
          <w:highlight w:val="white"/>
          <w:lang w:val="en-GB"/>
        </w:rPr>
        <w:t xml:space="preserve">GOV, (2026). </w:t>
      </w:r>
      <w:r w:rsidRPr="00BC4680">
        <w:rPr>
          <w:i/>
          <w:iCs/>
          <w:highlight w:val="white"/>
          <w:lang w:val="en-GB"/>
        </w:rPr>
        <w:t>Government launches landmark gender pay gap and menopause action plans to help women thrive at work.</w:t>
      </w:r>
      <w:r w:rsidRPr="00BC4680">
        <w:rPr>
          <w:highlight w:val="white"/>
          <w:lang w:val="en-GB"/>
        </w:rPr>
        <w:t xml:space="preserve"> Available at: </w:t>
      </w:r>
      <w:hyperlink r:id="rId19" w:history="1">
        <w:r w:rsidR="00856631" w:rsidRPr="00B46D23">
          <w:rPr>
            <w:rStyle w:val="Hyperlink"/>
            <w:highlight w:val="white"/>
            <w:lang w:val="en-GB"/>
          </w:rPr>
          <w:t>https://www.gov.uk/government/news/government-launches-landmark-gender-pay-gap-and-menopause-action-plans-to-help-women-thrive-at-work</w:t>
        </w:r>
      </w:hyperlink>
      <w:r w:rsidR="00856631">
        <w:rPr>
          <w:highlight w:val="white"/>
          <w:lang w:val="en-GB"/>
        </w:rPr>
        <w:t xml:space="preserve"> </w:t>
      </w:r>
      <w:r w:rsidRPr="00BC4680">
        <w:rPr>
          <w:highlight w:val="white"/>
          <w:lang w:val="en-GB"/>
        </w:rPr>
        <w:t xml:space="preserve"> [Accessed on: 25th April, 2026]</w:t>
      </w:r>
    </w:p>
    <w:p w14:paraId="4D7BAE7A" w14:textId="1F48E89B" w:rsidR="0095338E" w:rsidRPr="00BC4680" w:rsidRDefault="0095338E">
      <w:pPr>
        <w:spacing w:before="200" w:after="0"/>
        <w:rPr>
          <w:highlight w:val="white"/>
          <w:lang w:val="en-GB"/>
        </w:rPr>
      </w:pPr>
      <w:r w:rsidRPr="00BC4680">
        <w:rPr>
          <w:highlight w:val="white"/>
          <w:lang w:val="en-GB"/>
        </w:rPr>
        <w:t xml:space="preserve">Hussain, Z., Rizvi, L.J. and Sheikh, H., (2022). The Equality Act (2010)-pre-and post-pandemic historic development on equality and discrimination issues for employers: review of literature. </w:t>
      </w:r>
      <w:r w:rsidRPr="00BC4680">
        <w:rPr>
          <w:i/>
          <w:iCs/>
          <w:highlight w:val="white"/>
          <w:lang w:val="en-GB"/>
        </w:rPr>
        <w:t>International Journal of Law and Management</w:t>
      </w:r>
      <w:r w:rsidRPr="00BC4680">
        <w:rPr>
          <w:highlight w:val="white"/>
          <w:lang w:val="en-GB"/>
        </w:rPr>
        <w:t xml:space="preserve">, </w:t>
      </w:r>
      <w:r w:rsidRPr="00BC4680">
        <w:rPr>
          <w:i/>
          <w:iCs/>
          <w:highlight w:val="white"/>
          <w:lang w:val="en-GB"/>
        </w:rPr>
        <w:t>64</w:t>
      </w:r>
      <w:r w:rsidRPr="00BC4680">
        <w:rPr>
          <w:highlight w:val="white"/>
          <w:lang w:val="en-GB"/>
        </w:rPr>
        <w:t xml:space="preserve">(2), pp.168-183. </w:t>
      </w:r>
      <w:hyperlink r:id="rId20" w:history="1">
        <w:r w:rsidR="00856631" w:rsidRPr="00B46D23">
          <w:rPr>
            <w:rStyle w:val="Hyperlink"/>
            <w:highlight w:val="white"/>
            <w:lang w:val="en-GB"/>
          </w:rPr>
          <w:t>https://doi.org/10.1108/IJLMA-03-2021-0067</w:t>
        </w:r>
      </w:hyperlink>
      <w:r w:rsidR="00856631">
        <w:rPr>
          <w:highlight w:val="white"/>
          <w:lang w:val="en-GB"/>
        </w:rPr>
        <w:t xml:space="preserve"> </w:t>
      </w:r>
    </w:p>
    <w:p w14:paraId="1CE16C18" w14:textId="1D9A294C" w:rsidR="0095338E" w:rsidRPr="00BC4680" w:rsidRDefault="0095338E">
      <w:pPr>
        <w:spacing w:before="200" w:after="0"/>
        <w:rPr>
          <w:highlight w:val="white"/>
          <w:lang w:val="en-GB"/>
        </w:rPr>
      </w:pPr>
      <w:r w:rsidRPr="00BC4680">
        <w:rPr>
          <w:highlight w:val="white"/>
          <w:lang w:val="en-GB"/>
        </w:rPr>
        <w:t xml:space="preserve">Karpel, H.C., Zambrano Guevara, L.M., Rimel, B.J., Hacker, K.E., Bae‐Jump, V., Castellano, T., Curtin, J. and </w:t>
      </w:r>
      <w:proofErr w:type="spellStart"/>
      <w:r w:rsidRPr="00BC4680">
        <w:rPr>
          <w:highlight w:val="white"/>
          <w:lang w:val="en-GB"/>
        </w:rPr>
        <w:t>Pothuri</w:t>
      </w:r>
      <w:proofErr w:type="spellEnd"/>
      <w:r w:rsidRPr="00BC4680">
        <w:rPr>
          <w:highlight w:val="white"/>
          <w:lang w:val="en-GB"/>
        </w:rPr>
        <w:t xml:space="preserve">, B., (2025). The missing data: A review of gender and sex disparities in research. </w:t>
      </w:r>
      <w:r w:rsidRPr="00BC4680">
        <w:rPr>
          <w:i/>
          <w:iCs/>
          <w:highlight w:val="white"/>
          <w:lang w:val="en-GB"/>
        </w:rPr>
        <w:t>Cancer</w:t>
      </w:r>
      <w:r w:rsidRPr="00BC4680">
        <w:rPr>
          <w:highlight w:val="white"/>
          <w:lang w:val="en-GB"/>
        </w:rPr>
        <w:t xml:space="preserve">, </w:t>
      </w:r>
      <w:r w:rsidRPr="00BC4680">
        <w:rPr>
          <w:i/>
          <w:iCs/>
          <w:highlight w:val="white"/>
          <w:lang w:val="en-GB"/>
        </w:rPr>
        <w:t>131</w:t>
      </w:r>
      <w:r w:rsidRPr="00BC4680">
        <w:rPr>
          <w:highlight w:val="white"/>
          <w:lang w:val="en-GB"/>
        </w:rPr>
        <w:t xml:space="preserve">(6), p.e35769. </w:t>
      </w:r>
      <w:hyperlink r:id="rId21" w:history="1">
        <w:r w:rsidR="00856631" w:rsidRPr="00B46D23">
          <w:rPr>
            <w:rStyle w:val="Hyperlink"/>
            <w:highlight w:val="white"/>
            <w:lang w:val="en-GB"/>
          </w:rPr>
          <w:t>https://doi.org/10.1002/cncr.35769</w:t>
        </w:r>
      </w:hyperlink>
      <w:r w:rsidR="00856631">
        <w:rPr>
          <w:highlight w:val="white"/>
          <w:lang w:val="en-GB"/>
        </w:rPr>
        <w:t xml:space="preserve">  </w:t>
      </w:r>
    </w:p>
    <w:p w14:paraId="0EFC8C2B" w14:textId="01CD1C57" w:rsidR="0095338E" w:rsidRPr="00BC4680" w:rsidRDefault="0095338E">
      <w:pPr>
        <w:spacing w:before="200" w:after="0"/>
        <w:rPr>
          <w:highlight w:val="white"/>
          <w:lang w:val="en-GB"/>
        </w:rPr>
      </w:pPr>
      <w:r w:rsidRPr="00BC4680">
        <w:rPr>
          <w:highlight w:val="white"/>
          <w:lang w:val="en-GB"/>
        </w:rPr>
        <w:t xml:space="preserve">Kirkbride, J.B., Anglin, D.M., Colman, I., </w:t>
      </w:r>
      <w:proofErr w:type="spellStart"/>
      <w:r w:rsidRPr="00BC4680">
        <w:rPr>
          <w:highlight w:val="white"/>
          <w:lang w:val="en-GB"/>
        </w:rPr>
        <w:t>Dykxhoorn</w:t>
      </w:r>
      <w:proofErr w:type="spellEnd"/>
      <w:r w:rsidRPr="00BC4680">
        <w:rPr>
          <w:highlight w:val="white"/>
          <w:lang w:val="en-GB"/>
        </w:rPr>
        <w:t xml:space="preserve">, J., Jones, P.B., </w:t>
      </w:r>
      <w:proofErr w:type="spellStart"/>
      <w:r w:rsidRPr="00BC4680">
        <w:rPr>
          <w:highlight w:val="white"/>
          <w:lang w:val="en-GB"/>
        </w:rPr>
        <w:t>Patalay</w:t>
      </w:r>
      <w:proofErr w:type="spellEnd"/>
      <w:r w:rsidRPr="00BC4680">
        <w:rPr>
          <w:highlight w:val="white"/>
          <w:lang w:val="en-GB"/>
        </w:rPr>
        <w:t xml:space="preserve">, P., Pitman, A., Soneson, E., </w:t>
      </w:r>
      <w:proofErr w:type="spellStart"/>
      <w:r w:rsidRPr="00BC4680">
        <w:rPr>
          <w:highlight w:val="white"/>
          <w:lang w:val="en-GB"/>
        </w:rPr>
        <w:t>Steare</w:t>
      </w:r>
      <w:proofErr w:type="spellEnd"/>
      <w:r w:rsidRPr="00BC4680">
        <w:rPr>
          <w:highlight w:val="white"/>
          <w:lang w:val="en-GB"/>
        </w:rPr>
        <w:t xml:space="preserve">, T., Wright, T. and Griffiths, S.L., (2024). The social determinants of mental health and disorder: evidence, prevention and recommendations. </w:t>
      </w:r>
      <w:r w:rsidRPr="00BC4680">
        <w:rPr>
          <w:i/>
          <w:iCs/>
          <w:highlight w:val="white"/>
          <w:lang w:val="en-GB"/>
        </w:rPr>
        <w:t>World psychiatry</w:t>
      </w:r>
      <w:r w:rsidRPr="00BC4680">
        <w:rPr>
          <w:highlight w:val="white"/>
          <w:lang w:val="en-GB"/>
        </w:rPr>
        <w:t xml:space="preserve">, </w:t>
      </w:r>
      <w:r w:rsidRPr="00BC4680">
        <w:rPr>
          <w:i/>
          <w:iCs/>
          <w:highlight w:val="white"/>
          <w:lang w:val="en-GB"/>
        </w:rPr>
        <w:t>23</w:t>
      </w:r>
      <w:r w:rsidRPr="00BC4680">
        <w:rPr>
          <w:highlight w:val="white"/>
          <w:lang w:val="en-GB"/>
        </w:rPr>
        <w:t xml:space="preserve">(1), pp.58-90. </w:t>
      </w:r>
      <w:hyperlink r:id="rId22" w:history="1">
        <w:r w:rsidR="00856631" w:rsidRPr="00B46D23">
          <w:rPr>
            <w:rStyle w:val="Hyperlink"/>
            <w:highlight w:val="white"/>
            <w:lang w:val="en-GB"/>
          </w:rPr>
          <w:t>https://doi.org/10.1002/wps.21160</w:t>
        </w:r>
      </w:hyperlink>
      <w:r w:rsidR="00856631">
        <w:rPr>
          <w:highlight w:val="white"/>
          <w:lang w:val="en-GB"/>
        </w:rPr>
        <w:t xml:space="preserve"> </w:t>
      </w:r>
    </w:p>
    <w:p w14:paraId="099A10FC" w14:textId="1EC7CAD6" w:rsidR="0095338E" w:rsidRPr="00BC4680" w:rsidRDefault="0095338E">
      <w:pPr>
        <w:spacing w:before="200" w:after="0"/>
        <w:rPr>
          <w:highlight w:val="white"/>
          <w:lang w:val="en-GB"/>
        </w:rPr>
      </w:pPr>
      <w:r w:rsidRPr="00BC4680">
        <w:rPr>
          <w:highlight w:val="white"/>
          <w:lang w:val="en-GB"/>
        </w:rPr>
        <w:t xml:space="preserve">Mikail, N., Rossi, A., Bengs, S., Haider, A., </w:t>
      </w:r>
      <w:proofErr w:type="spellStart"/>
      <w:r w:rsidRPr="00BC4680">
        <w:rPr>
          <w:highlight w:val="white"/>
          <w:lang w:val="en-GB"/>
        </w:rPr>
        <w:t>Stähli</w:t>
      </w:r>
      <w:proofErr w:type="spellEnd"/>
      <w:r w:rsidRPr="00BC4680">
        <w:rPr>
          <w:highlight w:val="white"/>
          <w:lang w:val="en-GB"/>
        </w:rPr>
        <w:t xml:space="preserve">, B.E., Portmann, A., Imperiale, A., Treyer, V., Meisel, A., </w:t>
      </w:r>
      <w:proofErr w:type="spellStart"/>
      <w:r w:rsidRPr="00BC4680">
        <w:rPr>
          <w:highlight w:val="white"/>
          <w:lang w:val="en-GB"/>
        </w:rPr>
        <w:t>Pazhenkottil</w:t>
      </w:r>
      <w:proofErr w:type="spellEnd"/>
      <w:r w:rsidRPr="00BC4680">
        <w:rPr>
          <w:highlight w:val="white"/>
          <w:lang w:val="en-GB"/>
        </w:rPr>
        <w:t xml:space="preserve">, A.P. and Messerli, M., (2022). Imaging of heart disease in women: review and case presentation. </w:t>
      </w:r>
      <w:r w:rsidRPr="00BC4680">
        <w:rPr>
          <w:i/>
          <w:iCs/>
          <w:highlight w:val="white"/>
          <w:lang w:val="en-GB"/>
        </w:rPr>
        <w:t>European journal of nuclear medicine and molecular imaging</w:t>
      </w:r>
      <w:r w:rsidRPr="00BC4680">
        <w:rPr>
          <w:highlight w:val="white"/>
          <w:lang w:val="en-GB"/>
        </w:rPr>
        <w:t xml:space="preserve">, </w:t>
      </w:r>
      <w:r w:rsidRPr="00BC4680">
        <w:rPr>
          <w:i/>
          <w:iCs/>
          <w:highlight w:val="white"/>
          <w:lang w:val="en-GB"/>
        </w:rPr>
        <w:t>50</w:t>
      </w:r>
      <w:r w:rsidRPr="00BC4680">
        <w:rPr>
          <w:highlight w:val="white"/>
          <w:lang w:val="en-GB"/>
        </w:rPr>
        <w:t xml:space="preserve">(1), pp.130-159. </w:t>
      </w:r>
      <w:hyperlink r:id="rId23" w:history="1">
        <w:r w:rsidR="002A520E" w:rsidRPr="00B46D23">
          <w:rPr>
            <w:rStyle w:val="Hyperlink"/>
            <w:highlight w:val="white"/>
            <w:lang w:val="en-GB"/>
          </w:rPr>
          <w:t>https://doi.org/10.1007/s00259-022-05914-6</w:t>
        </w:r>
      </w:hyperlink>
      <w:r w:rsidR="002A520E">
        <w:rPr>
          <w:highlight w:val="white"/>
          <w:lang w:val="en-GB"/>
        </w:rPr>
        <w:t xml:space="preserve"> </w:t>
      </w:r>
    </w:p>
    <w:p w14:paraId="768A5255" w14:textId="4D554B1C" w:rsidR="0095338E" w:rsidRPr="00BC4680" w:rsidRDefault="0095338E">
      <w:pPr>
        <w:spacing w:before="200" w:after="0"/>
        <w:rPr>
          <w:highlight w:val="white"/>
          <w:lang w:val="en-GB"/>
        </w:rPr>
      </w:pPr>
      <w:r w:rsidRPr="00BC4680">
        <w:rPr>
          <w:highlight w:val="white"/>
          <w:lang w:val="en-GB"/>
        </w:rPr>
        <w:t xml:space="preserve">Mokua, S.N., </w:t>
      </w:r>
      <w:proofErr w:type="spellStart"/>
      <w:r w:rsidRPr="00BC4680">
        <w:rPr>
          <w:highlight w:val="white"/>
          <w:lang w:val="en-GB"/>
        </w:rPr>
        <w:t>Ombogo</w:t>
      </w:r>
      <w:proofErr w:type="spellEnd"/>
      <w:r w:rsidRPr="00BC4680">
        <w:rPr>
          <w:highlight w:val="white"/>
          <w:lang w:val="en-GB"/>
        </w:rPr>
        <w:t xml:space="preserve">, L., Mathu, D., </w:t>
      </w:r>
      <w:proofErr w:type="spellStart"/>
      <w:r w:rsidRPr="00BC4680">
        <w:rPr>
          <w:highlight w:val="white"/>
          <w:lang w:val="en-GB"/>
        </w:rPr>
        <w:t>Otambo</w:t>
      </w:r>
      <w:proofErr w:type="spellEnd"/>
      <w:r w:rsidRPr="00BC4680">
        <w:rPr>
          <w:highlight w:val="white"/>
          <w:lang w:val="en-GB"/>
        </w:rPr>
        <w:t xml:space="preserve">, P., </w:t>
      </w:r>
      <w:proofErr w:type="spellStart"/>
      <w:r w:rsidRPr="00BC4680">
        <w:rPr>
          <w:highlight w:val="white"/>
          <w:lang w:val="en-GB"/>
        </w:rPr>
        <w:t>Nyandieka</w:t>
      </w:r>
      <w:proofErr w:type="spellEnd"/>
      <w:r w:rsidRPr="00BC4680">
        <w:rPr>
          <w:highlight w:val="white"/>
          <w:lang w:val="en-GB"/>
        </w:rPr>
        <w:t xml:space="preserve">, L., </w:t>
      </w:r>
      <w:proofErr w:type="spellStart"/>
      <w:r w:rsidRPr="00BC4680">
        <w:rPr>
          <w:highlight w:val="white"/>
          <w:lang w:val="en-GB"/>
        </w:rPr>
        <w:t>Onteri</w:t>
      </w:r>
      <w:proofErr w:type="spellEnd"/>
      <w:r w:rsidRPr="00BC4680">
        <w:rPr>
          <w:highlight w:val="white"/>
          <w:lang w:val="en-GB"/>
        </w:rPr>
        <w:t xml:space="preserve">, S.N., </w:t>
      </w:r>
      <w:proofErr w:type="spellStart"/>
      <w:r w:rsidRPr="00BC4680">
        <w:rPr>
          <w:highlight w:val="white"/>
          <w:lang w:val="en-GB"/>
        </w:rPr>
        <w:t>Mbuka</w:t>
      </w:r>
      <w:proofErr w:type="spellEnd"/>
      <w:r w:rsidRPr="00BC4680">
        <w:rPr>
          <w:highlight w:val="white"/>
          <w:lang w:val="en-GB"/>
        </w:rPr>
        <w:t xml:space="preserve">, S.J., Kariuki, J., Ahmed, I., </w:t>
      </w:r>
      <w:proofErr w:type="spellStart"/>
      <w:r w:rsidRPr="00BC4680">
        <w:rPr>
          <w:highlight w:val="white"/>
          <w:lang w:val="en-GB"/>
        </w:rPr>
        <w:t>Wanjihia</w:t>
      </w:r>
      <w:proofErr w:type="spellEnd"/>
      <w:r w:rsidRPr="00BC4680">
        <w:rPr>
          <w:highlight w:val="white"/>
          <w:lang w:val="en-GB"/>
        </w:rPr>
        <w:t xml:space="preserve">, V. and Mutai, J., (2024). “For a man to go to hospital, then that would be his last option”: A qualitative study exploring men’s experiences, perceptions and healthcare needs in the implementation of Universal Health Coverage in Kenya. </w:t>
      </w:r>
      <w:r w:rsidRPr="00BC4680">
        <w:rPr>
          <w:i/>
          <w:iCs/>
          <w:highlight w:val="white"/>
          <w:lang w:val="en-GB"/>
        </w:rPr>
        <w:t>PLOS Global Public Health</w:t>
      </w:r>
      <w:r w:rsidRPr="00BC4680">
        <w:rPr>
          <w:highlight w:val="white"/>
          <w:lang w:val="en-GB"/>
        </w:rPr>
        <w:t xml:space="preserve">, </w:t>
      </w:r>
      <w:r w:rsidRPr="00BC4680">
        <w:rPr>
          <w:i/>
          <w:iCs/>
          <w:highlight w:val="white"/>
          <w:lang w:val="en-GB"/>
        </w:rPr>
        <w:t>4</w:t>
      </w:r>
      <w:r w:rsidRPr="00BC4680">
        <w:rPr>
          <w:highlight w:val="white"/>
          <w:lang w:val="en-GB"/>
        </w:rPr>
        <w:t xml:space="preserve">(5), p.e0002925.  </w:t>
      </w:r>
      <w:hyperlink r:id="rId24" w:history="1">
        <w:r w:rsidR="002A520E" w:rsidRPr="00B46D23">
          <w:rPr>
            <w:rStyle w:val="Hyperlink"/>
            <w:highlight w:val="white"/>
            <w:lang w:val="en-GB"/>
          </w:rPr>
          <w:t>https://doi.org/10.1371/journal.pgph.0002925</w:t>
        </w:r>
      </w:hyperlink>
      <w:r w:rsidR="002A520E">
        <w:rPr>
          <w:highlight w:val="white"/>
          <w:lang w:val="en-GB"/>
        </w:rPr>
        <w:t xml:space="preserve"> </w:t>
      </w:r>
    </w:p>
    <w:p w14:paraId="33858F53" w14:textId="2390B86E" w:rsidR="0095338E" w:rsidRPr="00BC4680" w:rsidRDefault="0095338E">
      <w:pPr>
        <w:spacing w:before="200" w:after="0"/>
        <w:rPr>
          <w:highlight w:val="white"/>
          <w:lang w:val="en-GB"/>
        </w:rPr>
      </w:pPr>
      <w:r w:rsidRPr="00BC4680">
        <w:rPr>
          <w:highlight w:val="white"/>
          <w:lang w:val="en-GB"/>
        </w:rPr>
        <w:lastRenderedPageBreak/>
        <w:t xml:space="preserve">NHS England, (2024). </w:t>
      </w:r>
      <w:r w:rsidRPr="00BC4680">
        <w:rPr>
          <w:i/>
          <w:iCs/>
          <w:highlight w:val="white"/>
          <w:lang w:val="en-GB"/>
        </w:rPr>
        <w:t>Inequalities in mental health and why this data is a priority</w:t>
      </w:r>
      <w:r w:rsidRPr="00BC4680">
        <w:rPr>
          <w:highlight w:val="white"/>
          <w:lang w:val="en-GB"/>
        </w:rPr>
        <w:t xml:space="preserve">. Available at: </w:t>
      </w:r>
      <w:hyperlink r:id="rId25" w:history="1">
        <w:r w:rsidR="002A520E" w:rsidRPr="00B46D23">
          <w:rPr>
            <w:rStyle w:val="Hyperlink"/>
            <w:highlight w:val="white"/>
            <w:lang w:val="en-GB"/>
          </w:rPr>
          <w:t>https://digital.nhs.uk/data-and-information/data-collections-and-data-sets/data-sets/mental-health-services-data-set/submit-data/data-quality-of-protected-characteristics-and-other-vulnerable-groups/inequalities-in-mental-health-and-why-this-data-is-a-priority</w:t>
        </w:r>
      </w:hyperlink>
      <w:r w:rsidR="002A520E">
        <w:rPr>
          <w:highlight w:val="white"/>
          <w:lang w:val="en-GB"/>
        </w:rPr>
        <w:t xml:space="preserve"> </w:t>
      </w:r>
      <w:r w:rsidRPr="00BC4680">
        <w:rPr>
          <w:highlight w:val="white"/>
          <w:lang w:val="en-GB"/>
        </w:rPr>
        <w:t xml:space="preserve"> [Accessed on: 25th April, 2026]</w:t>
      </w:r>
      <w:r w:rsidR="002A520E">
        <w:rPr>
          <w:highlight w:val="white"/>
          <w:lang w:val="en-GB"/>
        </w:rPr>
        <w:t xml:space="preserve"> </w:t>
      </w:r>
    </w:p>
    <w:p w14:paraId="25D83427" w14:textId="1FE8F26B" w:rsidR="0095338E" w:rsidRPr="00BC4680" w:rsidRDefault="0095338E">
      <w:pPr>
        <w:spacing w:before="200" w:after="0"/>
        <w:rPr>
          <w:highlight w:val="white"/>
          <w:lang w:val="en-GB"/>
        </w:rPr>
      </w:pPr>
      <w:r w:rsidRPr="00BC4680">
        <w:rPr>
          <w:highlight w:val="white"/>
          <w:lang w:val="en-GB"/>
        </w:rPr>
        <w:t xml:space="preserve">NHS England, (2025). </w:t>
      </w:r>
      <w:r w:rsidRPr="00BC4680">
        <w:rPr>
          <w:i/>
          <w:iCs/>
          <w:highlight w:val="white"/>
          <w:lang w:val="en-GB"/>
        </w:rPr>
        <w:t>NHS launches first ever review to tackle LGBT+ health inequalities</w:t>
      </w:r>
      <w:r w:rsidRPr="00BC4680">
        <w:rPr>
          <w:highlight w:val="white"/>
          <w:lang w:val="en-GB"/>
        </w:rPr>
        <w:t xml:space="preserve">. Available at: </w:t>
      </w:r>
      <w:hyperlink r:id="rId26" w:history="1">
        <w:r w:rsidR="002A520E" w:rsidRPr="00B46D23">
          <w:rPr>
            <w:rStyle w:val="Hyperlink"/>
            <w:highlight w:val="white"/>
            <w:lang w:val="en-GB"/>
          </w:rPr>
          <w:t>https://www.england.nhs.uk/2025/07/nhs-launches-first-ever-review-to-tackle-lgbt-health-inequalities/</w:t>
        </w:r>
      </w:hyperlink>
      <w:r w:rsidR="002A520E">
        <w:rPr>
          <w:highlight w:val="white"/>
          <w:lang w:val="en-GB"/>
        </w:rPr>
        <w:t xml:space="preserve"> </w:t>
      </w:r>
      <w:r w:rsidRPr="00BC4680">
        <w:rPr>
          <w:highlight w:val="white"/>
          <w:lang w:val="en-GB"/>
        </w:rPr>
        <w:t xml:space="preserve"> [Accessed on: 25th April, 2026]</w:t>
      </w:r>
    </w:p>
    <w:p w14:paraId="72557D34" w14:textId="458B9E73" w:rsidR="0095338E" w:rsidRPr="00BC4680" w:rsidRDefault="0095338E">
      <w:pPr>
        <w:spacing w:before="200" w:after="0"/>
        <w:rPr>
          <w:highlight w:val="white"/>
          <w:lang w:val="en-GB"/>
        </w:rPr>
      </w:pPr>
      <w:r w:rsidRPr="00BC4680">
        <w:rPr>
          <w:highlight w:val="white"/>
          <w:lang w:val="en-GB"/>
        </w:rPr>
        <w:t xml:space="preserve">NHS England, (2026). </w:t>
      </w:r>
      <w:r w:rsidRPr="00BC4680">
        <w:rPr>
          <w:i/>
          <w:iCs/>
          <w:highlight w:val="white"/>
          <w:lang w:val="en-GB"/>
        </w:rPr>
        <w:t>Core20PLUS5 (adults) – an approach to reducing healthcare inequalities</w:t>
      </w:r>
      <w:r w:rsidRPr="00BC4680">
        <w:rPr>
          <w:highlight w:val="white"/>
          <w:lang w:val="en-GB"/>
        </w:rPr>
        <w:t xml:space="preserve">. Available at: </w:t>
      </w:r>
      <w:hyperlink r:id="rId27" w:history="1">
        <w:r w:rsidR="002A520E" w:rsidRPr="00B46D23">
          <w:rPr>
            <w:rStyle w:val="Hyperlink"/>
            <w:highlight w:val="white"/>
            <w:lang w:val="en-GB"/>
          </w:rPr>
          <w:t>https://www.england.nhs.uk/about/equality/equality-hub/national-healthcare-inequalities-improvement-programme/core20plus5/</w:t>
        </w:r>
      </w:hyperlink>
      <w:r w:rsidR="002A520E">
        <w:rPr>
          <w:highlight w:val="white"/>
          <w:lang w:val="en-GB"/>
        </w:rPr>
        <w:t xml:space="preserve"> </w:t>
      </w:r>
      <w:r w:rsidRPr="00BC4680">
        <w:rPr>
          <w:highlight w:val="white"/>
          <w:lang w:val="en-GB"/>
        </w:rPr>
        <w:t xml:space="preserve"> [Accessed on: 25th April, 2026]</w:t>
      </w:r>
    </w:p>
    <w:p w14:paraId="54B12734" w14:textId="3D13D5B5" w:rsidR="0095338E" w:rsidRPr="00BC4680" w:rsidRDefault="0095338E">
      <w:pPr>
        <w:spacing w:before="200" w:after="0"/>
        <w:rPr>
          <w:highlight w:val="white"/>
          <w:lang w:val="en-GB"/>
        </w:rPr>
      </w:pPr>
      <w:r w:rsidRPr="00BC4680">
        <w:rPr>
          <w:highlight w:val="white"/>
          <w:lang w:val="en-GB"/>
        </w:rPr>
        <w:t xml:space="preserve">OECD, (2025). </w:t>
      </w:r>
      <w:r w:rsidRPr="00BC4680">
        <w:rPr>
          <w:i/>
          <w:iCs/>
          <w:highlight w:val="white"/>
          <w:lang w:val="en-GB"/>
        </w:rPr>
        <w:t>Health at a Glance 2025</w:t>
      </w:r>
      <w:r w:rsidRPr="00BC4680">
        <w:rPr>
          <w:highlight w:val="white"/>
          <w:lang w:val="en-GB"/>
        </w:rPr>
        <w:t xml:space="preserve">. Available at: </w:t>
      </w:r>
      <w:hyperlink r:id="rId28" w:history="1">
        <w:r w:rsidR="002A520E" w:rsidRPr="00B46D23">
          <w:rPr>
            <w:rStyle w:val="Hyperlink"/>
            <w:highlight w:val="white"/>
            <w:lang w:val="en-GB"/>
          </w:rPr>
          <w:t>https://www.oecd.org/en/publications/health-at-a-glance-2025_8f9e3f98-en/full-report/which-diseases-affect-men-and-women-differently-and-why-this-matters_c7602de9.html</w:t>
        </w:r>
      </w:hyperlink>
      <w:r w:rsidR="002A520E">
        <w:rPr>
          <w:highlight w:val="white"/>
          <w:lang w:val="en-GB"/>
        </w:rPr>
        <w:t xml:space="preserve"> </w:t>
      </w:r>
      <w:r w:rsidRPr="00BC4680">
        <w:rPr>
          <w:highlight w:val="white"/>
          <w:lang w:val="en-GB"/>
        </w:rPr>
        <w:t xml:space="preserve"> [Accessed on: 25th April, 2026]</w:t>
      </w:r>
    </w:p>
    <w:p w14:paraId="2B39E4B6" w14:textId="36E746FD" w:rsidR="0095338E" w:rsidRPr="00BC4680" w:rsidRDefault="0095338E">
      <w:pPr>
        <w:spacing w:before="200" w:after="0"/>
        <w:rPr>
          <w:highlight w:val="white"/>
          <w:lang w:val="en-GB"/>
        </w:rPr>
      </w:pPr>
      <w:r w:rsidRPr="00BC4680">
        <w:rPr>
          <w:highlight w:val="white"/>
          <w:lang w:val="en-GB"/>
        </w:rPr>
        <w:t xml:space="preserve">ONS, (2025). </w:t>
      </w:r>
      <w:r w:rsidRPr="00BC4680">
        <w:rPr>
          <w:i/>
          <w:iCs/>
          <w:highlight w:val="white"/>
          <w:lang w:val="en-GB"/>
        </w:rPr>
        <w:t>Domestic abuse prevalence and trends, England and Wales: year ending March 2025</w:t>
      </w:r>
      <w:r w:rsidRPr="00BC4680">
        <w:rPr>
          <w:highlight w:val="white"/>
          <w:lang w:val="en-GB"/>
        </w:rPr>
        <w:t xml:space="preserve">. Available at: </w:t>
      </w:r>
      <w:hyperlink r:id="rId29" w:history="1">
        <w:r w:rsidR="002A520E" w:rsidRPr="00B46D23">
          <w:rPr>
            <w:rStyle w:val="Hyperlink"/>
            <w:highlight w:val="white"/>
            <w:lang w:val="en-GB"/>
          </w:rPr>
          <w:t>https://www.ons.gov.uk/peoplepopulationandcommunity/crimeandjustice/articles/domesticabuseprevalenceandtrendsenglandandwales/yearendingmarch2025</w:t>
        </w:r>
      </w:hyperlink>
      <w:r w:rsidR="002A520E">
        <w:rPr>
          <w:highlight w:val="white"/>
          <w:lang w:val="en-GB"/>
        </w:rPr>
        <w:t xml:space="preserve"> </w:t>
      </w:r>
      <w:r w:rsidRPr="00BC4680">
        <w:rPr>
          <w:highlight w:val="white"/>
          <w:lang w:val="en-GB"/>
        </w:rPr>
        <w:t xml:space="preserve"> [Accessed on: 25th April, 2026]</w:t>
      </w:r>
    </w:p>
    <w:p w14:paraId="6707E664" w14:textId="468C85E1" w:rsidR="0095338E" w:rsidRPr="00BC4680" w:rsidRDefault="0095338E">
      <w:pPr>
        <w:spacing w:before="200" w:after="0"/>
        <w:rPr>
          <w:highlight w:val="white"/>
          <w:lang w:val="en-GB"/>
        </w:rPr>
      </w:pPr>
      <w:r w:rsidRPr="00BC4680">
        <w:rPr>
          <w:highlight w:val="white"/>
          <w:lang w:val="en-GB"/>
        </w:rPr>
        <w:t xml:space="preserve">ONS, (2025). </w:t>
      </w:r>
      <w:r w:rsidRPr="00BC4680">
        <w:rPr>
          <w:i/>
          <w:iCs/>
          <w:highlight w:val="white"/>
          <w:lang w:val="en-GB"/>
        </w:rPr>
        <w:t>Gender pay gap in the UK: 2025</w:t>
      </w:r>
      <w:r w:rsidRPr="00BC4680">
        <w:rPr>
          <w:highlight w:val="white"/>
          <w:lang w:val="en-GB"/>
        </w:rPr>
        <w:t xml:space="preserve">. Available at: </w:t>
      </w:r>
      <w:hyperlink r:id="rId30" w:history="1">
        <w:r w:rsidR="002A520E" w:rsidRPr="00B46D23">
          <w:rPr>
            <w:rStyle w:val="Hyperlink"/>
            <w:highlight w:val="white"/>
            <w:lang w:val="en-GB"/>
          </w:rPr>
          <w:t>https://www.ons.gov.uk/employmentandlabourmarket/peopleinwork/earningsandworkinghours/bulletins/genderpaygapintheuk/2025</w:t>
        </w:r>
      </w:hyperlink>
      <w:r w:rsidR="002A520E">
        <w:rPr>
          <w:highlight w:val="white"/>
          <w:lang w:val="en-GB"/>
        </w:rPr>
        <w:t xml:space="preserve"> </w:t>
      </w:r>
      <w:r w:rsidRPr="00BC4680">
        <w:rPr>
          <w:highlight w:val="white"/>
          <w:lang w:val="en-GB"/>
        </w:rPr>
        <w:t xml:space="preserve"> [Accessed on: 25th April, 2026]</w:t>
      </w:r>
    </w:p>
    <w:p w14:paraId="351E8716" w14:textId="056168C0" w:rsidR="0095338E" w:rsidRPr="00BC4680" w:rsidRDefault="0095338E">
      <w:pPr>
        <w:spacing w:before="200" w:after="0"/>
        <w:rPr>
          <w:highlight w:val="white"/>
          <w:lang w:val="en-GB"/>
        </w:rPr>
      </w:pPr>
      <w:r w:rsidRPr="00BC4680">
        <w:rPr>
          <w:highlight w:val="white"/>
          <w:lang w:val="en-GB"/>
        </w:rPr>
        <w:t xml:space="preserve">Ouahid, H., </w:t>
      </w:r>
      <w:proofErr w:type="spellStart"/>
      <w:r w:rsidRPr="00BC4680">
        <w:rPr>
          <w:highlight w:val="white"/>
          <w:lang w:val="en-GB"/>
        </w:rPr>
        <w:t>Sebbani</w:t>
      </w:r>
      <w:proofErr w:type="spellEnd"/>
      <w:r w:rsidRPr="00BC4680">
        <w:rPr>
          <w:highlight w:val="white"/>
          <w:lang w:val="en-GB"/>
        </w:rPr>
        <w:t xml:space="preserve">, M., Cherkaoui, M., Amine, M. and </w:t>
      </w:r>
      <w:proofErr w:type="spellStart"/>
      <w:r w:rsidRPr="00BC4680">
        <w:rPr>
          <w:highlight w:val="white"/>
          <w:lang w:val="en-GB"/>
        </w:rPr>
        <w:t>Adarmouch</w:t>
      </w:r>
      <w:proofErr w:type="spellEnd"/>
      <w:r w:rsidRPr="00BC4680">
        <w:rPr>
          <w:highlight w:val="white"/>
          <w:lang w:val="en-GB"/>
        </w:rPr>
        <w:t xml:space="preserve">, L., (2025). The influence of gender norms on women’s sexual and reproductive health outcomes: a systematic review. </w:t>
      </w:r>
      <w:r w:rsidRPr="00BC4680">
        <w:rPr>
          <w:i/>
          <w:iCs/>
          <w:highlight w:val="white"/>
          <w:lang w:val="en-GB"/>
        </w:rPr>
        <w:t>BMC Women's Health</w:t>
      </w:r>
      <w:r w:rsidRPr="00BC4680">
        <w:rPr>
          <w:highlight w:val="white"/>
          <w:lang w:val="en-GB"/>
        </w:rPr>
        <w:t xml:space="preserve">, </w:t>
      </w:r>
      <w:r w:rsidRPr="00BC4680">
        <w:rPr>
          <w:i/>
          <w:iCs/>
          <w:highlight w:val="white"/>
          <w:lang w:val="en-GB"/>
        </w:rPr>
        <w:t>25</w:t>
      </w:r>
      <w:r w:rsidRPr="00BC4680">
        <w:rPr>
          <w:highlight w:val="white"/>
          <w:lang w:val="en-GB"/>
        </w:rPr>
        <w:t xml:space="preserve">(1), p.224. </w:t>
      </w:r>
      <w:hyperlink r:id="rId31" w:history="1">
        <w:r w:rsidR="002A520E" w:rsidRPr="00B46D23">
          <w:rPr>
            <w:rStyle w:val="Hyperlink"/>
            <w:highlight w:val="white"/>
            <w:lang w:val="en-GB"/>
          </w:rPr>
          <w:t>https://doi.org/10.1186/s12905-025-03768-2</w:t>
        </w:r>
      </w:hyperlink>
      <w:r w:rsidR="002A520E">
        <w:rPr>
          <w:highlight w:val="white"/>
          <w:lang w:val="en-GB"/>
        </w:rPr>
        <w:t xml:space="preserve"> </w:t>
      </w:r>
    </w:p>
    <w:p w14:paraId="6F311B06" w14:textId="6B571477" w:rsidR="0095338E" w:rsidRPr="00BC4680" w:rsidRDefault="0095338E">
      <w:pPr>
        <w:spacing w:before="200" w:after="0"/>
        <w:rPr>
          <w:highlight w:val="white"/>
          <w:lang w:val="en-GB"/>
        </w:rPr>
      </w:pPr>
      <w:proofErr w:type="spellStart"/>
      <w:r w:rsidRPr="00BC4680">
        <w:rPr>
          <w:highlight w:val="white"/>
          <w:lang w:val="en-GB"/>
        </w:rPr>
        <w:t>Parvand</w:t>
      </w:r>
      <w:proofErr w:type="spellEnd"/>
      <w:r w:rsidRPr="00BC4680">
        <w:rPr>
          <w:highlight w:val="white"/>
          <w:lang w:val="en-GB"/>
        </w:rPr>
        <w:t xml:space="preserve">, M., Ghadiri, S., </w:t>
      </w:r>
      <w:proofErr w:type="spellStart"/>
      <w:r w:rsidRPr="00BC4680">
        <w:rPr>
          <w:highlight w:val="white"/>
          <w:lang w:val="en-GB"/>
        </w:rPr>
        <w:t>Théberge</w:t>
      </w:r>
      <w:proofErr w:type="spellEnd"/>
      <w:r w:rsidRPr="00BC4680">
        <w:rPr>
          <w:highlight w:val="white"/>
          <w:lang w:val="en-GB"/>
        </w:rPr>
        <w:t xml:space="preserve">, E., Comber, L., Mullen, K.A., Bhalla, N.P., Johnson, D., McKinley, G. and Sedlak, T.L., </w:t>
      </w:r>
      <w:r w:rsidR="002A520E">
        <w:rPr>
          <w:highlight w:val="white"/>
          <w:lang w:val="en-GB"/>
        </w:rPr>
        <w:t>(</w:t>
      </w:r>
      <w:r w:rsidRPr="00BC4680">
        <w:rPr>
          <w:highlight w:val="white"/>
          <w:lang w:val="en-GB"/>
        </w:rPr>
        <w:t>2024</w:t>
      </w:r>
      <w:r w:rsidR="002A520E">
        <w:rPr>
          <w:highlight w:val="white"/>
          <w:lang w:val="en-GB"/>
        </w:rPr>
        <w:t>)</w:t>
      </w:r>
      <w:r w:rsidRPr="00BC4680">
        <w:rPr>
          <w:highlight w:val="white"/>
          <w:lang w:val="en-GB"/>
        </w:rPr>
        <w:t xml:space="preserve">. Sex, gender, and women's heart health: how women's heart programs address the knowledge gap. </w:t>
      </w:r>
      <w:r w:rsidRPr="00BC4680">
        <w:rPr>
          <w:i/>
          <w:iCs/>
          <w:highlight w:val="white"/>
          <w:lang w:val="en-GB"/>
        </w:rPr>
        <w:t>CJC open</w:t>
      </w:r>
      <w:r w:rsidRPr="00BC4680">
        <w:rPr>
          <w:highlight w:val="white"/>
          <w:lang w:val="en-GB"/>
        </w:rPr>
        <w:t xml:space="preserve">, </w:t>
      </w:r>
      <w:r w:rsidRPr="00BC4680">
        <w:rPr>
          <w:i/>
          <w:iCs/>
          <w:highlight w:val="white"/>
          <w:lang w:val="en-GB"/>
        </w:rPr>
        <w:t>6</w:t>
      </w:r>
      <w:r w:rsidRPr="00BC4680">
        <w:rPr>
          <w:highlight w:val="white"/>
          <w:lang w:val="en-GB"/>
        </w:rPr>
        <w:t xml:space="preserve">(2), pp.442-453. </w:t>
      </w:r>
      <w:hyperlink r:id="rId32" w:history="1">
        <w:r w:rsidR="002A520E" w:rsidRPr="00B46D23">
          <w:rPr>
            <w:rStyle w:val="Hyperlink"/>
            <w:highlight w:val="white"/>
            <w:lang w:val="en-GB"/>
          </w:rPr>
          <w:t>https://doi.org/10.1016/j.cjco.2023.10.012</w:t>
        </w:r>
      </w:hyperlink>
      <w:r w:rsidR="002A520E">
        <w:rPr>
          <w:highlight w:val="white"/>
          <w:lang w:val="en-GB"/>
        </w:rPr>
        <w:t xml:space="preserve"> </w:t>
      </w:r>
    </w:p>
    <w:p w14:paraId="49E6B2AF" w14:textId="2BA1F6FE" w:rsidR="0095338E" w:rsidRPr="00BC4680" w:rsidRDefault="0095338E">
      <w:pPr>
        <w:spacing w:before="200" w:after="0"/>
        <w:rPr>
          <w:highlight w:val="white"/>
          <w:lang w:val="en-GB"/>
        </w:rPr>
      </w:pPr>
      <w:r w:rsidRPr="00BC4680">
        <w:rPr>
          <w:highlight w:val="white"/>
          <w:lang w:val="en-GB"/>
        </w:rPr>
        <w:lastRenderedPageBreak/>
        <w:t xml:space="preserve">Sawan, M.A., Steinberg, R.S., Sayegh, M.N., Devlin, C., Behbahani-Nejad, O. and Wenger, N.K., (2023). Chest pain in women: gender-and sex-based differences in the presentation and diagnosis of heart disease. </w:t>
      </w:r>
      <w:r w:rsidRPr="00BC4680">
        <w:rPr>
          <w:i/>
          <w:iCs/>
          <w:highlight w:val="white"/>
          <w:lang w:val="en-GB"/>
        </w:rPr>
        <w:t>US Cardiology Review</w:t>
      </w:r>
      <w:r w:rsidRPr="00BC4680">
        <w:rPr>
          <w:highlight w:val="white"/>
          <w:lang w:val="en-GB"/>
        </w:rPr>
        <w:t xml:space="preserve">, </w:t>
      </w:r>
      <w:r w:rsidRPr="00BC4680">
        <w:rPr>
          <w:i/>
          <w:iCs/>
          <w:highlight w:val="white"/>
          <w:lang w:val="en-GB"/>
        </w:rPr>
        <w:t>17</w:t>
      </w:r>
      <w:r w:rsidRPr="00BC4680">
        <w:rPr>
          <w:highlight w:val="white"/>
          <w:lang w:val="en-GB"/>
        </w:rPr>
        <w:t xml:space="preserve">, p.e19. </w:t>
      </w:r>
      <w:proofErr w:type="spellStart"/>
      <w:r w:rsidRPr="00BC4680">
        <w:rPr>
          <w:highlight w:val="white"/>
          <w:lang w:val="en-GB"/>
        </w:rPr>
        <w:t>doi</w:t>
      </w:r>
      <w:proofErr w:type="spellEnd"/>
      <w:r w:rsidRPr="00BC4680">
        <w:rPr>
          <w:highlight w:val="white"/>
          <w:lang w:val="en-GB"/>
        </w:rPr>
        <w:t>: 10.15420/usc.2022.30</w:t>
      </w:r>
      <w:r w:rsidR="002A520E">
        <w:rPr>
          <w:highlight w:val="white"/>
          <w:lang w:val="en-GB"/>
        </w:rPr>
        <w:t xml:space="preserve"> </w:t>
      </w:r>
    </w:p>
    <w:p w14:paraId="3261C701" w14:textId="5B0B2A94" w:rsidR="0095338E" w:rsidRPr="00BC4680" w:rsidRDefault="0095338E">
      <w:pPr>
        <w:spacing w:before="200" w:after="0"/>
        <w:rPr>
          <w:highlight w:val="white"/>
          <w:lang w:val="en-GB"/>
        </w:rPr>
      </w:pPr>
      <w:r w:rsidRPr="00BC4680">
        <w:rPr>
          <w:highlight w:val="white"/>
          <w:lang w:val="en-GB"/>
        </w:rPr>
        <w:t xml:space="preserve">Siegel, K. and Dee, L.E., (2025). Foundations and future directions for causal inference in ecological research. </w:t>
      </w:r>
      <w:r w:rsidRPr="00BC4680">
        <w:rPr>
          <w:i/>
          <w:iCs/>
          <w:highlight w:val="white"/>
          <w:lang w:val="en-GB"/>
        </w:rPr>
        <w:t>Ecology Letters</w:t>
      </w:r>
      <w:r w:rsidRPr="00BC4680">
        <w:rPr>
          <w:highlight w:val="white"/>
          <w:lang w:val="en-GB"/>
        </w:rPr>
        <w:t xml:space="preserve">, </w:t>
      </w:r>
      <w:r w:rsidRPr="00BC4680">
        <w:rPr>
          <w:i/>
          <w:iCs/>
          <w:highlight w:val="white"/>
          <w:lang w:val="en-GB"/>
        </w:rPr>
        <w:t>28</w:t>
      </w:r>
      <w:r w:rsidRPr="00BC4680">
        <w:rPr>
          <w:highlight w:val="white"/>
          <w:lang w:val="en-GB"/>
        </w:rPr>
        <w:t xml:space="preserve">(1), p.e70053. </w:t>
      </w:r>
      <w:hyperlink r:id="rId33" w:history="1">
        <w:r w:rsidR="002A520E" w:rsidRPr="00B46D23">
          <w:rPr>
            <w:rStyle w:val="Hyperlink"/>
            <w:highlight w:val="white"/>
            <w:lang w:val="en-GB"/>
          </w:rPr>
          <w:t>https://doi.org/10.1111/ele.70053</w:t>
        </w:r>
      </w:hyperlink>
      <w:r w:rsidR="002A520E">
        <w:rPr>
          <w:highlight w:val="white"/>
          <w:lang w:val="en-GB"/>
        </w:rPr>
        <w:t xml:space="preserve"> </w:t>
      </w:r>
    </w:p>
    <w:p w14:paraId="6C1C4CA0" w14:textId="0BC68164" w:rsidR="0095338E" w:rsidRPr="00BC4680" w:rsidRDefault="0095338E">
      <w:pPr>
        <w:spacing w:before="200" w:after="0"/>
        <w:rPr>
          <w:highlight w:val="white"/>
          <w:lang w:val="en-GB"/>
        </w:rPr>
      </w:pPr>
      <w:r w:rsidRPr="00BC4680">
        <w:rPr>
          <w:highlight w:val="white"/>
          <w:lang w:val="en-GB"/>
        </w:rPr>
        <w:t xml:space="preserve">Tabor, E., Kneale, D. and </w:t>
      </w:r>
      <w:proofErr w:type="spellStart"/>
      <w:r w:rsidRPr="00BC4680">
        <w:rPr>
          <w:highlight w:val="white"/>
          <w:lang w:val="en-GB"/>
        </w:rPr>
        <w:t>Patalay</w:t>
      </w:r>
      <w:proofErr w:type="spellEnd"/>
      <w:r w:rsidRPr="00BC4680">
        <w:rPr>
          <w:highlight w:val="white"/>
          <w:lang w:val="en-GB"/>
        </w:rPr>
        <w:t xml:space="preserve">, P., (2025). Sexuality and respiratory outcomes in the UK: disparities, development and mediators in multiple longitudinal studies. </w:t>
      </w:r>
      <w:r w:rsidRPr="00BC4680">
        <w:rPr>
          <w:i/>
          <w:iCs/>
          <w:highlight w:val="white"/>
          <w:lang w:val="en-GB"/>
        </w:rPr>
        <w:t>Public Health</w:t>
      </w:r>
      <w:r w:rsidRPr="00BC4680">
        <w:rPr>
          <w:highlight w:val="white"/>
          <w:lang w:val="en-GB"/>
        </w:rPr>
        <w:t xml:space="preserve">, </w:t>
      </w:r>
      <w:r w:rsidRPr="00BC4680">
        <w:rPr>
          <w:i/>
          <w:iCs/>
          <w:highlight w:val="white"/>
          <w:lang w:val="en-GB"/>
        </w:rPr>
        <w:t>247</w:t>
      </w:r>
      <w:r w:rsidRPr="00BC4680">
        <w:rPr>
          <w:highlight w:val="white"/>
          <w:lang w:val="en-GB"/>
        </w:rPr>
        <w:t xml:space="preserve">, p.105886. </w:t>
      </w:r>
      <w:hyperlink r:id="rId34" w:history="1">
        <w:r w:rsidR="002A520E" w:rsidRPr="00B46D23">
          <w:rPr>
            <w:rStyle w:val="Hyperlink"/>
            <w:highlight w:val="white"/>
            <w:lang w:val="en-GB"/>
          </w:rPr>
          <w:t>https://doi.org/10.1016/j.puhe.2025.105886</w:t>
        </w:r>
      </w:hyperlink>
      <w:r w:rsidR="002A520E">
        <w:rPr>
          <w:highlight w:val="white"/>
          <w:lang w:val="en-GB"/>
        </w:rPr>
        <w:t xml:space="preserve"> </w:t>
      </w:r>
    </w:p>
    <w:p w14:paraId="14B4791C" w14:textId="3FB49EF7" w:rsidR="0095338E" w:rsidRPr="00BC4680" w:rsidRDefault="0095338E">
      <w:pPr>
        <w:spacing w:before="200" w:after="0"/>
        <w:rPr>
          <w:highlight w:val="white"/>
          <w:lang w:val="en-GB"/>
        </w:rPr>
      </w:pPr>
      <w:r w:rsidRPr="00BC4680">
        <w:rPr>
          <w:highlight w:val="white"/>
          <w:lang w:val="en-GB"/>
        </w:rPr>
        <w:t xml:space="preserve">WHO, (2025). </w:t>
      </w:r>
      <w:r w:rsidRPr="00BC4680">
        <w:rPr>
          <w:i/>
          <w:iCs/>
          <w:highlight w:val="white"/>
          <w:lang w:val="en-GB"/>
        </w:rPr>
        <w:t>Maternal mortality</w:t>
      </w:r>
      <w:r w:rsidRPr="00BC4680">
        <w:rPr>
          <w:highlight w:val="white"/>
          <w:lang w:val="en-GB"/>
        </w:rPr>
        <w:t xml:space="preserve">. Available at: </w:t>
      </w:r>
      <w:hyperlink r:id="rId35" w:history="1">
        <w:r w:rsidR="002A520E" w:rsidRPr="00B46D23">
          <w:rPr>
            <w:rStyle w:val="Hyperlink"/>
            <w:highlight w:val="white"/>
            <w:lang w:val="en-GB"/>
          </w:rPr>
          <w:t>https://www.who.int/news-room/fact-sheets/detail/maternal-mortality</w:t>
        </w:r>
      </w:hyperlink>
      <w:r w:rsidR="002A520E">
        <w:rPr>
          <w:highlight w:val="white"/>
          <w:lang w:val="en-GB"/>
        </w:rPr>
        <w:t xml:space="preserve"> </w:t>
      </w:r>
      <w:r w:rsidRPr="00BC4680">
        <w:rPr>
          <w:highlight w:val="white"/>
          <w:lang w:val="en-GB"/>
        </w:rPr>
        <w:t xml:space="preserve"> [Accessed on: 25th April, 2026]</w:t>
      </w:r>
    </w:p>
    <w:p w14:paraId="6A96D8B2" w14:textId="6AB6EFDA" w:rsidR="0095338E" w:rsidRPr="00BC4680" w:rsidRDefault="0095338E">
      <w:pPr>
        <w:spacing w:before="200" w:after="0"/>
        <w:rPr>
          <w:highlight w:val="white"/>
          <w:lang w:val="en-GB"/>
        </w:rPr>
      </w:pPr>
      <w:r w:rsidRPr="00BC4680">
        <w:rPr>
          <w:highlight w:val="white"/>
          <w:lang w:val="en-GB"/>
        </w:rPr>
        <w:t xml:space="preserve">Xia, L., Cao, Z. and Zhao, Y., (2024). Paradigm transformation of global health data regulation: challenges in governance and human rights protection of cross-border data flows. </w:t>
      </w:r>
      <w:r w:rsidRPr="00BC4680">
        <w:rPr>
          <w:i/>
          <w:iCs/>
          <w:highlight w:val="white"/>
          <w:lang w:val="en-GB"/>
        </w:rPr>
        <w:t>Risk Management and Healthcare Policy</w:t>
      </w:r>
      <w:r w:rsidRPr="00BC4680">
        <w:rPr>
          <w:highlight w:val="white"/>
          <w:lang w:val="en-GB"/>
        </w:rPr>
        <w:t xml:space="preserve">, pp.3291-3304. </w:t>
      </w:r>
      <w:hyperlink r:id="rId36" w:history="1">
        <w:r w:rsidR="002A520E" w:rsidRPr="00B46D23">
          <w:rPr>
            <w:rStyle w:val="Hyperlink"/>
            <w:highlight w:val="white"/>
            <w:lang w:val="en-GB"/>
          </w:rPr>
          <w:t>https://doi.org/10.2147/RMHP.S450082</w:t>
        </w:r>
      </w:hyperlink>
      <w:r w:rsidR="002A520E">
        <w:rPr>
          <w:highlight w:val="white"/>
          <w:lang w:val="en-GB"/>
        </w:rPr>
        <w:t xml:space="preserve"> </w:t>
      </w:r>
    </w:p>
    <w:sectPr w:rsidR="0095338E" w:rsidRPr="00BC4680" w:rsidSect="00305AB0">
      <w:footerReference w:type="default" r:id="rId3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9F194" w14:textId="77777777" w:rsidR="005512C1" w:rsidRDefault="005512C1">
      <w:pPr>
        <w:spacing w:before="0" w:after="0" w:line="240" w:lineRule="auto"/>
      </w:pPr>
      <w:r>
        <w:separator/>
      </w:r>
    </w:p>
  </w:endnote>
  <w:endnote w:type="continuationSeparator" w:id="0">
    <w:p w14:paraId="4BE133BC" w14:textId="77777777" w:rsidR="005512C1" w:rsidRDefault="005512C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95ED771-5FBB-48B2-8A3C-5497C2D359DE}"/>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464C0698-B2F1-41B4-9B0C-DA54085CF607}"/>
  </w:font>
  <w:font w:name="Cambria">
    <w:panose1 w:val="02040503050406030204"/>
    <w:charset w:val="00"/>
    <w:family w:val="roman"/>
    <w:pitch w:val="variable"/>
    <w:sig w:usb0="E00006FF" w:usb1="420024FF" w:usb2="02000000" w:usb3="00000000" w:csb0="0000019F" w:csb1="00000000"/>
    <w:embedRegular r:id="rId3" w:fontKey="{375787BE-A794-42FA-A211-8F14AAFBDE7C}"/>
  </w:font>
  <w:font w:name="Cambria Math">
    <w:panose1 w:val="02040503050406030204"/>
    <w:charset w:val="00"/>
    <w:family w:val="roman"/>
    <w:pitch w:val="variable"/>
    <w:sig w:usb0="E00006FF" w:usb1="420024FF" w:usb2="02000000" w:usb3="00000000" w:csb0="0000019F" w:csb1="00000000"/>
    <w:embedRegular r:id="rId4" w:fontKey="{4CD157E9-E19B-44D6-9BC4-909E0DE896CA}"/>
    <w:embedBold r:id="rId5" w:fontKey="{C4226F24-EFBC-429E-9C16-FD1BBEC00F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823B0" w14:textId="77777777" w:rsidR="004B096A" w:rsidRDefault="00EA3CBE">
    <w:pPr>
      <w:jc w:val="right"/>
      <w:rPr>
        <w:sz w:val="20"/>
        <w:szCs w:val="20"/>
      </w:rPr>
    </w:pPr>
    <w:r>
      <w:rPr>
        <w:sz w:val="20"/>
        <w:szCs w:val="20"/>
      </w:rPr>
      <w:fldChar w:fldCharType="begin"/>
    </w:r>
    <w:r>
      <w:rPr>
        <w:sz w:val="20"/>
        <w:szCs w:val="20"/>
      </w:rPr>
      <w:instrText>PAGE</w:instrText>
    </w:r>
    <w:r>
      <w:rPr>
        <w:sz w:val="20"/>
        <w:szCs w:val="20"/>
      </w:rPr>
      <w:fldChar w:fldCharType="separate"/>
    </w:r>
    <w:r w:rsidR="00305AB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A9775" w14:textId="77777777" w:rsidR="005512C1" w:rsidRDefault="005512C1">
      <w:pPr>
        <w:spacing w:before="0" w:after="0" w:line="240" w:lineRule="auto"/>
      </w:pPr>
      <w:r>
        <w:separator/>
      </w:r>
    </w:p>
  </w:footnote>
  <w:footnote w:type="continuationSeparator" w:id="0">
    <w:p w14:paraId="533C3E5B" w14:textId="77777777" w:rsidR="005512C1" w:rsidRDefault="005512C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104ECF"/>
    <w:multiLevelType w:val="multilevel"/>
    <w:tmpl w:val="26586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3951E5"/>
    <w:multiLevelType w:val="multilevel"/>
    <w:tmpl w:val="DB04A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6798656">
    <w:abstractNumId w:val="1"/>
  </w:num>
  <w:num w:numId="2" w16cid:durableId="884372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096A"/>
    <w:rsid w:val="000A5171"/>
    <w:rsid w:val="000F3C7D"/>
    <w:rsid w:val="001256E2"/>
    <w:rsid w:val="00152EE7"/>
    <w:rsid w:val="001F611F"/>
    <w:rsid w:val="00270352"/>
    <w:rsid w:val="002A520E"/>
    <w:rsid w:val="00305AB0"/>
    <w:rsid w:val="00396807"/>
    <w:rsid w:val="003D5083"/>
    <w:rsid w:val="003F2039"/>
    <w:rsid w:val="00415480"/>
    <w:rsid w:val="00493595"/>
    <w:rsid w:val="004B096A"/>
    <w:rsid w:val="004E6E77"/>
    <w:rsid w:val="00502921"/>
    <w:rsid w:val="005512C1"/>
    <w:rsid w:val="005B7921"/>
    <w:rsid w:val="006B1C01"/>
    <w:rsid w:val="00700111"/>
    <w:rsid w:val="0074437D"/>
    <w:rsid w:val="007A50B8"/>
    <w:rsid w:val="007C7122"/>
    <w:rsid w:val="008129D7"/>
    <w:rsid w:val="00841FD3"/>
    <w:rsid w:val="00856631"/>
    <w:rsid w:val="0085734D"/>
    <w:rsid w:val="008A0CC6"/>
    <w:rsid w:val="008A3EBA"/>
    <w:rsid w:val="008B0A5F"/>
    <w:rsid w:val="008C3C39"/>
    <w:rsid w:val="008D7BA2"/>
    <w:rsid w:val="008E5C34"/>
    <w:rsid w:val="0095338E"/>
    <w:rsid w:val="009716B5"/>
    <w:rsid w:val="00AD5902"/>
    <w:rsid w:val="00AD7286"/>
    <w:rsid w:val="00B1053E"/>
    <w:rsid w:val="00B527A6"/>
    <w:rsid w:val="00BC4680"/>
    <w:rsid w:val="00BF65CB"/>
    <w:rsid w:val="00C15802"/>
    <w:rsid w:val="00C37665"/>
    <w:rsid w:val="00D2694C"/>
    <w:rsid w:val="00D51B2F"/>
    <w:rsid w:val="00DB6971"/>
    <w:rsid w:val="00DC5383"/>
    <w:rsid w:val="00E61190"/>
    <w:rsid w:val="00EA3CBE"/>
    <w:rsid w:val="00EE3D62"/>
    <w:rsid w:val="00F06A67"/>
    <w:rsid w:val="00F72AB2"/>
    <w:rsid w:val="00FA4C8B"/>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51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280"/>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95338E"/>
    <w:pPr>
      <w:ind w:left="720"/>
      <w:contextualSpacing/>
    </w:pPr>
  </w:style>
  <w:style w:type="paragraph" w:styleId="TOCHeading">
    <w:name w:val="TOC Heading"/>
    <w:basedOn w:val="Heading1"/>
    <w:next w:val="Normal"/>
    <w:uiPriority w:val="39"/>
    <w:unhideWhenUsed/>
    <w:qFormat/>
    <w:rsid w:val="00F72AB2"/>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72AB2"/>
    <w:pPr>
      <w:spacing w:after="100"/>
    </w:pPr>
  </w:style>
  <w:style w:type="paragraph" w:styleId="TOC2">
    <w:name w:val="toc 2"/>
    <w:basedOn w:val="Normal"/>
    <w:next w:val="Normal"/>
    <w:autoRedefine/>
    <w:uiPriority w:val="39"/>
    <w:unhideWhenUsed/>
    <w:rsid w:val="00F72AB2"/>
    <w:pPr>
      <w:spacing w:after="100"/>
      <w:ind w:left="220"/>
    </w:pPr>
  </w:style>
  <w:style w:type="character" w:styleId="Hyperlink">
    <w:name w:val="Hyperlink"/>
    <w:basedOn w:val="DefaultParagraphFont"/>
    <w:uiPriority w:val="99"/>
    <w:unhideWhenUsed/>
    <w:rsid w:val="00F72AB2"/>
    <w:rPr>
      <w:color w:val="0000FF" w:themeColor="hyperlink"/>
      <w:u w:val="single"/>
    </w:rPr>
  </w:style>
  <w:style w:type="character" w:styleId="UnresolvedMention">
    <w:name w:val="Unresolved Mention"/>
    <w:basedOn w:val="DefaultParagraphFont"/>
    <w:uiPriority w:val="99"/>
    <w:semiHidden/>
    <w:unhideWhenUsed/>
    <w:rsid w:val="00856631"/>
    <w:rPr>
      <w:color w:val="605E5C"/>
      <w:shd w:val="clear" w:color="auto" w:fill="E1DFDD"/>
    </w:rPr>
  </w:style>
  <w:style w:type="paragraph" w:styleId="Header">
    <w:name w:val="header"/>
    <w:basedOn w:val="Normal"/>
    <w:link w:val="HeaderChar"/>
    <w:uiPriority w:val="99"/>
    <w:unhideWhenUsed/>
    <w:rsid w:val="00AD728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D7286"/>
  </w:style>
  <w:style w:type="paragraph" w:styleId="Footer">
    <w:name w:val="footer"/>
    <w:basedOn w:val="Normal"/>
    <w:link w:val="FooterChar"/>
    <w:uiPriority w:val="99"/>
    <w:unhideWhenUsed/>
    <w:rsid w:val="00AD728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D7286"/>
  </w:style>
  <w:style w:type="paragraph" w:styleId="CommentSubject">
    <w:name w:val="annotation subject"/>
    <w:basedOn w:val="CommentText"/>
    <w:next w:val="CommentText"/>
    <w:link w:val="CommentSubjectChar"/>
    <w:uiPriority w:val="99"/>
    <w:semiHidden/>
    <w:unhideWhenUsed/>
    <w:rsid w:val="007C7122"/>
    <w:rPr>
      <w:b/>
      <w:bCs/>
    </w:rPr>
  </w:style>
  <w:style w:type="character" w:customStyle="1" w:styleId="CommentSubjectChar">
    <w:name w:val="Comment Subject Char"/>
    <w:basedOn w:val="CommentTextChar"/>
    <w:link w:val="CommentSubject"/>
    <w:uiPriority w:val="99"/>
    <w:semiHidden/>
    <w:rsid w:val="007C71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16/j.glmedi.2024.100100" TargetMode="External"/><Relationship Id="rId13" Type="http://schemas.openxmlformats.org/officeDocument/2006/relationships/hyperlink" Target="https://doi.org/10.1186/s12911-023-02296-z" TargetMode="External"/><Relationship Id="rId18" Type="http://schemas.openxmlformats.org/officeDocument/2006/relationships/hyperlink" Target="https://www.gov.uk/government/publications/womens-health-strategy-for-england/womens-health-strategy-for-england" TargetMode="External"/><Relationship Id="rId26" Type="http://schemas.openxmlformats.org/officeDocument/2006/relationships/hyperlink" Target="https://www.england.nhs.uk/2025/07/nhs-launches-first-ever-review-to-tackle-lgbt-health-inequalities/"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02/cncr.35769" TargetMode="External"/><Relationship Id="rId34" Type="http://schemas.openxmlformats.org/officeDocument/2006/relationships/hyperlink" Target="https://doi.org/10.1016/j.puhe.2025.105886" TargetMode="External"/><Relationship Id="rId7" Type="http://schemas.openxmlformats.org/officeDocument/2006/relationships/endnotes" Target="endnotes.xml"/><Relationship Id="rId12" Type="http://schemas.openxmlformats.org/officeDocument/2006/relationships/hyperlink" Target="https://doi.org/10.1080/09614524.2023.2290438" TargetMode="External"/><Relationship Id="rId17" Type="http://schemas.openxmlformats.org/officeDocument/2006/relationships/hyperlink" Target="https://doi.org/10.3390/su16198700" TargetMode="External"/><Relationship Id="rId25" Type="http://schemas.openxmlformats.org/officeDocument/2006/relationships/hyperlink" Target="https://digital.nhs.uk/data-and-information/data-collections-and-data-sets/data-sets/mental-health-services-data-set/submit-data/data-quality-of-protected-characteristics-and-other-vulnerable-groups/inequalities-in-mental-health-and-why-this-data-is-a-priority" TargetMode="External"/><Relationship Id="rId33" Type="http://schemas.openxmlformats.org/officeDocument/2006/relationships/hyperlink" Target="https://doi.org/10.1111/ele.7005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wsif.2024.103020" TargetMode="External"/><Relationship Id="rId20" Type="http://schemas.openxmlformats.org/officeDocument/2006/relationships/hyperlink" Target="https://doi.org/10.1108/IJLMA-03-2021-0067" TargetMode="External"/><Relationship Id="rId29" Type="http://schemas.openxmlformats.org/officeDocument/2006/relationships/hyperlink" Target="https://www.ons.gov.uk/peoplepopulationandcommunity/crimeandjustice/articles/domesticabuseprevalenceandtrendsenglandandwales/yearendingmarch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39-023-01975-7" TargetMode="External"/><Relationship Id="rId24" Type="http://schemas.openxmlformats.org/officeDocument/2006/relationships/hyperlink" Target="https://doi.org/10.1371/journal.pgph.0002925" TargetMode="External"/><Relationship Id="rId32" Type="http://schemas.openxmlformats.org/officeDocument/2006/relationships/hyperlink" Target="https://doi.org/10.1016/j.cjco.2023.10.012"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371/journal.pone.0298750" TargetMode="External"/><Relationship Id="rId23" Type="http://schemas.openxmlformats.org/officeDocument/2006/relationships/hyperlink" Target="https://doi.org/10.1007/s00259-022-05914-6" TargetMode="External"/><Relationship Id="rId28" Type="http://schemas.openxmlformats.org/officeDocument/2006/relationships/hyperlink" Target="https://www.oecd.org/en/publications/health-at-a-glance-2025_8f9e3f98-en/full-report/which-diseases-affect-men-and-women-differently-and-why-this-matters_c7602de9.html" TargetMode="External"/><Relationship Id="rId36" Type="http://schemas.openxmlformats.org/officeDocument/2006/relationships/hyperlink" Target="https://doi.org/10.2147/RMHP.S450082" TargetMode="External"/><Relationship Id="rId10" Type="http://schemas.openxmlformats.org/officeDocument/2006/relationships/hyperlink" Target="https://doi.org/10.1016/j.onehlt.2023.100530" TargetMode="External"/><Relationship Id="rId19" Type="http://schemas.openxmlformats.org/officeDocument/2006/relationships/hyperlink" Target="https://www.gov.uk/government/news/government-launches-landmark-gender-pay-gap-and-menopause-action-plans-to-help-women-thrive-at-work" TargetMode="External"/><Relationship Id="rId31" Type="http://schemas.openxmlformats.org/officeDocument/2006/relationships/hyperlink" Target="https://doi.org/10.1186/s12905-025-03768-2" TargetMode="External"/><Relationship Id="rId4" Type="http://schemas.openxmlformats.org/officeDocument/2006/relationships/settings" Target="settings.xml"/><Relationship Id="rId9" Type="http://schemas.openxmlformats.org/officeDocument/2006/relationships/hyperlink" Target="https://www.bhf.org.uk/informationsupport/support/women-with-a-heart-condition/women-and-heart-disease" TargetMode="External"/><Relationship Id="rId14" Type="http://schemas.openxmlformats.org/officeDocument/2006/relationships/hyperlink" Target="https://doi.org/10.1186/s12889-022-12576-4" TargetMode="External"/><Relationship Id="rId22" Type="http://schemas.openxmlformats.org/officeDocument/2006/relationships/hyperlink" Target="https://doi.org/10.1002/wps.21160" TargetMode="External"/><Relationship Id="rId27" Type="http://schemas.openxmlformats.org/officeDocument/2006/relationships/hyperlink" Target="https://www.england.nhs.uk/about/equality/equality-hub/national-healthcare-inequalities-improvement-programme/core20plus5/" TargetMode="External"/><Relationship Id="rId30" Type="http://schemas.openxmlformats.org/officeDocument/2006/relationships/hyperlink" Target="https://www.ons.gov.uk/employmentandlabourmarket/peopleinwork/earningsandworkinghours/bulletins/genderpaygapintheuk/2025" TargetMode="External"/><Relationship Id="rId35" Type="http://schemas.openxmlformats.org/officeDocument/2006/relationships/hyperlink" Target="https://www.who.int/news-room/fact-sheets/detail/maternal-mortali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03DD6-4582-4E61-ADDD-F3B64166D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4816</Words>
  <Characters>27453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2026-05-01T00:15:00Z</dcterms:created>
  <dcterms:modified xsi:type="dcterms:W3CDTF">2026-05-01T00:15:00Z</dcterms:modified>
</cp:coreProperties>
</file>