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017D" w:rsidRPr="00DB5527" w:rsidRDefault="0084453F" w:rsidP="0084453F">
      <w:pPr>
        <w:jc w:val="center"/>
        <w:rPr>
          <w:rFonts w:ascii="Arial" w:hAnsi="Arial" w:cs="Arial"/>
          <w:b/>
          <w:color w:val="000000" w:themeColor="text1"/>
          <w:sz w:val="52"/>
          <w:szCs w:val="52"/>
        </w:rPr>
      </w:pPr>
      <w:r w:rsidRPr="00DB5527">
        <w:rPr>
          <w:rFonts w:ascii="Arial" w:hAnsi="Arial" w:cs="Arial"/>
          <w:b/>
          <w:color w:val="000000" w:themeColor="text1"/>
          <w:sz w:val="52"/>
          <w:szCs w:val="52"/>
        </w:rPr>
        <w:t>Law for the Built Environment M4X01311</w:t>
      </w:r>
    </w:p>
    <w:p w:rsidR="0084453F" w:rsidRPr="00DB5527" w:rsidRDefault="0084453F" w:rsidP="0084453F">
      <w:pPr>
        <w:jc w:val="center"/>
        <w:rPr>
          <w:rFonts w:ascii="Arial" w:hAnsi="Arial" w:cs="Arial"/>
          <w:b/>
          <w:color w:val="000000" w:themeColor="text1"/>
          <w:sz w:val="52"/>
          <w:szCs w:val="52"/>
        </w:rPr>
      </w:pPr>
      <w:r w:rsidRPr="00DB5527">
        <w:rPr>
          <w:rFonts w:ascii="Arial" w:hAnsi="Arial" w:cs="Arial"/>
          <w:b/>
          <w:color w:val="000000" w:themeColor="text1"/>
          <w:sz w:val="52"/>
          <w:szCs w:val="52"/>
        </w:rPr>
        <w:t xml:space="preserve">Written Assignment </w:t>
      </w:r>
    </w:p>
    <w:p w:rsidR="0084453F" w:rsidRPr="00DB5527" w:rsidRDefault="0084453F" w:rsidP="0084453F">
      <w:pPr>
        <w:jc w:val="center"/>
        <w:rPr>
          <w:rFonts w:ascii="Arial" w:hAnsi="Arial" w:cs="Arial"/>
          <w:b/>
          <w:color w:val="000000" w:themeColor="text1"/>
          <w:sz w:val="52"/>
          <w:szCs w:val="52"/>
        </w:rPr>
      </w:pPr>
    </w:p>
    <w:p w:rsidR="0084453F" w:rsidRPr="00DB5527" w:rsidRDefault="0084453F" w:rsidP="0084453F">
      <w:pPr>
        <w:jc w:val="center"/>
        <w:rPr>
          <w:rFonts w:ascii="Arial" w:hAnsi="Arial" w:cs="Arial"/>
          <w:b/>
          <w:color w:val="000000" w:themeColor="text1"/>
          <w:sz w:val="52"/>
          <w:szCs w:val="52"/>
        </w:rPr>
      </w:pPr>
    </w:p>
    <w:p w:rsidR="0084453F" w:rsidRPr="00DB5527" w:rsidRDefault="0084453F" w:rsidP="0084453F">
      <w:pPr>
        <w:jc w:val="center"/>
        <w:rPr>
          <w:rFonts w:ascii="Arial" w:hAnsi="Arial" w:cs="Arial"/>
          <w:b/>
          <w:color w:val="000000" w:themeColor="text1"/>
          <w:sz w:val="52"/>
          <w:szCs w:val="52"/>
        </w:rPr>
      </w:pPr>
      <w:r w:rsidRPr="00DB5527">
        <w:rPr>
          <w:rFonts w:ascii="Arial" w:hAnsi="Arial" w:cs="Arial"/>
          <w:b/>
          <w:color w:val="000000" w:themeColor="text1"/>
          <w:sz w:val="52"/>
          <w:szCs w:val="52"/>
        </w:rPr>
        <w:t>Jamie Davies</w:t>
      </w:r>
    </w:p>
    <w:p w:rsidR="0084453F" w:rsidRPr="00DB5527" w:rsidRDefault="0084453F" w:rsidP="0084453F">
      <w:pPr>
        <w:jc w:val="center"/>
        <w:rPr>
          <w:rFonts w:ascii="Arial" w:hAnsi="Arial" w:cs="Arial"/>
          <w:b/>
          <w:color w:val="000000" w:themeColor="text1"/>
          <w:sz w:val="52"/>
          <w:szCs w:val="52"/>
        </w:rPr>
      </w:pPr>
      <w:r w:rsidRPr="00DB5527">
        <w:rPr>
          <w:rFonts w:ascii="Arial" w:hAnsi="Arial" w:cs="Arial"/>
          <w:b/>
          <w:color w:val="000000" w:themeColor="text1"/>
          <w:sz w:val="52"/>
          <w:szCs w:val="52"/>
        </w:rPr>
        <w:t>1703062</w:t>
      </w:r>
    </w:p>
    <w:p w:rsidR="00396426" w:rsidRPr="00DB5527" w:rsidRDefault="00396426">
      <w:pPr>
        <w:rPr>
          <w:rFonts w:ascii="Arial" w:hAnsi="Arial" w:cs="Arial"/>
          <w:b/>
          <w:color w:val="000000" w:themeColor="text1"/>
          <w:sz w:val="52"/>
          <w:szCs w:val="52"/>
        </w:rPr>
      </w:pPr>
    </w:p>
    <w:p w:rsidR="00396426" w:rsidRDefault="00396426">
      <w:pPr>
        <w:rPr>
          <w:rFonts w:ascii="Arial" w:hAnsi="Arial" w:cs="Arial"/>
          <w:color w:val="000000" w:themeColor="text1"/>
          <w:sz w:val="28"/>
          <w:szCs w:val="52"/>
        </w:rPr>
      </w:pPr>
    </w:p>
    <w:p w:rsidR="00396426" w:rsidRDefault="00396426">
      <w:pPr>
        <w:rPr>
          <w:rFonts w:ascii="Arial" w:hAnsi="Arial" w:cs="Arial"/>
          <w:color w:val="000000" w:themeColor="text1"/>
          <w:sz w:val="28"/>
          <w:szCs w:val="52"/>
        </w:rPr>
      </w:pPr>
    </w:p>
    <w:p w:rsidR="00396426" w:rsidRDefault="00396426">
      <w:pPr>
        <w:rPr>
          <w:rFonts w:ascii="Arial" w:hAnsi="Arial" w:cs="Arial"/>
          <w:color w:val="000000" w:themeColor="text1"/>
          <w:sz w:val="28"/>
          <w:szCs w:val="52"/>
        </w:rPr>
      </w:pPr>
    </w:p>
    <w:p w:rsidR="00396426" w:rsidRDefault="00396426">
      <w:pPr>
        <w:rPr>
          <w:rFonts w:ascii="Arial" w:hAnsi="Arial" w:cs="Arial"/>
          <w:color w:val="000000" w:themeColor="text1"/>
          <w:sz w:val="28"/>
          <w:szCs w:val="52"/>
        </w:rPr>
      </w:pPr>
    </w:p>
    <w:p w:rsidR="00396426" w:rsidRDefault="00396426">
      <w:pPr>
        <w:rPr>
          <w:rFonts w:ascii="Arial" w:hAnsi="Arial" w:cs="Arial"/>
          <w:color w:val="000000" w:themeColor="text1"/>
          <w:sz w:val="28"/>
          <w:szCs w:val="52"/>
        </w:rPr>
      </w:pPr>
    </w:p>
    <w:p w:rsidR="00396426" w:rsidRDefault="00396426">
      <w:pPr>
        <w:rPr>
          <w:rFonts w:ascii="Arial" w:hAnsi="Arial" w:cs="Arial"/>
          <w:color w:val="000000" w:themeColor="text1"/>
          <w:sz w:val="28"/>
          <w:szCs w:val="52"/>
        </w:rPr>
      </w:pPr>
    </w:p>
    <w:p w:rsidR="00396426" w:rsidRDefault="00E77F63">
      <w:pPr>
        <w:rPr>
          <w:rFonts w:ascii="Arial" w:hAnsi="Arial" w:cs="Arial"/>
          <w:color w:val="000000" w:themeColor="text1"/>
          <w:sz w:val="28"/>
          <w:szCs w:val="52"/>
        </w:rPr>
      </w:pPr>
      <w:r>
        <w:rPr>
          <w:rFonts w:ascii="Arial" w:hAnsi="Arial" w:cs="Arial"/>
          <w:color w:val="000000" w:themeColor="text1"/>
          <w:sz w:val="28"/>
          <w:szCs w:val="52"/>
        </w:rPr>
        <w:t>Word Count = 1909</w:t>
      </w:r>
    </w:p>
    <w:p w:rsidR="00E77F63" w:rsidRDefault="00E77F63">
      <w:pPr>
        <w:rPr>
          <w:rFonts w:ascii="Arial" w:hAnsi="Arial" w:cs="Arial"/>
          <w:color w:val="000000" w:themeColor="text1"/>
          <w:sz w:val="28"/>
          <w:szCs w:val="52"/>
        </w:rPr>
      </w:pPr>
      <w:r>
        <w:rPr>
          <w:rFonts w:ascii="Arial" w:hAnsi="Arial" w:cs="Arial"/>
          <w:color w:val="000000" w:themeColor="text1"/>
          <w:sz w:val="28"/>
          <w:szCs w:val="52"/>
        </w:rPr>
        <w:br w:type="page"/>
      </w:r>
    </w:p>
    <w:p w:rsidR="0084453F" w:rsidRPr="00354268" w:rsidRDefault="0084453F" w:rsidP="004E297B">
      <w:pPr>
        <w:jc w:val="both"/>
        <w:rPr>
          <w:rFonts w:ascii="Arial" w:hAnsi="Arial" w:cs="Arial"/>
          <w:color w:val="000000" w:themeColor="text1"/>
          <w:sz w:val="28"/>
          <w:szCs w:val="52"/>
        </w:rPr>
      </w:pPr>
      <w:bookmarkStart w:id="0" w:name="_GoBack"/>
      <w:bookmarkEnd w:id="0"/>
      <w:r w:rsidRPr="00354268">
        <w:rPr>
          <w:rFonts w:ascii="Arial" w:hAnsi="Arial" w:cs="Arial"/>
          <w:color w:val="000000" w:themeColor="text1"/>
          <w:sz w:val="28"/>
          <w:szCs w:val="52"/>
        </w:rPr>
        <w:lastRenderedPageBreak/>
        <w:t xml:space="preserve">What is a contract? </w:t>
      </w:r>
    </w:p>
    <w:p w:rsidR="003725D7" w:rsidRDefault="00834E7A" w:rsidP="004E297B">
      <w:pPr>
        <w:jc w:val="both"/>
        <w:rPr>
          <w:rFonts w:ascii="Arial" w:hAnsi="Arial" w:cs="Arial"/>
          <w:color w:val="000000" w:themeColor="text1"/>
          <w:sz w:val="24"/>
          <w:szCs w:val="52"/>
        </w:rPr>
      </w:pPr>
      <w:r w:rsidRPr="00DB5527">
        <w:rPr>
          <w:rFonts w:ascii="Arial" w:hAnsi="Arial" w:cs="Arial"/>
          <w:color w:val="000000" w:themeColor="text1"/>
          <w:sz w:val="24"/>
          <w:szCs w:val="52"/>
        </w:rPr>
        <w:t>A contract is</w:t>
      </w:r>
      <w:r w:rsidR="00327668" w:rsidRPr="00DB5527">
        <w:rPr>
          <w:rFonts w:ascii="Arial" w:hAnsi="Arial" w:cs="Arial"/>
          <w:color w:val="000000" w:themeColor="text1"/>
          <w:sz w:val="24"/>
          <w:szCs w:val="52"/>
        </w:rPr>
        <w:t xml:space="preserve"> </w:t>
      </w:r>
      <w:r w:rsidR="00252D21" w:rsidRPr="00DB5527">
        <w:rPr>
          <w:rFonts w:ascii="Arial" w:hAnsi="Arial" w:cs="Arial"/>
          <w:color w:val="000000" w:themeColor="text1"/>
          <w:sz w:val="24"/>
          <w:szCs w:val="52"/>
        </w:rPr>
        <w:t xml:space="preserve">a legally binding agreement between two or more parties. The English dictionaries definition of a contract is </w:t>
      </w:r>
      <w:r w:rsidR="003725D7">
        <w:rPr>
          <w:rFonts w:ascii="Arial" w:hAnsi="Arial" w:cs="Arial"/>
          <w:color w:val="000000" w:themeColor="text1"/>
          <w:sz w:val="24"/>
          <w:szCs w:val="52"/>
        </w:rPr>
        <w:t>–</w:t>
      </w:r>
      <w:r w:rsidR="00252D21" w:rsidRPr="00DB5527">
        <w:rPr>
          <w:rFonts w:ascii="Arial" w:hAnsi="Arial" w:cs="Arial"/>
          <w:color w:val="000000" w:themeColor="text1"/>
          <w:sz w:val="24"/>
          <w:szCs w:val="52"/>
        </w:rPr>
        <w:t xml:space="preserve"> </w:t>
      </w:r>
    </w:p>
    <w:p w:rsidR="003725D7" w:rsidRDefault="00834E7A" w:rsidP="003725D7">
      <w:pPr>
        <w:ind w:left="720"/>
        <w:jc w:val="both"/>
        <w:rPr>
          <w:rFonts w:ascii="Arial" w:hAnsi="Arial" w:cs="Arial"/>
          <w:color w:val="000000" w:themeColor="text1"/>
          <w:sz w:val="24"/>
          <w:szCs w:val="52"/>
        </w:rPr>
      </w:pPr>
      <w:r w:rsidRPr="00DB5527">
        <w:rPr>
          <w:rFonts w:ascii="Arial" w:hAnsi="Arial" w:cs="Arial"/>
          <w:i/>
          <w:color w:val="000000" w:themeColor="text1"/>
          <w:sz w:val="24"/>
          <w:szCs w:val="52"/>
        </w:rPr>
        <w:t>“A written or spoken agreement, especially one concerning employment, sales, or tenancy, that is intended to be enforceable by law”</w:t>
      </w:r>
      <w:r w:rsidR="00327668" w:rsidRPr="00DB5527">
        <w:rPr>
          <w:rFonts w:ascii="Arial" w:hAnsi="Arial" w:cs="Arial"/>
          <w:i/>
          <w:color w:val="000000" w:themeColor="text1"/>
          <w:sz w:val="24"/>
          <w:szCs w:val="52"/>
        </w:rPr>
        <w:t>.</w:t>
      </w:r>
      <w:r w:rsidR="00E354A0">
        <w:rPr>
          <w:rFonts w:ascii="Arial" w:hAnsi="Arial" w:cs="Arial"/>
          <w:i/>
          <w:color w:val="000000" w:themeColor="text1"/>
          <w:sz w:val="24"/>
          <w:szCs w:val="52"/>
        </w:rPr>
        <w:t xml:space="preserve"> </w:t>
      </w:r>
      <w:r w:rsidR="00A12CD8">
        <w:rPr>
          <w:rFonts w:ascii="Arial" w:hAnsi="Arial" w:cs="Arial"/>
          <w:color w:val="000000" w:themeColor="text1"/>
          <w:sz w:val="24"/>
          <w:szCs w:val="52"/>
        </w:rPr>
        <w:t>Oxford Dictionaries (2019).</w:t>
      </w:r>
    </w:p>
    <w:p w:rsidR="0084453F" w:rsidRPr="00DB5527" w:rsidRDefault="00327668" w:rsidP="003725D7">
      <w:pPr>
        <w:jc w:val="both"/>
        <w:rPr>
          <w:rFonts w:ascii="Arial" w:hAnsi="Arial" w:cs="Arial"/>
          <w:color w:val="000000" w:themeColor="text1"/>
          <w:sz w:val="24"/>
          <w:szCs w:val="52"/>
        </w:rPr>
      </w:pPr>
      <w:r w:rsidRPr="00DB5527">
        <w:rPr>
          <w:rFonts w:ascii="Arial" w:hAnsi="Arial" w:cs="Arial"/>
          <w:color w:val="000000" w:themeColor="text1"/>
          <w:sz w:val="24"/>
          <w:szCs w:val="52"/>
        </w:rPr>
        <w:t>There are many types of contracts such as tenancy, employment, sale,</w:t>
      </w:r>
      <w:r w:rsidR="00252D21" w:rsidRPr="00DB5527">
        <w:rPr>
          <w:rFonts w:ascii="Arial" w:hAnsi="Arial" w:cs="Arial"/>
          <w:color w:val="000000" w:themeColor="text1"/>
          <w:sz w:val="24"/>
          <w:szCs w:val="52"/>
        </w:rPr>
        <w:t xml:space="preserve"> lease,</w:t>
      </w:r>
      <w:r w:rsidRPr="00DB5527">
        <w:rPr>
          <w:rFonts w:ascii="Arial" w:hAnsi="Arial" w:cs="Arial"/>
          <w:color w:val="000000" w:themeColor="text1"/>
          <w:sz w:val="24"/>
          <w:szCs w:val="52"/>
        </w:rPr>
        <w:t xml:space="preserve"> etc. </w:t>
      </w:r>
      <w:r w:rsidR="0084453F" w:rsidRPr="00DB5527">
        <w:rPr>
          <w:rFonts w:ascii="Arial" w:hAnsi="Arial" w:cs="Arial"/>
          <w:color w:val="000000" w:themeColor="text1"/>
          <w:sz w:val="24"/>
          <w:szCs w:val="52"/>
        </w:rPr>
        <w:t>The</w:t>
      </w:r>
      <w:r w:rsidRPr="00DB5527">
        <w:rPr>
          <w:rFonts w:ascii="Arial" w:hAnsi="Arial" w:cs="Arial"/>
          <w:color w:val="000000" w:themeColor="text1"/>
          <w:sz w:val="24"/>
          <w:szCs w:val="52"/>
        </w:rPr>
        <w:t>re are</w:t>
      </w:r>
      <w:r w:rsidR="0084453F" w:rsidRPr="00DB5527">
        <w:rPr>
          <w:rFonts w:ascii="Arial" w:hAnsi="Arial" w:cs="Arial"/>
          <w:color w:val="000000" w:themeColor="text1"/>
          <w:sz w:val="24"/>
          <w:szCs w:val="52"/>
        </w:rPr>
        <w:t xml:space="preserve"> three key </w:t>
      </w:r>
      <w:r w:rsidRPr="00DB5527">
        <w:rPr>
          <w:rFonts w:ascii="Arial" w:hAnsi="Arial" w:cs="Arial"/>
          <w:color w:val="000000" w:themeColor="text1"/>
          <w:sz w:val="24"/>
          <w:szCs w:val="52"/>
        </w:rPr>
        <w:t xml:space="preserve">elements </w:t>
      </w:r>
      <w:r w:rsidR="0084453F" w:rsidRPr="00DB5527">
        <w:rPr>
          <w:rFonts w:ascii="Arial" w:hAnsi="Arial" w:cs="Arial"/>
          <w:color w:val="000000" w:themeColor="text1"/>
          <w:sz w:val="24"/>
          <w:szCs w:val="52"/>
        </w:rPr>
        <w:t>needed to ensure a contract is valid</w:t>
      </w:r>
      <w:r w:rsidRPr="00DB5527">
        <w:rPr>
          <w:rFonts w:ascii="Arial" w:hAnsi="Arial" w:cs="Arial"/>
          <w:color w:val="000000" w:themeColor="text1"/>
          <w:sz w:val="24"/>
          <w:szCs w:val="52"/>
        </w:rPr>
        <w:t>, those elements</w:t>
      </w:r>
      <w:r w:rsidR="0084453F" w:rsidRPr="00DB5527">
        <w:rPr>
          <w:rFonts w:ascii="Arial" w:hAnsi="Arial" w:cs="Arial"/>
          <w:color w:val="000000" w:themeColor="text1"/>
          <w:sz w:val="24"/>
          <w:szCs w:val="52"/>
        </w:rPr>
        <w:t xml:space="preserve"> are agreement, consideration and legal intent. </w:t>
      </w:r>
      <w:r w:rsidRPr="00DB5527">
        <w:rPr>
          <w:rFonts w:ascii="Arial" w:hAnsi="Arial" w:cs="Arial"/>
          <w:color w:val="000000" w:themeColor="text1"/>
          <w:sz w:val="24"/>
          <w:szCs w:val="52"/>
        </w:rPr>
        <w:t xml:space="preserve">There are other elements to consider within a contract such as intention to be bound, no fundamental mistake, capacity, proper form and true consent. </w:t>
      </w:r>
      <w:r w:rsidR="008D7740" w:rsidRPr="00DB5527">
        <w:rPr>
          <w:rFonts w:ascii="Arial" w:hAnsi="Arial" w:cs="Arial"/>
          <w:color w:val="000000" w:themeColor="text1"/>
          <w:sz w:val="24"/>
          <w:szCs w:val="52"/>
        </w:rPr>
        <w:t xml:space="preserve">If any of these elements are missing within a contract it </w:t>
      </w:r>
      <w:r w:rsidR="00BC4A8C">
        <w:rPr>
          <w:rFonts w:ascii="Arial" w:hAnsi="Arial" w:cs="Arial"/>
          <w:color w:val="000000" w:themeColor="text1"/>
          <w:sz w:val="24"/>
          <w:szCs w:val="52"/>
        </w:rPr>
        <w:t>may</w:t>
      </w:r>
      <w:r w:rsidR="008D7740" w:rsidRPr="00DB5527">
        <w:rPr>
          <w:rFonts w:ascii="Arial" w:hAnsi="Arial" w:cs="Arial"/>
          <w:color w:val="000000" w:themeColor="text1"/>
          <w:sz w:val="24"/>
          <w:szCs w:val="52"/>
        </w:rPr>
        <w:t xml:space="preserve"> result in the contract being void. </w:t>
      </w:r>
    </w:p>
    <w:p w:rsidR="006232E3" w:rsidRDefault="00971D5F" w:rsidP="004E297B">
      <w:pPr>
        <w:jc w:val="both"/>
        <w:rPr>
          <w:rFonts w:ascii="Arial" w:hAnsi="Arial" w:cs="Arial"/>
          <w:color w:val="000000" w:themeColor="text1"/>
          <w:sz w:val="24"/>
          <w:szCs w:val="52"/>
        </w:rPr>
      </w:pPr>
      <w:r w:rsidRPr="00DB5527">
        <w:rPr>
          <w:rFonts w:ascii="Arial" w:hAnsi="Arial" w:cs="Arial"/>
          <w:color w:val="000000" w:themeColor="text1"/>
          <w:sz w:val="24"/>
          <w:szCs w:val="52"/>
        </w:rPr>
        <w:t>The definition of a</w:t>
      </w:r>
      <w:r w:rsidR="0027649C" w:rsidRPr="00DB5527">
        <w:rPr>
          <w:rFonts w:ascii="Arial" w:hAnsi="Arial" w:cs="Arial"/>
          <w:color w:val="000000" w:themeColor="text1"/>
          <w:sz w:val="24"/>
          <w:szCs w:val="52"/>
        </w:rPr>
        <w:t xml:space="preserve">greement </w:t>
      </w:r>
      <w:r w:rsidRPr="00DB5527">
        <w:rPr>
          <w:rFonts w:ascii="Arial" w:hAnsi="Arial" w:cs="Arial"/>
          <w:color w:val="000000" w:themeColor="text1"/>
          <w:sz w:val="24"/>
          <w:szCs w:val="52"/>
        </w:rPr>
        <w:t>in a contract is the offer, acceptance and certainty of terms.</w:t>
      </w:r>
      <w:r w:rsidR="004E297B" w:rsidRPr="00DB5527">
        <w:rPr>
          <w:rFonts w:ascii="Arial" w:hAnsi="Arial" w:cs="Arial"/>
          <w:color w:val="000000" w:themeColor="text1"/>
          <w:sz w:val="24"/>
          <w:szCs w:val="52"/>
        </w:rPr>
        <w:t xml:space="preserve"> To make an offer a party must invite to treat, this means they are inviting others to make an offer. Invitations to treat can be prices in pricelists, catalogues, newspapers, etc. An offer must come from an invitation to treat. </w:t>
      </w:r>
      <w:r w:rsidR="004E5B0C" w:rsidRPr="00DB5527">
        <w:rPr>
          <w:rFonts w:ascii="Arial" w:hAnsi="Arial" w:cs="Arial"/>
          <w:color w:val="000000" w:themeColor="text1"/>
          <w:sz w:val="24"/>
          <w:szCs w:val="52"/>
        </w:rPr>
        <w:t xml:space="preserve">Once an offer is submitted the offeror will be bound to it if the offeree accepts all the terms. An offer remains open until it is either accepted, revoked, rejected or lapses. </w:t>
      </w:r>
      <w:r w:rsidRPr="00DB5527">
        <w:rPr>
          <w:rFonts w:ascii="Arial" w:hAnsi="Arial" w:cs="Arial"/>
          <w:color w:val="000000" w:themeColor="text1"/>
          <w:sz w:val="24"/>
          <w:szCs w:val="52"/>
        </w:rPr>
        <w:t>Acceptance must be in response to an offer and must have no alterations. There must be no alterations bec</w:t>
      </w:r>
      <w:r w:rsidR="00A76136" w:rsidRPr="00DB5527">
        <w:rPr>
          <w:rFonts w:ascii="Arial" w:hAnsi="Arial" w:cs="Arial"/>
          <w:color w:val="000000" w:themeColor="text1"/>
          <w:sz w:val="24"/>
          <w:szCs w:val="52"/>
        </w:rPr>
        <w:t xml:space="preserve">ause the offeree is then responding with a counter offer. Once a counter offer is made the original offer is now superseded. A great example of this is </w:t>
      </w:r>
      <w:r w:rsidR="0000298E" w:rsidRPr="00DB5527">
        <w:rPr>
          <w:rFonts w:ascii="Arial" w:hAnsi="Arial" w:cs="Arial"/>
          <w:color w:val="000000" w:themeColor="text1"/>
          <w:sz w:val="24"/>
          <w:szCs w:val="52"/>
        </w:rPr>
        <w:t>Hyde v Wrench [1870]</w:t>
      </w:r>
      <w:r w:rsidR="00A76136" w:rsidRPr="00DB5527">
        <w:rPr>
          <w:rFonts w:ascii="Arial" w:hAnsi="Arial" w:cs="Arial"/>
          <w:color w:val="000000" w:themeColor="text1"/>
          <w:sz w:val="24"/>
          <w:szCs w:val="52"/>
        </w:rPr>
        <w:t>. Mr Wrench (defendant) offered to sell Mr Hyde</w:t>
      </w:r>
      <w:r w:rsidR="00EF74A6" w:rsidRPr="00DB5527">
        <w:rPr>
          <w:rFonts w:ascii="Arial" w:hAnsi="Arial" w:cs="Arial"/>
          <w:color w:val="000000" w:themeColor="text1"/>
          <w:sz w:val="24"/>
          <w:szCs w:val="52"/>
        </w:rPr>
        <w:t xml:space="preserve"> (claimant</w:t>
      </w:r>
      <w:r w:rsidR="00A76136" w:rsidRPr="00DB5527">
        <w:rPr>
          <w:rFonts w:ascii="Arial" w:hAnsi="Arial" w:cs="Arial"/>
          <w:color w:val="000000" w:themeColor="text1"/>
          <w:sz w:val="24"/>
          <w:szCs w:val="52"/>
        </w:rPr>
        <w:t xml:space="preserve">) his property originally for £1200 but Mr Hyde declined. Mr Wrench decided to make another offer of £1000 for his property, Mr Hyde then counter offered with £950. Once Mr Wrench declined the offer of £950 Mr Hyde agreed to buy the property for £1000, however Mr Wrench refused to sell the property to Mr Hyde. Mr Hyde then decided to take legal action claiming Mr Wrench is in breach of contract by refusing to sell him the property for the £1000 offer. The court however ruled against Mr Hyde and dismissed the claims because </w:t>
      </w:r>
    </w:p>
    <w:p w:rsidR="008A7999" w:rsidRPr="00DB5527" w:rsidRDefault="00A76136" w:rsidP="006232E3">
      <w:pPr>
        <w:ind w:left="720"/>
        <w:jc w:val="both"/>
        <w:rPr>
          <w:rFonts w:ascii="Arial" w:hAnsi="Arial" w:cs="Arial"/>
          <w:color w:val="000000" w:themeColor="text1"/>
          <w:sz w:val="24"/>
          <w:szCs w:val="52"/>
        </w:rPr>
      </w:pPr>
      <w:r w:rsidRPr="00DB5527">
        <w:rPr>
          <w:rFonts w:ascii="Arial" w:hAnsi="Arial" w:cs="Arial"/>
          <w:i/>
          <w:color w:val="000000" w:themeColor="text1"/>
          <w:sz w:val="24"/>
          <w:szCs w:val="52"/>
        </w:rPr>
        <w:t xml:space="preserve">“there was no binding contract for the farm between Mr Hyde and Mr Wrench. It was stated that when a counter offer is made, this supersedes </w:t>
      </w:r>
      <w:r w:rsidR="004E297B" w:rsidRPr="00DB5527">
        <w:rPr>
          <w:rFonts w:ascii="Arial" w:hAnsi="Arial" w:cs="Arial"/>
          <w:i/>
          <w:color w:val="000000" w:themeColor="text1"/>
          <w:sz w:val="24"/>
          <w:szCs w:val="52"/>
        </w:rPr>
        <w:t xml:space="preserve">and </w:t>
      </w:r>
      <w:r w:rsidR="00843A4C" w:rsidRPr="00DB5527">
        <w:rPr>
          <w:rFonts w:ascii="Arial" w:hAnsi="Arial" w:cs="Arial"/>
          <w:i/>
          <w:color w:val="000000" w:themeColor="text1"/>
          <w:sz w:val="24"/>
          <w:szCs w:val="52"/>
        </w:rPr>
        <w:t>destroys the original offer”</w:t>
      </w:r>
      <w:r w:rsidR="004A282C">
        <w:rPr>
          <w:rFonts w:ascii="Arial" w:hAnsi="Arial" w:cs="Arial"/>
          <w:i/>
          <w:color w:val="000000" w:themeColor="text1"/>
          <w:sz w:val="24"/>
          <w:szCs w:val="52"/>
        </w:rPr>
        <w:t xml:space="preserve"> </w:t>
      </w:r>
      <w:proofErr w:type="spellStart"/>
      <w:r w:rsidR="004A282C">
        <w:rPr>
          <w:rFonts w:ascii="Arial" w:hAnsi="Arial" w:cs="Arial"/>
          <w:color w:val="000000" w:themeColor="text1"/>
          <w:sz w:val="24"/>
          <w:szCs w:val="52"/>
        </w:rPr>
        <w:t>Lawteacher</w:t>
      </w:r>
      <w:proofErr w:type="spellEnd"/>
      <w:r w:rsidR="004A282C">
        <w:rPr>
          <w:rFonts w:ascii="Arial" w:hAnsi="Arial" w:cs="Arial"/>
          <w:color w:val="000000" w:themeColor="text1"/>
          <w:sz w:val="24"/>
          <w:szCs w:val="52"/>
        </w:rPr>
        <w:t xml:space="preserve"> (Unknown)</w:t>
      </w:r>
      <w:r w:rsidR="00843A4C" w:rsidRPr="00DB5527">
        <w:rPr>
          <w:rFonts w:ascii="Arial" w:hAnsi="Arial" w:cs="Arial"/>
          <w:i/>
          <w:color w:val="000000" w:themeColor="text1"/>
          <w:sz w:val="24"/>
          <w:szCs w:val="52"/>
        </w:rPr>
        <w:t>.</w:t>
      </w:r>
      <w:r w:rsidR="00843A4C" w:rsidRPr="00DB5527">
        <w:rPr>
          <w:rFonts w:ascii="Arial" w:hAnsi="Arial" w:cs="Arial"/>
          <w:color w:val="000000" w:themeColor="text1"/>
          <w:sz w:val="24"/>
          <w:szCs w:val="52"/>
        </w:rPr>
        <w:t xml:space="preserve"> </w:t>
      </w:r>
    </w:p>
    <w:p w:rsidR="00533AD3" w:rsidRPr="00DB5527" w:rsidRDefault="00533AD3" w:rsidP="004E297B">
      <w:pPr>
        <w:jc w:val="both"/>
        <w:rPr>
          <w:rFonts w:ascii="Arial" w:hAnsi="Arial" w:cs="Arial"/>
          <w:color w:val="000000" w:themeColor="text1"/>
          <w:sz w:val="24"/>
          <w:szCs w:val="52"/>
        </w:rPr>
      </w:pPr>
      <w:r w:rsidRPr="00DB5527">
        <w:rPr>
          <w:rFonts w:ascii="Arial" w:hAnsi="Arial" w:cs="Arial"/>
          <w:color w:val="000000" w:themeColor="text1"/>
          <w:sz w:val="24"/>
          <w:szCs w:val="52"/>
        </w:rPr>
        <w:t xml:space="preserve">Consideration in a contract is the answer to “Why are you entering this contract?” or “What are you receiving for being party to this contract?”. </w:t>
      </w:r>
      <w:r w:rsidR="00A82E30" w:rsidRPr="00DB5527">
        <w:rPr>
          <w:rFonts w:ascii="Arial" w:hAnsi="Arial" w:cs="Arial"/>
          <w:color w:val="000000" w:themeColor="text1"/>
          <w:sz w:val="24"/>
          <w:szCs w:val="52"/>
        </w:rPr>
        <w:t xml:space="preserve">When entering a contract each party should receive either a benefit or suffer a detriment. There are two types of considerations, executed and executory considerations. </w:t>
      </w:r>
      <w:r w:rsidR="00316B8C" w:rsidRPr="00DB5527">
        <w:rPr>
          <w:rFonts w:ascii="Arial" w:hAnsi="Arial" w:cs="Arial"/>
          <w:color w:val="000000" w:themeColor="text1"/>
          <w:sz w:val="24"/>
          <w:szCs w:val="52"/>
        </w:rPr>
        <w:t>E</w:t>
      </w:r>
      <w:r w:rsidR="00A82E30" w:rsidRPr="00DB5527">
        <w:rPr>
          <w:rFonts w:ascii="Arial" w:hAnsi="Arial" w:cs="Arial"/>
          <w:color w:val="000000" w:themeColor="text1"/>
          <w:sz w:val="24"/>
          <w:szCs w:val="52"/>
        </w:rPr>
        <w:t>xecuted considerations</w:t>
      </w:r>
      <w:r w:rsidR="00316B8C" w:rsidRPr="00DB5527">
        <w:rPr>
          <w:rFonts w:ascii="Arial" w:hAnsi="Arial" w:cs="Arial"/>
          <w:color w:val="000000" w:themeColor="text1"/>
          <w:sz w:val="24"/>
          <w:szCs w:val="52"/>
        </w:rPr>
        <w:t xml:space="preserve"> have a promise and an act between the parties. The </w:t>
      </w:r>
      <w:r w:rsidR="00A82E30" w:rsidRPr="00DB5527">
        <w:rPr>
          <w:rFonts w:ascii="Arial" w:hAnsi="Arial" w:cs="Arial"/>
          <w:color w:val="000000" w:themeColor="text1"/>
          <w:sz w:val="24"/>
          <w:szCs w:val="52"/>
        </w:rPr>
        <w:t xml:space="preserve">promise </w:t>
      </w:r>
      <w:r w:rsidR="00780E49" w:rsidRPr="00DB5527">
        <w:rPr>
          <w:rFonts w:ascii="Arial" w:hAnsi="Arial" w:cs="Arial"/>
          <w:color w:val="000000" w:themeColor="text1"/>
          <w:sz w:val="24"/>
          <w:szCs w:val="52"/>
        </w:rPr>
        <w:t xml:space="preserve">could be an advert in the newspaper offering a £100 reward to return a lost dog. The act would be Mr Jones finding the dog, returning it and then claiming the reward. </w:t>
      </w:r>
      <w:r w:rsidR="00316B8C" w:rsidRPr="00DB5527">
        <w:rPr>
          <w:rFonts w:ascii="Arial" w:hAnsi="Arial" w:cs="Arial"/>
          <w:color w:val="000000" w:themeColor="text1"/>
          <w:sz w:val="24"/>
          <w:szCs w:val="52"/>
        </w:rPr>
        <w:t>An</w:t>
      </w:r>
      <w:r w:rsidR="00905BDF" w:rsidRPr="00DB5527">
        <w:rPr>
          <w:rFonts w:ascii="Arial" w:hAnsi="Arial" w:cs="Arial"/>
          <w:color w:val="000000" w:themeColor="text1"/>
          <w:sz w:val="24"/>
          <w:szCs w:val="52"/>
        </w:rPr>
        <w:t xml:space="preserve"> </w:t>
      </w:r>
      <w:r w:rsidR="0001687E">
        <w:rPr>
          <w:rFonts w:ascii="Arial" w:hAnsi="Arial" w:cs="Arial"/>
          <w:color w:val="000000" w:themeColor="text1"/>
          <w:sz w:val="24"/>
          <w:szCs w:val="52"/>
        </w:rPr>
        <w:t xml:space="preserve">executory </w:t>
      </w:r>
      <w:proofErr w:type="gramStart"/>
      <w:r w:rsidR="0001687E">
        <w:rPr>
          <w:rFonts w:ascii="Arial" w:hAnsi="Arial" w:cs="Arial"/>
          <w:color w:val="000000" w:themeColor="text1"/>
          <w:sz w:val="24"/>
          <w:szCs w:val="52"/>
        </w:rPr>
        <w:t xml:space="preserve">consideration </w:t>
      </w:r>
      <w:r w:rsidR="00316B8C" w:rsidRPr="00DB5527">
        <w:rPr>
          <w:rFonts w:ascii="Arial" w:hAnsi="Arial" w:cs="Arial"/>
          <w:color w:val="000000" w:themeColor="text1"/>
          <w:sz w:val="24"/>
          <w:szCs w:val="52"/>
        </w:rPr>
        <w:t xml:space="preserve"> does</w:t>
      </w:r>
      <w:proofErr w:type="gramEnd"/>
      <w:r w:rsidR="0001687E">
        <w:rPr>
          <w:rFonts w:ascii="Arial" w:hAnsi="Arial" w:cs="Arial"/>
          <w:color w:val="000000" w:themeColor="text1"/>
          <w:sz w:val="24"/>
          <w:szCs w:val="52"/>
        </w:rPr>
        <w:t xml:space="preserve"> </w:t>
      </w:r>
      <w:r w:rsidR="00316B8C" w:rsidRPr="00DB5527">
        <w:rPr>
          <w:rFonts w:ascii="Arial" w:hAnsi="Arial" w:cs="Arial"/>
          <w:color w:val="000000" w:themeColor="text1"/>
          <w:sz w:val="24"/>
          <w:szCs w:val="52"/>
        </w:rPr>
        <w:t>n</w:t>
      </w:r>
      <w:r w:rsidR="0001687E">
        <w:rPr>
          <w:rFonts w:ascii="Arial" w:hAnsi="Arial" w:cs="Arial"/>
          <w:color w:val="000000" w:themeColor="text1"/>
          <w:sz w:val="24"/>
          <w:szCs w:val="52"/>
        </w:rPr>
        <w:t>o</w:t>
      </w:r>
      <w:r w:rsidR="00316B8C" w:rsidRPr="00DB5527">
        <w:rPr>
          <w:rFonts w:ascii="Arial" w:hAnsi="Arial" w:cs="Arial"/>
          <w:color w:val="000000" w:themeColor="text1"/>
          <w:sz w:val="24"/>
          <w:szCs w:val="52"/>
        </w:rPr>
        <w:t>t have an act it has two promises. One promise could be if Edwards PLC promises to pay £1000 when a new laptop is delivered, the other promise would be that Office Supplies Ltd promises to de</w:t>
      </w:r>
      <w:r w:rsidR="00EE7A61">
        <w:rPr>
          <w:rFonts w:ascii="Arial" w:hAnsi="Arial" w:cs="Arial"/>
          <w:color w:val="000000" w:themeColor="text1"/>
          <w:sz w:val="24"/>
          <w:szCs w:val="52"/>
        </w:rPr>
        <w:t>liver the laptop within a month</w:t>
      </w:r>
      <w:r w:rsidR="00E00067">
        <w:rPr>
          <w:rFonts w:ascii="Arial" w:hAnsi="Arial" w:cs="Arial"/>
          <w:color w:val="000000" w:themeColor="text1"/>
          <w:sz w:val="24"/>
          <w:szCs w:val="52"/>
        </w:rPr>
        <w:t xml:space="preserve">. </w:t>
      </w:r>
      <w:r w:rsidR="00290179" w:rsidRPr="00DB5527">
        <w:rPr>
          <w:rFonts w:ascii="Arial" w:hAnsi="Arial" w:cs="Arial"/>
          <w:color w:val="000000" w:themeColor="text1"/>
          <w:sz w:val="24"/>
          <w:szCs w:val="52"/>
        </w:rPr>
        <w:t xml:space="preserve">Consideration must have value, but the value does not need to be economically adequate. An </w:t>
      </w:r>
      <w:r w:rsidR="00290179" w:rsidRPr="00DB5527">
        <w:rPr>
          <w:rFonts w:ascii="Arial" w:hAnsi="Arial" w:cs="Arial"/>
          <w:color w:val="000000" w:themeColor="text1"/>
          <w:sz w:val="24"/>
          <w:szCs w:val="52"/>
        </w:rPr>
        <w:lastRenderedPageBreak/>
        <w:t>example of this would be Thomas v Thomas [1842]. Before dying, Mr Thomas verbally expressed he wished his wife to live in their house for the rest of her life. However, after his death, his executors agreed that Mrs Thomas could stay at the property if she paid £1 in rent per year. The executors later tried to evict Mrs Thomas claiming consideration was lacking. The court however ruled that Mrs Thomas</w:t>
      </w:r>
      <w:r w:rsidR="00803DCD" w:rsidRPr="00DB5527">
        <w:rPr>
          <w:rFonts w:ascii="Arial" w:hAnsi="Arial" w:cs="Arial"/>
          <w:color w:val="000000" w:themeColor="text1"/>
          <w:sz w:val="24"/>
          <w:szCs w:val="52"/>
        </w:rPr>
        <w:t xml:space="preserve"> </w:t>
      </w:r>
      <w:r w:rsidR="00290179" w:rsidRPr="00DB5527">
        <w:rPr>
          <w:rFonts w:ascii="Arial" w:hAnsi="Arial" w:cs="Arial"/>
          <w:color w:val="000000" w:themeColor="text1"/>
          <w:sz w:val="24"/>
          <w:szCs w:val="52"/>
        </w:rPr>
        <w:t xml:space="preserve">had provided consideration </w:t>
      </w:r>
      <w:r w:rsidR="00803DCD" w:rsidRPr="00DB5527">
        <w:rPr>
          <w:rFonts w:ascii="Arial" w:hAnsi="Arial" w:cs="Arial"/>
          <w:color w:val="000000" w:themeColor="text1"/>
          <w:sz w:val="24"/>
          <w:szCs w:val="52"/>
        </w:rPr>
        <w:t>by paying the £1 in rent, e</w:t>
      </w:r>
      <w:r w:rsidR="00033D42">
        <w:rPr>
          <w:rFonts w:ascii="Arial" w:hAnsi="Arial" w:cs="Arial"/>
          <w:color w:val="000000" w:themeColor="text1"/>
          <w:sz w:val="24"/>
          <w:szCs w:val="52"/>
        </w:rPr>
        <w:t>ven though it was not adequate.</w:t>
      </w:r>
    </w:p>
    <w:p w:rsidR="008A7999" w:rsidRPr="00DB5527" w:rsidRDefault="009205C0" w:rsidP="00363CC2">
      <w:pPr>
        <w:jc w:val="both"/>
        <w:rPr>
          <w:rFonts w:ascii="Arial" w:hAnsi="Arial" w:cs="Arial"/>
          <w:color w:val="000000" w:themeColor="text1"/>
          <w:sz w:val="24"/>
          <w:szCs w:val="24"/>
        </w:rPr>
      </w:pPr>
      <w:r w:rsidRPr="00DB5527">
        <w:rPr>
          <w:rFonts w:ascii="Arial" w:hAnsi="Arial" w:cs="Arial"/>
          <w:color w:val="000000" w:themeColor="text1"/>
          <w:sz w:val="24"/>
          <w:szCs w:val="52"/>
        </w:rPr>
        <w:t>Many agreements are not intended to be legally binding, but in law there is a distinction between social and domestic agreements and agreements made in a commercial context. Depending on the formality of the agreement social and domestic agreements are not assumed to create legal action. However</w:t>
      </w:r>
      <w:r w:rsidRPr="00DB5527">
        <w:rPr>
          <w:rFonts w:ascii="Arial" w:hAnsi="Arial" w:cs="Arial"/>
          <w:color w:val="000000" w:themeColor="text1"/>
          <w:sz w:val="24"/>
          <w:szCs w:val="24"/>
        </w:rPr>
        <w:t xml:space="preserve">, </w:t>
      </w:r>
      <w:r w:rsidR="0000298E" w:rsidRPr="00DB5527">
        <w:rPr>
          <w:rFonts w:ascii="Arial" w:hAnsi="Arial" w:cs="Arial"/>
          <w:color w:val="000000" w:themeColor="text1"/>
          <w:sz w:val="24"/>
          <w:szCs w:val="24"/>
        </w:rPr>
        <w:t xml:space="preserve">Parker v Clark [1960] </w:t>
      </w:r>
      <w:r w:rsidR="00363CC2" w:rsidRPr="00DB5527">
        <w:rPr>
          <w:rFonts w:ascii="Arial" w:hAnsi="Arial" w:cs="Arial"/>
          <w:color w:val="000000" w:themeColor="text1"/>
          <w:sz w:val="24"/>
          <w:szCs w:val="24"/>
        </w:rPr>
        <w:t>shows that social and domestic agreements can lead to legal disputes. Mrs Parker was the niece of Mrs Clarke, they agreed that</w:t>
      </w:r>
      <w:r w:rsidR="00A30173" w:rsidRPr="00DB5527">
        <w:rPr>
          <w:rFonts w:ascii="Arial" w:hAnsi="Arial" w:cs="Arial"/>
          <w:color w:val="000000" w:themeColor="text1"/>
          <w:sz w:val="24"/>
          <w:szCs w:val="24"/>
        </w:rPr>
        <w:t xml:space="preserve"> the Parkers would sell their home, live with the Clarkes sharing the bills and that the house would be left to the Parkers. Mrs Clarke wrote to the Parkers providing details of the expenses and confirming the agreement. Once the Parkers property was sold and they moved into the Clarke household, Mr Clarke changed his will leaving the house to the Parkers. The couples eventually fell out and were asked to leave. T</w:t>
      </w:r>
      <w:r w:rsidR="002F19CD" w:rsidRPr="00DB5527">
        <w:rPr>
          <w:rFonts w:ascii="Arial" w:hAnsi="Arial" w:cs="Arial"/>
          <w:color w:val="000000" w:themeColor="text1"/>
          <w:sz w:val="24"/>
          <w:szCs w:val="24"/>
        </w:rPr>
        <w:t>he Parkers</w:t>
      </w:r>
      <w:r w:rsidR="00A30173" w:rsidRPr="00DB5527">
        <w:rPr>
          <w:rFonts w:ascii="Arial" w:hAnsi="Arial" w:cs="Arial"/>
          <w:color w:val="000000" w:themeColor="text1"/>
          <w:sz w:val="24"/>
          <w:szCs w:val="24"/>
        </w:rPr>
        <w:t xml:space="preserve"> claimed damages for breach of contract and the court ruled that due to the exchange in letters and Mr Clarke changing his will the agreement was legally binding and that the Pa</w:t>
      </w:r>
      <w:r w:rsidR="00CE037B">
        <w:rPr>
          <w:rFonts w:ascii="Arial" w:hAnsi="Arial" w:cs="Arial"/>
          <w:color w:val="000000" w:themeColor="text1"/>
          <w:sz w:val="24"/>
          <w:szCs w:val="24"/>
        </w:rPr>
        <w:t>rkers were entitled to damages</w:t>
      </w:r>
      <w:r w:rsidR="002F19CD" w:rsidRPr="00751969">
        <w:rPr>
          <w:rFonts w:ascii="Arial" w:hAnsi="Arial" w:cs="Arial"/>
          <w:color w:val="000000" w:themeColor="text1"/>
          <w:sz w:val="24"/>
          <w:szCs w:val="24"/>
        </w:rPr>
        <w:t>.</w:t>
      </w:r>
      <w:r w:rsidR="002F19CD" w:rsidRPr="00DB5527">
        <w:rPr>
          <w:rFonts w:ascii="Arial" w:hAnsi="Arial" w:cs="Arial"/>
          <w:color w:val="000000" w:themeColor="text1"/>
          <w:sz w:val="24"/>
          <w:szCs w:val="24"/>
        </w:rPr>
        <w:t xml:space="preserve"> Agreements made in a commercial context are assumed to create legal relations. </w:t>
      </w:r>
      <w:r w:rsidR="00C32DBE" w:rsidRPr="00DB5527">
        <w:rPr>
          <w:rFonts w:ascii="Arial" w:hAnsi="Arial" w:cs="Arial"/>
          <w:color w:val="000000" w:themeColor="text1"/>
          <w:sz w:val="24"/>
          <w:szCs w:val="24"/>
        </w:rPr>
        <w:t xml:space="preserve">However, like there are exceptions such as Jones v Vernon Pools [1938]. The claimant (Jones) said that he had sent a football coupon on which the penny points pool was all correct. The defendant (Vernon Pools) denied receiving the coupon and relied on a clause that is printed on every coupon saying the transaction should not </w:t>
      </w:r>
      <w:r w:rsidR="00C32DBE" w:rsidRPr="00DB5527">
        <w:rPr>
          <w:rFonts w:ascii="Arial" w:hAnsi="Arial" w:cs="Arial"/>
          <w:i/>
          <w:color w:val="000000" w:themeColor="text1"/>
          <w:sz w:val="24"/>
          <w:szCs w:val="24"/>
        </w:rPr>
        <w:t xml:space="preserve">“give rise to any legal relationship…or be legally enforceable…but…binding in hour only”. </w:t>
      </w:r>
      <w:r w:rsidR="00C32DBE" w:rsidRPr="00DB5527">
        <w:rPr>
          <w:rFonts w:ascii="Arial" w:hAnsi="Arial" w:cs="Arial"/>
          <w:color w:val="000000" w:themeColor="text1"/>
          <w:sz w:val="24"/>
          <w:szCs w:val="24"/>
        </w:rPr>
        <w:t>The court ruled that this clause was a bar t</w:t>
      </w:r>
      <w:r w:rsidR="00CE037B">
        <w:rPr>
          <w:rFonts w:ascii="Arial" w:hAnsi="Arial" w:cs="Arial"/>
          <w:color w:val="000000" w:themeColor="text1"/>
          <w:sz w:val="24"/>
          <w:szCs w:val="24"/>
        </w:rPr>
        <w:t>o any action in a court of law.</w:t>
      </w:r>
    </w:p>
    <w:p w:rsidR="002F19CD" w:rsidRPr="00DB5527" w:rsidRDefault="00DB5527" w:rsidP="00363CC2">
      <w:pPr>
        <w:jc w:val="both"/>
        <w:rPr>
          <w:rFonts w:ascii="Arial" w:hAnsi="Arial" w:cs="Arial"/>
          <w:sz w:val="24"/>
          <w:szCs w:val="52"/>
        </w:rPr>
      </w:pPr>
      <w:r w:rsidRPr="00354268">
        <w:rPr>
          <w:rFonts w:ascii="Arial" w:hAnsi="Arial" w:cs="Arial"/>
          <w:sz w:val="28"/>
          <w:szCs w:val="52"/>
        </w:rPr>
        <w:t xml:space="preserve">How is a contract discharged? </w:t>
      </w:r>
    </w:p>
    <w:p w:rsidR="00DB5527" w:rsidRDefault="00354268" w:rsidP="00363CC2">
      <w:pPr>
        <w:jc w:val="both"/>
        <w:rPr>
          <w:rFonts w:ascii="Arial" w:hAnsi="Arial" w:cs="Arial"/>
          <w:sz w:val="24"/>
          <w:szCs w:val="52"/>
        </w:rPr>
      </w:pPr>
      <w:r>
        <w:rPr>
          <w:rFonts w:ascii="Arial" w:hAnsi="Arial" w:cs="Arial"/>
          <w:sz w:val="24"/>
          <w:szCs w:val="52"/>
        </w:rPr>
        <w:t>There are four ways a contract can be discharged. Those ways are performance, breach, agreement and frustration. A contract can be discharged from performance when the terms of the contract are not precisely completed. There are exceptions to this – divisible contracts, acceptance of partial performance, completion prevented by promise, substantial performance and tender of programme. Performance time o</w:t>
      </w:r>
      <w:r w:rsidR="0044255F">
        <w:rPr>
          <w:rFonts w:ascii="Arial" w:hAnsi="Arial" w:cs="Arial"/>
          <w:sz w:val="24"/>
          <w:szCs w:val="52"/>
        </w:rPr>
        <w:t>f a contract cannot discharge the contract however Section 41 of the</w:t>
      </w:r>
      <w:r w:rsidR="0044255F" w:rsidRPr="0044255F">
        <w:rPr>
          <w:rFonts w:ascii="Arial" w:hAnsi="Arial" w:cs="Arial"/>
          <w:sz w:val="24"/>
          <w:szCs w:val="52"/>
        </w:rPr>
        <w:t xml:space="preserve"> Law of Property Act 1925</w:t>
      </w:r>
      <w:r w:rsidR="00962B80">
        <w:rPr>
          <w:rFonts w:ascii="Arial" w:hAnsi="Arial" w:cs="Arial"/>
          <w:sz w:val="24"/>
          <w:szCs w:val="52"/>
        </w:rPr>
        <w:t xml:space="preserve"> says</w:t>
      </w:r>
      <w:r w:rsidR="0044255F">
        <w:rPr>
          <w:rFonts w:ascii="Arial" w:hAnsi="Arial" w:cs="Arial"/>
          <w:sz w:val="24"/>
          <w:szCs w:val="52"/>
        </w:rPr>
        <w:t xml:space="preserve"> that </w:t>
      </w:r>
      <w:r w:rsidR="00962B80" w:rsidRPr="00962B80">
        <w:rPr>
          <w:rFonts w:ascii="Arial" w:hAnsi="Arial" w:cs="Arial"/>
          <w:i/>
          <w:sz w:val="24"/>
          <w:szCs w:val="52"/>
        </w:rPr>
        <w:t>“as to time or otherwise, which according to rules of equity are not deemed to be or to have become of the essence of the contract”.</w:t>
      </w:r>
      <w:r w:rsidR="00962B80">
        <w:rPr>
          <w:rFonts w:ascii="Arial" w:hAnsi="Arial" w:cs="Arial"/>
          <w:sz w:val="24"/>
          <w:szCs w:val="52"/>
        </w:rPr>
        <w:t xml:space="preserve"> </w:t>
      </w:r>
      <w:r w:rsidR="0001687E">
        <w:rPr>
          <w:rFonts w:ascii="Arial" w:hAnsi="Arial" w:cs="Arial"/>
          <w:sz w:val="24"/>
          <w:szCs w:val="52"/>
        </w:rPr>
        <w:t>Legislation</w:t>
      </w:r>
      <w:r w:rsidR="008E3BCE">
        <w:rPr>
          <w:rFonts w:ascii="Arial" w:hAnsi="Arial" w:cs="Arial"/>
          <w:sz w:val="24"/>
          <w:szCs w:val="52"/>
        </w:rPr>
        <w:t>.gov.uk (1925)</w:t>
      </w:r>
      <w:r w:rsidR="0044255F">
        <w:rPr>
          <w:rFonts w:ascii="Arial" w:hAnsi="Arial" w:cs="Arial"/>
          <w:sz w:val="24"/>
          <w:szCs w:val="52"/>
        </w:rPr>
        <w:t>.</w:t>
      </w:r>
      <w:r w:rsidR="00785270">
        <w:rPr>
          <w:rFonts w:ascii="Arial" w:hAnsi="Arial" w:cs="Arial"/>
          <w:sz w:val="24"/>
          <w:szCs w:val="52"/>
        </w:rPr>
        <w:t xml:space="preserve"> Other than </w:t>
      </w:r>
      <w:r w:rsidR="00D841B5">
        <w:rPr>
          <w:rFonts w:ascii="Arial" w:hAnsi="Arial" w:cs="Arial"/>
          <w:sz w:val="24"/>
          <w:szCs w:val="52"/>
        </w:rPr>
        <w:t>the contract finishing, b</w:t>
      </w:r>
      <w:r w:rsidR="0044255F">
        <w:rPr>
          <w:rFonts w:ascii="Arial" w:hAnsi="Arial" w:cs="Arial"/>
          <w:sz w:val="24"/>
          <w:szCs w:val="52"/>
        </w:rPr>
        <w:t>oth parties in a contract can make an agreement to discharge a contract by accord and satisfaction, rescission and satisfaction, variations, waiver and unilateral damage. A contract could also be discharged by one of the parties breaching one or more of the terms. The final way a contract could be discharged is by frustration</w:t>
      </w:r>
      <w:r w:rsidR="000E2801">
        <w:rPr>
          <w:rFonts w:ascii="Arial" w:hAnsi="Arial" w:cs="Arial"/>
          <w:sz w:val="24"/>
          <w:szCs w:val="52"/>
        </w:rPr>
        <w:t>, meaning that the original contract has lost its commercial purpose or that the contract simply cannot be achieved.</w:t>
      </w:r>
      <w:r w:rsidR="000E4729">
        <w:rPr>
          <w:rFonts w:ascii="Arial" w:hAnsi="Arial" w:cs="Arial"/>
          <w:sz w:val="24"/>
          <w:szCs w:val="52"/>
        </w:rPr>
        <w:t xml:space="preserve"> </w:t>
      </w:r>
    </w:p>
    <w:p w:rsidR="00CA63EE" w:rsidRDefault="00FF0426" w:rsidP="00363CC2">
      <w:pPr>
        <w:jc w:val="both"/>
        <w:rPr>
          <w:rFonts w:ascii="Arial" w:hAnsi="Arial" w:cs="Arial"/>
          <w:sz w:val="24"/>
          <w:szCs w:val="52"/>
        </w:rPr>
      </w:pPr>
      <w:r>
        <w:rPr>
          <w:rFonts w:ascii="Arial" w:hAnsi="Arial" w:cs="Arial"/>
          <w:sz w:val="24"/>
          <w:szCs w:val="52"/>
        </w:rPr>
        <w:t>Damages</w:t>
      </w:r>
      <w:r w:rsidR="00A56FB5">
        <w:rPr>
          <w:rFonts w:ascii="Arial" w:hAnsi="Arial" w:cs="Arial"/>
          <w:sz w:val="24"/>
          <w:szCs w:val="52"/>
        </w:rPr>
        <w:t xml:space="preserve"> are a financial remedy given to the injured party to compensate for the other party breaching the contract. </w:t>
      </w:r>
      <w:r w:rsidR="00727F47">
        <w:rPr>
          <w:rFonts w:ascii="Arial" w:hAnsi="Arial" w:cs="Arial"/>
          <w:sz w:val="24"/>
          <w:szCs w:val="52"/>
        </w:rPr>
        <w:t xml:space="preserve">To be awarded damages the injured party must follow the rules on causation, remoteness and a duty to mitigate loss. An example of </w:t>
      </w:r>
      <w:r w:rsidR="00727F47">
        <w:rPr>
          <w:rFonts w:ascii="Arial" w:hAnsi="Arial" w:cs="Arial"/>
          <w:sz w:val="24"/>
          <w:szCs w:val="52"/>
        </w:rPr>
        <w:lastRenderedPageBreak/>
        <w:t xml:space="preserve">causation is Monarch Steamship Co Ltd v </w:t>
      </w:r>
      <w:proofErr w:type="spellStart"/>
      <w:r w:rsidR="00727F47">
        <w:rPr>
          <w:rFonts w:ascii="Arial" w:hAnsi="Arial" w:cs="Arial"/>
          <w:sz w:val="24"/>
          <w:szCs w:val="52"/>
        </w:rPr>
        <w:t>Karlshamns</w:t>
      </w:r>
      <w:proofErr w:type="spellEnd"/>
      <w:r w:rsidR="00727F47">
        <w:rPr>
          <w:rFonts w:ascii="Arial" w:hAnsi="Arial" w:cs="Arial"/>
          <w:sz w:val="24"/>
          <w:szCs w:val="52"/>
        </w:rPr>
        <w:t xml:space="preserve"> </w:t>
      </w:r>
      <w:proofErr w:type="spellStart"/>
      <w:r w:rsidR="00727F47">
        <w:rPr>
          <w:rFonts w:ascii="Arial" w:hAnsi="Arial" w:cs="Arial"/>
          <w:sz w:val="24"/>
          <w:szCs w:val="52"/>
        </w:rPr>
        <w:t>Oljefbriker</w:t>
      </w:r>
      <w:proofErr w:type="spellEnd"/>
      <w:r w:rsidR="00727F47">
        <w:rPr>
          <w:rFonts w:ascii="Arial" w:hAnsi="Arial" w:cs="Arial"/>
          <w:sz w:val="24"/>
          <w:szCs w:val="52"/>
        </w:rPr>
        <w:t xml:space="preserve"> (A/B) [1949</w:t>
      </w:r>
      <w:r w:rsidR="00C9665E">
        <w:rPr>
          <w:rFonts w:ascii="Arial" w:hAnsi="Arial" w:cs="Arial"/>
          <w:sz w:val="24"/>
          <w:szCs w:val="52"/>
        </w:rPr>
        <w:t xml:space="preserve">], The British Monarch (TBM) </w:t>
      </w:r>
      <w:r w:rsidR="00AC54FB">
        <w:rPr>
          <w:rFonts w:ascii="Arial" w:hAnsi="Arial" w:cs="Arial"/>
          <w:sz w:val="24"/>
          <w:szCs w:val="52"/>
        </w:rPr>
        <w:t>was down to ship the claimants purchase of soya beans from Japan to Sweden. However, TBM were having issues with the boiler on their ship which caused a considerable delay. Because of the delay, World War II broke out and TBM was ordered to unload in Glasgow. The claimant arranged for the goods to be delivered to Sweden and claimed that the defendant (</w:t>
      </w:r>
      <w:proofErr w:type="spellStart"/>
      <w:r w:rsidR="00AC54FB">
        <w:rPr>
          <w:rFonts w:ascii="Arial" w:hAnsi="Arial" w:cs="Arial"/>
          <w:sz w:val="24"/>
          <w:szCs w:val="52"/>
        </w:rPr>
        <w:t>Karlshamns</w:t>
      </w:r>
      <w:proofErr w:type="spellEnd"/>
      <w:r w:rsidR="00AC54FB">
        <w:rPr>
          <w:rFonts w:ascii="Arial" w:hAnsi="Arial" w:cs="Arial"/>
          <w:sz w:val="24"/>
          <w:szCs w:val="52"/>
        </w:rPr>
        <w:t xml:space="preserve"> </w:t>
      </w:r>
      <w:proofErr w:type="spellStart"/>
      <w:r w:rsidR="00AC54FB">
        <w:rPr>
          <w:rFonts w:ascii="Arial" w:hAnsi="Arial" w:cs="Arial"/>
          <w:sz w:val="24"/>
          <w:szCs w:val="52"/>
        </w:rPr>
        <w:t>Oljefbriker</w:t>
      </w:r>
      <w:proofErr w:type="spellEnd"/>
      <w:r w:rsidR="00AC54FB">
        <w:rPr>
          <w:rFonts w:ascii="Arial" w:hAnsi="Arial" w:cs="Arial"/>
          <w:sz w:val="24"/>
          <w:szCs w:val="52"/>
        </w:rPr>
        <w:t>) should pay for loses. The court however ruled in favour of the defendant saying that the war did n</w:t>
      </w:r>
      <w:r w:rsidR="00033D42">
        <w:rPr>
          <w:rFonts w:ascii="Arial" w:hAnsi="Arial" w:cs="Arial"/>
          <w:sz w:val="24"/>
          <w:szCs w:val="52"/>
        </w:rPr>
        <w:t>ot break the chain of causation</w:t>
      </w:r>
      <w:r w:rsidR="00AC54FB">
        <w:rPr>
          <w:rFonts w:ascii="Arial" w:hAnsi="Arial" w:cs="Arial"/>
          <w:sz w:val="24"/>
          <w:szCs w:val="52"/>
        </w:rPr>
        <w:t xml:space="preserve">. </w:t>
      </w:r>
      <w:r w:rsidR="00751969">
        <w:rPr>
          <w:rFonts w:ascii="Arial" w:hAnsi="Arial" w:cs="Arial"/>
          <w:sz w:val="24"/>
          <w:szCs w:val="52"/>
        </w:rPr>
        <w:t>Rules of remoteness of damage in a contract was set out in Hadley v Baxendale [1854]</w:t>
      </w:r>
      <w:r w:rsidR="00CA63EE">
        <w:rPr>
          <w:rFonts w:ascii="Arial" w:hAnsi="Arial" w:cs="Arial"/>
          <w:sz w:val="24"/>
          <w:szCs w:val="52"/>
        </w:rPr>
        <w:t>. The court ruled and set that</w:t>
      </w:r>
      <w:r w:rsidR="00751969">
        <w:rPr>
          <w:rFonts w:ascii="Arial" w:hAnsi="Arial" w:cs="Arial"/>
          <w:sz w:val="24"/>
          <w:szCs w:val="52"/>
        </w:rPr>
        <w:t xml:space="preserve"> </w:t>
      </w:r>
    </w:p>
    <w:p w:rsidR="00CA63EE" w:rsidRDefault="00751969" w:rsidP="00CA63EE">
      <w:pPr>
        <w:ind w:left="720"/>
        <w:jc w:val="both"/>
        <w:rPr>
          <w:rFonts w:ascii="Arial" w:hAnsi="Arial" w:cs="Arial"/>
          <w:i/>
          <w:sz w:val="24"/>
          <w:szCs w:val="52"/>
        </w:rPr>
      </w:pPr>
      <w:r w:rsidRPr="00751969">
        <w:rPr>
          <w:rFonts w:ascii="Arial" w:hAnsi="Arial" w:cs="Arial"/>
          <w:i/>
          <w:sz w:val="24"/>
          <w:szCs w:val="52"/>
        </w:rPr>
        <w:t xml:space="preserve">“a party could only successfully claim for losses stemming from breach of contract where the loss is reasonably viewed to have resulted naturally from the breach, or where the fact such losses would result from breach ought reasonably </w:t>
      </w:r>
      <w:proofErr w:type="gramStart"/>
      <w:r w:rsidRPr="00751969">
        <w:rPr>
          <w:rFonts w:ascii="Arial" w:hAnsi="Arial" w:cs="Arial"/>
          <w:i/>
          <w:sz w:val="24"/>
          <w:szCs w:val="52"/>
        </w:rPr>
        <w:t>have</w:t>
      </w:r>
      <w:proofErr w:type="gramEnd"/>
      <w:r w:rsidRPr="00751969">
        <w:rPr>
          <w:rFonts w:ascii="Arial" w:hAnsi="Arial" w:cs="Arial"/>
          <w:i/>
          <w:sz w:val="24"/>
          <w:szCs w:val="52"/>
        </w:rPr>
        <w:t xml:space="preserve"> been contemplated of by the partie</w:t>
      </w:r>
      <w:r w:rsidR="00303E0E">
        <w:rPr>
          <w:rFonts w:ascii="Arial" w:hAnsi="Arial" w:cs="Arial"/>
          <w:i/>
          <w:sz w:val="24"/>
          <w:szCs w:val="52"/>
        </w:rPr>
        <w:t xml:space="preserve">s when the contract was formed” </w:t>
      </w:r>
      <w:proofErr w:type="spellStart"/>
      <w:r w:rsidR="00303E0E">
        <w:rPr>
          <w:rFonts w:ascii="Arial" w:hAnsi="Arial" w:cs="Arial"/>
          <w:sz w:val="24"/>
          <w:szCs w:val="52"/>
        </w:rPr>
        <w:t>Lawteacher</w:t>
      </w:r>
      <w:proofErr w:type="spellEnd"/>
      <w:r w:rsidR="00303E0E">
        <w:rPr>
          <w:rFonts w:ascii="Arial" w:hAnsi="Arial" w:cs="Arial"/>
          <w:sz w:val="24"/>
          <w:szCs w:val="52"/>
        </w:rPr>
        <w:t xml:space="preserve"> (Unknown).</w:t>
      </w:r>
      <w:r>
        <w:rPr>
          <w:rFonts w:ascii="Arial" w:hAnsi="Arial" w:cs="Arial"/>
          <w:i/>
          <w:sz w:val="24"/>
          <w:szCs w:val="52"/>
        </w:rPr>
        <w:t xml:space="preserve"> </w:t>
      </w:r>
    </w:p>
    <w:p w:rsidR="00033D42" w:rsidRDefault="00751969" w:rsidP="00363CC2">
      <w:pPr>
        <w:jc w:val="both"/>
        <w:rPr>
          <w:rFonts w:ascii="Arial" w:hAnsi="Arial" w:cs="Arial"/>
          <w:sz w:val="24"/>
          <w:szCs w:val="52"/>
        </w:rPr>
      </w:pPr>
      <w:r>
        <w:rPr>
          <w:rFonts w:ascii="Arial" w:hAnsi="Arial" w:cs="Arial"/>
          <w:sz w:val="24"/>
          <w:szCs w:val="52"/>
        </w:rPr>
        <w:t xml:space="preserve">Duty to mitigate loss mean that the claimant is responsible to take reasonable steps to reduce the losses if the other party are in breach of their contract. </w:t>
      </w:r>
    </w:p>
    <w:p w:rsidR="0006211D" w:rsidRDefault="0006211D" w:rsidP="00A329F1">
      <w:pPr>
        <w:jc w:val="both"/>
        <w:rPr>
          <w:rFonts w:ascii="Arial" w:hAnsi="Arial" w:cs="Arial"/>
          <w:i/>
          <w:sz w:val="24"/>
          <w:szCs w:val="52"/>
        </w:rPr>
      </w:pPr>
    </w:p>
    <w:p w:rsidR="00E15627" w:rsidRDefault="00E15627">
      <w:pPr>
        <w:rPr>
          <w:rFonts w:ascii="Arial" w:hAnsi="Arial" w:cs="Arial"/>
          <w:i/>
          <w:sz w:val="24"/>
          <w:szCs w:val="52"/>
        </w:rPr>
      </w:pPr>
      <w:r>
        <w:rPr>
          <w:rFonts w:ascii="Arial" w:hAnsi="Arial" w:cs="Arial"/>
          <w:i/>
          <w:sz w:val="24"/>
          <w:szCs w:val="52"/>
        </w:rPr>
        <w:br w:type="page"/>
      </w:r>
    </w:p>
    <w:p w:rsidR="00A329F1" w:rsidRPr="004F690B" w:rsidRDefault="00A329F1" w:rsidP="00A329F1">
      <w:pPr>
        <w:jc w:val="both"/>
        <w:rPr>
          <w:rFonts w:ascii="Arial" w:hAnsi="Arial" w:cs="Arial"/>
          <w:i/>
          <w:sz w:val="24"/>
          <w:szCs w:val="52"/>
        </w:rPr>
      </w:pPr>
      <w:r w:rsidRPr="004F690B">
        <w:rPr>
          <w:rFonts w:ascii="Arial" w:hAnsi="Arial" w:cs="Arial"/>
          <w:i/>
          <w:sz w:val="24"/>
          <w:szCs w:val="52"/>
        </w:rPr>
        <w:lastRenderedPageBreak/>
        <w:t>“A significant defect arising from a lack of care in any detail of a construction project”</w:t>
      </w:r>
    </w:p>
    <w:p w:rsidR="00A329F1" w:rsidRDefault="00B06B84" w:rsidP="00A329F1">
      <w:pPr>
        <w:jc w:val="both"/>
        <w:rPr>
          <w:rFonts w:ascii="Arial" w:hAnsi="Arial" w:cs="Arial"/>
          <w:sz w:val="24"/>
          <w:szCs w:val="52"/>
        </w:rPr>
      </w:pPr>
      <w:r>
        <w:rPr>
          <w:rFonts w:ascii="Arial" w:hAnsi="Arial" w:cs="Arial"/>
          <w:sz w:val="24"/>
          <w:szCs w:val="52"/>
        </w:rPr>
        <w:t xml:space="preserve">The insurance a contractor would require </w:t>
      </w:r>
      <w:proofErr w:type="gramStart"/>
      <w:r>
        <w:rPr>
          <w:rFonts w:ascii="Arial" w:hAnsi="Arial" w:cs="Arial"/>
          <w:sz w:val="24"/>
          <w:szCs w:val="52"/>
        </w:rPr>
        <w:t>to cover</w:t>
      </w:r>
      <w:proofErr w:type="gramEnd"/>
      <w:r>
        <w:rPr>
          <w:rFonts w:ascii="Arial" w:hAnsi="Arial" w:cs="Arial"/>
          <w:sz w:val="24"/>
          <w:szCs w:val="52"/>
        </w:rPr>
        <w:t xml:space="preserve"> themselves for this would be professional indemnity insurance. </w:t>
      </w:r>
      <w:r w:rsidR="00A329F1">
        <w:rPr>
          <w:rFonts w:ascii="Arial" w:hAnsi="Arial" w:cs="Arial"/>
          <w:sz w:val="24"/>
          <w:szCs w:val="52"/>
        </w:rPr>
        <w:t xml:space="preserve">For example, if a defect is arising on a construction project, the client could claim for professional negligence if the problem isn’t solved before the building is handed over. The contractor’s insurers will try to mitigate the issue by firstly looking to see what the defect was (design, material, subsurface or construction) and if the breach of duty of care was with the main contractor or if it was with a sub-contractor. An example of professional negligence is West &amp; Anor v Ian Finlay &amp; Associates [2013]. When a contractor was totally renovating a house the Architect on the project had fallen below the expected standard to ensure that the house was being refurbished properly. The homeowners were awarded damages for the defects. </w:t>
      </w:r>
    </w:p>
    <w:p w:rsidR="00A329F1" w:rsidRDefault="00A329F1" w:rsidP="00363CC2">
      <w:pPr>
        <w:jc w:val="both"/>
        <w:rPr>
          <w:rFonts w:ascii="Arial" w:hAnsi="Arial" w:cs="Arial"/>
          <w:sz w:val="24"/>
          <w:szCs w:val="52"/>
        </w:rPr>
      </w:pPr>
    </w:p>
    <w:p w:rsidR="00493D43" w:rsidRPr="004F690B" w:rsidRDefault="00493D43" w:rsidP="00363CC2">
      <w:pPr>
        <w:jc w:val="both"/>
        <w:rPr>
          <w:rFonts w:ascii="Arial" w:hAnsi="Arial" w:cs="Arial"/>
          <w:i/>
          <w:color w:val="FF0000"/>
          <w:sz w:val="24"/>
          <w:szCs w:val="52"/>
        </w:rPr>
      </w:pPr>
      <w:r w:rsidRPr="004F690B">
        <w:rPr>
          <w:rFonts w:ascii="Arial" w:hAnsi="Arial" w:cs="Arial"/>
          <w:i/>
          <w:sz w:val="24"/>
          <w:szCs w:val="52"/>
        </w:rPr>
        <w:t>“Personal injury arising to an employee during their employment”</w:t>
      </w:r>
    </w:p>
    <w:p w:rsidR="00A9228E" w:rsidRPr="004F690B" w:rsidRDefault="00493D43" w:rsidP="00363CC2">
      <w:pPr>
        <w:jc w:val="both"/>
        <w:rPr>
          <w:rFonts w:ascii="Arial" w:hAnsi="Arial" w:cs="Arial"/>
          <w:i/>
          <w:sz w:val="24"/>
          <w:szCs w:val="52"/>
        </w:rPr>
      </w:pPr>
      <w:r w:rsidRPr="004F690B">
        <w:rPr>
          <w:rFonts w:ascii="Arial" w:hAnsi="Arial" w:cs="Arial"/>
          <w:i/>
          <w:sz w:val="24"/>
          <w:szCs w:val="52"/>
        </w:rPr>
        <w:t>“</w:t>
      </w:r>
      <w:r w:rsidR="00A9228E" w:rsidRPr="004F690B">
        <w:rPr>
          <w:rFonts w:ascii="Arial" w:hAnsi="Arial" w:cs="Arial"/>
          <w:i/>
          <w:sz w:val="24"/>
          <w:szCs w:val="52"/>
        </w:rPr>
        <w:t>Personal injury to a member of the public arising from a construction project</w:t>
      </w:r>
      <w:r w:rsidRPr="004F690B">
        <w:rPr>
          <w:rFonts w:ascii="Arial" w:hAnsi="Arial" w:cs="Arial"/>
          <w:i/>
          <w:sz w:val="24"/>
          <w:szCs w:val="52"/>
        </w:rPr>
        <w:t>”</w:t>
      </w:r>
    </w:p>
    <w:p w:rsidR="00A23682" w:rsidRDefault="00A216BB" w:rsidP="00363CC2">
      <w:pPr>
        <w:jc w:val="both"/>
        <w:rPr>
          <w:rFonts w:ascii="Arial" w:hAnsi="Arial" w:cs="Arial"/>
          <w:sz w:val="24"/>
          <w:szCs w:val="52"/>
        </w:rPr>
      </w:pPr>
      <w:r>
        <w:rPr>
          <w:rFonts w:ascii="Arial" w:hAnsi="Arial" w:cs="Arial"/>
          <w:sz w:val="24"/>
          <w:szCs w:val="52"/>
        </w:rPr>
        <w:t xml:space="preserve">The above statements fall into vicarious liability. </w:t>
      </w:r>
      <w:r w:rsidR="00493D43">
        <w:rPr>
          <w:rFonts w:ascii="Arial" w:hAnsi="Arial" w:cs="Arial"/>
          <w:sz w:val="24"/>
          <w:szCs w:val="52"/>
        </w:rPr>
        <w:t xml:space="preserve">Vicarious liability </w:t>
      </w:r>
      <w:r w:rsidR="00A859F7">
        <w:rPr>
          <w:rFonts w:ascii="Arial" w:hAnsi="Arial" w:cs="Arial"/>
          <w:sz w:val="24"/>
          <w:szCs w:val="52"/>
        </w:rPr>
        <w:t xml:space="preserve">is a civil wrong. It </w:t>
      </w:r>
      <w:r w:rsidR="00493D43">
        <w:rPr>
          <w:rFonts w:ascii="Arial" w:hAnsi="Arial" w:cs="Arial"/>
          <w:sz w:val="24"/>
          <w:szCs w:val="52"/>
        </w:rPr>
        <w:t>can be when someone is held responsible for the tort of another</w:t>
      </w:r>
      <w:r w:rsidR="00A859F7">
        <w:rPr>
          <w:rFonts w:ascii="Arial" w:hAnsi="Arial" w:cs="Arial"/>
          <w:sz w:val="24"/>
          <w:szCs w:val="52"/>
        </w:rPr>
        <w:t xml:space="preserve"> or negligence</w:t>
      </w:r>
      <w:r w:rsidR="00493D43">
        <w:rPr>
          <w:rFonts w:ascii="Arial" w:hAnsi="Arial" w:cs="Arial"/>
          <w:sz w:val="24"/>
          <w:szCs w:val="52"/>
        </w:rPr>
        <w:t>. E.g. an employer is liable for the actions of its employee</w:t>
      </w:r>
      <w:r w:rsidR="00A859F7">
        <w:rPr>
          <w:rFonts w:ascii="Arial" w:hAnsi="Arial" w:cs="Arial"/>
          <w:sz w:val="24"/>
          <w:szCs w:val="52"/>
        </w:rPr>
        <w:t xml:space="preserve">. </w:t>
      </w:r>
    </w:p>
    <w:p w:rsidR="007E004A" w:rsidRDefault="009638E0" w:rsidP="006A264C">
      <w:pPr>
        <w:jc w:val="both"/>
        <w:rPr>
          <w:rFonts w:ascii="Arial" w:hAnsi="Arial" w:cs="Arial"/>
          <w:sz w:val="24"/>
          <w:szCs w:val="52"/>
        </w:rPr>
      </w:pPr>
      <w:r>
        <w:rPr>
          <w:rFonts w:ascii="Arial" w:hAnsi="Arial" w:cs="Arial"/>
          <w:sz w:val="24"/>
          <w:szCs w:val="52"/>
        </w:rPr>
        <w:t>With an injury claim from an employee, the contractor’s employer’s liability insurance will cover an</w:t>
      </w:r>
      <w:r w:rsidR="00277375">
        <w:rPr>
          <w:rFonts w:ascii="Arial" w:hAnsi="Arial" w:cs="Arial"/>
          <w:sz w:val="24"/>
          <w:szCs w:val="52"/>
        </w:rPr>
        <w:t xml:space="preserve"> employee having an</w:t>
      </w:r>
      <w:r>
        <w:rPr>
          <w:rFonts w:ascii="Arial" w:hAnsi="Arial" w:cs="Arial"/>
          <w:sz w:val="24"/>
          <w:szCs w:val="52"/>
        </w:rPr>
        <w:t xml:space="preserve"> accident that may occur whilst working for that company. When a claim is made the insurers will </w:t>
      </w:r>
      <w:r w:rsidR="004F690B">
        <w:rPr>
          <w:rFonts w:ascii="Arial" w:hAnsi="Arial" w:cs="Arial"/>
          <w:sz w:val="24"/>
          <w:szCs w:val="52"/>
        </w:rPr>
        <w:t>try to mitigate the claimant to</w:t>
      </w:r>
      <w:r w:rsidR="0083751F">
        <w:rPr>
          <w:rFonts w:ascii="Arial" w:hAnsi="Arial" w:cs="Arial"/>
          <w:sz w:val="24"/>
          <w:szCs w:val="52"/>
        </w:rPr>
        <w:t xml:space="preserve"> see if the claimant was breaching their duty of care by behaving against the standard. I.e. not taking proper care.</w:t>
      </w:r>
      <w:r w:rsidR="004F690B">
        <w:rPr>
          <w:rFonts w:ascii="Arial" w:hAnsi="Arial" w:cs="Arial"/>
          <w:sz w:val="24"/>
          <w:szCs w:val="52"/>
        </w:rPr>
        <w:t xml:space="preserve"> </w:t>
      </w:r>
      <w:r w:rsidR="006E0CC4">
        <w:rPr>
          <w:rFonts w:ascii="Arial" w:hAnsi="Arial" w:cs="Arial"/>
          <w:sz w:val="24"/>
          <w:szCs w:val="52"/>
        </w:rPr>
        <w:t xml:space="preserve">James Johnstone v AMEC Construction Limited [2010] shows that duty of care is a very important factor in injury claims. James Johnstone injured his leg whilst working as a security guard on a construction site, he had tripped over a metal fence barrier. </w:t>
      </w:r>
      <w:r w:rsidR="00280322">
        <w:rPr>
          <w:rFonts w:ascii="Arial" w:hAnsi="Arial" w:cs="Arial"/>
          <w:sz w:val="24"/>
          <w:szCs w:val="52"/>
        </w:rPr>
        <w:t xml:space="preserve">The court ruled that the claimant failed to properly look where he was placing his feet and did </w:t>
      </w:r>
      <w:r w:rsidR="006863AE">
        <w:rPr>
          <w:rFonts w:ascii="Arial" w:hAnsi="Arial" w:cs="Arial"/>
          <w:sz w:val="24"/>
          <w:szCs w:val="52"/>
        </w:rPr>
        <w:t>not</w:t>
      </w:r>
      <w:r w:rsidR="00280322">
        <w:rPr>
          <w:rFonts w:ascii="Arial" w:hAnsi="Arial" w:cs="Arial"/>
          <w:sz w:val="24"/>
          <w:szCs w:val="52"/>
        </w:rPr>
        <w:t xml:space="preserve"> look out for his own safety</w:t>
      </w:r>
      <w:r w:rsidR="006863AE">
        <w:rPr>
          <w:rFonts w:ascii="Arial" w:hAnsi="Arial" w:cs="Arial"/>
          <w:sz w:val="24"/>
          <w:szCs w:val="52"/>
        </w:rPr>
        <w:t xml:space="preserve">. The defendant asked the court to only award Mr Johnstone 60% of the £4000, but the court thought the 60% to be excessive and only awarded Mr Johnstone 40%. </w:t>
      </w:r>
      <w:r w:rsidR="00E83E50">
        <w:rPr>
          <w:rFonts w:ascii="Arial" w:hAnsi="Arial" w:cs="Arial"/>
          <w:sz w:val="24"/>
          <w:szCs w:val="52"/>
        </w:rPr>
        <w:t xml:space="preserve"> </w:t>
      </w:r>
    </w:p>
    <w:p w:rsidR="0096054D" w:rsidRDefault="00277375" w:rsidP="006A264C">
      <w:pPr>
        <w:jc w:val="both"/>
        <w:rPr>
          <w:rFonts w:ascii="Arial" w:hAnsi="Arial" w:cs="Arial"/>
          <w:sz w:val="24"/>
          <w:szCs w:val="52"/>
        </w:rPr>
      </w:pPr>
      <w:r>
        <w:rPr>
          <w:rFonts w:ascii="Arial" w:hAnsi="Arial" w:cs="Arial"/>
          <w:sz w:val="24"/>
          <w:szCs w:val="52"/>
        </w:rPr>
        <w:t>An injury to a member of the public is a very serious incident as a contractor should do the up most to protect the personal on site and the public off site. All contractors should have public liability insurance, this will cover the contractor against injury, death or loss to th</w:t>
      </w:r>
      <w:r w:rsidR="003D7F9C">
        <w:rPr>
          <w:rFonts w:ascii="Arial" w:hAnsi="Arial" w:cs="Arial"/>
          <w:sz w:val="24"/>
          <w:szCs w:val="52"/>
        </w:rPr>
        <w:t>e public. An insurance company’s</w:t>
      </w:r>
      <w:r>
        <w:rPr>
          <w:rFonts w:ascii="Arial" w:hAnsi="Arial" w:cs="Arial"/>
          <w:sz w:val="24"/>
          <w:szCs w:val="52"/>
        </w:rPr>
        <w:t xml:space="preserve"> first steps to mitigate would to investigate who is at blame for the accident. E.g. if a scaffolder dropped a scaffold clip and hit a member of public on the head, the claim could then be passed onto the scaffolding company. However, insures also look to see if the company </w:t>
      </w:r>
      <w:r w:rsidR="00DF0011">
        <w:rPr>
          <w:rFonts w:ascii="Arial" w:hAnsi="Arial" w:cs="Arial"/>
          <w:sz w:val="24"/>
          <w:szCs w:val="52"/>
        </w:rPr>
        <w:t xml:space="preserve">is vicariously liable for the acts of the employee. An example of this is Hawley v </w:t>
      </w:r>
      <w:proofErr w:type="spellStart"/>
      <w:r w:rsidR="00DF0011">
        <w:rPr>
          <w:rFonts w:ascii="Arial" w:hAnsi="Arial" w:cs="Arial"/>
          <w:sz w:val="24"/>
          <w:szCs w:val="52"/>
        </w:rPr>
        <w:t>Luminar</w:t>
      </w:r>
      <w:proofErr w:type="spellEnd"/>
      <w:r w:rsidR="00DF0011">
        <w:rPr>
          <w:rFonts w:ascii="Arial" w:hAnsi="Arial" w:cs="Arial"/>
          <w:sz w:val="24"/>
          <w:szCs w:val="52"/>
        </w:rPr>
        <w:t xml:space="preserve"> Leisure Ltd &amp; ORS [2006]</w:t>
      </w:r>
      <w:r w:rsidR="00076E56">
        <w:rPr>
          <w:rFonts w:ascii="Arial" w:hAnsi="Arial" w:cs="Arial"/>
          <w:sz w:val="24"/>
          <w:szCs w:val="52"/>
        </w:rPr>
        <w:t xml:space="preserve">. The nightclub owner was found vicariously liable for the actions of one of his doormen. The doorman caused bodily injury to a member of the public and as the doorman’s employer, the nightclub owner was found liable because the nightclub had control on what the doorman was doing and how he was to do it. </w:t>
      </w:r>
    </w:p>
    <w:p w:rsidR="0096054D" w:rsidRDefault="0096054D">
      <w:pPr>
        <w:rPr>
          <w:rFonts w:ascii="Arial" w:hAnsi="Arial" w:cs="Arial"/>
          <w:sz w:val="24"/>
          <w:szCs w:val="52"/>
        </w:rPr>
      </w:pPr>
      <w:r>
        <w:rPr>
          <w:rFonts w:ascii="Arial" w:hAnsi="Arial" w:cs="Arial"/>
          <w:sz w:val="24"/>
          <w:szCs w:val="52"/>
        </w:rPr>
        <w:br w:type="page"/>
      </w:r>
    </w:p>
    <w:p w:rsidR="00A12CD8" w:rsidRDefault="0096054D" w:rsidP="006A264C">
      <w:pPr>
        <w:jc w:val="both"/>
        <w:rPr>
          <w:rFonts w:ascii="Arial" w:hAnsi="Arial" w:cs="Arial"/>
          <w:b/>
          <w:sz w:val="24"/>
          <w:szCs w:val="52"/>
        </w:rPr>
      </w:pPr>
      <w:r w:rsidRPr="0096054D">
        <w:rPr>
          <w:rFonts w:ascii="Arial" w:hAnsi="Arial" w:cs="Arial"/>
          <w:b/>
          <w:sz w:val="24"/>
          <w:szCs w:val="52"/>
        </w:rPr>
        <w:lastRenderedPageBreak/>
        <w:t>Bibliography</w:t>
      </w:r>
    </w:p>
    <w:p w:rsidR="00277375" w:rsidRDefault="00A12CD8" w:rsidP="006A264C">
      <w:pPr>
        <w:jc w:val="both"/>
        <w:rPr>
          <w:rFonts w:ascii="Arial" w:hAnsi="Arial" w:cs="Arial"/>
          <w:b/>
          <w:sz w:val="24"/>
          <w:szCs w:val="52"/>
        </w:rPr>
      </w:pPr>
      <w:r>
        <w:rPr>
          <w:rFonts w:ascii="Arial" w:hAnsi="Arial" w:cs="Arial"/>
          <w:sz w:val="24"/>
          <w:szCs w:val="52"/>
        </w:rPr>
        <w:t xml:space="preserve">Oxford Dictionaries (2019), </w:t>
      </w:r>
      <w:r>
        <w:rPr>
          <w:rFonts w:ascii="Arial" w:hAnsi="Arial" w:cs="Arial"/>
          <w:i/>
          <w:sz w:val="24"/>
          <w:szCs w:val="52"/>
        </w:rPr>
        <w:t xml:space="preserve">Definition of contract in English by Oxford Dictionaries, </w:t>
      </w:r>
      <w:r>
        <w:rPr>
          <w:rFonts w:ascii="Arial" w:hAnsi="Arial" w:cs="Arial"/>
          <w:sz w:val="24"/>
          <w:szCs w:val="52"/>
        </w:rPr>
        <w:t xml:space="preserve">Available at: </w:t>
      </w:r>
      <w:hyperlink r:id="rId8" w:history="1">
        <w:r w:rsidRPr="00004574">
          <w:rPr>
            <w:rStyle w:val="Hyperlink"/>
            <w:rFonts w:ascii="Arial" w:hAnsi="Arial" w:cs="Arial"/>
            <w:sz w:val="24"/>
            <w:szCs w:val="52"/>
          </w:rPr>
          <w:t>https://en.oxforddictionaries.com/definition/contract</w:t>
        </w:r>
      </w:hyperlink>
      <w:r w:rsidR="0096054D" w:rsidRPr="0096054D">
        <w:rPr>
          <w:rFonts w:ascii="Arial" w:hAnsi="Arial" w:cs="Arial"/>
          <w:b/>
          <w:sz w:val="24"/>
          <w:szCs w:val="52"/>
        </w:rPr>
        <w:t xml:space="preserve"> </w:t>
      </w:r>
    </w:p>
    <w:p w:rsidR="00A12CD8" w:rsidRDefault="00A12CD8" w:rsidP="006A264C">
      <w:pPr>
        <w:jc w:val="both"/>
        <w:rPr>
          <w:rFonts w:ascii="Arial" w:hAnsi="Arial" w:cs="Arial"/>
          <w:sz w:val="24"/>
          <w:szCs w:val="52"/>
        </w:rPr>
      </w:pPr>
      <w:r>
        <w:rPr>
          <w:rFonts w:ascii="Arial" w:hAnsi="Arial" w:cs="Arial"/>
          <w:sz w:val="24"/>
          <w:szCs w:val="52"/>
        </w:rPr>
        <w:t>Accessed on – 03/01/2019</w:t>
      </w:r>
    </w:p>
    <w:p w:rsidR="004A282C" w:rsidRPr="00C26324" w:rsidRDefault="00C26324" w:rsidP="004A282C">
      <w:pPr>
        <w:jc w:val="both"/>
        <w:rPr>
          <w:rFonts w:ascii="Arial" w:hAnsi="Arial" w:cs="Arial"/>
          <w:color w:val="000000" w:themeColor="text1"/>
          <w:sz w:val="24"/>
          <w:szCs w:val="52"/>
        </w:rPr>
      </w:pPr>
      <w:proofErr w:type="spellStart"/>
      <w:r w:rsidRPr="00C26324">
        <w:rPr>
          <w:rFonts w:ascii="Arial" w:hAnsi="Arial" w:cs="Arial"/>
          <w:sz w:val="24"/>
          <w:szCs w:val="52"/>
        </w:rPr>
        <w:t>LawTeacher</w:t>
      </w:r>
      <w:proofErr w:type="spellEnd"/>
      <w:r w:rsidRPr="00C26324">
        <w:rPr>
          <w:rFonts w:ascii="Arial" w:hAnsi="Arial" w:cs="Arial"/>
          <w:sz w:val="24"/>
          <w:szCs w:val="52"/>
        </w:rPr>
        <w:t xml:space="preserve">. November 2013. Hyde v Wrench – 1840. [online]. Available from: </w:t>
      </w:r>
      <w:hyperlink r:id="rId9" w:history="1">
        <w:r w:rsidRPr="006F5881">
          <w:rPr>
            <w:rStyle w:val="Hyperlink"/>
            <w:rFonts w:ascii="Arial" w:hAnsi="Arial" w:cs="Arial"/>
            <w:sz w:val="24"/>
            <w:szCs w:val="52"/>
          </w:rPr>
          <w:t>https://www.lawteacher.net/cases/hyde-v-wrench.php?vref=1</w:t>
        </w:r>
      </w:hyperlink>
      <w:r>
        <w:rPr>
          <w:rFonts w:ascii="Arial" w:hAnsi="Arial" w:cs="Arial"/>
          <w:sz w:val="24"/>
          <w:szCs w:val="52"/>
        </w:rPr>
        <w:t xml:space="preserve"> </w:t>
      </w:r>
      <w:r w:rsidR="004A282C">
        <w:rPr>
          <w:rFonts w:ascii="Arial" w:hAnsi="Arial" w:cs="Arial"/>
          <w:sz w:val="24"/>
          <w:szCs w:val="52"/>
        </w:rPr>
        <w:t>Accessed on – 03/01/2019</w:t>
      </w:r>
    </w:p>
    <w:p w:rsidR="006233A1" w:rsidRPr="00C26324" w:rsidRDefault="00C26324" w:rsidP="006233A1">
      <w:pPr>
        <w:jc w:val="both"/>
        <w:rPr>
          <w:rFonts w:ascii="Arial" w:hAnsi="Arial" w:cs="Arial"/>
          <w:color w:val="000000" w:themeColor="text1"/>
          <w:sz w:val="24"/>
          <w:szCs w:val="52"/>
        </w:rPr>
      </w:pPr>
      <w:proofErr w:type="spellStart"/>
      <w:r w:rsidRPr="00C26324">
        <w:rPr>
          <w:rFonts w:ascii="Arial" w:hAnsi="Arial" w:cs="Arial"/>
          <w:sz w:val="24"/>
          <w:szCs w:val="52"/>
        </w:rPr>
        <w:t>LawTeacher</w:t>
      </w:r>
      <w:proofErr w:type="spellEnd"/>
      <w:r w:rsidRPr="00C26324">
        <w:rPr>
          <w:rFonts w:ascii="Arial" w:hAnsi="Arial" w:cs="Arial"/>
          <w:sz w:val="24"/>
          <w:szCs w:val="52"/>
        </w:rPr>
        <w:t>. November 2013. Thomas v Thomas – 1842. [online]. Available from:</w:t>
      </w:r>
      <w:r>
        <w:rPr>
          <w:rFonts w:ascii="Arial" w:hAnsi="Arial" w:cs="Arial"/>
          <w:sz w:val="24"/>
          <w:szCs w:val="52"/>
        </w:rPr>
        <w:t xml:space="preserve"> </w:t>
      </w:r>
      <w:hyperlink r:id="rId10" w:history="1">
        <w:r w:rsidR="006233A1" w:rsidRPr="00004574">
          <w:rPr>
            <w:rStyle w:val="Hyperlink"/>
            <w:rFonts w:ascii="Arial" w:hAnsi="Arial" w:cs="Arial"/>
            <w:sz w:val="24"/>
            <w:szCs w:val="52"/>
          </w:rPr>
          <w:t>https://www.lawteacher.net/cases/thomas-v-thomas.php</w:t>
        </w:r>
      </w:hyperlink>
      <w:r w:rsidR="006233A1">
        <w:rPr>
          <w:rFonts w:ascii="Arial" w:hAnsi="Arial" w:cs="Arial"/>
          <w:color w:val="000000" w:themeColor="text1"/>
          <w:sz w:val="24"/>
          <w:szCs w:val="52"/>
        </w:rPr>
        <w:t xml:space="preserve"> </w:t>
      </w:r>
      <w:r w:rsidR="006233A1" w:rsidRPr="00DB5527">
        <w:rPr>
          <w:rFonts w:ascii="Arial" w:hAnsi="Arial" w:cs="Arial"/>
          <w:color w:val="000000" w:themeColor="text1"/>
          <w:sz w:val="24"/>
          <w:szCs w:val="52"/>
        </w:rPr>
        <w:t xml:space="preserve"> </w:t>
      </w:r>
      <w:r w:rsidR="006233A1">
        <w:rPr>
          <w:rFonts w:ascii="Arial" w:hAnsi="Arial" w:cs="Arial"/>
          <w:sz w:val="24"/>
          <w:szCs w:val="52"/>
        </w:rPr>
        <w:t>Accessed on – 03/01/2019</w:t>
      </w:r>
    </w:p>
    <w:p w:rsidR="00CE037B" w:rsidRDefault="00CE037B" w:rsidP="006A264C">
      <w:pPr>
        <w:jc w:val="both"/>
        <w:rPr>
          <w:rFonts w:ascii="Arial" w:hAnsi="Arial" w:cs="Arial"/>
          <w:sz w:val="24"/>
          <w:szCs w:val="52"/>
        </w:rPr>
      </w:pPr>
      <w:r>
        <w:rPr>
          <w:rFonts w:ascii="Arial" w:hAnsi="Arial" w:cs="Arial"/>
          <w:sz w:val="24"/>
          <w:szCs w:val="52"/>
        </w:rPr>
        <w:t>University Wales Trinity Saint David</w:t>
      </w:r>
      <w:r w:rsidR="00C26324">
        <w:rPr>
          <w:rFonts w:ascii="Arial" w:hAnsi="Arial" w:cs="Arial"/>
          <w:sz w:val="24"/>
          <w:szCs w:val="52"/>
        </w:rPr>
        <w:t xml:space="preserve"> Moodle Notes. </w:t>
      </w:r>
      <w:r>
        <w:rPr>
          <w:rFonts w:ascii="Arial" w:hAnsi="Arial" w:cs="Arial"/>
          <w:sz w:val="24"/>
          <w:szCs w:val="52"/>
        </w:rPr>
        <w:t>Accessed on – 03/01/2019</w:t>
      </w:r>
    </w:p>
    <w:p w:rsidR="008E3BCE" w:rsidRPr="00C26324" w:rsidRDefault="008E3BCE" w:rsidP="008E3BCE">
      <w:pPr>
        <w:jc w:val="both"/>
        <w:rPr>
          <w:rFonts w:ascii="Arial" w:hAnsi="Arial" w:cs="Arial"/>
          <w:color w:val="0563C1" w:themeColor="hyperlink"/>
          <w:sz w:val="24"/>
          <w:szCs w:val="52"/>
          <w:u w:val="single"/>
        </w:rPr>
      </w:pPr>
      <w:r>
        <w:rPr>
          <w:rFonts w:ascii="Arial" w:hAnsi="Arial" w:cs="Arial"/>
          <w:sz w:val="24"/>
        </w:rPr>
        <w:t xml:space="preserve">Legislation.gov.uk (1925), </w:t>
      </w:r>
      <w:r>
        <w:rPr>
          <w:rFonts w:ascii="Arial" w:hAnsi="Arial" w:cs="Arial"/>
          <w:i/>
          <w:sz w:val="24"/>
        </w:rPr>
        <w:t xml:space="preserve">Law of Property Act 1925, </w:t>
      </w:r>
      <w:r>
        <w:rPr>
          <w:rFonts w:ascii="Arial" w:hAnsi="Arial" w:cs="Arial"/>
          <w:sz w:val="24"/>
        </w:rPr>
        <w:t xml:space="preserve">Available at: </w:t>
      </w:r>
      <w:hyperlink r:id="rId11" w:history="1">
        <w:r w:rsidRPr="00004574">
          <w:rPr>
            <w:rStyle w:val="Hyperlink"/>
            <w:rFonts w:ascii="Arial" w:hAnsi="Arial" w:cs="Arial"/>
            <w:sz w:val="24"/>
            <w:szCs w:val="52"/>
          </w:rPr>
          <w:t>https://www.legislation.gov.uk/ukpga/Geo5/15-16/20</w:t>
        </w:r>
      </w:hyperlink>
      <w:r w:rsidR="00C26324">
        <w:rPr>
          <w:rStyle w:val="Hyperlink"/>
          <w:rFonts w:ascii="Arial" w:hAnsi="Arial" w:cs="Arial"/>
          <w:sz w:val="24"/>
          <w:szCs w:val="52"/>
        </w:rPr>
        <w:t xml:space="preserve"> </w:t>
      </w:r>
      <w:r>
        <w:rPr>
          <w:rFonts w:ascii="Arial" w:hAnsi="Arial" w:cs="Arial"/>
          <w:sz w:val="24"/>
          <w:szCs w:val="52"/>
        </w:rPr>
        <w:t>Accessed on – 03/01/2019</w:t>
      </w:r>
    </w:p>
    <w:p w:rsidR="00D952DF" w:rsidRDefault="00C26324" w:rsidP="00D952DF">
      <w:pPr>
        <w:jc w:val="both"/>
        <w:rPr>
          <w:rFonts w:ascii="Arial" w:hAnsi="Arial" w:cs="Arial"/>
          <w:sz w:val="24"/>
          <w:szCs w:val="52"/>
        </w:rPr>
      </w:pPr>
      <w:proofErr w:type="spellStart"/>
      <w:r w:rsidRPr="00C26324">
        <w:rPr>
          <w:rFonts w:ascii="Arial" w:hAnsi="Arial" w:cs="Arial"/>
          <w:sz w:val="24"/>
          <w:szCs w:val="52"/>
        </w:rPr>
        <w:t>LawTeacher</w:t>
      </w:r>
      <w:proofErr w:type="spellEnd"/>
      <w:r w:rsidRPr="00C26324">
        <w:rPr>
          <w:rFonts w:ascii="Arial" w:hAnsi="Arial" w:cs="Arial"/>
          <w:sz w:val="24"/>
          <w:szCs w:val="52"/>
        </w:rPr>
        <w:t>. November 2013. How a contract may be discharged. [online]. Available from:</w:t>
      </w:r>
      <w:r>
        <w:rPr>
          <w:rFonts w:ascii="Arial" w:hAnsi="Arial" w:cs="Arial"/>
          <w:sz w:val="24"/>
          <w:szCs w:val="52"/>
        </w:rPr>
        <w:t xml:space="preserve"> </w:t>
      </w:r>
      <w:hyperlink r:id="rId12" w:history="1">
        <w:r w:rsidR="00D952DF" w:rsidRPr="00AA00D0">
          <w:rPr>
            <w:rStyle w:val="Hyperlink"/>
            <w:rFonts w:ascii="Arial" w:hAnsi="Arial" w:cs="Arial"/>
            <w:sz w:val="24"/>
            <w:szCs w:val="52"/>
          </w:rPr>
          <w:t>https://www.lawteacher.net/free-law-essays/contract-law/how-a-contract-may-be-discharged-contract-law-essay.php</w:t>
        </w:r>
      </w:hyperlink>
      <w:r>
        <w:rPr>
          <w:rFonts w:ascii="Arial" w:hAnsi="Arial" w:cs="Arial"/>
          <w:sz w:val="24"/>
          <w:szCs w:val="52"/>
        </w:rPr>
        <w:t xml:space="preserve"> </w:t>
      </w:r>
      <w:r w:rsidR="00D952DF">
        <w:rPr>
          <w:rFonts w:ascii="Arial" w:hAnsi="Arial" w:cs="Arial"/>
          <w:sz w:val="24"/>
          <w:szCs w:val="52"/>
        </w:rPr>
        <w:t>Accessed on – 03/01/2019</w:t>
      </w:r>
    </w:p>
    <w:p w:rsidR="00033D42" w:rsidRDefault="00033D42" w:rsidP="00033D42">
      <w:pPr>
        <w:jc w:val="both"/>
        <w:rPr>
          <w:rFonts w:ascii="Arial" w:hAnsi="Arial" w:cs="Arial"/>
          <w:sz w:val="24"/>
          <w:szCs w:val="52"/>
        </w:rPr>
      </w:pPr>
      <w:r>
        <w:rPr>
          <w:rFonts w:ascii="Arial" w:hAnsi="Arial" w:cs="Arial"/>
          <w:sz w:val="24"/>
          <w:szCs w:val="52"/>
        </w:rPr>
        <w:t xml:space="preserve">E-lawresources.co.uk (Unknown), </w:t>
      </w:r>
      <w:r>
        <w:rPr>
          <w:rFonts w:ascii="Arial" w:hAnsi="Arial" w:cs="Arial"/>
          <w:i/>
          <w:sz w:val="24"/>
          <w:szCs w:val="52"/>
        </w:rPr>
        <w:t xml:space="preserve">The Monarch 1949, </w:t>
      </w:r>
      <w:r>
        <w:rPr>
          <w:rFonts w:ascii="Arial" w:hAnsi="Arial" w:cs="Arial"/>
          <w:sz w:val="24"/>
          <w:szCs w:val="52"/>
        </w:rPr>
        <w:t xml:space="preserve">Available at: </w:t>
      </w:r>
      <w:hyperlink r:id="rId13" w:history="1">
        <w:r w:rsidRPr="00AA00D0">
          <w:rPr>
            <w:rStyle w:val="Hyperlink"/>
            <w:rFonts w:ascii="Arial" w:hAnsi="Arial" w:cs="Arial"/>
            <w:sz w:val="24"/>
            <w:szCs w:val="52"/>
          </w:rPr>
          <w:t>http://www.e-lawresources.co.uk/cases/The-Monarch-1949.php</w:t>
        </w:r>
      </w:hyperlink>
      <w:r w:rsidR="00C26324">
        <w:rPr>
          <w:rFonts w:ascii="Arial" w:hAnsi="Arial" w:cs="Arial"/>
          <w:sz w:val="24"/>
          <w:szCs w:val="52"/>
        </w:rPr>
        <w:t xml:space="preserve"> </w:t>
      </w:r>
      <w:r>
        <w:rPr>
          <w:rFonts w:ascii="Arial" w:hAnsi="Arial" w:cs="Arial"/>
          <w:sz w:val="24"/>
          <w:szCs w:val="52"/>
        </w:rPr>
        <w:t>Accessed on – 03/01/2019</w:t>
      </w:r>
    </w:p>
    <w:p w:rsidR="00C26324" w:rsidRDefault="00C26324" w:rsidP="00033D42">
      <w:pPr>
        <w:jc w:val="both"/>
        <w:rPr>
          <w:rFonts w:ascii="Arial" w:hAnsi="Arial" w:cs="Arial"/>
          <w:sz w:val="24"/>
          <w:szCs w:val="52"/>
        </w:rPr>
      </w:pPr>
      <w:proofErr w:type="spellStart"/>
      <w:r w:rsidRPr="00C26324">
        <w:rPr>
          <w:rFonts w:ascii="Arial" w:hAnsi="Arial" w:cs="Arial"/>
          <w:sz w:val="24"/>
          <w:szCs w:val="52"/>
        </w:rPr>
        <w:t>LawTeacher</w:t>
      </w:r>
      <w:proofErr w:type="spellEnd"/>
      <w:r w:rsidRPr="00C26324">
        <w:rPr>
          <w:rFonts w:ascii="Arial" w:hAnsi="Arial" w:cs="Arial"/>
          <w:sz w:val="24"/>
          <w:szCs w:val="52"/>
        </w:rPr>
        <w:t xml:space="preserve">. November 2013. Monarch Steamship v </w:t>
      </w:r>
      <w:proofErr w:type="spellStart"/>
      <w:r w:rsidRPr="00C26324">
        <w:rPr>
          <w:rFonts w:ascii="Arial" w:hAnsi="Arial" w:cs="Arial"/>
          <w:sz w:val="24"/>
          <w:szCs w:val="52"/>
        </w:rPr>
        <w:t>Karlshamns</w:t>
      </w:r>
      <w:proofErr w:type="spellEnd"/>
      <w:r w:rsidRPr="00C26324">
        <w:rPr>
          <w:rFonts w:ascii="Arial" w:hAnsi="Arial" w:cs="Arial"/>
          <w:sz w:val="24"/>
          <w:szCs w:val="52"/>
        </w:rPr>
        <w:t xml:space="preserve"> – 1949. [online]. Available from: </w:t>
      </w:r>
    </w:p>
    <w:p w:rsidR="00033D42" w:rsidRPr="00C26324" w:rsidRDefault="00C57726" w:rsidP="00033D42">
      <w:pPr>
        <w:jc w:val="both"/>
        <w:rPr>
          <w:rFonts w:ascii="Arial" w:hAnsi="Arial" w:cs="Arial"/>
          <w:color w:val="0563C1" w:themeColor="hyperlink"/>
          <w:sz w:val="24"/>
          <w:szCs w:val="52"/>
          <w:u w:val="single"/>
        </w:rPr>
      </w:pPr>
      <w:hyperlink r:id="rId14" w:history="1">
        <w:r w:rsidR="00033D42" w:rsidRPr="00E263E9">
          <w:rPr>
            <w:rStyle w:val="Hyperlink"/>
            <w:rFonts w:ascii="Arial" w:hAnsi="Arial" w:cs="Arial"/>
            <w:sz w:val="24"/>
            <w:szCs w:val="52"/>
          </w:rPr>
          <w:t>https://www.lawteacher.net/cases/monarch-steamship-v-karlshamns.php</w:t>
        </w:r>
      </w:hyperlink>
      <w:r w:rsidR="00C26324">
        <w:rPr>
          <w:rStyle w:val="Hyperlink"/>
          <w:rFonts w:ascii="Arial" w:hAnsi="Arial" w:cs="Arial"/>
          <w:sz w:val="24"/>
          <w:szCs w:val="52"/>
        </w:rPr>
        <w:t xml:space="preserve"> </w:t>
      </w:r>
      <w:r w:rsidR="00033D42">
        <w:rPr>
          <w:rFonts w:ascii="Arial" w:hAnsi="Arial" w:cs="Arial"/>
          <w:sz w:val="24"/>
          <w:szCs w:val="52"/>
        </w:rPr>
        <w:t>Accessed on – 03/01/2019</w:t>
      </w:r>
    </w:p>
    <w:p w:rsidR="00104072" w:rsidRPr="00C26324" w:rsidRDefault="00C26324" w:rsidP="00104072">
      <w:pPr>
        <w:jc w:val="both"/>
        <w:rPr>
          <w:rFonts w:ascii="Arial" w:hAnsi="Arial" w:cs="Arial"/>
          <w:i/>
          <w:sz w:val="24"/>
          <w:szCs w:val="52"/>
        </w:rPr>
      </w:pPr>
      <w:proofErr w:type="spellStart"/>
      <w:r w:rsidRPr="00C26324">
        <w:rPr>
          <w:rFonts w:ascii="Arial" w:hAnsi="Arial" w:cs="Arial"/>
          <w:sz w:val="24"/>
          <w:szCs w:val="52"/>
        </w:rPr>
        <w:t>LawTeacher</w:t>
      </w:r>
      <w:proofErr w:type="spellEnd"/>
      <w:r w:rsidRPr="00C26324">
        <w:rPr>
          <w:rFonts w:ascii="Arial" w:hAnsi="Arial" w:cs="Arial"/>
          <w:sz w:val="24"/>
          <w:szCs w:val="52"/>
        </w:rPr>
        <w:t>. November 2013. Hadley v Baxendale – 1854. [online]. Available from:</w:t>
      </w:r>
      <w:r>
        <w:rPr>
          <w:rFonts w:ascii="Arial" w:hAnsi="Arial" w:cs="Arial"/>
          <w:sz w:val="24"/>
          <w:szCs w:val="52"/>
        </w:rPr>
        <w:t xml:space="preserve"> </w:t>
      </w:r>
      <w:hyperlink r:id="rId15" w:history="1">
        <w:r w:rsidR="00303E0E" w:rsidRPr="0015402F">
          <w:rPr>
            <w:rStyle w:val="Hyperlink"/>
            <w:rFonts w:ascii="Arial" w:hAnsi="Arial" w:cs="Arial"/>
            <w:i/>
            <w:sz w:val="24"/>
            <w:szCs w:val="52"/>
          </w:rPr>
          <w:t>https://www.lawteacher.net/cases/hadley-v-baxendale.php</w:t>
        </w:r>
      </w:hyperlink>
      <w:r>
        <w:rPr>
          <w:rFonts w:ascii="Arial" w:hAnsi="Arial" w:cs="Arial"/>
          <w:i/>
          <w:sz w:val="24"/>
          <w:szCs w:val="52"/>
        </w:rPr>
        <w:t xml:space="preserve"> </w:t>
      </w:r>
      <w:r w:rsidR="00104072">
        <w:rPr>
          <w:rFonts w:ascii="Arial" w:hAnsi="Arial" w:cs="Arial"/>
          <w:sz w:val="24"/>
          <w:szCs w:val="52"/>
        </w:rPr>
        <w:t>Accessed on – 03/01/2019</w:t>
      </w:r>
    </w:p>
    <w:p w:rsidR="003D1C23" w:rsidRDefault="003D1C23" w:rsidP="00104072">
      <w:pPr>
        <w:jc w:val="both"/>
        <w:rPr>
          <w:rFonts w:ascii="Arial" w:hAnsi="Arial" w:cs="Arial"/>
          <w:sz w:val="24"/>
          <w:szCs w:val="52"/>
        </w:rPr>
      </w:pPr>
      <w:r>
        <w:rPr>
          <w:rFonts w:ascii="Arial" w:hAnsi="Arial" w:cs="Arial"/>
          <w:sz w:val="24"/>
          <w:szCs w:val="52"/>
        </w:rPr>
        <w:t xml:space="preserve">E-lawresources.co.uk (Unknown), </w:t>
      </w:r>
      <w:proofErr w:type="spellStart"/>
      <w:r>
        <w:rPr>
          <w:rFonts w:ascii="Arial" w:hAnsi="Arial" w:cs="Arial"/>
          <w:i/>
          <w:sz w:val="24"/>
          <w:szCs w:val="52"/>
        </w:rPr>
        <w:t>Remidies</w:t>
      </w:r>
      <w:proofErr w:type="spellEnd"/>
      <w:r>
        <w:rPr>
          <w:rFonts w:ascii="Arial" w:hAnsi="Arial" w:cs="Arial"/>
          <w:i/>
          <w:sz w:val="24"/>
          <w:szCs w:val="52"/>
        </w:rPr>
        <w:t xml:space="preserve"> in Contract Law, </w:t>
      </w:r>
      <w:r>
        <w:rPr>
          <w:rFonts w:ascii="Arial" w:hAnsi="Arial" w:cs="Arial"/>
          <w:sz w:val="24"/>
          <w:szCs w:val="52"/>
        </w:rPr>
        <w:t>Available at:</w:t>
      </w:r>
    </w:p>
    <w:p w:rsidR="003D1C23" w:rsidRPr="00C26324" w:rsidRDefault="00C57726" w:rsidP="003D1C23">
      <w:pPr>
        <w:jc w:val="both"/>
        <w:rPr>
          <w:rFonts w:ascii="Arial" w:hAnsi="Arial" w:cs="Arial"/>
          <w:color w:val="0563C1" w:themeColor="hyperlink"/>
          <w:sz w:val="24"/>
          <w:szCs w:val="52"/>
          <w:u w:val="single"/>
        </w:rPr>
      </w:pPr>
      <w:hyperlink r:id="rId16" w:history="1">
        <w:r w:rsidR="003D1C23" w:rsidRPr="0015402F">
          <w:rPr>
            <w:rStyle w:val="Hyperlink"/>
            <w:rFonts w:ascii="Arial" w:hAnsi="Arial" w:cs="Arial"/>
            <w:sz w:val="24"/>
            <w:szCs w:val="52"/>
          </w:rPr>
          <w:t>http://e-lawresources.co.uk/Contract-remedies.php</w:t>
        </w:r>
      </w:hyperlink>
      <w:r w:rsidR="00C26324">
        <w:rPr>
          <w:rStyle w:val="Hyperlink"/>
          <w:rFonts w:ascii="Arial" w:hAnsi="Arial" w:cs="Arial"/>
          <w:sz w:val="24"/>
          <w:szCs w:val="52"/>
        </w:rPr>
        <w:t xml:space="preserve"> </w:t>
      </w:r>
      <w:r w:rsidR="003D1C23">
        <w:rPr>
          <w:rFonts w:ascii="Arial" w:hAnsi="Arial" w:cs="Arial"/>
          <w:sz w:val="24"/>
          <w:szCs w:val="52"/>
        </w:rPr>
        <w:t>Accessed on – 03/01/2019</w:t>
      </w:r>
    </w:p>
    <w:p w:rsidR="00033130" w:rsidRDefault="00A547B7" w:rsidP="00033130">
      <w:pPr>
        <w:jc w:val="both"/>
        <w:rPr>
          <w:rFonts w:ascii="Arial" w:hAnsi="Arial" w:cs="Arial"/>
          <w:sz w:val="24"/>
          <w:szCs w:val="52"/>
        </w:rPr>
      </w:pPr>
      <w:r>
        <w:rPr>
          <w:rFonts w:ascii="Arial" w:hAnsi="Arial" w:cs="Arial"/>
          <w:sz w:val="24"/>
          <w:szCs w:val="52"/>
        </w:rPr>
        <w:t>Casecheck.co.uk (</w:t>
      </w:r>
      <w:r w:rsidR="00033130">
        <w:rPr>
          <w:rFonts w:ascii="Arial" w:hAnsi="Arial" w:cs="Arial"/>
          <w:sz w:val="24"/>
          <w:szCs w:val="52"/>
        </w:rPr>
        <w:t xml:space="preserve">Unknown), </w:t>
      </w:r>
      <w:r w:rsidR="00033130">
        <w:rPr>
          <w:rFonts w:ascii="Arial" w:hAnsi="Arial" w:cs="Arial"/>
          <w:i/>
          <w:sz w:val="24"/>
          <w:szCs w:val="52"/>
        </w:rPr>
        <w:t xml:space="preserve">West &amp; </w:t>
      </w:r>
      <w:proofErr w:type="spellStart"/>
      <w:r w:rsidR="00033130">
        <w:rPr>
          <w:rFonts w:ascii="Arial" w:hAnsi="Arial" w:cs="Arial"/>
          <w:i/>
          <w:sz w:val="24"/>
          <w:szCs w:val="52"/>
        </w:rPr>
        <w:t>Anvor</w:t>
      </w:r>
      <w:proofErr w:type="spellEnd"/>
      <w:r w:rsidR="00033130">
        <w:rPr>
          <w:rFonts w:ascii="Arial" w:hAnsi="Arial" w:cs="Arial"/>
          <w:i/>
          <w:sz w:val="24"/>
          <w:szCs w:val="52"/>
        </w:rPr>
        <w:t xml:space="preserve"> v Ian Finlay &amp; Associates [2013], </w:t>
      </w:r>
      <w:r w:rsidR="00033130">
        <w:rPr>
          <w:rFonts w:ascii="Arial" w:hAnsi="Arial" w:cs="Arial"/>
          <w:sz w:val="24"/>
          <w:szCs w:val="52"/>
        </w:rPr>
        <w:t xml:space="preserve">Available at: </w:t>
      </w:r>
      <w:hyperlink r:id="rId17" w:history="1">
        <w:r w:rsidRPr="0015402F">
          <w:rPr>
            <w:rStyle w:val="Hyperlink"/>
            <w:rFonts w:ascii="Arial" w:hAnsi="Arial" w:cs="Arial"/>
            <w:sz w:val="24"/>
            <w:szCs w:val="52"/>
          </w:rPr>
          <w:t>https://www.casecheck.co.uk/west-anor-v-ian-finlay-associates-2013-ewhc-868-tcc-16-04-13.html?highlight=WyJjb25zdHJ1Y3Rpb24iLCInY29uc3RydWN0aW9uIiwiZGVmZWN0cyJd</w:t>
        </w:r>
      </w:hyperlink>
      <w:r>
        <w:rPr>
          <w:rFonts w:ascii="Arial" w:hAnsi="Arial" w:cs="Arial"/>
          <w:sz w:val="24"/>
          <w:szCs w:val="52"/>
        </w:rPr>
        <w:t xml:space="preserve">  </w:t>
      </w:r>
      <w:r w:rsidR="00033130">
        <w:rPr>
          <w:rFonts w:ascii="Arial" w:hAnsi="Arial" w:cs="Arial"/>
          <w:sz w:val="24"/>
          <w:szCs w:val="52"/>
        </w:rPr>
        <w:t>Accessed on – 03/01/2019</w:t>
      </w:r>
    </w:p>
    <w:p w:rsidR="00A44238" w:rsidRDefault="00A44238" w:rsidP="00A44238">
      <w:pPr>
        <w:jc w:val="both"/>
        <w:rPr>
          <w:rFonts w:ascii="Arial" w:hAnsi="Arial" w:cs="Arial"/>
          <w:sz w:val="24"/>
          <w:szCs w:val="52"/>
        </w:rPr>
      </w:pPr>
      <w:proofErr w:type="spellStart"/>
      <w:r>
        <w:rPr>
          <w:rFonts w:ascii="Arial" w:hAnsi="Arial" w:cs="Arial"/>
          <w:sz w:val="24"/>
          <w:szCs w:val="52"/>
        </w:rPr>
        <w:t>Findlaw</w:t>
      </w:r>
      <w:proofErr w:type="spellEnd"/>
      <w:r>
        <w:rPr>
          <w:rFonts w:ascii="Arial" w:hAnsi="Arial" w:cs="Arial"/>
          <w:sz w:val="24"/>
          <w:szCs w:val="52"/>
        </w:rPr>
        <w:t xml:space="preserve"> (Unknown), </w:t>
      </w:r>
      <w:r>
        <w:rPr>
          <w:rFonts w:ascii="Arial" w:hAnsi="Arial" w:cs="Arial"/>
          <w:i/>
          <w:sz w:val="24"/>
          <w:szCs w:val="52"/>
        </w:rPr>
        <w:t xml:space="preserve">Construction Defect Basics, </w:t>
      </w:r>
      <w:r>
        <w:rPr>
          <w:rFonts w:ascii="Arial" w:hAnsi="Arial" w:cs="Arial"/>
          <w:sz w:val="24"/>
          <w:szCs w:val="52"/>
        </w:rPr>
        <w:t xml:space="preserve">Available at: </w:t>
      </w:r>
      <w:hyperlink r:id="rId18" w:history="1">
        <w:r w:rsidRPr="0015402F">
          <w:rPr>
            <w:rStyle w:val="Hyperlink"/>
            <w:rFonts w:ascii="Arial" w:hAnsi="Arial" w:cs="Arial"/>
            <w:sz w:val="24"/>
            <w:szCs w:val="52"/>
          </w:rPr>
          <w:t>https://realestate.findlaw.com/construction-defects/construction-defects-basics.html</w:t>
        </w:r>
      </w:hyperlink>
      <w:r>
        <w:rPr>
          <w:rFonts w:ascii="Arial" w:hAnsi="Arial" w:cs="Arial"/>
          <w:sz w:val="24"/>
          <w:szCs w:val="52"/>
        </w:rPr>
        <w:t xml:space="preserve"> Accessed on – 03/01/2019</w:t>
      </w:r>
    </w:p>
    <w:p w:rsidR="00A44238" w:rsidRDefault="00E339E2" w:rsidP="006A264C">
      <w:pPr>
        <w:jc w:val="both"/>
        <w:rPr>
          <w:rFonts w:ascii="Arial" w:hAnsi="Arial" w:cs="Arial"/>
          <w:sz w:val="24"/>
          <w:szCs w:val="52"/>
        </w:rPr>
      </w:pPr>
      <w:r>
        <w:rPr>
          <w:rFonts w:ascii="Arial" w:hAnsi="Arial" w:cs="Arial"/>
          <w:sz w:val="24"/>
          <w:szCs w:val="52"/>
        </w:rPr>
        <w:t xml:space="preserve">Casecheck.co.uk (Unknown), </w:t>
      </w:r>
      <w:r w:rsidRPr="00E339E2">
        <w:rPr>
          <w:rFonts w:ascii="Arial" w:hAnsi="Arial" w:cs="Arial"/>
          <w:i/>
          <w:sz w:val="24"/>
          <w:szCs w:val="52"/>
        </w:rPr>
        <w:t>James Johnstone v AMEC Construction Limited [2010]</w:t>
      </w:r>
      <w:r>
        <w:rPr>
          <w:rFonts w:ascii="Arial" w:hAnsi="Arial" w:cs="Arial"/>
          <w:i/>
          <w:sz w:val="24"/>
          <w:szCs w:val="52"/>
        </w:rPr>
        <w:t xml:space="preserve">, </w:t>
      </w:r>
      <w:r>
        <w:rPr>
          <w:rFonts w:ascii="Arial" w:hAnsi="Arial" w:cs="Arial"/>
          <w:sz w:val="24"/>
          <w:szCs w:val="52"/>
        </w:rPr>
        <w:t>Available at:</w:t>
      </w:r>
    </w:p>
    <w:p w:rsidR="00E339E2" w:rsidRPr="001D6D95" w:rsidRDefault="00C57726" w:rsidP="00E339E2">
      <w:pPr>
        <w:jc w:val="both"/>
        <w:rPr>
          <w:rFonts w:ascii="Arial" w:hAnsi="Arial" w:cs="Arial"/>
          <w:color w:val="0563C1" w:themeColor="hyperlink"/>
          <w:sz w:val="24"/>
          <w:szCs w:val="52"/>
          <w:u w:val="single"/>
        </w:rPr>
      </w:pPr>
      <w:hyperlink r:id="rId19" w:history="1">
        <w:r w:rsidR="00E339E2" w:rsidRPr="0015402F">
          <w:rPr>
            <w:rStyle w:val="Hyperlink"/>
            <w:rFonts w:ascii="Arial" w:hAnsi="Arial" w:cs="Arial"/>
            <w:sz w:val="24"/>
            <w:szCs w:val="52"/>
          </w:rPr>
          <w:t>https://www.casecheck.co.uk/james-johnstone-v-amec-construction-limited-2010-csih-57.html?highlight=WyJqYW1lcyIsImpvaG5zdG9uZSIsInYiLCJhbWVjIiwiY29uc3RydWN0aW9uIiwiJ2NvbnN0cnVjdGlvbiIsImxpbWl0ZWQiLDIwMTAsImphbWVzIGpvaG5zdG9uZSIsImphbWVzIGpvaG5zdG9uZSB2Iiwiam9obnN0b25lIHYiLCJqb2huc3RvbmUgdiBhbWVjIiwidiBhbWVjIiwidiBhbWVjIGNvbnN0cnVjdGlvbiIsImFtZWMgY29uc3RydWN0aW9uIiwiYW1lYyBjb25zdHJ1Y3Rpb24gbGltaXRlZCIsImNvbnN0cnVjdGlvbiBsaW1pdGVkIiwiY29uc3RydWN0aW9uIGxpbWl0ZWQgMjAxMCIsImxpbWl0ZWQgMjAxMCJd</w:t>
        </w:r>
      </w:hyperlink>
      <w:r w:rsidR="001D6D95">
        <w:rPr>
          <w:rStyle w:val="Hyperlink"/>
          <w:rFonts w:ascii="Arial" w:hAnsi="Arial" w:cs="Arial"/>
          <w:sz w:val="24"/>
          <w:szCs w:val="52"/>
        </w:rPr>
        <w:t xml:space="preserve"> </w:t>
      </w:r>
      <w:r w:rsidR="00E339E2">
        <w:rPr>
          <w:rFonts w:ascii="Arial" w:hAnsi="Arial" w:cs="Arial"/>
          <w:sz w:val="24"/>
          <w:szCs w:val="52"/>
        </w:rPr>
        <w:t>Accessed on – 03/01/2019</w:t>
      </w:r>
    </w:p>
    <w:p w:rsidR="00E339E2" w:rsidRDefault="003A4226" w:rsidP="006A264C">
      <w:pPr>
        <w:jc w:val="both"/>
        <w:rPr>
          <w:rFonts w:ascii="Arial" w:hAnsi="Arial" w:cs="Arial"/>
          <w:sz w:val="24"/>
          <w:szCs w:val="52"/>
        </w:rPr>
      </w:pPr>
      <w:r>
        <w:rPr>
          <w:rFonts w:ascii="Arial" w:hAnsi="Arial" w:cs="Arial"/>
          <w:sz w:val="24"/>
          <w:szCs w:val="52"/>
        </w:rPr>
        <w:t xml:space="preserve">Casecheck.co.uk (Unknown), </w:t>
      </w:r>
      <w:r>
        <w:rPr>
          <w:rFonts w:ascii="Arial" w:hAnsi="Arial" w:cs="Arial"/>
          <w:i/>
          <w:sz w:val="24"/>
          <w:szCs w:val="52"/>
        </w:rPr>
        <w:t xml:space="preserve">Hawley v </w:t>
      </w:r>
      <w:proofErr w:type="spellStart"/>
      <w:r>
        <w:rPr>
          <w:rFonts w:ascii="Arial" w:hAnsi="Arial" w:cs="Arial"/>
          <w:i/>
          <w:sz w:val="24"/>
          <w:szCs w:val="52"/>
        </w:rPr>
        <w:t>Luminar</w:t>
      </w:r>
      <w:proofErr w:type="spellEnd"/>
      <w:r>
        <w:rPr>
          <w:rFonts w:ascii="Arial" w:hAnsi="Arial" w:cs="Arial"/>
          <w:i/>
          <w:sz w:val="24"/>
          <w:szCs w:val="52"/>
        </w:rPr>
        <w:t xml:space="preserve"> Leisure Ltd [2006</w:t>
      </w:r>
      <w:r w:rsidRPr="00E339E2">
        <w:rPr>
          <w:rFonts w:ascii="Arial" w:hAnsi="Arial" w:cs="Arial"/>
          <w:i/>
          <w:sz w:val="24"/>
          <w:szCs w:val="52"/>
        </w:rPr>
        <w:t>]</w:t>
      </w:r>
      <w:r>
        <w:rPr>
          <w:rFonts w:ascii="Arial" w:hAnsi="Arial" w:cs="Arial"/>
          <w:i/>
          <w:sz w:val="24"/>
          <w:szCs w:val="52"/>
        </w:rPr>
        <w:t xml:space="preserve">, </w:t>
      </w:r>
      <w:r>
        <w:rPr>
          <w:rFonts w:ascii="Arial" w:hAnsi="Arial" w:cs="Arial"/>
          <w:sz w:val="24"/>
          <w:szCs w:val="52"/>
        </w:rPr>
        <w:t>Available at:</w:t>
      </w:r>
    </w:p>
    <w:p w:rsidR="003A4226" w:rsidRDefault="00C57726" w:rsidP="003A4226">
      <w:pPr>
        <w:jc w:val="both"/>
        <w:rPr>
          <w:rFonts w:ascii="Arial" w:hAnsi="Arial" w:cs="Arial"/>
          <w:sz w:val="24"/>
          <w:szCs w:val="52"/>
        </w:rPr>
      </w:pPr>
      <w:hyperlink r:id="rId20" w:history="1">
        <w:r w:rsidR="003A4226" w:rsidRPr="0015402F">
          <w:rPr>
            <w:rStyle w:val="Hyperlink"/>
            <w:rFonts w:ascii="Arial" w:hAnsi="Arial" w:cs="Arial"/>
            <w:sz w:val="24"/>
            <w:szCs w:val="52"/>
          </w:rPr>
          <w:t>https://www.casecheck.co.uk/hawley-v-luminar-leisure-ltd-ors-2006-ewca-civ-18-24-january-2006.html?highlight=WyJwdWJsaWMiLCJsaWFiaWxpdHkiLCJsaWFiaWxpdHknIiwiZW5nbGFuZCIsInB1YmxpYyBsaWFiaWxpdHkiXQ</w:t>
        </w:r>
      </w:hyperlink>
      <w:r w:rsidR="003A4226" w:rsidRPr="00076E56">
        <w:rPr>
          <w:rFonts w:ascii="Arial" w:hAnsi="Arial" w:cs="Arial"/>
          <w:sz w:val="24"/>
          <w:szCs w:val="52"/>
        </w:rPr>
        <w:t>==</w:t>
      </w:r>
      <w:r w:rsidR="001D6D95">
        <w:rPr>
          <w:rFonts w:ascii="Arial" w:hAnsi="Arial" w:cs="Arial"/>
          <w:sz w:val="24"/>
          <w:szCs w:val="52"/>
        </w:rPr>
        <w:t xml:space="preserve"> </w:t>
      </w:r>
      <w:r w:rsidR="003A4226">
        <w:rPr>
          <w:rFonts w:ascii="Arial" w:hAnsi="Arial" w:cs="Arial"/>
          <w:sz w:val="24"/>
          <w:szCs w:val="52"/>
        </w:rPr>
        <w:t>Accessed on – 03/01/2019</w:t>
      </w:r>
    </w:p>
    <w:p w:rsidR="003A4226" w:rsidRPr="00A12CD8" w:rsidRDefault="003A4226" w:rsidP="006A264C">
      <w:pPr>
        <w:jc w:val="both"/>
        <w:rPr>
          <w:rFonts w:ascii="Arial" w:hAnsi="Arial" w:cs="Arial"/>
          <w:sz w:val="24"/>
          <w:szCs w:val="52"/>
        </w:rPr>
      </w:pPr>
      <w:r>
        <w:rPr>
          <w:rFonts w:ascii="Arial" w:hAnsi="Arial" w:cs="Arial"/>
          <w:sz w:val="24"/>
          <w:szCs w:val="52"/>
        </w:rPr>
        <w:t xml:space="preserve">  </w:t>
      </w:r>
    </w:p>
    <w:sectPr w:rsidR="003A4226" w:rsidRPr="00A12CD8" w:rsidSect="0084453F">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7726" w:rsidRDefault="00C57726" w:rsidP="0084453F">
      <w:pPr>
        <w:spacing w:after="0" w:line="240" w:lineRule="auto"/>
      </w:pPr>
      <w:r>
        <w:separator/>
      </w:r>
    </w:p>
  </w:endnote>
  <w:endnote w:type="continuationSeparator" w:id="0">
    <w:p w:rsidR="00C57726" w:rsidRDefault="00C57726" w:rsidP="00844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1338005"/>
      <w:docPartObj>
        <w:docPartGallery w:val="Page Numbers (Bottom of Page)"/>
        <w:docPartUnique/>
      </w:docPartObj>
    </w:sdtPr>
    <w:sdtEndPr>
      <w:rPr>
        <w:noProof/>
      </w:rPr>
    </w:sdtEndPr>
    <w:sdtContent>
      <w:p w:rsidR="0084453F" w:rsidRDefault="008445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84453F" w:rsidRDefault="00844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7726" w:rsidRDefault="00C57726" w:rsidP="0084453F">
      <w:pPr>
        <w:spacing w:after="0" w:line="240" w:lineRule="auto"/>
      </w:pPr>
      <w:r>
        <w:separator/>
      </w:r>
    </w:p>
  </w:footnote>
  <w:footnote w:type="continuationSeparator" w:id="0">
    <w:p w:rsidR="00C57726" w:rsidRDefault="00C57726" w:rsidP="008445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05C46"/>
    <w:multiLevelType w:val="hybridMultilevel"/>
    <w:tmpl w:val="7048E98A"/>
    <w:lvl w:ilvl="0" w:tplc="DF9E2D3A">
      <w:start w:val="1"/>
      <w:numFmt w:val="bullet"/>
      <w:lvlText w:val=""/>
      <w:lvlJc w:val="left"/>
      <w:pPr>
        <w:tabs>
          <w:tab w:val="num" w:pos="720"/>
        </w:tabs>
        <w:ind w:left="720" w:hanging="360"/>
      </w:pPr>
      <w:rPr>
        <w:rFonts w:ascii="Wingdings 3" w:hAnsi="Wingdings 3" w:hint="default"/>
      </w:rPr>
    </w:lvl>
    <w:lvl w:ilvl="1" w:tplc="6BA2B7FE">
      <w:start w:val="1"/>
      <w:numFmt w:val="bullet"/>
      <w:lvlText w:val=""/>
      <w:lvlJc w:val="left"/>
      <w:pPr>
        <w:tabs>
          <w:tab w:val="num" w:pos="1440"/>
        </w:tabs>
        <w:ind w:left="1440" w:hanging="360"/>
      </w:pPr>
      <w:rPr>
        <w:rFonts w:ascii="Wingdings 3" w:hAnsi="Wingdings 3" w:hint="default"/>
      </w:rPr>
    </w:lvl>
    <w:lvl w:ilvl="2" w:tplc="27704F76" w:tentative="1">
      <w:start w:val="1"/>
      <w:numFmt w:val="bullet"/>
      <w:lvlText w:val=""/>
      <w:lvlJc w:val="left"/>
      <w:pPr>
        <w:tabs>
          <w:tab w:val="num" w:pos="2160"/>
        </w:tabs>
        <w:ind w:left="2160" w:hanging="360"/>
      </w:pPr>
      <w:rPr>
        <w:rFonts w:ascii="Wingdings 3" w:hAnsi="Wingdings 3" w:hint="default"/>
      </w:rPr>
    </w:lvl>
    <w:lvl w:ilvl="3" w:tplc="C6F435BC" w:tentative="1">
      <w:start w:val="1"/>
      <w:numFmt w:val="bullet"/>
      <w:lvlText w:val=""/>
      <w:lvlJc w:val="left"/>
      <w:pPr>
        <w:tabs>
          <w:tab w:val="num" w:pos="2880"/>
        </w:tabs>
        <w:ind w:left="2880" w:hanging="360"/>
      </w:pPr>
      <w:rPr>
        <w:rFonts w:ascii="Wingdings 3" w:hAnsi="Wingdings 3" w:hint="default"/>
      </w:rPr>
    </w:lvl>
    <w:lvl w:ilvl="4" w:tplc="CF86E44E" w:tentative="1">
      <w:start w:val="1"/>
      <w:numFmt w:val="bullet"/>
      <w:lvlText w:val=""/>
      <w:lvlJc w:val="left"/>
      <w:pPr>
        <w:tabs>
          <w:tab w:val="num" w:pos="3600"/>
        </w:tabs>
        <w:ind w:left="3600" w:hanging="360"/>
      </w:pPr>
      <w:rPr>
        <w:rFonts w:ascii="Wingdings 3" w:hAnsi="Wingdings 3" w:hint="default"/>
      </w:rPr>
    </w:lvl>
    <w:lvl w:ilvl="5" w:tplc="37DC705A" w:tentative="1">
      <w:start w:val="1"/>
      <w:numFmt w:val="bullet"/>
      <w:lvlText w:val=""/>
      <w:lvlJc w:val="left"/>
      <w:pPr>
        <w:tabs>
          <w:tab w:val="num" w:pos="4320"/>
        </w:tabs>
        <w:ind w:left="4320" w:hanging="360"/>
      </w:pPr>
      <w:rPr>
        <w:rFonts w:ascii="Wingdings 3" w:hAnsi="Wingdings 3" w:hint="default"/>
      </w:rPr>
    </w:lvl>
    <w:lvl w:ilvl="6" w:tplc="CCA42A4E" w:tentative="1">
      <w:start w:val="1"/>
      <w:numFmt w:val="bullet"/>
      <w:lvlText w:val=""/>
      <w:lvlJc w:val="left"/>
      <w:pPr>
        <w:tabs>
          <w:tab w:val="num" w:pos="5040"/>
        </w:tabs>
        <w:ind w:left="5040" w:hanging="360"/>
      </w:pPr>
      <w:rPr>
        <w:rFonts w:ascii="Wingdings 3" w:hAnsi="Wingdings 3" w:hint="default"/>
      </w:rPr>
    </w:lvl>
    <w:lvl w:ilvl="7" w:tplc="6E36759C" w:tentative="1">
      <w:start w:val="1"/>
      <w:numFmt w:val="bullet"/>
      <w:lvlText w:val=""/>
      <w:lvlJc w:val="left"/>
      <w:pPr>
        <w:tabs>
          <w:tab w:val="num" w:pos="5760"/>
        </w:tabs>
        <w:ind w:left="5760" w:hanging="360"/>
      </w:pPr>
      <w:rPr>
        <w:rFonts w:ascii="Wingdings 3" w:hAnsi="Wingdings 3" w:hint="default"/>
      </w:rPr>
    </w:lvl>
    <w:lvl w:ilvl="8" w:tplc="64965F0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F37416E"/>
    <w:multiLevelType w:val="hybridMultilevel"/>
    <w:tmpl w:val="9BA47A4C"/>
    <w:lvl w:ilvl="0" w:tplc="300CC040">
      <w:start w:val="1"/>
      <w:numFmt w:val="bullet"/>
      <w:lvlText w:val=""/>
      <w:lvlJc w:val="left"/>
      <w:pPr>
        <w:tabs>
          <w:tab w:val="num" w:pos="720"/>
        </w:tabs>
        <w:ind w:left="720" w:hanging="360"/>
      </w:pPr>
      <w:rPr>
        <w:rFonts w:ascii="Wingdings 3" w:hAnsi="Wingdings 3" w:hint="default"/>
      </w:rPr>
    </w:lvl>
    <w:lvl w:ilvl="1" w:tplc="FD1CB9DC">
      <w:start w:val="1"/>
      <w:numFmt w:val="bullet"/>
      <w:lvlText w:val=""/>
      <w:lvlJc w:val="left"/>
      <w:pPr>
        <w:tabs>
          <w:tab w:val="num" w:pos="1440"/>
        </w:tabs>
        <w:ind w:left="1440" w:hanging="360"/>
      </w:pPr>
      <w:rPr>
        <w:rFonts w:ascii="Wingdings 3" w:hAnsi="Wingdings 3" w:hint="default"/>
      </w:rPr>
    </w:lvl>
    <w:lvl w:ilvl="2" w:tplc="D7C8D6B2" w:tentative="1">
      <w:start w:val="1"/>
      <w:numFmt w:val="bullet"/>
      <w:lvlText w:val=""/>
      <w:lvlJc w:val="left"/>
      <w:pPr>
        <w:tabs>
          <w:tab w:val="num" w:pos="2160"/>
        </w:tabs>
        <w:ind w:left="2160" w:hanging="360"/>
      </w:pPr>
      <w:rPr>
        <w:rFonts w:ascii="Wingdings 3" w:hAnsi="Wingdings 3" w:hint="default"/>
      </w:rPr>
    </w:lvl>
    <w:lvl w:ilvl="3" w:tplc="22988640" w:tentative="1">
      <w:start w:val="1"/>
      <w:numFmt w:val="bullet"/>
      <w:lvlText w:val=""/>
      <w:lvlJc w:val="left"/>
      <w:pPr>
        <w:tabs>
          <w:tab w:val="num" w:pos="2880"/>
        </w:tabs>
        <w:ind w:left="2880" w:hanging="360"/>
      </w:pPr>
      <w:rPr>
        <w:rFonts w:ascii="Wingdings 3" w:hAnsi="Wingdings 3" w:hint="default"/>
      </w:rPr>
    </w:lvl>
    <w:lvl w:ilvl="4" w:tplc="C58C2C96" w:tentative="1">
      <w:start w:val="1"/>
      <w:numFmt w:val="bullet"/>
      <w:lvlText w:val=""/>
      <w:lvlJc w:val="left"/>
      <w:pPr>
        <w:tabs>
          <w:tab w:val="num" w:pos="3600"/>
        </w:tabs>
        <w:ind w:left="3600" w:hanging="360"/>
      </w:pPr>
      <w:rPr>
        <w:rFonts w:ascii="Wingdings 3" w:hAnsi="Wingdings 3" w:hint="default"/>
      </w:rPr>
    </w:lvl>
    <w:lvl w:ilvl="5" w:tplc="D7AED81C" w:tentative="1">
      <w:start w:val="1"/>
      <w:numFmt w:val="bullet"/>
      <w:lvlText w:val=""/>
      <w:lvlJc w:val="left"/>
      <w:pPr>
        <w:tabs>
          <w:tab w:val="num" w:pos="4320"/>
        </w:tabs>
        <w:ind w:left="4320" w:hanging="360"/>
      </w:pPr>
      <w:rPr>
        <w:rFonts w:ascii="Wingdings 3" w:hAnsi="Wingdings 3" w:hint="default"/>
      </w:rPr>
    </w:lvl>
    <w:lvl w:ilvl="6" w:tplc="2E6C73C0" w:tentative="1">
      <w:start w:val="1"/>
      <w:numFmt w:val="bullet"/>
      <w:lvlText w:val=""/>
      <w:lvlJc w:val="left"/>
      <w:pPr>
        <w:tabs>
          <w:tab w:val="num" w:pos="5040"/>
        </w:tabs>
        <w:ind w:left="5040" w:hanging="360"/>
      </w:pPr>
      <w:rPr>
        <w:rFonts w:ascii="Wingdings 3" w:hAnsi="Wingdings 3" w:hint="default"/>
      </w:rPr>
    </w:lvl>
    <w:lvl w:ilvl="7" w:tplc="0F081A28" w:tentative="1">
      <w:start w:val="1"/>
      <w:numFmt w:val="bullet"/>
      <w:lvlText w:val=""/>
      <w:lvlJc w:val="left"/>
      <w:pPr>
        <w:tabs>
          <w:tab w:val="num" w:pos="5760"/>
        </w:tabs>
        <w:ind w:left="5760" w:hanging="360"/>
      </w:pPr>
      <w:rPr>
        <w:rFonts w:ascii="Wingdings 3" w:hAnsi="Wingdings 3" w:hint="default"/>
      </w:rPr>
    </w:lvl>
    <w:lvl w:ilvl="8" w:tplc="D938B6F2"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53F"/>
    <w:rsid w:val="0000298E"/>
    <w:rsid w:val="0001687E"/>
    <w:rsid w:val="00033130"/>
    <w:rsid w:val="00033D42"/>
    <w:rsid w:val="0006211D"/>
    <w:rsid w:val="00076E56"/>
    <w:rsid w:val="000A188D"/>
    <w:rsid w:val="000E2801"/>
    <w:rsid w:val="000E4729"/>
    <w:rsid w:val="00102EB8"/>
    <w:rsid w:val="00104072"/>
    <w:rsid w:val="001268B6"/>
    <w:rsid w:val="00133B01"/>
    <w:rsid w:val="001926AC"/>
    <w:rsid w:val="001D6D95"/>
    <w:rsid w:val="00240742"/>
    <w:rsid w:val="00252D21"/>
    <w:rsid w:val="0027649C"/>
    <w:rsid w:val="00277375"/>
    <w:rsid w:val="00280322"/>
    <w:rsid w:val="00290179"/>
    <w:rsid w:val="002F19CD"/>
    <w:rsid w:val="00303E0E"/>
    <w:rsid w:val="00316B8C"/>
    <w:rsid w:val="00327668"/>
    <w:rsid w:val="00354268"/>
    <w:rsid w:val="00363CC2"/>
    <w:rsid w:val="003725D7"/>
    <w:rsid w:val="00396426"/>
    <w:rsid w:val="003A4226"/>
    <w:rsid w:val="003D1C23"/>
    <w:rsid w:val="003D7F9C"/>
    <w:rsid w:val="0044255F"/>
    <w:rsid w:val="00493D43"/>
    <w:rsid w:val="004A282C"/>
    <w:rsid w:val="004A47A6"/>
    <w:rsid w:val="004E297B"/>
    <w:rsid w:val="004E5B0C"/>
    <w:rsid w:val="004F690B"/>
    <w:rsid w:val="00533AD3"/>
    <w:rsid w:val="005728D5"/>
    <w:rsid w:val="006232E3"/>
    <w:rsid w:val="006233A1"/>
    <w:rsid w:val="006863AE"/>
    <w:rsid w:val="006A264C"/>
    <w:rsid w:val="006C3381"/>
    <w:rsid w:val="006E0CC4"/>
    <w:rsid w:val="00727F47"/>
    <w:rsid w:val="00751969"/>
    <w:rsid w:val="00780E49"/>
    <w:rsid w:val="00785270"/>
    <w:rsid w:val="007E004A"/>
    <w:rsid w:val="007F1D65"/>
    <w:rsid w:val="00803DCD"/>
    <w:rsid w:val="00834E7A"/>
    <w:rsid w:val="0083751F"/>
    <w:rsid w:val="00843A4C"/>
    <w:rsid w:val="0084453F"/>
    <w:rsid w:val="00845C7C"/>
    <w:rsid w:val="008A7999"/>
    <w:rsid w:val="008B5686"/>
    <w:rsid w:val="008D0021"/>
    <w:rsid w:val="008D1C42"/>
    <w:rsid w:val="008D7740"/>
    <w:rsid w:val="008E3BCE"/>
    <w:rsid w:val="00905BDF"/>
    <w:rsid w:val="009205C0"/>
    <w:rsid w:val="0096054D"/>
    <w:rsid w:val="00962B80"/>
    <w:rsid w:val="009638E0"/>
    <w:rsid w:val="00971D5F"/>
    <w:rsid w:val="00984875"/>
    <w:rsid w:val="009D53D1"/>
    <w:rsid w:val="00A12CD8"/>
    <w:rsid w:val="00A216BB"/>
    <w:rsid w:val="00A23682"/>
    <w:rsid w:val="00A27D5E"/>
    <w:rsid w:val="00A30173"/>
    <w:rsid w:val="00A329F1"/>
    <w:rsid w:val="00A44238"/>
    <w:rsid w:val="00A547B7"/>
    <w:rsid w:val="00A56FB5"/>
    <w:rsid w:val="00A76136"/>
    <w:rsid w:val="00A82E30"/>
    <w:rsid w:val="00A859F7"/>
    <w:rsid w:val="00A9228E"/>
    <w:rsid w:val="00AC54FB"/>
    <w:rsid w:val="00B06B84"/>
    <w:rsid w:val="00B55011"/>
    <w:rsid w:val="00BB3552"/>
    <w:rsid w:val="00BC4A8C"/>
    <w:rsid w:val="00BD6F16"/>
    <w:rsid w:val="00C26324"/>
    <w:rsid w:val="00C32DBE"/>
    <w:rsid w:val="00C57726"/>
    <w:rsid w:val="00C86EDB"/>
    <w:rsid w:val="00C9665E"/>
    <w:rsid w:val="00CA63EE"/>
    <w:rsid w:val="00CE037B"/>
    <w:rsid w:val="00D32CE5"/>
    <w:rsid w:val="00D841B5"/>
    <w:rsid w:val="00D952DF"/>
    <w:rsid w:val="00DB5527"/>
    <w:rsid w:val="00DE2797"/>
    <w:rsid w:val="00DF0011"/>
    <w:rsid w:val="00E00067"/>
    <w:rsid w:val="00E14D13"/>
    <w:rsid w:val="00E15627"/>
    <w:rsid w:val="00E167F8"/>
    <w:rsid w:val="00E16F3D"/>
    <w:rsid w:val="00E339E2"/>
    <w:rsid w:val="00E354A0"/>
    <w:rsid w:val="00E7281B"/>
    <w:rsid w:val="00E77F63"/>
    <w:rsid w:val="00E83E50"/>
    <w:rsid w:val="00E93D6A"/>
    <w:rsid w:val="00EE674C"/>
    <w:rsid w:val="00EE7A61"/>
    <w:rsid w:val="00EF74A6"/>
    <w:rsid w:val="00FF0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BDCF4A"/>
  <w15:chartTrackingRefBased/>
  <w15:docId w15:val="{7054979A-8996-4CDB-BA0A-62BB6EC92C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4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53F"/>
  </w:style>
  <w:style w:type="paragraph" w:styleId="Footer">
    <w:name w:val="footer"/>
    <w:basedOn w:val="Normal"/>
    <w:link w:val="FooterChar"/>
    <w:uiPriority w:val="99"/>
    <w:unhideWhenUsed/>
    <w:rsid w:val="00844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53F"/>
  </w:style>
  <w:style w:type="character" w:styleId="Hyperlink">
    <w:name w:val="Hyperlink"/>
    <w:basedOn w:val="DefaultParagraphFont"/>
    <w:uiPriority w:val="99"/>
    <w:unhideWhenUsed/>
    <w:rsid w:val="00834E7A"/>
    <w:rPr>
      <w:color w:val="0563C1" w:themeColor="hyperlink"/>
      <w:u w:val="single"/>
    </w:rPr>
  </w:style>
  <w:style w:type="character" w:styleId="UnresolvedMention">
    <w:name w:val="Unresolved Mention"/>
    <w:basedOn w:val="DefaultParagraphFont"/>
    <w:uiPriority w:val="99"/>
    <w:semiHidden/>
    <w:unhideWhenUsed/>
    <w:rsid w:val="00834E7A"/>
    <w:rPr>
      <w:color w:val="808080"/>
      <w:shd w:val="clear" w:color="auto" w:fill="E6E6E6"/>
    </w:rPr>
  </w:style>
  <w:style w:type="paragraph" w:styleId="ListParagraph">
    <w:name w:val="List Paragraph"/>
    <w:basedOn w:val="Normal"/>
    <w:uiPriority w:val="34"/>
    <w:qFormat/>
    <w:rsid w:val="00A76136"/>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263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085985">
      <w:bodyDiv w:val="1"/>
      <w:marLeft w:val="0"/>
      <w:marRight w:val="0"/>
      <w:marTop w:val="0"/>
      <w:marBottom w:val="0"/>
      <w:divBdr>
        <w:top w:val="none" w:sz="0" w:space="0" w:color="auto"/>
        <w:left w:val="none" w:sz="0" w:space="0" w:color="auto"/>
        <w:bottom w:val="none" w:sz="0" w:space="0" w:color="auto"/>
        <w:right w:val="none" w:sz="0" w:space="0" w:color="auto"/>
      </w:divBdr>
      <w:divsChild>
        <w:div w:id="509679381">
          <w:marLeft w:val="1166"/>
          <w:marRight w:val="0"/>
          <w:marTop w:val="200"/>
          <w:marBottom w:val="0"/>
          <w:divBdr>
            <w:top w:val="none" w:sz="0" w:space="0" w:color="auto"/>
            <w:left w:val="none" w:sz="0" w:space="0" w:color="auto"/>
            <w:bottom w:val="none" w:sz="0" w:space="0" w:color="auto"/>
            <w:right w:val="none" w:sz="0" w:space="0" w:color="auto"/>
          </w:divBdr>
        </w:div>
      </w:divsChild>
    </w:div>
    <w:div w:id="850411486">
      <w:bodyDiv w:val="1"/>
      <w:marLeft w:val="0"/>
      <w:marRight w:val="0"/>
      <w:marTop w:val="0"/>
      <w:marBottom w:val="0"/>
      <w:divBdr>
        <w:top w:val="none" w:sz="0" w:space="0" w:color="auto"/>
        <w:left w:val="none" w:sz="0" w:space="0" w:color="auto"/>
        <w:bottom w:val="none" w:sz="0" w:space="0" w:color="auto"/>
        <w:right w:val="none" w:sz="0" w:space="0" w:color="auto"/>
      </w:divBdr>
      <w:divsChild>
        <w:div w:id="1253660896">
          <w:marLeft w:val="116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contract" TargetMode="External"/><Relationship Id="rId13" Type="http://schemas.openxmlformats.org/officeDocument/2006/relationships/hyperlink" Target="http://www.e-lawresources.co.uk/cases/The-Monarch-1949.php" TargetMode="External"/><Relationship Id="rId18" Type="http://schemas.openxmlformats.org/officeDocument/2006/relationships/hyperlink" Target="https://realestate.findlaw.com/construction-defects/construction-defects-basics.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lawteacher.net/free-law-essays/contract-law/how-a-contract-may-be-discharged-contract-law-essay.php" TargetMode="External"/><Relationship Id="rId17" Type="http://schemas.openxmlformats.org/officeDocument/2006/relationships/hyperlink" Target="https://www.casecheck.co.uk/west-anor-v-ian-finlay-associates-2013-ewhc-868-tcc-16-04-13.html?highlight=WyJjb25zdHJ1Y3Rpb24iLCInY29uc3RydWN0aW9uIiwiZGVmZWN0cyJd" TargetMode="External"/><Relationship Id="rId2" Type="http://schemas.openxmlformats.org/officeDocument/2006/relationships/numbering" Target="numbering.xml"/><Relationship Id="rId16" Type="http://schemas.openxmlformats.org/officeDocument/2006/relationships/hyperlink" Target="http://e-lawresources.co.uk/Contract-remedies.php" TargetMode="External"/><Relationship Id="rId20" Type="http://schemas.openxmlformats.org/officeDocument/2006/relationships/hyperlink" Target="https://www.casecheck.co.uk/hawley-v-luminar-leisure-ltd-ors-2006-ewca-civ-18-24-january-2006.html?highlight=WyJwdWJsaWMiLCJsaWFiaWxpdHkiLCJsaWFiaWxpdHknIiwiZW5nbGFuZCIsInB1YmxpYyBsaWFiaWxpdHkiXQ"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Geo5/15-16/20" TargetMode="External"/><Relationship Id="rId5" Type="http://schemas.openxmlformats.org/officeDocument/2006/relationships/webSettings" Target="webSettings.xml"/><Relationship Id="rId15" Type="http://schemas.openxmlformats.org/officeDocument/2006/relationships/hyperlink" Target="https://www.lawteacher.net/cases/hadley-v-baxendale.php" TargetMode="External"/><Relationship Id="rId23" Type="http://schemas.openxmlformats.org/officeDocument/2006/relationships/theme" Target="theme/theme1.xml"/><Relationship Id="rId10" Type="http://schemas.openxmlformats.org/officeDocument/2006/relationships/hyperlink" Target="https://www.lawteacher.net/cases/thomas-v-thomas.php" TargetMode="External"/><Relationship Id="rId19" Type="http://schemas.openxmlformats.org/officeDocument/2006/relationships/hyperlink" Target="https://www.casecheck.co.uk/james-johnstone-v-amec-construction-limited-2010-csih-57.html?highlight=WyJqYW1lcyIsImpvaG5zdG9uZSIsInYiLCJhbWVjIiwiY29uc3RydWN0aW9uIiwiJ2NvbnN0cnVjdGlvbiIsImxpbWl0ZWQiLDIwMTAsImphbWVzIGpvaG5zdG9uZSIsImphbWVzIGpvaG5zdG9uZSB2Iiwiam9obnN0b25lIHYiLCJqb2huc3RvbmUgdiBhbWVjIiwidiBhbWVjIiwidiBhbWVjIGNvbnN0cnVjdGlvbiIsImFtZWMgY29uc3RydWN0aW9uIiwiYW1lYyBjb25zdHJ1Y3Rpb24gbGltaXRlZCIsImNvbnN0cnVjdGlvbiBsaW1pdGVkIiwiY29uc3RydWN0aW9uIGxpbWl0ZWQgMjAxMCIsImxpbWl0ZWQgMjAxMCJd" TargetMode="External"/><Relationship Id="rId4" Type="http://schemas.openxmlformats.org/officeDocument/2006/relationships/settings" Target="settings.xml"/><Relationship Id="rId9" Type="http://schemas.openxmlformats.org/officeDocument/2006/relationships/hyperlink" Target="https://www.lawteacher.net/cases/hyde-v-wrench.php?vref=1" TargetMode="External"/><Relationship Id="rId14" Type="http://schemas.openxmlformats.org/officeDocument/2006/relationships/hyperlink" Target="https://www.lawteacher.net/cases/monarch-steamship-v-karlshamns.ph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017CA-8602-4D81-9DCC-32CEBE2E9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7</Pages>
  <Words>2393</Words>
  <Characters>13644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66</cp:revision>
  <dcterms:created xsi:type="dcterms:W3CDTF">2019-01-03T12:36:00Z</dcterms:created>
  <dcterms:modified xsi:type="dcterms:W3CDTF">2019-01-07T20:39:00Z</dcterms:modified>
</cp:coreProperties>
</file>