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32D6B" w14:textId="41BB6432" w:rsidR="0031088E" w:rsidRPr="00BA77B0" w:rsidRDefault="0031088E" w:rsidP="00A16AFB">
      <w:pPr>
        <w:spacing w:before="120" w:after="120" w:line="360" w:lineRule="auto"/>
        <w:rPr>
          <w:rFonts w:ascii="Arial" w:hAnsi="Arial" w:cs="Arial"/>
          <w:sz w:val="24"/>
          <w:szCs w:val="24"/>
        </w:rPr>
      </w:pPr>
      <w:r w:rsidRPr="00BA77B0">
        <w:rPr>
          <w:rFonts w:ascii="Arial" w:hAnsi="Arial" w:cs="Arial"/>
          <w:sz w:val="24"/>
          <w:szCs w:val="24"/>
        </w:rPr>
        <w:t>How effective is therapeutic play in supporting the emotional and social development of children from diverse backgrounds, and what are the implications for inclusive practice?</w:t>
      </w:r>
    </w:p>
    <w:p w14:paraId="2DEC7C66" w14:textId="77777777" w:rsidR="0031088E" w:rsidRPr="00BA77B0" w:rsidRDefault="0031088E" w:rsidP="00A16AFB">
      <w:pPr>
        <w:spacing w:before="120" w:after="120" w:line="360" w:lineRule="auto"/>
        <w:rPr>
          <w:rFonts w:ascii="Arial" w:hAnsi="Arial" w:cs="Arial"/>
          <w:sz w:val="24"/>
          <w:szCs w:val="24"/>
        </w:rPr>
      </w:pPr>
    </w:p>
    <w:p w14:paraId="1B037DEF" w14:textId="3073EBA0" w:rsidR="002B275B" w:rsidRPr="00BA77B0" w:rsidRDefault="002B275B" w:rsidP="00A16AFB">
      <w:pPr>
        <w:spacing w:before="120" w:after="120" w:line="360" w:lineRule="auto"/>
        <w:rPr>
          <w:rFonts w:ascii="Arial" w:hAnsi="Arial" w:cs="Arial"/>
          <w:sz w:val="24"/>
          <w:szCs w:val="24"/>
        </w:rPr>
      </w:pPr>
      <w:r w:rsidRPr="00BA77B0">
        <w:rPr>
          <w:rFonts w:ascii="Arial" w:hAnsi="Arial" w:cs="Arial"/>
          <w:sz w:val="24"/>
          <w:szCs w:val="24"/>
        </w:rPr>
        <w:t xml:space="preserve">The following forms of artificial intelligence (AI) have been </w:t>
      </w:r>
      <w:proofErr w:type="gramStart"/>
      <w:r w:rsidRPr="00BA77B0">
        <w:rPr>
          <w:rFonts w:ascii="Arial" w:hAnsi="Arial" w:cs="Arial"/>
          <w:sz w:val="24"/>
          <w:szCs w:val="24"/>
        </w:rPr>
        <w:t>utilised</w:t>
      </w:r>
      <w:proofErr w:type="gramEnd"/>
      <w:r w:rsidRPr="00BA77B0">
        <w:rPr>
          <w:rFonts w:ascii="Arial" w:hAnsi="Arial" w:cs="Arial"/>
          <w:sz w:val="24"/>
          <w:szCs w:val="24"/>
        </w:rPr>
        <w:t>.</w:t>
      </w:r>
    </w:p>
    <w:p w14:paraId="7002FBFC" w14:textId="7739B102" w:rsidR="002B275B" w:rsidRPr="00BA77B0" w:rsidRDefault="00CD5CFD" w:rsidP="00A16AFB">
      <w:pPr>
        <w:spacing w:before="120" w:after="120" w:line="360" w:lineRule="auto"/>
        <w:rPr>
          <w:rFonts w:ascii="Arial" w:hAnsi="Arial" w:cs="Arial"/>
          <w:sz w:val="24"/>
          <w:szCs w:val="24"/>
        </w:rPr>
      </w:pPr>
      <w:r w:rsidRPr="00BA77B0">
        <w:rPr>
          <w:rFonts w:ascii="Arial" w:hAnsi="Arial" w:cs="Arial"/>
          <w:sz w:val="24"/>
          <w:szCs w:val="24"/>
        </w:rPr>
        <w:t xml:space="preserve">Grammarly </w:t>
      </w:r>
      <w:hyperlink r:id="rId4" w:history="1">
        <w:r w:rsidRPr="00BA77B0">
          <w:rPr>
            <w:rStyle w:val="Hyperlink"/>
            <w:rFonts w:ascii="Arial" w:hAnsi="Arial" w:cs="Arial"/>
            <w:sz w:val="24"/>
            <w:szCs w:val="24"/>
          </w:rPr>
          <w:t>Grammar Checker - QuillBot A</w:t>
        </w:r>
        <w:r w:rsidR="009357D4" w:rsidRPr="00BA77B0">
          <w:rPr>
            <w:rStyle w:val="Hyperlink"/>
            <w:rFonts w:ascii="Arial" w:hAnsi="Arial" w:cs="Arial"/>
            <w:sz w:val="24"/>
            <w:szCs w:val="24"/>
          </w:rPr>
          <w:t xml:space="preserve"> and Microsoft </w:t>
        </w:r>
        <w:r w:rsidR="00E04225" w:rsidRPr="00BA77B0">
          <w:rPr>
            <w:rStyle w:val="Hyperlink"/>
            <w:rFonts w:ascii="Arial" w:hAnsi="Arial" w:cs="Arial"/>
            <w:sz w:val="24"/>
            <w:szCs w:val="24"/>
          </w:rPr>
          <w:t>Editor</w:t>
        </w:r>
      </w:hyperlink>
      <w:r w:rsidRPr="00BA77B0">
        <w:rPr>
          <w:rFonts w:ascii="Arial" w:hAnsi="Arial" w:cs="Arial"/>
          <w:sz w:val="24"/>
          <w:szCs w:val="24"/>
        </w:rPr>
        <w:t xml:space="preserve"> </w:t>
      </w:r>
      <w:r w:rsidR="00AF73A0" w:rsidRPr="00BA77B0">
        <w:rPr>
          <w:rFonts w:ascii="Arial" w:hAnsi="Arial" w:cs="Arial"/>
          <w:sz w:val="24"/>
          <w:szCs w:val="24"/>
        </w:rPr>
        <w:t>Proofreading Essay</w:t>
      </w:r>
    </w:p>
    <w:p w14:paraId="3D89DB4C" w14:textId="18E2EDBA" w:rsidR="002B275B" w:rsidRPr="00BA77B0" w:rsidRDefault="002B275B" w:rsidP="00A16AFB">
      <w:pPr>
        <w:spacing w:before="120" w:after="120" w:line="360" w:lineRule="auto"/>
        <w:rPr>
          <w:rFonts w:ascii="Arial" w:hAnsi="Arial" w:cs="Arial"/>
          <w:sz w:val="24"/>
          <w:szCs w:val="24"/>
        </w:rPr>
      </w:pPr>
      <w:r w:rsidRPr="00BA77B0">
        <w:rPr>
          <w:rFonts w:ascii="Arial" w:hAnsi="Arial" w:cs="Arial"/>
          <w:sz w:val="24"/>
          <w:szCs w:val="24"/>
        </w:rPr>
        <w:t xml:space="preserve">Bib Ref </w:t>
      </w:r>
      <w:hyperlink r:id="rId5" w:anchor="/projects/VmlD1P/citations" w:history="1">
        <w:r w:rsidR="00E04225" w:rsidRPr="00BA77B0">
          <w:rPr>
            <w:rStyle w:val="Hyperlink"/>
            <w:rFonts w:ascii="Arial" w:hAnsi="Arial" w:cs="Arial"/>
            <w:sz w:val="24"/>
            <w:szCs w:val="24"/>
          </w:rPr>
          <w:t>Therapeutic</w:t>
        </w:r>
        <w:r w:rsidR="002E104A" w:rsidRPr="00BA77B0">
          <w:rPr>
            <w:rStyle w:val="Hyperlink"/>
            <w:rFonts w:ascii="Arial" w:hAnsi="Arial" w:cs="Arial"/>
            <w:sz w:val="24"/>
            <w:szCs w:val="24"/>
          </w:rPr>
          <w:t xml:space="preserve"> Play References – MyBib</w:t>
        </w:r>
      </w:hyperlink>
      <w:r w:rsidR="002E104A" w:rsidRPr="00BA77B0">
        <w:rPr>
          <w:rFonts w:ascii="Arial" w:hAnsi="Arial" w:cs="Arial"/>
          <w:sz w:val="24"/>
          <w:szCs w:val="24"/>
        </w:rPr>
        <w:t xml:space="preserve"> </w:t>
      </w:r>
      <w:r w:rsidRPr="00BA77B0">
        <w:rPr>
          <w:rFonts w:ascii="Arial" w:hAnsi="Arial" w:cs="Arial"/>
          <w:sz w:val="24"/>
          <w:szCs w:val="24"/>
        </w:rPr>
        <w:t>Proofreading references.</w:t>
      </w:r>
    </w:p>
    <w:p w14:paraId="3803BDD1" w14:textId="77777777" w:rsidR="002B275B" w:rsidRPr="00BA77B0" w:rsidRDefault="002B275B" w:rsidP="00A16AFB">
      <w:pPr>
        <w:spacing w:before="120" w:after="120" w:line="360" w:lineRule="auto"/>
        <w:rPr>
          <w:rFonts w:ascii="Arial" w:hAnsi="Arial" w:cs="Arial"/>
          <w:sz w:val="24"/>
          <w:szCs w:val="24"/>
        </w:rPr>
      </w:pPr>
      <w:r w:rsidRPr="00BA77B0">
        <w:rPr>
          <w:rFonts w:ascii="Arial" w:hAnsi="Arial" w:cs="Arial"/>
          <w:sz w:val="24"/>
          <w:szCs w:val="24"/>
        </w:rPr>
        <w:t xml:space="preserve">UWTSD Library </w:t>
      </w:r>
      <w:hyperlink r:id="rId6" w:history="1">
        <w:r w:rsidRPr="00BA77B0">
          <w:rPr>
            <w:rStyle w:val="Hyperlink"/>
            <w:rFonts w:ascii="Arial" w:hAnsi="Arial" w:cs="Arial"/>
            <w:sz w:val="24"/>
            <w:szCs w:val="24"/>
          </w:rPr>
          <w:t>Ex Libris Discovery</w:t>
        </w:r>
      </w:hyperlink>
    </w:p>
    <w:p w14:paraId="42396C7C" w14:textId="641F8CC6" w:rsidR="006E1299" w:rsidRPr="00BA77B0" w:rsidRDefault="006934F9" w:rsidP="00A16AFB">
      <w:pPr>
        <w:spacing w:before="120" w:after="120" w:line="360" w:lineRule="auto"/>
        <w:rPr>
          <w:rFonts w:ascii="Arial" w:hAnsi="Arial" w:cs="Arial"/>
          <w:sz w:val="24"/>
          <w:szCs w:val="24"/>
        </w:rPr>
      </w:pPr>
      <w:r w:rsidRPr="00BA77B0">
        <w:rPr>
          <w:rFonts w:ascii="Arial" w:hAnsi="Arial" w:cs="Arial"/>
          <w:sz w:val="24"/>
          <w:szCs w:val="24"/>
        </w:rPr>
        <w:t>Copilot</w:t>
      </w:r>
      <w:r w:rsidR="004F34E1" w:rsidRPr="00BA77B0">
        <w:rPr>
          <w:rFonts w:ascii="Arial" w:hAnsi="Arial" w:cs="Arial"/>
          <w:sz w:val="24"/>
          <w:szCs w:val="24"/>
        </w:rPr>
        <w:t xml:space="preserve"> </w:t>
      </w:r>
      <w:r w:rsidRPr="00BA77B0">
        <w:rPr>
          <w:rFonts w:ascii="Arial" w:hAnsi="Arial" w:cs="Arial"/>
          <w:sz w:val="24"/>
          <w:szCs w:val="24"/>
        </w:rPr>
        <w:t xml:space="preserve">is </w:t>
      </w:r>
      <w:r w:rsidR="004F34E1" w:rsidRPr="00BA77B0">
        <w:rPr>
          <w:rFonts w:ascii="Arial" w:hAnsi="Arial" w:cs="Arial"/>
          <w:sz w:val="24"/>
          <w:szCs w:val="24"/>
        </w:rPr>
        <w:t>used within research to summarise information</w:t>
      </w:r>
      <w:r w:rsidR="00D9095A" w:rsidRPr="00BA77B0">
        <w:rPr>
          <w:rFonts w:ascii="Arial" w:hAnsi="Arial" w:cs="Arial"/>
          <w:sz w:val="24"/>
          <w:szCs w:val="24"/>
        </w:rPr>
        <w:t xml:space="preserve"> through data analysis.</w:t>
      </w:r>
    </w:p>
    <w:p w14:paraId="0295CB1A" w14:textId="77777777" w:rsidR="002B275B" w:rsidRPr="00BA77B0" w:rsidRDefault="002B275B" w:rsidP="00A16AFB">
      <w:pPr>
        <w:spacing w:before="120" w:after="120" w:line="360" w:lineRule="auto"/>
        <w:rPr>
          <w:rFonts w:ascii="Arial" w:hAnsi="Arial" w:cs="Arial"/>
          <w:sz w:val="24"/>
          <w:szCs w:val="24"/>
        </w:rPr>
      </w:pPr>
      <w:r w:rsidRPr="00BA77B0">
        <w:rPr>
          <w:rFonts w:ascii="Arial" w:hAnsi="Arial" w:cs="Arial"/>
          <w:sz w:val="24"/>
          <w:szCs w:val="24"/>
        </w:rPr>
        <w:t>I confirm that no AI-generated text has been presented as my own work. I also confirm that I retain copies of all drafts, notes, and resources used before and after employing AI tools, which can be provided upon request.</w:t>
      </w:r>
    </w:p>
    <w:p w14:paraId="529A30B9" w14:textId="77777777" w:rsidR="00764391" w:rsidRPr="00BA77B0" w:rsidRDefault="00764391" w:rsidP="00A16AFB">
      <w:pPr>
        <w:spacing w:before="120" w:after="120" w:line="360" w:lineRule="auto"/>
        <w:rPr>
          <w:rFonts w:ascii="Arial" w:hAnsi="Arial" w:cs="Arial"/>
          <w:sz w:val="24"/>
          <w:szCs w:val="24"/>
        </w:rPr>
      </w:pPr>
    </w:p>
    <w:p w14:paraId="290F122F" w14:textId="2957F638"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Childhood emotional and social development has gained increasing </w:t>
      </w:r>
      <w:r w:rsidR="00421ECE" w:rsidRPr="00BA77B0">
        <w:rPr>
          <w:rFonts w:ascii="Arial" w:hAnsi="Arial" w:cs="Arial"/>
          <w:sz w:val="24"/>
          <w:szCs w:val="24"/>
        </w:rPr>
        <w:t>importance</w:t>
      </w:r>
      <w:r w:rsidRPr="00BA77B0">
        <w:rPr>
          <w:rFonts w:ascii="Arial" w:hAnsi="Arial" w:cs="Arial"/>
          <w:sz w:val="24"/>
          <w:szCs w:val="24"/>
        </w:rPr>
        <w:t xml:space="preserve"> across education, psychology, and therapeutic practice</w:t>
      </w:r>
      <w:r w:rsidR="00421ECE" w:rsidRPr="00BA77B0">
        <w:rPr>
          <w:rFonts w:ascii="Arial" w:hAnsi="Arial" w:cs="Arial"/>
          <w:sz w:val="24"/>
          <w:szCs w:val="24"/>
        </w:rPr>
        <w:t xml:space="preserve">. Through the process of </w:t>
      </w:r>
      <w:r w:rsidRPr="00BA77B0">
        <w:rPr>
          <w:rFonts w:ascii="Arial" w:hAnsi="Arial" w:cs="Arial"/>
          <w:sz w:val="24"/>
          <w:szCs w:val="24"/>
        </w:rPr>
        <w:t>reflecting</w:t>
      </w:r>
      <w:r w:rsidR="00833201" w:rsidRPr="00BA77B0">
        <w:rPr>
          <w:rFonts w:ascii="Arial" w:hAnsi="Arial" w:cs="Arial"/>
          <w:sz w:val="24"/>
          <w:szCs w:val="24"/>
        </w:rPr>
        <w:t>,</w:t>
      </w:r>
      <w:r w:rsidRPr="00BA77B0">
        <w:rPr>
          <w:rFonts w:ascii="Arial" w:hAnsi="Arial" w:cs="Arial"/>
          <w:sz w:val="24"/>
          <w:szCs w:val="24"/>
        </w:rPr>
        <w:t xml:space="preserve"> </w:t>
      </w:r>
      <w:r w:rsidR="007A7414" w:rsidRPr="00BA77B0">
        <w:rPr>
          <w:rFonts w:ascii="Arial" w:hAnsi="Arial" w:cs="Arial"/>
          <w:sz w:val="24"/>
          <w:szCs w:val="24"/>
        </w:rPr>
        <w:t xml:space="preserve">it is evident that, </w:t>
      </w:r>
      <w:r w:rsidRPr="00BA77B0">
        <w:rPr>
          <w:rFonts w:ascii="Arial" w:hAnsi="Arial" w:cs="Arial"/>
          <w:sz w:val="24"/>
          <w:szCs w:val="24"/>
        </w:rPr>
        <w:t>widespread recognition that early relational experiences shape long</w:t>
      </w:r>
      <w:r w:rsidRPr="00BA77B0">
        <w:rPr>
          <w:rFonts w:ascii="Cambria Math" w:hAnsi="Cambria Math" w:cs="Cambria Math"/>
          <w:sz w:val="24"/>
          <w:szCs w:val="24"/>
        </w:rPr>
        <w:t>‑</w:t>
      </w:r>
      <w:r w:rsidRPr="00BA77B0">
        <w:rPr>
          <w:rFonts w:ascii="Arial" w:hAnsi="Arial" w:cs="Arial"/>
          <w:sz w:val="24"/>
          <w:szCs w:val="24"/>
        </w:rPr>
        <w:t>term wellbeing and resilience</w:t>
      </w:r>
      <w:r w:rsidR="007A7414" w:rsidRPr="00BA77B0">
        <w:rPr>
          <w:rFonts w:ascii="Arial" w:hAnsi="Arial" w:cs="Arial"/>
          <w:sz w:val="24"/>
          <w:szCs w:val="24"/>
        </w:rPr>
        <w:t>. In relation to this context,</w:t>
      </w:r>
      <w:r w:rsidRPr="00BA77B0">
        <w:rPr>
          <w:rFonts w:ascii="Arial" w:hAnsi="Arial" w:cs="Arial"/>
          <w:sz w:val="24"/>
          <w:szCs w:val="24"/>
        </w:rPr>
        <w:t xml:space="preserve"> therapeutic play has emerged as a developmentally </w:t>
      </w:r>
      <w:r w:rsidR="00833201" w:rsidRPr="00BA77B0">
        <w:rPr>
          <w:rFonts w:ascii="Arial" w:hAnsi="Arial" w:cs="Arial"/>
          <w:sz w:val="24"/>
          <w:szCs w:val="24"/>
        </w:rPr>
        <w:t>appropriate</w:t>
      </w:r>
      <w:r w:rsidR="00995DDF" w:rsidRPr="00BA77B0">
        <w:rPr>
          <w:rFonts w:ascii="Arial" w:hAnsi="Arial" w:cs="Arial"/>
          <w:sz w:val="24"/>
          <w:szCs w:val="24"/>
        </w:rPr>
        <w:t xml:space="preserve"> </w:t>
      </w:r>
      <w:r w:rsidRPr="00BA77B0">
        <w:rPr>
          <w:rFonts w:ascii="Arial" w:hAnsi="Arial" w:cs="Arial"/>
          <w:sz w:val="24"/>
          <w:szCs w:val="24"/>
        </w:rPr>
        <w:t xml:space="preserve">intervention </w:t>
      </w:r>
      <w:r w:rsidR="00995DDF" w:rsidRPr="00BA77B0">
        <w:rPr>
          <w:rFonts w:ascii="Arial" w:hAnsi="Arial" w:cs="Arial"/>
          <w:sz w:val="24"/>
          <w:szCs w:val="24"/>
        </w:rPr>
        <w:t xml:space="preserve">which, </w:t>
      </w:r>
      <w:r w:rsidR="00767485" w:rsidRPr="00BA77B0">
        <w:rPr>
          <w:rFonts w:ascii="Arial" w:hAnsi="Arial" w:cs="Arial"/>
          <w:sz w:val="24"/>
          <w:szCs w:val="24"/>
        </w:rPr>
        <w:t xml:space="preserve">support children </w:t>
      </w:r>
      <w:r w:rsidR="00833201" w:rsidRPr="00BA77B0">
        <w:rPr>
          <w:rFonts w:ascii="Arial" w:hAnsi="Arial" w:cs="Arial"/>
          <w:sz w:val="24"/>
          <w:szCs w:val="24"/>
        </w:rPr>
        <w:t>in</w:t>
      </w:r>
      <w:r w:rsidR="00767485" w:rsidRPr="00BA77B0">
        <w:rPr>
          <w:rFonts w:ascii="Arial" w:hAnsi="Arial" w:cs="Arial"/>
          <w:sz w:val="24"/>
          <w:szCs w:val="24"/>
        </w:rPr>
        <w:t xml:space="preserve"> emotional </w:t>
      </w:r>
      <w:r w:rsidR="006B0282" w:rsidRPr="00BA77B0">
        <w:rPr>
          <w:rFonts w:ascii="Arial" w:hAnsi="Arial" w:cs="Arial"/>
          <w:sz w:val="24"/>
          <w:szCs w:val="24"/>
        </w:rPr>
        <w:t>awareness. Whether it is through recognition</w:t>
      </w:r>
      <w:r w:rsidR="00533BD4" w:rsidRPr="00BA77B0">
        <w:rPr>
          <w:rFonts w:ascii="Arial" w:hAnsi="Arial" w:cs="Arial"/>
          <w:sz w:val="24"/>
          <w:szCs w:val="24"/>
        </w:rPr>
        <w:t xml:space="preserve"> of how</w:t>
      </w:r>
      <w:r w:rsidRPr="00BA77B0">
        <w:rPr>
          <w:rFonts w:ascii="Arial" w:hAnsi="Arial" w:cs="Arial"/>
          <w:sz w:val="24"/>
          <w:szCs w:val="24"/>
        </w:rPr>
        <w:t xml:space="preserve"> regulat</w:t>
      </w:r>
      <w:r w:rsidR="00533BD4" w:rsidRPr="00BA77B0">
        <w:rPr>
          <w:rFonts w:ascii="Arial" w:hAnsi="Arial" w:cs="Arial"/>
          <w:sz w:val="24"/>
          <w:szCs w:val="24"/>
        </w:rPr>
        <w:t>ion</w:t>
      </w:r>
      <w:r w:rsidRPr="00BA77B0">
        <w:rPr>
          <w:rFonts w:ascii="Arial" w:hAnsi="Arial" w:cs="Arial"/>
          <w:sz w:val="24"/>
          <w:szCs w:val="24"/>
        </w:rPr>
        <w:t xml:space="preserve"> affect</w:t>
      </w:r>
      <w:r w:rsidR="00533BD4" w:rsidRPr="00BA77B0">
        <w:rPr>
          <w:rFonts w:ascii="Arial" w:hAnsi="Arial" w:cs="Arial"/>
          <w:sz w:val="24"/>
          <w:szCs w:val="24"/>
        </w:rPr>
        <w:t xml:space="preserve"> </w:t>
      </w:r>
      <w:r w:rsidR="00E04225" w:rsidRPr="00BA77B0">
        <w:rPr>
          <w:rFonts w:ascii="Arial" w:hAnsi="Arial" w:cs="Arial"/>
          <w:sz w:val="24"/>
          <w:szCs w:val="24"/>
        </w:rPr>
        <w:t>an</w:t>
      </w:r>
      <w:r w:rsidR="00533BD4" w:rsidRPr="00BA77B0">
        <w:rPr>
          <w:rFonts w:ascii="Arial" w:hAnsi="Arial" w:cs="Arial"/>
          <w:sz w:val="24"/>
          <w:szCs w:val="24"/>
        </w:rPr>
        <w:t xml:space="preserve"> outcome. As well as how children</w:t>
      </w:r>
      <w:r w:rsidRPr="00BA77B0">
        <w:rPr>
          <w:rFonts w:ascii="Arial" w:hAnsi="Arial" w:cs="Arial"/>
          <w:sz w:val="24"/>
          <w:szCs w:val="24"/>
        </w:rPr>
        <w:t xml:space="preserve"> make sense of lived experiences when verbal communication is limited (Parker et al., 2021). </w:t>
      </w:r>
      <w:r w:rsidR="00E0143B" w:rsidRPr="00BA77B0">
        <w:rPr>
          <w:rFonts w:ascii="Arial" w:hAnsi="Arial" w:cs="Arial"/>
          <w:sz w:val="24"/>
          <w:szCs w:val="24"/>
        </w:rPr>
        <w:t>P</w:t>
      </w:r>
      <w:r w:rsidRPr="00BA77B0">
        <w:rPr>
          <w:rFonts w:ascii="Arial" w:hAnsi="Arial" w:cs="Arial"/>
          <w:sz w:val="24"/>
          <w:szCs w:val="24"/>
        </w:rPr>
        <w:t>ositions play</w:t>
      </w:r>
      <w:r w:rsidR="00E0143B" w:rsidRPr="00BA77B0">
        <w:rPr>
          <w:rFonts w:ascii="Arial" w:hAnsi="Arial" w:cs="Arial"/>
          <w:sz w:val="24"/>
          <w:szCs w:val="24"/>
        </w:rPr>
        <w:t xml:space="preserve"> </w:t>
      </w:r>
      <w:r w:rsidR="001C447D" w:rsidRPr="00BA77B0">
        <w:rPr>
          <w:rFonts w:ascii="Arial" w:hAnsi="Arial" w:cs="Arial"/>
          <w:sz w:val="24"/>
          <w:szCs w:val="24"/>
        </w:rPr>
        <w:t xml:space="preserve">is a form of play </w:t>
      </w:r>
      <w:r w:rsidRPr="00BA77B0">
        <w:rPr>
          <w:rFonts w:ascii="Arial" w:hAnsi="Arial" w:cs="Arial"/>
          <w:sz w:val="24"/>
          <w:szCs w:val="24"/>
        </w:rPr>
        <w:t>t</w:t>
      </w:r>
      <w:r w:rsidR="001C447D" w:rsidRPr="00BA77B0">
        <w:rPr>
          <w:rFonts w:ascii="Arial" w:hAnsi="Arial" w:cs="Arial"/>
          <w:sz w:val="24"/>
          <w:szCs w:val="24"/>
        </w:rPr>
        <w:t>hrough</w:t>
      </w:r>
      <w:r w:rsidRPr="00BA77B0">
        <w:rPr>
          <w:rFonts w:ascii="Arial" w:hAnsi="Arial" w:cs="Arial"/>
          <w:sz w:val="24"/>
          <w:szCs w:val="24"/>
        </w:rPr>
        <w:t xml:space="preserve"> which children explore emotions, negotiate social relationships, and develop coping strategies</w:t>
      </w:r>
      <w:r w:rsidR="001C447D" w:rsidRPr="00BA77B0">
        <w:rPr>
          <w:rFonts w:ascii="Arial" w:hAnsi="Arial" w:cs="Arial"/>
          <w:sz w:val="24"/>
          <w:szCs w:val="24"/>
        </w:rPr>
        <w:t xml:space="preserve"> through </w:t>
      </w:r>
      <w:proofErr w:type="gramStart"/>
      <w:r w:rsidR="00833201" w:rsidRPr="00BA77B0">
        <w:rPr>
          <w:rFonts w:ascii="Arial" w:hAnsi="Arial" w:cs="Arial"/>
          <w:sz w:val="24"/>
          <w:szCs w:val="24"/>
        </w:rPr>
        <w:t>hands-on</w:t>
      </w:r>
      <w:proofErr w:type="gramEnd"/>
      <w:r w:rsidR="001C447D" w:rsidRPr="00BA77B0">
        <w:rPr>
          <w:rFonts w:ascii="Arial" w:hAnsi="Arial" w:cs="Arial"/>
          <w:sz w:val="24"/>
          <w:szCs w:val="24"/>
        </w:rPr>
        <w:t xml:space="preserve"> and </w:t>
      </w:r>
      <w:r w:rsidR="00794966" w:rsidRPr="00BA77B0">
        <w:rPr>
          <w:rFonts w:ascii="Arial" w:hAnsi="Arial" w:cs="Arial"/>
          <w:sz w:val="24"/>
          <w:szCs w:val="24"/>
        </w:rPr>
        <w:t>experienced situations</w:t>
      </w:r>
      <w:r w:rsidRPr="00BA77B0">
        <w:rPr>
          <w:rFonts w:ascii="Arial" w:hAnsi="Arial" w:cs="Arial"/>
          <w:sz w:val="24"/>
          <w:szCs w:val="24"/>
        </w:rPr>
        <w:t xml:space="preserve"> (Perryman et al., 2024). </w:t>
      </w:r>
      <w:r w:rsidR="00794966" w:rsidRPr="00BA77B0">
        <w:rPr>
          <w:rFonts w:ascii="Arial" w:hAnsi="Arial" w:cs="Arial"/>
          <w:sz w:val="24"/>
          <w:szCs w:val="24"/>
        </w:rPr>
        <w:t xml:space="preserve">Although limitations such as </w:t>
      </w:r>
      <w:r w:rsidRPr="00BA77B0">
        <w:rPr>
          <w:rFonts w:ascii="Arial" w:hAnsi="Arial" w:cs="Arial"/>
          <w:sz w:val="24"/>
          <w:szCs w:val="24"/>
        </w:rPr>
        <w:t>conceptual ambiguity, inconsistent terminology, and an uneven evidence base dominated by small</w:t>
      </w:r>
      <w:r w:rsidRPr="00BA77B0">
        <w:rPr>
          <w:rFonts w:ascii="Cambria Math" w:hAnsi="Cambria Math" w:cs="Cambria Math"/>
          <w:sz w:val="24"/>
          <w:szCs w:val="24"/>
        </w:rPr>
        <w:t>‑</w:t>
      </w:r>
      <w:r w:rsidRPr="00BA77B0">
        <w:rPr>
          <w:rFonts w:ascii="Arial" w:hAnsi="Arial" w:cs="Arial"/>
          <w:sz w:val="24"/>
          <w:szCs w:val="24"/>
        </w:rPr>
        <w:t>scale or practitioner</w:t>
      </w:r>
      <w:r w:rsidRPr="00BA77B0">
        <w:rPr>
          <w:rFonts w:ascii="Cambria Math" w:hAnsi="Cambria Math" w:cs="Cambria Math"/>
          <w:sz w:val="24"/>
          <w:szCs w:val="24"/>
        </w:rPr>
        <w:t>‑</w:t>
      </w:r>
      <w:r w:rsidRPr="00BA77B0">
        <w:rPr>
          <w:rFonts w:ascii="Arial" w:hAnsi="Arial" w:cs="Arial"/>
          <w:sz w:val="24"/>
          <w:szCs w:val="24"/>
        </w:rPr>
        <w:t>led studies</w:t>
      </w:r>
      <w:r w:rsidR="00794966" w:rsidRPr="00BA77B0">
        <w:rPr>
          <w:rFonts w:ascii="Arial" w:hAnsi="Arial" w:cs="Arial"/>
          <w:sz w:val="24"/>
          <w:szCs w:val="24"/>
        </w:rPr>
        <w:t xml:space="preserve"> cause difficulties in </w:t>
      </w:r>
      <w:r w:rsidR="00833201" w:rsidRPr="00BA77B0">
        <w:rPr>
          <w:rFonts w:ascii="Arial" w:hAnsi="Arial" w:cs="Arial"/>
          <w:sz w:val="24"/>
          <w:szCs w:val="24"/>
        </w:rPr>
        <w:t>evaluating</w:t>
      </w:r>
      <w:r w:rsidRPr="00BA77B0">
        <w:rPr>
          <w:rFonts w:ascii="Arial" w:hAnsi="Arial" w:cs="Arial"/>
          <w:sz w:val="24"/>
          <w:szCs w:val="24"/>
        </w:rPr>
        <w:t xml:space="preserve"> effectiveness or </w:t>
      </w:r>
      <w:r w:rsidR="00833201" w:rsidRPr="00BA77B0">
        <w:rPr>
          <w:rFonts w:ascii="Arial" w:hAnsi="Arial" w:cs="Arial"/>
          <w:sz w:val="24"/>
          <w:szCs w:val="24"/>
        </w:rPr>
        <w:t>comparing</w:t>
      </w:r>
      <w:r w:rsidRPr="00BA77B0">
        <w:rPr>
          <w:rFonts w:ascii="Arial" w:hAnsi="Arial" w:cs="Arial"/>
          <w:sz w:val="24"/>
          <w:szCs w:val="24"/>
        </w:rPr>
        <w:t xml:space="preserve"> findings across </w:t>
      </w:r>
      <w:r w:rsidR="00833201" w:rsidRPr="00BA77B0">
        <w:rPr>
          <w:rFonts w:ascii="Arial" w:hAnsi="Arial" w:cs="Arial"/>
          <w:sz w:val="24"/>
          <w:szCs w:val="24"/>
        </w:rPr>
        <w:t xml:space="preserve">a variety of </w:t>
      </w:r>
      <w:r w:rsidR="00E04225" w:rsidRPr="00BA77B0">
        <w:rPr>
          <w:rFonts w:ascii="Arial" w:hAnsi="Arial" w:cs="Arial"/>
          <w:sz w:val="24"/>
          <w:szCs w:val="24"/>
        </w:rPr>
        <w:t>contexts.</w:t>
      </w:r>
    </w:p>
    <w:p w14:paraId="42397090" w14:textId="2DF46F90" w:rsidR="00367936" w:rsidRPr="00BA77B0" w:rsidRDefault="00833201" w:rsidP="00A16AFB">
      <w:pPr>
        <w:spacing w:line="360" w:lineRule="auto"/>
        <w:rPr>
          <w:rFonts w:ascii="Arial" w:hAnsi="Arial" w:cs="Arial"/>
          <w:sz w:val="24"/>
          <w:szCs w:val="24"/>
        </w:rPr>
      </w:pPr>
      <w:r w:rsidRPr="00BA77B0">
        <w:rPr>
          <w:rFonts w:ascii="Arial" w:hAnsi="Arial" w:cs="Arial"/>
          <w:sz w:val="24"/>
          <w:szCs w:val="24"/>
        </w:rPr>
        <w:t xml:space="preserve">Notably, </w:t>
      </w:r>
      <w:r w:rsidR="00367936" w:rsidRPr="00BA77B0">
        <w:rPr>
          <w:rFonts w:ascii="Arial" w:hAnsi="Arial" w:cs="Arial"/>
          <w:sz w:val="24"/>
          <w:szCs w:val="24"/>
        </w:rPr>
        <w:t xml:space="preserve">inclusion must function as a </w:t>
      </w:r>
      <w:r w:rsidRPr="00BA77B0">
        <w:rPr>
          <w:rFonts w:ascii="Arial" w:hAnsi="Arial" w:cs="Arial"/>
          <w:sz w:val="24"/>
          <w:szCs w:val="24"/>
        </w:rPr>
        <w:t xml:space="preserve">key lens within </w:t>
      </w:r>
      <w:r w:rsidR="00A62435" w:rsidRPr="00BA77B0">
        <w:rPr>
          <w:rFonts w:ascii="Arial" w:hAnsi="Arial" w:cs="Arial"/>
          <w:sz w:val="24"/>
          <w:szCs w:val="24"/>
        </w:rPr>
        <w:t>children's</w:t>
      </w:r>
      <w:r w:rsidRPr="00BA77B0">
        <w:rPr>
          <w:rFonts w:ascii="Arial" w:hAnsi="Arial" w:cs="Arial"/>
          <w:sz w:val="24"/>
          <w:szCs w:val="24"/>
        </w:rPr>
        <w:t xml:space="preserve"> </w:t>
      </w:r>
      <w:r w:rsidR="00367936" w:rsidRPr="00BA77B0">
        <w:rPr>
          <w:rFonts w:ascii="Arial" w:hAnsi="Arial" w:cs="Arial"/>
          <w:sz w:val="24"/>
          <w:szCs w:val="24"/>
        </w:rPr>
        <w:t>emotional and social development</w:t>
      </w:r>
      <w:r w:rsidR="00A62435" w:rsidRPr="00BA77B0">
        <w:rPr>
          <w:rFonts w:ascii="Arial" w:hAnsi="Arial" w:cs="Arial"/>
          <w:sz w:val="24"/>
          <w:szCs w:val="24"/>
        </w:rPr>
        <w:t xml:space="preserve"> and how it</w:t>
      </w:r>
      <w:r w:rsidR="00367936" w:rsidRPr="00BA77B0">
        <w:rPr>
          <w:rFonts w:ascii="Arial" w:hAnsi="Arial" w:cs="Arial"/>
          <w:sz w:val="24"/>
          <w:szCs w:val="24"/>
        </w:rPr>
        <w:t xml:space="preserve"> is shaped by disability, neurodivergence, trauma, and cultural and linguistic diversity. Approaches that fail to account for these differences </w:t>
      </w:r>
      <w:r w:rsidR="00367936" w:rsidRPr="00BA77B0">
        <w:rPr>
          <w:rFonts w:ascii="Arial" w:hAnsi="Arial" w:cs="Arial"/>
          <w:sz w:val="24"/>
          <w:szCs w:val="24"/>
        </w:rPr>
        <w:lastRenderedPageBreak/>
        <w:t xml:space="preserve">risk reinforcing inequities in access, engagement, and outcomes (Liasidou, 2022). </w:t>
      </w:r>
      <w:r w:rsidR="00A62435" w:rsidRPr="00BA77B0">
        <w:rPr>
          <w:rFonts w:ascii="Arial" w:hAnsi="Arial" w:cs="Arial"/>
          <w:sz w:val="24"/>
          <w:szCs w:val="24"/>
        </w:rPr>
        <w:t>Therefore, through this essay, the aim is to</w:t>
      </w:r>
      <w:r w:rsidR="00367936" w:rsidRPr="00BA77B0">
        <w:rPr>
          <w:rFonts w:ascii="Arial" w:hAnsi="Arial" w:cs="Arial"/>
          <w:sz w:val="24"/>
          <w:szCs w:val="24"/>
        </w:rPr>
        <w:t xml:space="preserve"> critically </w:t>
      </w:r>
      <w:r w:rsidR="00A62435" w:rsidRPr="00BA77B0">
        <w:rPr>
          <w:rFonts w:ascii="Arial" w:hAnsi="Arial" w:cs="Arial"/>
          <w:sz w:val="24"/>
          <w:szCs w:val="24"/>
        </w:rPr>
        <w:t>evaluate</w:t>
      </w:r>
      <w:r w:rsidR="00367936" w:rsidRPr="00BA77B0">
        <w:rPr>
          <w:rFonts w:ascii="Arial" w:hAnsi="Arial" w:cs="Arial"/>
          <w:sz w:val="24"/>
          <w:szCs w:val="24"/>
        </w:rPr>
        <w:t xml:space="preserve"> the effectiveness of therapeutic play across diverse groups, </w:t>
      </w:r>
      <w:r w:rsidR="00A62435" w:rsidRPr="00BA77B0">
        <w:rPr>
          <w:rFonts w:ascii="Arial" w:hAnsi="Arial" w:cs="Arial"/>
          <w:sz w:val="24"/>
          <w:szCs w:val="24"/>
        </w:rPr>
        <w:t>interrogate</w:t>
      </w:r>
      <w:r w:rsidR="00367936" w:rsidRPr="00BA77B0">
        <w:rPr>
          <w:rFonts w:ascii="Arial" w:hAnsi="Arial" w:cs="Arial"/>
          <w:sz w:val="24"/>
          <w:szCs w:val="24"/>
        </w:rPr>
        <w:t xml:space="preserve"> the structural and methodological constraints shaping current evidence, and </w:t>
      </w:r>
      <w:r w:rsidR="00A62435" w:rsidRPr="00BA77B0">
        <w:rPr>
          <w:rFonts w:ascii="Arial" w:hAnsi="Arial" w:cs="Arial"/>
          <w:sz w:val="24"/>
          <w:szCs w:val="24"/>
        </w:rPr>
        <w:t>consider</w:t>
      </w:r>
      <w:r w:rsidR="00367936" w:rsidRPr="00BA77B0">
        <w:rPr>
          <w:rFonts w:ascii="Arial" w:hAnsi="Arial" w:cs="Arial"/>
          <w:sz w:val="24"/>
          <w:szCs w:val="24"/>
        </w:rPr>
        <w:t xml:space="preserve"> how inclusive, culturally responsive practice can strengthen its impact.</w:t>
      </w:r>
    </w:p>
    <w:p w14:paraId="08727E33" w14:textId="1293A921" w:rsidR="00367936" w:rsidRPr="00BA77B0" w:rsidRDefault="003A36F4" w:rsidP="00A16AFB">
      <w:pPr>
        <w:spacing w:line="360" w:lineRule="auto"/>
        <w:rPr>
          <w:rFonts w:ascii="Arial" w:hAnsi="Arial" w:cs="Arial"/>
          <w:sz w:val="24"/>
          <w:szCs w:val="24"/>
        </w:rPr>
      </w:pPr>
      <w:r w:rsidRPr="00BA77B0">
        <w:rPr>
          <w:rFonts w:ascii="Arial" w:hAnsi="Arial" w:cs="Arial"/>
          <w:sz w:val="24"/>
          <w:szCs w:val="24"/>
        </w:rPr>
        <w:t>Literature varies</w:t>
      </w:r>
      <w:r w:rsidR="00673AC5" w:rsidRPr="00BA77B0">
        <w:rPr>
          <w:rFonts w:ascii="Arial" w:hAnsi="Arial" w:cs="Arial"/>
          <w:sz w:val="24"/>
          <w:szCs w:val="24"/>
        </w:rPr>
        <w:t>,</w:t>
      </w:r>
      <w:r w:rsidRPr="00BA77B0">
        <w:rPr>
          <w:rFonts w:ascii="Arial" w:hAnsi="Arial" w:cs="Arial"/>
          <w:sz w:val="24"/>
          <w:szCs w:val="24"/>
        </w:rPr>
        <w:t xml:space="preserve"> providing multiple perspectives f</w:t>
      </w:r>
      <w:r w:rsidR="008D0489" w:rsidRPr="00BA77B0">
        <w:rPr>
          <w:rFonts w:ascii="Arial" w:hAnsi="Arial" w:cs="Arial"/>
          <w:sz w:val="24"/>
          <w:szCs w:val="24"/>
        </w:rPr>
        <w:t xml:space="preserve">orming a variety of contradicting </w:t>
      </w:r>
      <w:r w:rsidR="00673AC5" w:rsidRPr="00BA77B0">
        <w:rPr>
          <w:rFonts w:ascii="Arial" w:hAnsi="Arial" w:cs="Arial"/>
          <w:sz w:val="24"/>
          <w:szCs w:val="24"/>
        </w:rPr>
        <w:t>information and conceptual ideas.</w:t>
      </w:r>
      <w:r w:rsidR="00367936" w:rsidRPr="00BA77B0">
        <w:rPr>
          <w:rFonts w:ascii="Arial" w:hAnsi="Arial" w:cs="Arial"/>
          <w:sz w:val="24"/>
          <w:szCs w:val="24"/>
        </w:rPr>
        <w:t xml:space="preserve"> Everyday play is </w:t>
      </w:r>
      <w:r w:rsidR="00673AC5" w:rsidRPr="00BA77B0">
        <w:rPr>
          <w:rFonts w:ascii="Arial" w:hAnsi="Arial" w:cs="Arial"/>
          <w:sz w:val="24"/>
          <w:szCs w:val="24"/>
        </w:rPr>
        <w:t xml:space="preserve">defined as </w:t>
      </w:r>
      <w:r w:rsidR="00367936" w:rsidRPr="00BA77B0">
        <w:rPr>
          <w:rFonts w:ascii="Arial" w:hAnsi="Arial" w:cs="Arial"/>
          <w:sz w:val="24"/>
          <w:szCs w:val="24"/>
        </w:rPr>
        <w:t xml:space="preserve">spontaneous, exploratory, and intrinsically motivated, supporting natural cognitive, social, and emotional development. </w:t>
      </w:r>
      <w:r w:rsidR="00673AC5" w:rsidRPr="00BA77B0">
        <w:rPr>
          <w:rFonts w:ascii="Arial" w:hAnsi="Arial" w:cs="Arial"/>
          <w:sz w:val="24"/>
          <w:szCs w:val="24"/>
        </w:rPr>
        <w:t>Whereas. t</w:t>
      </w:r>
      <w:r w:rsidR="00367936" w:rsidRPr="00BA77B0">
        <w:rPr>
          <w:rFonts w:ascii="Arial" w:hAnsi="Arial" w:cs="Arial"/>
          <w:sz w:val="24"/>
          <w:szCs w:val="24"/>
        </w:rPr>
        <w:t xml:space="preserve">herapeutic play, by contrast, is </w:t>
      </w:r>
      <w:r w:rsidR="00673AC5" w:rsidRPr="00BA77B0">
        <w:rPr>
          <w:rFonts w:ascii="Arial" w:hAnsi="Arial" w:cs="Arial"/>
          <w:sz w:val="24"/>
          <w:szCs w:val="24"/>
        </w:rPr>
        <w:t xml:space="preserve">defined as </w:t>
      </w:r>
      <w:r w:rsidR="00367936" w:rsidRPr="00BA77B0">
        <w:rPr>
          <w:rFonts w:ascii="Arial" w:hAnsi="Arial" w:cs="Arial"/>
          <w:sz w:val="24"/>
          <w:szCs w:val="24"/>
        </w:rPr>
        <w:t xml:space="preserve">intentionally structured to promote emotional expression, coping, or relational growth within a supportive framework. </w:t>
      </w:r>
      <w:r w:rsidR="00673AC5" w:rsidRPr="00BA77B0">
        <w:rPr>
          <w:rFonts w:ascii="Arial" w:hAnsi="Arial" w:cs="Arial"/>
          <w:sz w:val="24"/>
          <w:szCs w:val="24"/>
        </w:rPr>
        <w:t xml:space="preserve">Providing </w:t>
      </w:r>
      <w:r w:rsidR="00E04225" w:rsidRPr="00BA77B0">
        <w:rPr>
          <w:rFonts w:ascii="Arial" w:hAnsi="Arial" w:cs="Arial"/>
          <w:sz w:val="24"/>
          <w:szCs w:val="24"/>
        </w:rPr>
        <w:t>an</w:t>
      </w:r>
      <w:r w:rsidR="00673AC5" w:rsidRPr="00BA77B0">
        <w:rPr>
          <w:rFonts w:ascii="Arial" w:hAnsi="Arial" w:cs="Arial"/>
          <w:sz w:val="24"/>
          <w:szCs w:val="24"/>
        </w:rPr>
        <w:t xml:space="preserve"> </w:t>
      </w:r>
      <w:r w:rsidR="00E04225" w:rsidRPr="00BA77B0">
        <w:rPr>
          <w:rFonts w:ascii="Arial" w:hAnsi="Arial" w:cs="Arial"/>
          <w:sz w:val="24"/>
          <w:szCs w:val="24"/>
        </w:rPr>
        <w:t>intended</w:t>
      </w:r>
      <w:r w:rsidR="00673AC5" w:rsidRPr="00BA77B0">
        <w:rPr>
          <w:rFonts w:ascii="Arial" w:hAnsi="Arial" w:cs="Arial"/>
          <w:sz w:val="24"/>
          <w:szCs w:val="24"/>
        </w:rPr>
        <w:t xml:space="preserve"> end goal. </w:t>
      </w:r>
      <w:r w:rsidR="00367936" w:rsidRPr="00BA77B0">
        <w:rPr>
          <w:rFonts w:ascii="Arial" w:hAnsi="Arial" w:cs="Arial"/>
          <w:sz w:val="24"/>
          <w:szCs w:val="24"/>
        </w:rPr>
        <w:t xml:space="preserve">Play therapy is a formal clinical intervention delivered by trained therapists within a </w:t>
      </w:r>
      <w:r w:rsidR="00673AC5" w:rsidRPr="00BA77B0">
        <w:rPr>
          <w:rFonts w:ascii="Arial" w:hAnsi="Arial" w:cs="Arial"/>
          <w:sz w:val="24"/>
          <w:szCs w:val="24"/>
        </w:rPr>
        <w:t>consistent</w:t>
      </w:r>
      <w:r w:rsidR="00367936" w:rsidRPr="00BA77B0">
        <w:rPr>
          <w:rFonts w:ascii="Arial" w:hAnsi="Arial" w:cs="Arial"/>
          <w:sz w:val="24"/>
          <w:szCs w:val="24"/>
        </w:rPr>
        <w:t xml:space="preserve"> theoretical model. </w:t>
      </w:r>
      <w:r w:rsidR="003C2C6A" w:rsidRPr="00BA77B0">
        <w:rPr>
          <w:rFonts w:ascii="Arial" w:hAnsi="Arial" w:cs="Arial"/>
          <w:sz w:val="24"/>
          <w:szCs w:val="24"/>
        </w:rPr>
        <w:t>Overlapping</w:t>
      </w:r>
      <w:r w:rsidR="00C02C93" w:rsidRPr="00BA77B0">
        <w:rPr>
          <w:rFonts w:ascii="Arial" w:hAnsi="Arial" w:cs="Arial"/>
          <w:sz w:val="24"/>
          <w:szCs w:val="24"/>
        </w:rPr>
        <w:t xml:space="preserve"> or combining </w:t>
      </w:r>
      <w:r w:rsidR="00367936" w:rsidRPr="00BA77B0">
        <w:rPr>
          <w:rFonts w:ascii="Arial" w:hAnsi="Arial" w:cs="Arial"/>
          <w:sz w:val="24"/>
          <w:szCs w:val="24"/>
        </w:rPr>
        <w:t xml:space="preserve">these practices risks </w:t>
      </w:r>
      <w:r w:rsidR="003C2C6A" w:rsidRPr="00BA77B0">
        <w:rPr>
          <w:rFonts w:ascii="Arial" w:hAnsi="Arial" w:cs="Arial"/>
          <w:sz w:val="24"/>
          <w:szCs w:val="24"/>
        </w:rPr>
        <w:t>the effectiveness of the practice</w:t>
      </w:r>
      <w:r w:rsidR="00367936" w:rsidRPr="00BA77B0">
        <w:rPr>
          <w:rFonts w:ascii="Arial" w:hAnsi="Arial" w:cs="Arial"/>
          <w:sz w:val="24"/>
          <w:szCs w:val="24"/>
        </w:rPr>
        <w:t xml:space="preserve">, obscuring professional boundaries, and misrepresenting the </w:t>
      </w:r>
      <w:r w:rsidR="00C02C93" w:rsidRPr="00BA77B0">
        <w:rPr>
          <w:rFonts w:ascii="Arial" w:hAnsi="Arial" w:cs="Arial"/>
          <w:sz w:val="24"/>
          <w:szCs w:val="24"/>
        </w:rPr>
        <w:t>experiences</w:t>
      </w:r>
      <w:r w:rsidR="00367936" w:rsidRPr="00BA77B0">
        <w:rPr>
          <w:rFonts w:ascii="Arial" w:hAnsi="Arial" w:cs="Arial"/>
          <w:sz w:val="24"/>
          <w:szCs w:val="24"/>
        </w:rPr>
        <w:t xml:space="preserve"> required for </w:t>
      </w:r>
      <w:r w:rsidR="003C2C6A" w:rsidRPr="00BA77B0">
        <w:rPr>
          <w:rFonts w:ascii="Arial" w:hAnsi="Arial" w:cs="Arial"/>
          <w:sz w:val="24"/>
          <w:szCs w:val="24"/>
        </w:rPr>
        <w:t xml:space="preserve">interventions to be </w:t>
      </w:r>
      <w:proofErr w:type="gramStart"/>
      <w:r w:rsidR="003C2C6A" w:rsidRPr="00BA77B0">
        <w:rPr>
          <w:rFonts w:ascii="Arial" w:hAnsi="Arial" w:cs="Arial"/>
          <w:sz w:val="24"/>
          <w:szCs w:val="24"/>
        </w:rPr>
        <w:t>carried out</w:t>
      </w:r>
      <w:proofErr w:type="gramEnd"/>
      <w:r w:rsidR="003C2C6A" w:rsidRPr="00BA77B0">
        <w:rPr>
          <w:rFonts w:ascii="Arial" w:hAnsi="Arial" w:cs="Arial"/>
          <w:sz w:val="24"/>
          <w:szCs w:val="24"/>
        </w:rPr>
        <w:t xml:space="preserve"> safely and </w:t>
      </w:r>
      <w:r w:rsidR="00033BB6" w:rsidRPr="00BA77B0">
        <w:rPr>
          <w:rFonts w:ascii="Arial" w:hAnsi="Arial" w:cs="Arial"/>
          <w:sz w:val="24"/>
          <w:szCs w:val="24"/>
        </w:rPr>
        <w:t xml:space="preserve">providing beneficial </w:t>
      </w:r>
      <w:r w:rsidR="00367936" w:rsidRPr="00BA77B0">
        <w:rPr>
          <w:rFonts w:ascii="Arial" w:hAnsi="Arial" w:cs="Arial"/>
          <w:sz w:val="24"/>
          <w:szCs w:val="24"/>
        </w:rPr>
        <w:t>(Silber, 2020</w:t>
      </w:r>
      <w:r w:rsidR="00ED7756" w:rsidRPr="00BA77B0">
        <w:rPr>
          <w:rFonts w:ascii="Arial" w:hAnsi="Arial" w:cs="Arial"/>
          <w:sz w:val="24"/>
          <w:szCs w:val="24"/>
        </w:rPr>
        <w:t xml:space="preserve">). </w:t>
      </w:r>
      <w:r w:rsidR="00367936" w:rsidRPr="00BA77B0">
        <w:rPr>
          <w:rFonts w:ascii="Arial" w:hAnsi="Arial" w:cs="Arial"/>
          <w:sz w:val="24"/>
          <w:szCs w:val="24"/>
        </w:rPr>
        <w:t xml:space="preserve">Inconsistent terminology also undermines research comparability, as studies labelled “therapeutic play” often vary widely in structure, duration, and theoretical grounding. </w:t>
      </w:r>
      <w:r w:rsidR="00ED7756" w:rsidRPr="00BA77B0">
        <w:rPr>
          <w:rFonts w:ascii="Arial" w:hAnsi="Arial" w:cs="Arial"/>
          <w:sz w:val="24"/>
          <w:szCs w:val="24"/>
        </w:rPr>
        <w:t xml:space="preserve">(Koukourikos et al., 2021). </w:t>
      </w:r>
    </w:p>
    <w:p w14:paraId="20EA83DB" w14:textId="6E5AA990"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Play </w:t>
      </w:r>
      <w:r w:rsidR="00033BB6" w:rsidRPr="00BA77B0">
        <w:rPr>
          <w:rFonts w:ascii="Arial" w:hAnsi="Arial" w:cs="Arial"/>
          <w:sz w:val="24"/>
          <w:szCs w:val="24"/>
        </w:rPr>
        <w:t xml:space="preserve">can be </w:t>
      </w:r>
      <w:r w:rsidRPr="00BA77B0">
        <w:rPr>
          <w:rFonts w:ascii="Arial" w:hAnsi="Arial" w:cs="Arial"/>
          <w:sz w:val="24"/>
          <w:szCs w:val="24"/>
        </w:rPr>
        <w:t>recognised as a foundational mechanism within developmental psychology, shaping how children learn, communicate, and construct emotional meaning</w:t>
      </w:r>
      <w:r w:rsidR="00033BB6" w:rsidRPr="00BA77B0">
        <w:rPr>
          <w:rFonts w:ascii="Arial" w:hAnsi="Arial" w:cs="Arial"/>
          <w:sz w:val="24"/>
          <w:szCs w:val="24"/>
        </w:rPr>
        <w:t xml:space="preserve"> </w:t>
      </w:r>
      <w:r w:rsidR="00F12508" w:rsidRPr="00BA77B0">
        <w:rPr>
          <w:rFonts w:ascii="Arial" w:hAnsi="Arial" w:cs="Arial"/>
          <w:sz w:val="24"/>
          <w:szCs w:val="24"/>
        </w:rPr>
        <w:t>through self-development, interactions and lived-</w:t>
      </w:r>
      <w:r w:rsidR="00E04225" w:rsidRPr="00BA77B0">
        <w:rPr>
          <w:rFonts w:ascii="Arial" w:hAnsi="Arial" w:cs="Arial"/>
          <w:sz w:val="24"/>
          <w:szCs w:val="24"/>
        </w:rPr>
        <w:t>experiences</w:t>
      </w:r>
      <w:r w:rsidRPr="00BA77B0">
        <w:rPr>
          <w:rFonts w:ascii="Arial" w:hAnsi="Arial" w:cs="Arial"/>
          <w:sz w:val="24"/>
          <w:szCs w:val="24"/>
        </w:rPr>
        <w:t xml:space="preserve">. </w:t>
      </w:r>
      <w:r w:rsidR="00F12508" w:rsidRPr="00BA77B0">
        <w:rPr>
          <w:rFonts w:ascii="Arial" w:hAnsi="Arial" w:cs="Arial"/>
          <w:sz w:val="24"/>
          <w:szCs w:val="24"/>
        </w:rPr>
        <w:t xml:space="preserve">Play although </w:t>
      </w:r>
      <w:r w:rsidR="00046B7F" w:rsidRPr="00BA77B0">
        <w:rPr>
          <w:rFonts w:ascii="Arial" w:hAnsi="Arial" w:cs="Arial"/>
          <w:sz w:val="24"/>
          <w:szCs w:val="24"/>
        </w:rPr>
        <w:t xml:space="preserve">can be </w:t>
      </w:r>
      <w:r w:rsidR="00E04225" w:rsidRPr="00BA77B0">
        <w:rPr>
          <w:rFonts w:ascii="Arial" w:hAnsi="Arial" w:cs="Arial"/>
          <w:sz w:val="24"/>
          <w:szCs w:val="24"/>
        </w:rPr>
        <w:t>interpreted</w:t>
      </w:r>
      <w:r w:rsidRPr="00BA77B0">
        <w:rPr>
          <w:rFonts w:ascii="Arial" w:hAnsi="Arial" w:cs="Arial"/>
          <w:sz w:val="24"/>
          <w:szCs w:val="24"/>
        </w:rPr>
        <w:t xml:space="preserve"> as recreation </w:t>
      </w:r>
      <w:r w:rsidR="00046B7F" w:rsidRPr="00BA77B0">
        <w:rPr>
          <w:rFonts w:ascii="Arial" w:hAnsi="Arial" w:cs="Arial"/>
          <w:sz w:val="24"/>
          <w:szCs w:val="24"/>
        </w:rPr>
        <w:t>there is also</w:t>
      </w:r>
      <w:r w:rsidRPr="00BA77B0">
        <w:rPr>
          <w:rFonts w:ascii="Arial" w:hAnsi="Arial" w:cs="Arial"/>
          <w:sz w:val="24"/>
          <w:szCs w:val="24"/>
        </w:rPr>
        <w:t xml:space="preserve"> central process through which cognitive, social, and </w:t>
      </w:r>
      <w:r w:rsidR="00046B7F" w:rsidRPr="00BA77B0">
        <w:rPr>
          <w:rFonts w:ascii="Arial" w:hAnsi="Arial" w:cs="Arial"/>
          <w:sz w:val="24"/>
          <w:szCs w:val="24"/>
        </w:rPr>
        <w:t>emotional</w:t>
      </w:r>
      <w:r w:rsidRPr="00BA77B0">
        <w:rPr>
          <w:rFonts w:ascii="Arial" w:hAnsi="Arial" w:cs="Arial"/>
          <w:sz w:val="24"/>
          <w:szCs w:val="24"/>
        </w:rPr>
        <w:t xml:space="preserve"> </w:t>
      </w:r>
      <w:r w:rsidR="00046B7F" w:rsidRPr="00BA77B0">
        <w:rPr>
          <w:rFonts w:ascii="Arial" w:hAnsi="Arial" w:cs="Arial"/>
          <w:sz w:val="24"/>
          <w:szCs w:val="24"/>
        </w:rPr>
        <w:t xml:space="preserve">resilience </w:t>
      </w:r>
      <w:r w:rsidRPr="00BA77B0">
        <w:rPr>
          <w:rFonts w:ascii="Arial" w:hAnsi="Arial" w:cs="Arial"/>
          <w:sz w:val="24"/>
          <w:szCs w:val="24"/>
        </w:rPr>
        <w:t>emerge</w:t>
      </w:r>
      <w:r w:rsidR="00046B7F" w:rsidRPr="00BA77B0">
        <w:rPr>
          <w:rFonts w:ascii="Arial" w:hAnsi="Arial" w:cs="Arial"/>
          <w:sz w:val="24"/>
          <w:szCs w:val="24"/>
        </w:rPr>
        <w:t xml:space="preserve"> and develop</w:t>
      </w:r>
      <w:r w:rsidRPr="00BA77B0">
        <w:rPr>
          <w:rFonts w:ascii="Arial" w:hAnsi="Arial" w:cs="Arial"/>
          <w:sz w:val="24"/>
          <w:szCs w:val="24"/>
        </w:rPr>
        <w:t xml:space="preserve"> (Dodd et al., 2022). These ideas continue to inform contemporary therapeutic play practice, though </w:t>
      </w:r>
      <w:r w:rsidR="00046B7F" w:rsidRPr="00BA77B0">
        <w:rPr>
          <w:rFonts w:ascii="Arial" w:hAnsi="Arial" w:cs="Arial"/>
          <w:sz w:val="24"/>
          <w:szCs w:val="24"/>
        </w:rPr>
        <w:t xml:space="preserve">to be of benefit </w:t>
      </w:r>
      <w:r w:rsidRPr="00BA77B0">
        <w:rPr>
          <w:rFonts w:ascii="Arial" w:hAnsi="Arial" w:cs="Arial"/>
          <w:sz w:val="24"/>
          <w:szCs w:val="24"/>
        </w:rPr>
        <w:t>they require critical interrogation to ensure they remain inclusive and culturally relevant</w:t>
      </w:r>
      <w:r w:rsidR="00046B7F" w:rsidRPr="00BA77B0">
        <w:rPr>
          <w:rFonts w:ascii="Arial" w:hAnsi="Arial" w:cs="Arial"/>
          <w:sz w:val="24"/>
          <w:szCs w:val="24"/>
        </w:rPr>
        <w:t xml:space="preserve"> and provide ben</w:t>
      </w:r>
      <w:r w:rsidR="00483FEF" w:rsidRPr="00BA77B0">
        <w:rPr>
          <w:rFonts w:ascii="Arial" w:hAnsi="Arial" w:cs="Arial"/>
          <w:sz w:val="24"/>
          <w:szCs w:val="24"/>
        </w:rPr>
        <w:t>eficial to the children</w:t>
      </w:r>
      <w:r w:rsidRPr="00BA77B0">
        <w:rPr>
          <w:rFonts w:ascii="Arial" w:hAnsi="Arial" w:cs="Arial"/>
          <w:sz w:val="24"/>
          <w:szCs w:val="24"/>
        </w:rPr>
        <w:t>.</w:t>
      </w:r>
    </w:p>
    <w:p w14:paraId="78E7807E" w14:textId="306D7AD4"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Piaget conceptualised play as a vehicle for </w:t>
      </w:r>
      <w:r w:rsidR="00483FEF" w:rsidRPr="00BA77B0">
        <w:rPr>
          <w:rFonts w:ascii="Arial" w:hAnsi="Arial" w:cs="Arial"/>
          <w:sz w:val="24"/>
          <w:szCs w:val="24"/>
        </w:rPr>
        <w:t>de</w:t>
      </w:r>
      <w:r w:rsidR="00FE69E8" w:rsidRPr="00BA77B0">
        <w:rPr>
          <w:rFonts w:ascii="Arial" w:hAnsi="Arial" w:cs="Arial"/>
          <w:sz w:val="24"/>
          <w:szCs w:val="24"/>
        </w:rPr>
        <w:t>velopment</w:t>
      </w:r>
      <w:r w:rsidRPr="00BA77B0">
        <w:rPr>
          <w:rFonts w:ascii="Arial" w:hAnsi="Arial" w:cs="Arial"/>
          <w:sz w:val="24"/>
          <w:szCs w:val="24"/>
        </w:rPr>
        <w:t>, enabling children to integrate new experiences into existing schemas through symbolic representation. Symbolic play allows children to rehearse roles, explore feelings, and experiment with problem</w:t>
      </w:r>
      <w:r w:rsidRPr="00BA77B0">
        <w:rPr>
          <w:rFonts w:ascii="Cambria Math" w:hAnsi="Cambria Math" w:cs="Cambria Math"/>
          <w:sz w:val="24"/>
          <w:szCs w:val="24"/>
        </w:rPr>
        <w:t>‑</w:t>
      </w:r>
      <w:r w:rsidRPr="00BA77B0">
        <w:rPr>
          <w:rFonts w:ascii="Arial" w:hAnsi="Arial" w:cs="Arial"/>
          <w:sz w:val="24"/>
          <w:szCs w:val="24"/>
        </w:rPr>
        <w:t>solving in increasingly complex forms (Laurie et al., 2021). Because therapeutic play often relies on symbolic expression as a mechanism for emotional processing, Piaget’s ideas remain influential.</w:t>
      </w:r>
    </w:p>
    <w:p w14:paraId="643958E8" w14:textId="5D26CB0B"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lastRenderedPageBreak/>
        <w:t xml:space="preserve">However, Piaget’s model has been extensively critiqued for embedding universalist assumptions that </w:t>
      </w:r>
      <w:r w:rsidR="00FE69E8" w:rsidRPr="00BA77B0">
        <w:rPr>
          <w:rFonts w:ascii="Arial" w:hAnsi="Arial" w:cs="Arial"/>
          <w:sz w:val="24"/>
          <w:szCs w:val="24"/>
        </w:rPr>
        <w:t xml:space="preserve">draw on </w:t>
      </w:r>
      <w:r w:rsidRPr="00BA77B0">
        <w:rPr>
          <w:rFonts w:ascii="Arial" w:hAnsi="Arial" w:cs="Arial"/>
          <w:sz w:val="24"/>
          <w:szCs w:val="24"/>
        </w:rPr>
        <w:t>privilege Western, middle</w:t>
      </w:r>
      <w:r w:rsidRPr="00BA77B0">
        <w:rPr>
          <w:rFonts w:ascii="Cambria Math" w:hAnsi="Cambria Math" w:cs="Cambria Math"/>
          <w:sz w:val="24"/>
          <w:szCs w:val="24"/>
        </w:rPr>
        <w:t>‑</w:t>
      </w:r>
      <w:r w:rsidRPr="00BA77B0">
        <w:rPr>
          <w:rFonts w:ascii="Arial" w:hAnsi="Arial" w:cs="Arial"/>
          <w:sz w:val="24"/>
          <w:szCs w:val="24"/>
        </w:rPr>
        <w:t>class developmental norms. By positioning symbolic play as a universal milestone, the model implicitly constructs children who do not engage in such play</w:t>
      </w:r>
      <w:r w:rsidR="00ED7756" w:rsidRPr="00BA77B0">
        <w:rPr>
          <w:rFonts w:ascii="Arial" w:hAnsi="Arial" w:cs="Arial"/>
          <w:sz w:val="24"/>
          <w:szCs w:val="24"/>
        </w:rPr>
        <w:t xml:space="preserve">, </w:t>
      </w:r>
      <w:r w:rsidRPr="00BA77B0">
        <w:rPr>
          <w:rFonts w:ascii="Arial" w:hAnsi="Arial" w:cs="Arial"/>
          <w:sz w:val="24"/>
          <w:szCs w:val="24"/>
        </w:rPr>
        <w:t>particularly many neurodivergent children</w:t>
      </w:r>
      <w:r w:rsidR="008E1E15" w:rsidRPr="00BA77B0">
        <w:rPr>
          <w:rFonts w:ascii="Arial" w:hAnsi="Arial" w:cs="Arial"/>
          <w:sz w:val="24"/>
          <w:szCs w:val="24"/>
        </w:rPr>
        <w:t>,</w:t>
      </w:r>
      <w:r w:rsidR="000918D5" w:rsidRPr="00BA77B0">
        <w:rPr>
          <w:rFonts w:ascii="Arial" w:hAnsi="Arial" w:cs="Arial"/>
          <w:sz w:val="24"/>
          <w:szCs w:val="24"/>
        </w:rPr>
        <w:t xml:space="preserve"> </w:t>
      </w:r>
      <w:r w:rsidRPr="00BA77B0">
        <w:rPr>
          <w:rFonts w:ascii="Arial" w:hAnsi="Arial" w:cs="Arial"/>
          <w:sz w:val="24"/>
          <w:szCs w:val="24"/>
        </w:rPr>
        <w:t xml:space="preserve">as developmentally deficient rather than developmentally different (Tobin, 2020). </w:t>
      </w:r>
      <w:r w:rsidR="00E04225" w:rsidRPr="00BA77B0">
        <w:rPr>
          <w:rFonts w:ascii="Arial" w:hAnsi="Arial" w:cs="Arial"/>
          <w:sz w:val="24"/>
          <w:szCs w:val="24"/>
        </w:rPr>
        <w:t>These risks</w:t>
      </w:r>
      <w:r w:rsidRPr="00BA77B0">
        <w:rPr>
          <w:rFonts w:ascii="Arial" w:hAnsi="Arial" w:cs="Arial"/>
          <w:sz w:val="24"/>
          <w:szCs w:val="24"/>
        </w:rPr>
        <w:t xml:space="preserve"> </w:t>
      </w:r>
      <w:r w:rsidR="00FE69E8" w:rsidRPr="00BA77B0">
        <w:rPr>
          <w:rFonts w:ascii="Arial" w:hAnsi="Arial" w:cs="Arial"/>
          <w:sz w:val="24"/>
          <w:szCs w:val="24"/>
        </w:rPr>
        <w:t>marginalising</w:t>
      </w:r>
      <w:r w:rsidRPr="00BA77B0">
        <w:rPr>
          <w:rFonts w:ascii="Arial" w:hAnsi="Arial" w:cs="Arial"/>
          <w:sz w:val="24"/>
          <w:szCs w:val="24"/>
        </w:rPr>
        <w:t xml:space="preserve"> diverse play styles and constraining the inclusivity of interventions that rely heavily on symbolic expression. These critiques highlight the need for more flexible, culturally situated understandings of play that recognise diverse developmental pathways.</w:t>
      </w:r>
    </w:p>
    <w:p w14:paraId="407BBF22" w14:textId="1EA99DF4"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Vygotsky’s sociocultural theory provides a contrasting emphasis on the relational and cultural mediation of play. He argued that imaginative play creates a zone of proximal development in which children internalise social rules, practise emotional regulation, and co</w:t>
      </w:r>
      <w:r w:rsidRPr="00BA77B0">
        <w:rPr>
          <w:rFonts w:ascii="Cambria Math" w:hAnsi="Cambria Math" w:cs="Cambria Math"/>
          <w:sz w:val="24"/>
          <w:szCs w:val="24"/>
        </w:rPr>
        <w:t>‑</w:t>
      </w:r>
      <w:r w:rsidRPr="00BA77B0">
        <w:rPr>
          <w:rFonts w:ascii="Arial" w:hAnsi="Arial" w:cs="Arial"/>
          <w:sz w:val="24"/>
          <w:szCs w:val="24"/>
        </w:rPr>
        <w:t>construct meaning through interaction with more knowledgeable others. This relational framing aligns closely with therapeutic play approaches that foreground co</w:t>
      </w:r>
      <w:r w:rsidRPr="00BA77B0">
        <w:rPr>
          <w:rFonts w:ascii="Cambria Math" w:hAnsi="Cambria Math" w:cs="Cambria Math"/>
          <w:sz w:val="24"/>
          <w:szCs w:val="24"/>
        </w:rPr>
        <w:t>‑</w:t>
      </w:r>
      <w:r w:rsidRPr="00BA77B0">
        <w:rPr>
          <w:rFonts w:ascii="Arial" w:hAnsi="Arial" w:cs="Arial"/>
          <w:sz w:val="24"/>
          <w:szCs w:val="24"/>
        </w:rPr>
        <w:t xml:space="preserve">regulation, </w:t>
      </w:r>
      <w:r w:rsidR="00ED7756" w:rsidRPr="00BA77B0">
        <w:rPr>
          <w:rFonts w:ascii="Arial" w:hAnsi="Arial" w:cs="Arial"/>
          <w:sz w:val="24"/>
          <w:szCs w:val="24"/>
        </w:rPr>
        <w:t>attachment</w:t>
      </w:r>
      <w:r w:rsidRPr="00BA77B0">
        <w:rPr>
          <w:rFonts w:ascii="Arial" w:hAnsi="Arial" w:cs="Arial"/>
          <w:sz w:val="24"/>
          <w:szCs w:val="24"/>
        </w:rPr>
        <w:t>, and shared symbolic exploration (Immordino</w:t>
      </w:r>
      <w:r w:rsidRPr="00BA77B0">
        <w:rPr>
          <w:rFonts w:ascii="Cambria Math" w:hAnsi="Cambria Math" w:cs="Cambria Math"/>
          <w:sz w:val="24"/>
          <w:szCs w:val="24"/>
        </w:rPr>
        <w:t>‑</w:t>
      </w:r>
      <w:r w:rsidRPr="00BA77B0">
        <w:rPr>
          <w:rFonts w:ascii="Arial" w:hAnsi="Arial" w:cs="Arial"/>
          <w:sz w:val="24"/>
          <w:szCs w:val="24"/>
        </w:rPr>
        <w:t>Yang et al., 2019).</w:t>
      </w:r>
    </w:p>
    <w:p w14:paraId="666060BA" w14:textId="2F432938" w:rsidR="00367936" w:rsidRPr="00BA77B0" w:rsidRDefault="008E1E15" w:rsidP="00A16AFB">
      <w:pPr>
        <w:spacing w:line="360" w:lineRule="auto"/>
        <w:rPr>
          <w:rFonts w:ascii="Arial" w:hAnsi="Arial" w:cs="Arial"/>
          <w:sz w:val="24"/>
          <w:szCs w:val="24"/>
        </w:rPr>
      </w:pPr>
      <w:r w:rsidRPr="00BA77B0">
        <w:rPr>
          <w:rFonts w:ascii="Arial" w:hAnsi="Arial" w:cs="Arial"/>
          <w:sz w:val="24"/>
          <w:szCs w:val="24"/>
        </w:rPr>
        <w:t>Although</w:t>
      </w:r>
      <w:r w:rsidR="00367936" w:rsidRPr="00BA77B0">
        <w:rPr>
          <w:rFonts w:ascii="Arial" w:hAnsi="Arial" w:cs="Arial"/>
          <w:sz w:val="24"/>
          <w:szCs w:val="24"/>
        </w:rPr>
        <w:t xml:space="preserve"> Vygotsky’s focus on adult</w:t>
      </w:r>
      <w:r w:rsidR="00367936" w:rsidRPr="00BA77B0">
        <w:rPr>
          <w:rFonts w:ascii="Cambria Math" w:hAnsi="Cambria Math" w:cs="Cambria Math"/>
          <w:sz w:val="24"/>
          <w:szCs w:val="24"/>
        </w:rPr>
        <w:t>‑</w:t>
      </w:r>
      <w:r w:rsidR="00367936" w:rsidRPr="00BA77B0">
        <w:rPr>
          <w:rFonts w:ascii="Arial" w:hAnsi="Arial" w:cs="Arial"/>
          <w:sz w:val="24"/>
          <w:szCs w:val="24"/>
        </w:rPr>
        <w:t>guided scaffolding introduces tensions for non</w:t>
      </w:r>
      <w:r w:rsidR="00367936" w:rsidRPr="00BA77B0">
        <w:rPr>
          <w:rFonts w:ascii="Cambria Math" w:hAnsi="Cambria Math" w:cs="Cambria Math"/>
          <w:sz w:val="24"/>
          <w:szCs w:val="24"/>
        </w:rPr>
        <w:t>‑</w:t>
      </w:r>
      <w:r w:rsidR="00367936" w:rsidRPr="00BA77B0">
        <w:rPr>
          <w:rFonts w:ascii="Arial" w:hAnsi="Arial" w:cs="Arial"/>
          <w:sz w:val="24"/>
          <w:szCs w:val="24"/>
        </w:rPr>
        <w:t xml:space="preserve">directive therapeutic models, which intentionally minimise adult structuring to preserve autonomy and emotional safety (Perryman et al., 2020). </w:t>
      </w:r>
      <w:r w:rsidR="00864FDA" w:rsidRPr="00BA77B0">
        <w:rPr>
          <w:rFonts w:ascii="Arial" w:hAnsi="Arial" w:cs="Arial"/>
          <w:sz w:val="24"/>
          <w:szCs w:val="24"/>
        </w:rPr>
        <w:t xml:space="preserve">Vygotsky </w:t>
      </w:r>
      <w:r w:rsidR="00D60899" w:rsidRPr="00BA77B0">
        <w:rPr>
          <w:rFonts w:ascii="Arial" w:hAnsi="Arial" w:cs="Arial"/>
          <w:sz w:val="24"/>
          <w:szCs w:val="24"/>
        </w:rPr>
        <w:t>focus is highly language based therefore, providing limitations</w:t>
      </w:r>
      <w:r w:rsidR="00367936" w:rsidRPr="00BA77B0">
        <w:rPr>
          <w:rFonts w:ascii="Arial" w:hAnsi="Arial" w:cs="Arial"/>
          <w:sz w:val="24"/>
          <w:szCs w:val="24"/>
        </w:rPr>
        <w:t xml:space="preserve"> particularly for children whose communication is sensory</w:t>
      </w:r>
      <w:r w:rsidR="00367936" w:rsidRPr="00BA77B0">
        <w:rPr>
          <w:rFonts w:ascii="Cambria Math" w:hAnsi="Cambria Math" w:cs="Cambria Math"/>
          <w:sz w:val="24"/>
          <w:szCs w:val="24"/>
        </w:rPr>
        <w:t>‑</w:t>
      </w:r>
      <w:r w:rsidR="00367936" w:rsidRPr="00BA77B0">
        <w:rPr>
          <w:rFonts w:ascii="Arial" w:hAnsi="Arial" w:cs="Arial"/>
          <w:sz w:val="24"/>
          <w:szCs w:val="24"/>
        </w:rPr>
        <w:t>based, movement</w:t>
      </w:r>
      <w:r w:rsidR="00367936" w:rsidRPr="00BA77B0">
        <w:rPr>
          <w:rFonts w:ascii="Cambria Math" w:hAnsi="Cambria Math" w:cs="Cambria Math"/>
          <w:sz w:val="24"/>
          <w:szCs w:val="24"/>
        </w:rPr>
        <w:t>‑</w:t>
      </w:r>
      <w:r w:rsidR="00367936" w:rsidRPr="00BA77B0">
        <w:rPr>
          <w:rFonts w:ascii="Arial" w:hAnsi="Arial" w:cs="Arial"/>
          <w:sz w:val="24"/>
          <w:szCs w:val="24"/>
        </w:rPr>
        <w:t>oriented, or otherwise non</w:t>
      </w:r>
      <w:r w:rsidR="00367936" w:rsidRPr="00BA77B0">
        <w:rPr>
          <w:rFonts w:ascii="Cambria Math" w:hAnsi="Cambria Math" w:cs="Cambria Math"/>
          <w:sz w:val="24"/>
          <w:szCs w:val="24"/>
        </w:rPr>
        <w:t>‑</w:t>
      </w:r>
      <w:r w:rsidR="00367936" w:rsidRPr="00BA77B0">
        <w:rPr>
          <w:rFonts w:ascii="Arial" w:hAnsi="Arial" w:cs="Arial"/>
          <w:sz w:val="24"/>
          <w:szCs w:val="24"/>
        </w:rPr>
        <w:t>verbal. When therapeutic play models draw on this linguistic emphasis, they risk marginalising children whose developmental profiles do not align with verbal or symbolic modes of meaning</w:t>
      </w:r>
      <w:r w:rsidR="00367936" w:rsidRPr="00BA77B0">
        <w:rPr>
          <w:rFonts w:ascii="Cambria Math" w:hAnsi="Cambria Math" w:cs="Cambria Math"/>
          <w:sz w:val="24"/>
          <w:szCs w:val="24"/>
        </w:rPr>
        <w:t>‑</w:t>
      </w:r>
      <w:r w:rsidR="00367936" w:rsidRPr="00BA77B0">
        <w:rPr>
          <w:rFonts w:ascii="Arial" w:hAnsi="Arial" w:cs="Arial"/>
          <w:sz w:val="24"/>
          <w:szCs w:val="24"/>
        </w:rPr>
        <w:t>making (Fletcher</w:t>
      </w:r>
      <w:r w:rsidR="00367936" w:rsidRPr="00BA77B0">
        <w:rPr>
          <w:rFonts w:ascii="Cambria Math" w:hAnsi="Cambria Math" w:cs="Cambria Math"/>
          <w:sz w:val="24"/>
          <w:szCs w:val="24"/>
        </w:rPr>
        <w:t>‑</w:t>
      </w:r>
      <w:r w:rsidR="00367936" w:rsidRPr="00BA77B0">
        <w:rPr>
          <w:rFonts w:ascii="Arial" w:hAnsi="Arial" w:cs="Arial"/>
          <w:sz w:val="24"/>
          <w:szCs w:val="24"/>
        </w:rPr>
        <w:t>Watson &amp; Happé, 2019). These critiques reveal deeper epistemological issues</w:t>
      </w:r>
      <w:r w:rsidR="0060316C" w:rsidRPr="00BA77B0">
        <w:rPr>
          <w:rFonts w:ascii="Arial" w:hAnsi="Arial" w:cs="Arial"/>
          <w:sz w:val="24"/>
          <w:szCs w:val="24"/>
        </w:rPr>
        <w:t>. Theories</w:t>
      </w:r>
      <w:r w:rsidR="00367936" w:rsidRPr="00BA77B0">
        <w:rPr>
          <w:rFonts w:ascii="Arial" w:hAnsi="Arial" w:cs="Arial"/>
          <w:sz w:val="24"/>
          <w:szCs w:val="24"/>
        </w:rPr>
        <w:t xml:space="preserve"> that </w:t>
      </w:r>
      <w:r w:rsidR="0060316C" w:rsidRPr="00BA77B0">
        <w:rPr>
          <w:rFonts w:ascii="Arial" w:hAnsi="Arial" w:cs="Arial"/>
          <w:sz w:val="24"/>
          <w:szCs w:val="24"/>
        </w:rPr>
        <w:t xml:space="preserve">have a </w:t>
      </w:r>
      <w:r w:rsidR="00E81788" w:rsidRPr="00BA77B0">
        <w:rPr>
          <w:rFonts w:ascii="Arial" w:hAnsi="Arial" w:cs="Arial"/>
          <w:sz w:val="24"/>
          <w:szCs w:val="24"/>
        </w:rPr>
        <w:t>proportional</w:t>
      </w:r>
      <w:r w:rsidR="0060316C" w:rsidRPr="00BA77B0">
        <w:rPr>
          <w:rFonts w:ascii="Arial" w:hAnsi="Arial" w:cs="Arial"/>
          <w:sz w:val="24"/>
          <w:szCs w:val="24"/>
        </w:rPr>
        <w:t xml:space="preserve"> </w:t>
      </w:r>
      <w:r w:rsidR="00E81788" w:rsidRPr="00BA77B0">
        <w:rPr>
          <w:rFonts w:ascii="Arial" w:hAnsi="Arial" w:cs="Arial"/>
          <w:sz w:val="24"/>
          <w:szCs w:val="24"/>
        </w:rPr>
        <w:t>focus on language as a</w:t>
      </w:r>
      <w:r w:rsidR="00367936" w:rsidRPr="00BA77B0">
        <w:rPr>
          <w:rFonts w:ascii="Arial" w:hAnsi="Arial" w:cs="Arial"/>
          <w:sz w:val="24"/>
          <w:szCs w:val="24"/>
        </w:rPr>
        <w:t xml:space="preserve"> as the primary route to understanding inadvertently devalue alternative communicative repertoires, undermining the inclusivity of therapeutic play for neurodivergent and culturally diverse children.</w:t>
      </w:r>
    </w:p>
    <w:p w14:paraId="6DDF3476" w14:textId="56BB7A14" w:rsidR="005970AD"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Piagetian and Vygotskian insights, recognising that play is both an individual cognitive process and a culturally situated relational activity. Symbolic play supports representational thinking and emotional exploration, while sensitive adult mediation can scaffold empathy, emotional regulation, and social understanding (Veraksa &amp; </w:t>
      </w:r>
      <w:r w:rsidRPr="00BA77B0">
        <w:rPr>
          <w:rFonts w:ascii="Arial" w:hAnsi="Arial" w:cs="Arial"/>
          <w:sz w:val="24"/>
          <w:szCs w:val="24"/>
        </w:rPr>
        <w:lastRenderedPageBreak/>
        <w:t xml:space="preserve">Sheridan, 2018). Yet these mechanisms do not </w:t>
      </w:r>
      <w:r w:rsidR="00E81788" w:rsidRPr="00BA77B0">
        <w:rPr>
          <w:rFonts w:ascii="Arial" w:hAnsi="Arial" w:cs="Arial"/>
          <w:sz w:val="24"/>
          <w:szCs w:val="24"/>
        </w:rPr>
        <w:t xml:space="preserve">factor in the diversity and </w:t>
      </w:r>
      <w:r w:rsidR="004C14C1" w:rsidRPr="00BA77B0">
        <w:rPr>
          <w:rFonts w:ascii="Arial" w:hAnsi="Arial" w:cs="Arial"/>
          <w:sz w:val="24"/>
          <w:szCs w:val="24"/>
        </w:rPr>
        <w:t>differentiating</w:t>
      </w:r>
      <w:r w:rsidR="00E81788" w:rsidRPr="00BA77B0">
        <w:rPr>
          <w:rFonts w:ascii="Arial" w:hAnsi="Arial" w:cs="Arial"/>
          <w:sz w:val="24"/>
          <w:szCs w:val="24"/>
        </w:rPr>
        <w:t xml:space="preserve"> abilities of each </w:t>
      </w:r>
      <w:r w:rsidR="00E04225" w:rsidRPr="00BA77B0">
        <w:rPr>
          <w:rFonts w:ascii="Arial" w:hAnsi="Arial" w:cs="Arial"/>
          <w:sz w:val="24"/>
          <w:szCs w:val="24"/>
        </w:rPr>
        <w:t>child</w:t>
      </w:r>
      <w:r w:rsidR="00E81788" w:rsidRPr="00BA77B0">
        <w:rPr>
          <w:rFonts w:ascii="Arial" w:hAnsi="Arial" w:cs="Arial"/>
          <w:sz w:val="24"/>
          <w:szCs w:val="24"/>
        </w:rPr>
        <w:t xml:space="preserve"> and where </w:t>
      </w:r>
      <w:r w:rsidR="004C14C1" w:rsidRPr="00BA77B0">
        <w:rPr>
          <w:rFonts w:ascii="Arial" w:hAnsi="Arial" w:cs="Arial"/>
          <w:sz w:val="24"/>
          <w:szCs w:val="24"/>
        </w:rPr>
        <w:t>within a developmental bracket they fall</w:t>
      </w:r>
      <w:r w:rsidRPr="00BA77B0">
        <w:rPr>
          <w:rFonts w:ascii="Arial" w:hAnsi="Arial" w:cs="Arial"/>
          <w:sz w:val="24"/>
          <w:szCs w:val="24"/>
        </w:rPr>
        <w:t xml:space="preserve">, </w:t>
      </w:r>
      <w:r w:rsidR="005F49B2" w:rsidRPr="00BA77B0">
        <w:rPr>
          <w:rFonts w:ascii="Arial" w:hAnsi="Arial" w:cs="Arial"/>
          <w:sz w:val="24"/>
          <w:szCs w:val="24"/>
        </w:rPr>
        <w:t>posing concerns about whether integrated models fully represent the variety of play experiences that children have. Despite this, these realisations offer a conceptual basis for therapeutic play, which uses relational and symbolic elements to promote social and emotional growth.</w:t>
      </w:r>
      <w:r w:rsidR="006855C7" w:rsidRPr="00BA77B0">
        <w:rPr>
          <w:rFonts w:ascii="Arial" w:hAnsi="Arial" w:cs="Arial"/>
          <w:sz w:val="24"/>
          <w:szCs w:val="24"/>
        </w:rPr>
        <w:t xml:space="preserve"> </w:t>
      </w:r>
    </w:p>
    <w:p w14:paraId="0D3DA8E7" w14:textId="24B8353D" w:rsidR="002424FE" w:rsidRPr="00BA77B0" w:rsidRDefault="002424FE" w:rsidP="00A16AFB">
      <w:pPr>
        <w:spacing w:line="360" w:lineRule="auto"/>
        <w:rPr>
          <w:rFonts w:ascii="Arial" w:hAnsi="Arial" w:cs="Arial"/>
          <w:sz w:val="24"/>
          <w:szCs w:val="24"/>
        </w:rPr>
      </w:pPr>
      <w:r w:rsidRPr="00BA77B0">
        <w:rPr>
          <w:rFonts w:ascii="Arial" w:hAnsi="Arial" w:cs="Arial"/>
          <w:sz w:val="24"/>
          <w:szCs w:val="24"/>
        </w:rPr>
        <w:t>Therapeutic play is based on these developmental ideas while incorporating a lot of ideas from psychodynamic, humanistic, and attachment-informed schools of thought. Each provides significant insights into the role of play in facilitating emotional expression and relational development; however, each also possesses limitations that necessitate critical evaluation through an inclusive perspectiv</w:t>
      </w:r>
      <w:r w:rsidR="00FC11A6" w:rsidRPr="00BA77B0">
        <w:rPr>
          <w:rFonts w:ascii="Arial" w:hAnsi="Arial" w:cs="Arial"/>
          <w:sz w:val="24"/>
          <w:szCs w:val="24"/>
        </w:rPr>
        <w:t>e (Ray, 2019)</w:t>
      </w:r>
    </w:p>
    <w:p w14:paraId="3FE136EC" w14:textId="5CA27393" w:rsidR="002424FE" w:rsidRPr="00BA77B0" w:rsidRDefault="002424FE" w:rsidP="00A16AFB">
      <w:pPr>
        <w:spacing w:line="360" w:lineRule="auto"/>
        <w:rPr>
          <w:rFonts w:ascii="Arial" w:hAnsi="Arial" w:cs="Arial"/>
          <w:sz w:val="24"/>
          <w:szCs w:val="24"/>
        </w:rPr>
      </w:pPr>
      <w:r w:rsidRPr="00BA77B0">
        <w:rPr>
          <w:rFonts w:ascii="Arial" w:hAnsi="Arial" w:cs="Arial"/>
          <w:sz w:val="24"/>
          <w:szCs w:val="24"/>
        </w:rPr>
        <w:t>Psychodynamic models view play as a symbolic outlet through which children communicate internal conflicts, anxieties, and relational dynamics. The therapist's job is to help the child understand symbolic material and help them see things more clearly. This framework has influenced a considerable portion of the early therapeutic play literature</w:t>
      </w:r>
      <w:r w:rsidR="009503B0" w:rsidRPr="00BA77B0">
        <w:rPr>
          <w:rFonts w:ascii="Arial" w:hAnsi="Arial" w:cs="Arial"/>
          <w:sz w:val="24"/>
          <w:szCs w:val="24"/>
        </w:rPr>
        <w:t>; however, it raises substantial concerns regarding the ethnicity of the practitioner's writing</w:t>
      </w:r>
      <w:r w:rsidR="00B06B3F" w:rsidRPr="00BA77B0">
        <w:rPr>
          <w:rFonts w:ascii="Arial" w:hAnsi="Arial" w:cs="Arial"/>
          <w:sz w:val="24"/>
          <w:szCs w:val="24"/>
        </w:rPr>
        <w:t xml:space="preserve"> and the way they observed </w:t>
      </w:r>
      <w:r w:rsidR="009503B0" w:rsidRPr="00BA77B0">
        <w:rPr>
          <w:rFonts w:ascii="Arial" w:hAnsi="Arial" w:cs="Arial"/>
          <w:sz w:val="24"/>
          <w:szCs w:val="24"/>
        </w:rPr>
        <w:t>the occurrence</w:t>
      </w:r>
      <w:r w:rsidR="00626A42" w:rsidRPr="00BA77B0">
        <w:rPr>
          <w:rFonts w:ascii="Arial" w:hAnsi="Arial" w:cs="Arial"/>
          <w:sz w:val="24"/>
          <w:szCs w:val="24"/>
        </w:rPr>
        <w:t xml:space="preserve"> </w:t>
      </w:r>
      <w:r w:rsidR="003A64F4" w:rsidRPr="00BA77B0">
        <w:rPr>
          <w:rFonts w:ascii="Arial" w:hAnsi="Arial" w:cs="Arial"/>
          <w:sz w:val="24"/>
          <w:szCs w:val="24"/>
        </w:rPr>
        <w:t>(Levy, 2008</w:t>
      </w:r>
      <w:r w:rsidR="001D6B6B" w:rsidRPr="00BA77B0">
        <w:rPr>
          <w:rFonts w:ascii="Arial" w:hAnsi="Arial" w:cs="Arial"/>
          <w:sz w:val="24"/>
          <w:szCs w:val="24"/>
        </w:rPr>
        <w:t xml:space="preserve">; </w:t>
      </w:r>
      <w:r w:rsidR="00626A42" w:rsidRPr="00BA77B0">
        <w:rPr>
          <w:rFonts w:ascii="Arial" w:hAnsi="Arial" w:cs="Arial"/>
          <w:sz w:val="24"/>
          <w:szCs w:val="24"/>
        </w:rPr>
        <w:t>Midgley et al., 2017)</w:t>
      </w:r>
    </w:p>
    <w:p w14:paraId="7A2334AD" w14:textId="77777777" w:rsidR="006032F5"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Psychodynamic approaches rely heavily on adult interpretation, yet this interpretive authority is rarely interrogated. The assumption that adults can accurately infer a child’s internal world from play narratives risks imposing culturally situated meanings onto behaviours that may hold entirely different significance for the child (Midgley et al., 2017). </w:t>
      </w:r>
    </w:p>
    <w:p w14:paraId="79EED474" w14:textId="159C6E0B"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This is particularly problematic for children whose cultural frameworks, trauma histories, or neurodivergent communication styles do not align with the symbolic conventions assumed by psychodynamic theory. Methodologically, psychodynamic research often </w:t>
      </w:r>
      <w:r w:rsidR="001D6B6B" w:rsidRPr="00BA77B0">
        <w:rPr>
          <w:rFonts w:ascii="Arial" w:hAnsi="Arial" w:cs="Arial"/>
          <w:sz w:val="24"/>
          <w:szCs w:val="24"/>
        </w:rPr>
        <w:t>relies on case studies and therapist-generated interpretations, making findings vulnerable to bias and limiting generalizability</w:t>
      </w:r>
      <w:r w:rsidRPr="00BA77B0">
        <w:rPr>
          <w:rFonts w:ascii="Arial" w:hAnsi="Arial" w:cs="Arial"/>
          <w:sz w:val="24"/>
          <w:szCs w:val="24"/>
        </w:rPr>
        <w:t>. These concerns highlight the need for culturally sensitive and empirically robust approaches when applying psychodynamic principles within therapeutic play</w:t>
      </w:r>
      <w:r w:rsidR="006032F5" w:rsidRPr="00BA77B0">
        <w:rPr>
          <w:rFonts w:ascii="Arial" w:hAnsi="Arial" w:cs="Arial"/>
          <w:sz w:val="24"/>
          <w:szCs w:val="24"/>
        </w:rPr>
        <w:t xml:space="preserve"> (Fonagy, 2015)</w:t>
      </w:r>
    </w:p>
    <w:p w14:paraId="32CC2EE3" w14:textId="2286B363"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Humanistic models, particularly child</w:t>
      </w:r>
      <w:r w:rsidRPr="00BA77B0">
        <w:rPr>
          <w:rFonts w:ascii="Cambria Math" w:hAnsi="Cambria Math" w:cs="Cambria Math"/>
          <w:sz w:val="24"/>
          <w:szCs w:val="24"/>
        </w:rPr>
        <w:t>‑</w:t>
      </w:r>
      <w:r w:rsidRPr="00BA77B0">
        <w:rPr>
          <w:rFonts w:ascii="Arial" w:hAnsi="Arial" w:cs="Arial"/>
          <w:sz w:val="24"/>
          <w:szCs w:val="24"/>
        </w:rPr>
        <w:t>centred play therapy, position play as a vehicle for emotional growth within an empathic, non</w:t>
      </w:r>
      <w:r w:rsidRPr="00BA77B0">
        <w:rPr>
          <w:rFonts w:ascii="Cambria Math" w:hAnsi="Cambria Math" w:cs="Cambria Math"/>
          <w:sz w:val="24"/>
          <w:szCs w:val="24"/>
        </w:rPr>
        <w:t>‑</w:t>
      </w:r>
      <w:r w:rsidRPr="00BA77B0">
        <w:rPr>
          <w:rFonts w:ascii="Arial" w:hAnsi="Arial" w:cs="Arial"/>
          <w:sz w:val="24"/>
          <w:szCs w:val="24"/>
        </w:rPr>
        <w:t xml:space="preserve">directive therapeutic relationship. The </w:t>
      </w:r>
      <w:r w:rsidRPr="00BA77B0">
        <w:rPr>
          <w:rFonts w:ascii="Arial" w:hAnsi="Arial" w:cs="Arial"/>
          <w:sz w:val="24"/>
          <w:szCs w:val="24"/>
        </w:rPr>
        <w:lastRenderedPageBreak/>
        <w:t xml:space="preserve">therapist’s </w:t>
      </w:r>
      <w:r w:rsidR="008E1E15" w:rsidRPr="00BA77B0">
        <w:rPr>
          <w:rFonts w:ascii="Arial" w:hAnsi="Arial" w:cs="Arial"/>
          <w:sz w:val="24"/>
          <w:szCs w:val="24"/>
        </w:rPr>
        <w:t>attachment</w:t>
      </w:r>
      <w:r w:rsidRPr="00BA77B0">
        <w:rPr>
          <w:rFonts w:ascii="Arial" w:hAnsi="Arial" w:cs="Arial"/>
          <w:sz w:val="24"/>
          <w:szCs w:val="24"/>
        </w:rPr>
        <w:t xml:space="preserve">, unconditional positive regard, and respect for the child’s autonomy are viewed as central mechanisms supporting emotional regulation and psychological </w:t>
      </w:r>
      <w:r w:rsidR="00E20F47" w:rsidRPr="00BA77B0">
        <w:rPr>
          <w:rFonts w:ascii="Arial" w:hAnsi="Arial" w:cs="Arial"/>
          <w:sz w:val="24"/>
          <w:szCs w:val="24"/>
        </w:rPr>
        <w:t>well-being</w:t>
      </w:r>
      <w:r w:rsidRPr="00BA77B0">
        <w:rPr>
          <w:rFonts w:ascii="Arial" w:hAnsi="Arial" w:cs="Arial"/>
          <w:sz w:val="24"/>
          <w:szCs w:val="24"/>
        </w:rPr>
        <w:t xml:space="preserve"> (Ray et al., 2015). These principles align closely with contemporary understandings of relational safety and co</w:t>
      </w:r>
      <w:r w:rsidRPr="00BA77B0">
        <w:rPr>
          <w:rFonts w:ascii="Cambria Math" w:hAnsi="Cambria Math" w:cs="Cambria Math"/>
          <w:sz w:val="24"/>
          <w:szCs w:val="24"/>
        </w:rPr>
        <w:t>‑</w:t>
      </w:r>
      <w:r w:rsidRPr="00BA77B0">
        <w:rPr>
          <w:rFonts w:ascii="Arial" w:hAnsi="Arial" w:cs="Arial"/>
          <w:sz w:val="24"/>
          <w:szCs w:val="24"/>
        </w:rPr>
        <w:t>regulation.</w:t>
      </w:r>
    </w:p>
    <w:p w14:paraId="72DEE714" w14:textId="54F58321" w:rsidR="00EE54E5" w:rsidRPr="00BA77B0" w:rsidRDefault="00EE54E5" w:rsidP="00A16AFB">
      <w:pPr>
        <w:spacing w:line="360" w:lineRule="auto"/>
        <w:rPr>
          <w:rFonts w:ascii="Arial" w:hAnsi="Arial" w:cs="Arial"/>
          <w:sz w:val="24"/>
          <w:szCs w:val="24"/>
        </w:rPr>
      </w:pPr>
      <w:r w:rsidRPr="00BA77B0">
        <w:rPr>
          <w:rFonts w:ascii="Arial" w:hAnsi="Arial" w:cs="Arial"/>
          <w:sz w:val="24"/>
          <w:szCs w:val="24"/>
        </w:rPr>
        <w:t>However, humanistic approaches also carry limitations. They often privilege verbal or symbolic expression, potentially disadvantaging children who communicate through sensory, behavioural, or movement</w:t>
      </w:r>
      <w:r w:rsidRPr="00BA77B0">
        <w:rPr>
          <w:rFonts w:ascii="Cambria Math" w:hAnsi="Cambria Math" w:cs="Cambria Math"/>
          <w:sz w:val="24"/>
          <w:szCs w:val="24"/>
        </w:rPr>
        <w:t>‑</w:t>
      </w:r>
      <w:r w:rsidRPr="00BA77B0">
        <w:rPr>
          <w:rFonts w:ascii="Arial" w:hAnsi="Arial" w:cs="Arial"/>
          <w:sz w:val="24"/>
          <w:szCs w:val="24"/>
        </w:rPr>
        <w:t>based modalities. Research on child</w:t>
      </w:r>
      <w:r w:rsidRPr="00BA77B0">
        <w:rPr>
          <w:rFonts w:ascii="Cambria Math" w:hAnsi="Cambria Math" w:cs="Cambria Math"/>
          <w:sz w:val="24"/>
          <w:szCs w:val="24"/>
        </w:rPr>
        <w:t>‑</w:t>
      </w:r>
      <w:r w:rsidRPr="00BA77B0">
        <w:rPr>
          <w:rFonts w:ascii="Arial" w:hAnsi="Arial" w:cs="Arial"/>
          <w:sz w:val="24"/>
          <w:szCs w:val="24"/>
        </w:rPr>
        <w:t>led and non</w:t>
      </w:r>
      <w:r w:rsidRPr="00BA77B0">
        <w:rPr>
          <w:rFonts w:ascii="Cambria Math" w:hAnsi="Cambria Math" w:cs="Cambria Math"/>
          <w:sz w:val="24"/>
          <w:szCs w:val="24"/>
        </w:rPr>
        <w:t>‑</w:t>
      </w:r>
      <w:r w:rsidRPr="00BA77B0">
        <w:rPr>
          <w:rFonts w:ascii="Arial" w:hAnsi="Arial" w:cs="Arial"/>
          <w:sz w:val="24"/>
          <w:szCs w:val="24"/>
        </w:rPr>
        <w:t>directive therapies shows that these models can inadvertently marginalise children whose communication does not align with symbolic or verbally mediated norms, particularly those who rely on embodied or sensory</w:t>
      </w:r>
      <w:r w:rsidRPr="00BA77B0">
        <w:rPr>
          <w:rFonts w:ascii="Cambria Math" w:hAnsi="Cambria Math" w:cs="Cambria Math"/>
          <w:sz w:val="24"/>
          <w:szCs w:val="24"/>
        </w:rPr>
        <w:t>‑</w:t>
      </w:r>
      <w:r w:rsidRPr="00BA77B0">
        <w:rPr>
          <w:rFonts w:ascii="Arial" w:hAnsi="Arial" w:cs="Arial"/>
          <w:sz w:val="24"/>
          <w:szCs w:val="24"/>
        </w:rPr>
        <w:t xml:space="preserve">based interaction </w:t>
      </w:r>
      <w:r w:rsidR="00F65E0E" w:rsidRPr="00BA77B0">
        <w:rPr>
          <w:rFonts w:ascii="Arial" w:hAnsi="Arial" w:cs="Arial"/>
          <w:sz w:val="24"/>
          <w:szCs w:val="24"/>
        </w:rPr>
        <w:t>(Sicouri et al., 2017)</w:t>
      </w:r>
      <w:r w:rsidRPr="00BA77B0">
        <w:rPr>
          <w:rFonts w:ascii="Arial" w:hAnsi="Arial" w:cs="Arial"/>
          <w:sz w:val="24"/>
          <w:szCs w:val="24"/>
        </w:rPr>
        <w:t xml:space="preserve"> Outcome measures used in humanistic research frequently focus on emotional expression or self</w:t>
      </w:r>
      <w:r w:rsidRPr="00BA77B0">
        <w:rPr>
          <w:rFonts w:ascii="Cambria Math" w:hAnsi="Cambria Math" w:cs="Cambria Math"/>
          <w:sz w:val="24"/>
          <w:szCs w:val="24"/>
        </w:rPr>
        <w:t>‑</w:t>
      </w:r>
      <w:r w:rsidRPr="00BA77B0">
        <w:rPr>
          <w:rFonts w:ascii="Arial" w:hAnsi="Arial" w:cs="Arial"/>
          <w:sz w:val="24"/>
          <w:szCs w:val="24"/>
        </w:rPr>
        <w:t>direction, which may not reflect the priorities or communication styles of all children. Non</w:t>
      </w:r>
      <w:r w:rsidRPr="00BA77B0">
        <w:rPr>
          <w:rFonts w:ascii="Cambria Math" w:hAnsi="Cambria Math" w:cs="Cambria Math"/>
          <w:sz w:val="24"/>
          <w:szCs w:val="24"/>
        </w:rPr>
        <w:t>‑</w:t>
      </w:r>
      <w:r w:rsidRPr="00BA77B0">
        <w:rPr>
          <w:rFonts w:ascii="Arial" w:hAnsi="Arial" w:cs="Arial"/>
          <w:sz w:val="24"/>
          <w:szCs w:val="24"/>
        </w:rPr>
        <w:t>directive practice also raises safeguarding considerations, as high autonomy requires practitioners to be skilled in recognising subtle signs of distress or dysregulation. Trauma</w:t>
      </w:r>
      <w:r w:rsidRPr="00BA77B0">
        <w:rPr>
          <w:rFonts w:ascii="Cambria Math" w:hAnsi="Cambria Math" w:cs="Cambria Math"/>
          <w:sz w:val="24"/>
          <w:szCs w:val="24"/>
        </w:rPr>
        <w:t>‑</w:t>
      </w:r>
      <w:r w:rsidRPr="00BA77B0">
        <w:rPr>
          <w:rFonts w:ascii="Arial" w:hAnsi="Arial" w:cs="Arial"/>
          <w:sz w:val="24"/>
          <w:szCs w:val="24"/>
        </w:rPr>
        <w:t>informed literature further demonstrates that unstructured or highly child</w:t>
      </w:r>
      <w:r w:rsidRPr="00BA77B0">
        <w:rPr>
          <w:rFonts w:ascii="Cambria Math" w:hAnsi="Cambria Math" w:cs="Cambria Math"/>
          <w:sz w:val="24"/>
          <w:szCs w:val="24"/>
        </w:rPr>
        <w:t>‑</w:t>
      </w:r>
      <w:r w:rsidRPr="00BA77B0">
        <w:rPr>
          <w:rFonts w:ascii="Arial" w:hAnsi="Arial" w:cs="Arial"/>
          <w:sz w:val="24"/>
          <w:szCs w:val="24"/>
        </w:rPr>
        <w:t>led environments may be dysregulating rather than empowering for children with trauma histories, who often require predictable, regulated, and scaffolded therapeutic contexts (Gaskill &amp; Perry, 2014). These limitations highlight the need for context</w:t>
      </w:r>
      <w:r w:rsidRPr="00BA77B0">
        <w:rPr>
          <w:rFonts w:ascii="Cambria Math" w:hAnsi="Cambria Math" w:cs="Cambria Math"/>
          <w:sz w:val="24"/>
          <w:szCs w:val="24"/>
        </w:rPr>
        <w:t>‑</w:t>
      </w:r>
      <w:r w:rsidRPr="00BA77B0">
        <w:rPr>
          <w:rFonts w:ascii="Arial" w:hAnsi="Arial" w:cs="Arial"/>
          <w:sz w:val="24"/>
          <w:szCs w:val="24"/>
        </w:rPr>
        <w:t>sensitive adaptations of humanistic principles.</w:t>
      </w:r>
    </w:p>
    <w:p w14:paraId="477CC888" w14:textId="685A7F9F"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Attachment</w:t>
      </w:r>
      <w:r w:rsidRPr="00BA77B0">
        <w:rPr>
          <w:rFonts w:ascii="Cambria Math" w:hAnsi="Cambria Math" w:cs="Cambria Math"/>
          <w:sz w:val="24"/>
          <w:szCs w:val="24"/>
        </w:rPr>
        <w:t>‑</w:t>
      </w:r>
      <w:r w:rsidRPr="00BA77B0">
        <w:rPr>
          <w:rFonts w:ascii="Arial" w:hAnsi="Arial" w:cs="Arial"/>
          <w:sz w:val="24"/>
          <w:szCs w:val="24"/>
        </w:rPr>
        <w:t>based perspectives emphasise the relational and regulatory dimensions of play, framing it as a context in which co</w:t>
      </w:r>
      <w:r w:rsidRPr="00BA77B0">
        <w:rPr>
          <w:rFonts w:ascii="Cambria Math" w:hAnsi="Cambria Math" w:cs="Cambria Math"/>
          <w:sz w:val="24"/>
          <w:szCs w:val="24"/>
        </w:rPr>
        <w:t>‑</w:t>
      </w:r>
      <w:r w:rsidRPr="00BA77B0">
        <w:rPr>
          <w:rFonts w:ascii="Arial" w:hAnsi="Arial" w:cs="Arial"/>
          <w:sz w:val="24"/>
          <w:szCs w:val="24"/>
        </w:rPr>
        <w:t>regulation, trust, and emotional safety can be strengthened. Therapeutic play is understood to support the development of secure attachment patterns by offering predictable, attuned interactions that scaffold children’s capacity for emotional expression and relational engagement (Holmes &amp; Slade, 2018).</w:t>
      </w:r>
    </w:p>
    <w:p w14:paraId="1925D78F" w14:textId="606E527C"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Yet attachment constructs</w:t>
      </w:r>
      <w:r w:rsidR="00CB4EF7" w:rsidRPr="00BA77B0">
        <w:rPr>
          <w:rFonts w:ascii="Arial" w:hAnsi="Arial" w:cs="Arial"/>
          <w:sz w:val="24"/>
          <w:szCs w:val="24"/>
        </w:rPr>
        <w:t xml:space="preserve"> </w:t>
      </w:r>
      <w:r w:rsidRPr="00BA77B0">
        <w:rPr>
          <w:rFonts w:ascii="Arial" w:hAnsi="Arial" w:cs="Arial"/>
          <w:sz w:val="24"/>
          <w:szCs w:val="24"/>
        </w:rPr>
        <w:t>such as proximity</w:t>
      </w:r>
      <w:r w:rsidRPr="00BA77B0">
        <w:rPr>
          <w:rFonts w:ascii="Cambria Math" w:hAnsi="Cambria Math" w:cs="Cambria Math"/>
          <w:sz w:val="24"/>
          <w:szCs w:val="24"/>
        </w:rPr>
        <w:t>‑</w:t>
      </w:r>
      <w:r w:rsidRPr="00BA77B0">
        <w:rPr>
          <w:rFonts w:ascii="Arial" w:hAnsi="Arial" w:cs="Arial"/>
          <w:sz w:val="24"/>
          <w:szCs w:val="24"/>
        </w:rPr>
        <w:t xml:space="preserve">seeking, emotional openness, or dyadic </w:t>
      </w:r>
      <w:r w:rsidR="008E1E15" w:rsidRPr="00BA77B0">
        <w:rPr>
          <w:rFonts w:ascii="Arial" w:hAnsi="Arial" w:cs="Arial"/>
          <w:sz w:val="24"/>
          <w:szCs w:val="24"/>
        </w:rPr>
        <w:t xml:space="preserve">atonements </w:t>
      </w:r>
      <w:r w:rsidRPr="00BA77B0">
        <w:rPr>
          <w:rFonts w:ascii="Arial" w:hAnsi="Arial" w:cs="Arial"/>
          <w:sz w:val="24"/>
          <w:szCs w:val="24"/>
        </w:rPr>
        <w:t>may not translate meaningfully across cultural contexts where relational expectations differ. The dominance of Western samples in attachment research further limits the applicability of these models to global or culturally diverse populations. These critiques suggest that attachment</w:t>
      </w:r>
      <w:r w:rsidRPr="00BA77B0">
        <w:rPr>
          <w:rFonts w:ascii="Cambria Math" w:hAnsi="Cambria Math" w:cs="Cambria Math"/>
          <w:sz w:val="24"/>
          <w:szCs w:val="24"/>
        </w:rPr>
        <w:t>‑</w:t>
      </w:r>
      <w:r w:rsidRPr="00BA77B0">
        <w:rPr>
          <w:rFonts w:ascii="Arial" w:hAnsi="Arial" w:cs="Arial"/>
          <w:sz w:val="24"/>
          <w:szCs w:val="24"/>
        </w:rPr>
        <w:t xml:space="preserve">informed therapeutic play must </w:t>
      </w:r>
      <w:r w:rsidRPr="00BA77B0">
        <w:rPr>
          <w:rFonts w:ascii="Arial" w:hAnsi="Arial" w:cs="Arial"/>
          <w:sz w:val="24"/>
          <w:szCs w:val="24"/>
        </w:rPr>
        <w:lastRenderedPageBreak/>
        <w:t>be adapted with cultural humility to avoid imposing Western relational norms on children and families (Keller, 2018).</w:t>
      </w:r>
    </w:p>
    <w:p w14:paraId="2171F566"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Across therapeutic models, emotional development is a central focus. Therapeutic play provides children with a secure, contained environment in which they can express feelings that may be difficult to articulate verbally. Symbolic play enables children to externalise internal emotional states, while sensory and creative activities help regulate physiological arousal and strengthen emotional literacy (Ahmed et al., 2023).</w:t>
      </w:r>
    </w:p>
    <w:p w14:paraId="59582A2A" w14:textId="77777777" w:rsidR="00521771" w:rsidRPr="00BA77B0" w:rsidRDefault="009C75BC" w:rsidP="00A16AFB">
      <w:pPr>
        <w:spacing w:line="360" w:lineRule="auto"/>
        <w:rPr>
          <w:rFonts w:ascii="Arial" w:hAnsi="Arial" w:cs="Arial"/>
          <w:sz w:val="24"/>
          <w:szCs w:val="24"/>
        </w:rPr>
      </w:pPr>
      <w:r w:rsidRPr="00BA77B0">
        <w:rPr>
          <w:rFonts w:ascii="Arial" w:hAnsi="Arial" w:cs="Arial"/>
          <w:sz w:val="24"/>
          <w:szCs w:val="24"/>
        </w:rPr>
        <w:t>However, many studies rely on practitioner</w:t>
      </w:r>
      <w:r w:rsidRPr="00BA77B0">
        <w:rPr>
          <w:rFonts w:ascii="Cambria Math" w:hAnsi="Cambria Math" w:cs="Cambria Math"/>
          <w:sz w:val="24"/>
          <w:szCs w:val="24"/>
        </w:rPr>
        <w:t>‑</w:t>
      </w:r>
      <w:r w:rsidRPr="00BA77B0">
        <w:rPr>
          <w:rFonts w:ascii="Arial" w:hAnsi="Arial" w:cs="Arial"/>
          <w:sz w:val="24"/>
          <w:szCs w:val="24"/>
        </w:rPr>
        <w:t>reported outcomes rather than validated emotional</w:t>
      </w:r>
      <w:r w:rsidRPr="00BA77B0">
        <w:rPr>
          <w:rFonts w:ascii="Cambria Math" w:hAnsi="Cambria Math" w:cs="Cambria Math"/>
          <w:sz w:val="24"/>
          <w:szCs w:val="24"/>
        </w:rPr>
        <w:t>‑</w:t>
      </w:r>
      <w:r w:rsidRPr="00BA77B0">
        <w:rPr>
          <w:rFonts w:ascii="Arial" w:hAnsi="Arial" w:cs="Arial"/>
          <w:sz w:val="24"/>
          <w:szCs w:val="24"/>
        </w:rPr>
        <w:t>regulation measures, raising concerns about reliability and epistemic bias. Research consistently shows that adult</w:t>
      </w:r>
      <w:r w:rsidRPr="00BA77B0">
        <w:rPr>
          <w:rFonts w:ascii="Cambria Math" w:hAnsi="Cambria Math" w:cs="Cambria Math"/>
          <w:sz w:val="24"/>
          <w:szCs w:val="24"/>
        </w:rPr>
        <w:t>‑</w:t>
      </w:r>
      <w:r w:rsidRPr="00BA77B0">
        <w:rPr>
          <w:rFonts w:ascii="Arial" w:hAnsi="Arial" w:cs="Arial"/>
          <w:sz w:val="24"/>
          <w:szCs w:val="24"/>
        </w:rPr>
        <w:t>generated reports of children’s emotional change often diverge from child</w:t>
      </w:r>
      <w:r w:rsidRPr="00BA77B0">
        <w:rPr>
          <w:rFonts w:ascii="Cambria Math" w:hAnsi="Cambria Math" w:cs="Cambria Math"/>
          <w:sz w:val="24"/>
          <w:szCs w:val="24"/>
        </w:rPr>
        <w:t>‑</w:t>
      </w:r>
      <w:r w:rsidRPr="00BA77B0">
        <w:rPr>
          <w:rFonts w:ascii="Arial" w:hAnsi="Arial" w:cs="Arial"/>
          <w:sz w:val="24"/>
          <w:szCs w:val="24"/>
        </w:rPr>
        <w:t>centred measures, reflecting practitioner expectations rather than children’s lived emotional experiences (De Los Reyes et al., 2015). When emotional change is assessed through adult observation rather than culturally grounded or developmentally sensitive tools, findings risk reproducing adult interpretations rather than capturing children’s authentic regulatory processes. The predominance of short</w:t>
      </w:r>
      <w:r w:rsidRPr="00BA77B0">
        <w:rPr>
          <w:rFonts w:ascii="Cambria Math" w:hAnsi="Cambria Math" w:cs="Cambria Math"/>
          <w:sz w:val="24"/>
          <w:szCs w:val="24"/>
        </w:rPr>
        <w:t>‑</w:t>
      </w:r>
      <w:r w:rsidRPr="00BA77B0">
        <w:rPr>
          <w:rFonts w:ascii="Arial" w:hAnsi="Arial" w:cs="Arial"/>
          <w:sz w:val="24"/>
          <w:szCs w:val="24"/>
        </w:rPr>
        <w:t>term interventions further limits understanding of whether emotional gains are sustained over time, with meta</w:t>
      </w:r>
      <w:r w:rsidRPr="00BA77B0">
        <w:rPr>
          <w:rFonts w:ascii="Cambria Math" w:hAnsi="Cambria Math" w:cs="Cambria Math"/>
          <w:sz w:val="24"/>
          <w:szCs w:val="24"/>
        </w:rPr>
        <w:t>‑</w:t>
      </w:r>
      <w:r w:rsidRPr="00BA77B0">
        <w:rPr>
          <w:rFonts w:ascii="Arial" w:hAnsi="Arial" w:cs="Arial"/>
          <w:sz w:val="24"/>
          <w:szCs w:val="24"/>
        </w:rPr>
        <w:t>analytic evidence indicating that many child</w:t>
      </w:r>
      <w:r w:rsidRPr="00BA77B0">
        <w:rPr>
          <w:rFonts w:ascii="Cambria Math" w:hAnsi="Cambria Math" w:cs="Cambria Math"/>
          <w:sz w:val="24"/>
          <w:szCs w:val="24"/>
        </w:rPr>
        <w:t>‑</w:t>
      </w:r>
      <w:r w:rsidRPr="00BA77B0">
        <w:rPr>
          <w:rFonts w:ascii="Arial" w:hAnsi="Arial" w:cs="Arial"/>
          <w:sz w:val="24"/>
          <w:szCs w:val="24"/>
        </w:rPr>
        <w:t>therapy effects diminish without longer</w:t>
      </w:r>
      <w:r w:rsidRPr="00BA77B0">
        <w:rPr>
          <w:rFonts w:ascii="Cambria Math" w:hAnsi="Cambria Math" w:cs="Cambria Math"/>
          <w:sz w:val="24"/>
          <w:szCs w:val="24"/>
        </w:rPr>
        <w:t>‑</w:t>
      </w:r>
      <w:r w:rsidRPr="00BA77B0">
        <w:rPr>
          <w:rFonts w:ascii="Arial" w:hAnsi="Arial" w:cs="Arial"/>
          <w:sz w:val="24"/>
          <w:szCs w:val="24"/>
        </w:rPr>
        <w:t>term follow</w:t>
      </w:r>
      <w:r w:rsidRPr="00BA77B0">
        <w:rPr>
          <w:rFonts w:ascii="Cambria Math" w:hAnsi="Cambria Math" w:cs="Cambria Math"/>
          <w:sz w:val="24"/>
          <w:szCs w:val="24"/>
        </w:rPr>
        <w:t>‑</w:t>
      </w:r>
      <w:r w:rsidRPr="00BA77B0">
        <w:rPr>
          <w:rFonts w:ascii="Arial" w:hAnsi="Arial" w:cs="Arial"/>
          <w:sz w:val="24"/>
          <w:szCs w:val="24"/>
        </w:rPr>
        <w:t>up (Weisz et al., 2017). These methodological constraints mean that while findings are promising, claims about emotional outcomes must be interpreted cautiously.</w:t>
      </w:r>
    </w:p>
    <w:p w14:paraId="4DD2D4EC" w14:textId="09854942"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Despite these limitations, evidence suggests that therapeutic play can reduce anxiety, enhance confidence, and support children in processing challenging or distressing experiences (Thomson &amp; Janet, 2025). These benefits have been observed across healthcare, educational, and community settings, though much of the existing research is based on small</w:t>
      </w:r>
      <w:r w:rsidRPr="00BA77B0">
        <w:rPr>
          <w:rFonts w:ascii="Cambria Math" w:hAnsi="Cambria Math" w:cs="Cambria Math"/>
          <w:sz w:val="24"/>
          <w:szCs w:val="24"/>
        </w:rPr>
        <w:t>‑</w:t>
      </w:r>
      <w:r w:rsidRPr="00BA77B0">
        <w:rPr>
          <w:rFonts w:ascii="Arial" w:hAnsi="Arial" w:cs="Arial"/>
          <w:sz w:val="24"/>
          <w:szCs w:val="24"/>
        </w:rPr>
        <w:t>scale studies or practitioner reports. The consistency of reported benefits across diverse contexts indicates that therapeutic play offers meaningful emotional support for many children, even if the strength of the evidence base remains uneven.</w:t>
      </w:r>
    </w:p>
    <w:p w14:paraId="2C3F514E"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Therapeutic play also supports social development by fostering cooperation, empathy, communication, and perspective</w:t>
      </w:r>
      <w:r w:rsidRPr="00BA77B0">
        <w:rPr>
          <w:rFonts w:ascii="Cambria Math" w:hAnsi="Cambria Math" w:cs="Cambria Math"/>
          <w:sz w:val="24"/>
          <w:szCs w:val="24"/>
        </w:rPr>
        <w:t>‑</w:t>
      </w:r>
      <w:r w:rsidRPr="00BA77B0">
        <w:rPr>
          <w:rFonts w:ascii="Arial" w:hAnsi="Arial" w:cs="Arial"/>
          <w:sz w:val="24"/>
          <w:szCs w:val="24"/>
        </w:rPr>
        <w:t>taking. Group</w:t>
      </w:r>
      <w:r w:rsidRPr="00BA77B0">
        <w:rPr>
          <w:rFonts w:ascii="Cambria Math" w:hAnsi="Cambria Math" w:cs="Cambria Math"/>
          <w:sz w:val="24"/>
          <w:szCs w:val="24"/>
        </w:rPr>
        <w:t>‑</w:t>
      </w:r>
      <w:r w:rsidRPr="00BA77B0">
        <w:rPr>
          <w:rFonts w:ascii="Arial" w:hAnsi="Arial" w:cs="Arial"/>
          <w:sz w:val="24"/>
          <w:szCs w:val="24"/>
        </w:rPr>
        <w:t>based activities and role</w:t>
      </w:r>
      <w:r w:rsidRPr="00BA77B0">
        <w:rPr>
          <w:rFonts w:ascii="Cambria Math" w:hAnsi="Cambria Math" w:cs="Cambria Math"/>
          <w:sz w:val="24"/>
          <w:szCs w:val="24"/>
        </w:rPr>
        <w:t>‑</w:t>
      </w:r>
      <w:r w:rsidRPr="00BA77B0">
        <w:rPr>
          <w:rFonts w:ascii="Arial" w:hAnsi="Arial" w:cs="Arial"/>
          <w:sz w:val="24"/>
          <w:szCs w:val="24"/>
        </w:rPr>
        <w:t>play scenarios provide opportunities for children to practise turn</w:t>
      </w:r>
      <w:r w:rsidRPr="00BA77B0">
        <w:rPr>
          <w:rFonts w:ascii="Cambria Math" w:hAnsi="Cambria Math" w:cs="Cambria Math"/>
          <w:sz w:val="24"/>
          <w:szCs w:val="24"/>
        </w:rPr>
        <w:t>‑</w:t>
      </w:r>
      <w:r w:rsidRPr="00BA77B0">
        <w:rPr>
          <w:rFonts w:ascii="Arial" w:hAnsi="Arial" w:cs="Arial"/>
          <w:sz w:val="24"/>
          <w:szCs w:val="24"/>
        </w:rPr>
        <w:t xml:space="preserve">taking, </w:t>
      </w:r>
      <w:r w:rsidRPr="00BA77B0">
        <w:rPr>
          <w:rFonts w:ascii="Arial" w:hAnsi="Arial" w:cs="Arial"/>
          <w:sz w:val="24"/>
          <w:szCs w:val="24"/>
        </w:rPr>
        <w:lastRenderedPageBreak/>
        <w:t>negotiate conflict, and develop relational skills within a supportive environment (Hill et al., 2017). Studies conducted in early childhood and primary school settings indicate that structured therapeutic play sessions can strengthen peer relationships and enhance social competence (Kuhaneck et al., 2024).</w:t>
      </w:r>
    </w:p>
    <w:p w14:paraId="378FB183" w14:textId="77777777" w:rsidR="000A0AB8" w:rsidRPr="00BA77B0" w:rsidRDefault="000A0AB8" w:rsidP="00A16AFB">
      <w:pPr>
        <w:spacing w:line="360" w:lineRule="auto"/>
        <w:rPr>
          <w:rFonts w:ascii="Arial" w:hAnsi="Arial" w:cs="Arial"/>
          <w:sz w:val="24"/>
          <w:szCs w:val="24"/>
        </w:rPr>
      </w:pPr>
      <w:r w:rsidRPr="00BA77B0">
        <w:rPr>
          <w:rFonts w:ascii="Arial" w:hAnsi="Arial" w:cs="Arial"/>
          <w:sz w:val="24"/>
          <w:szCs w:val="24"/>
        </w:rPr>
        <w:t>Yet these findings may not generalise to children with social</w:t>
      </w:r>
      <w:r w:rsidRPr="00BA77B0">
        <w:rPr>
          <w:rFonts w:ascii="Cambria Math" w:hAnsi="Cambria Math" w:cs="Cambria Math"/>
          <w:sz w:val="24"/>
          <w:szCs w:val="24"/>
        </w:rPr>
        <w:t>‑</w:t>
      </w:r>
      <w:r w:rsidRPr="00BA77B0">
        <w:rPr>
          <w:rFonts w:ascii="Arial" w:hAnsi="Arial" w:cs="Arial"/>
          <w:sz w:val="24"/>
          <w:szCs w:val="24"/>
        </w:rPr>
        <w:t>communication differences, including autistic children, whose relational needs may not be met by typical group</w:t>
      </w:r>
      <w:r w:rsidRPr="00BA77B0">
        <w:rPr>
          <w:rFonts w:ascii="Cambria Math" w:hAnsi="Cambria Math" w:cs="Cambria Math"/>
          <w:sz w:val="24"/>
          <w:szCs w:val="24"/>
        </w:rPr>
        <w:t>‑</w:t>
      </w:r>
      <w:r w:rsidRPr="00BA77B0">
        <w:rPr>
          <w:rFonts w:ascii="Arial" w:hAnsi="Arial" w:cs="Arial"/>
          <w:sz w:val="24"/>
          <w:szCs w:val="24"/>
        </w:rPr>
        <w:t>based activities. Research on autistic children’s peer interactions shows that social</w:t>
      </w:r>
      <w:r w:rsidRPr="00BA77B0">
        <w:rPr>
          <w:rFonts w:ascii="Cambria Math" w:hAnsi="Cambria Math" w:cs="Cambria Math"/>
          <w:sz w:val="24"/>
          <w:szCs w:val="24"/>
        </w:rPr>
        <w:t>‑</w:t>
      </w:r>
      <w:r w:rsidRPr="00BA77B0">
        <w:rPr>
          <w:rFonts w:ascii="Arial" w:hAnsi="Arial" w:cs="Arial"/>
          <w:sz w:val="24"/>
          <w:szCs w:val="24"/>
        </w:rPr>
        <w:t>development interventions often fail to account for neurodivergent communication styles, meaning that gains observed in neurotypical groups may not translate across populations (Dean et al., 2017). Methodological limitations such as short intervention periods, small sample sizes, and limited follow</w:t>
      </w:r>
      <w:r w:rsidRPr="00BA77B0">
        <w:rPr>
          <w:rFonts w:ascii="Cambria Math" w:hAnsi="Cambria Math" w:cs="Cambria Math"/>
          <w:sz w:val="24"/>
          <w:szCs w:val="24"/>
        </w:rPr>
        <w:t>‑</w:t>
      </w:r>
      <w:r w:rsidRPr="00BA77B0">
        <w:rPr>
          <w:rFonts w:ascii="Arial" w:hAnsi="Arial" w:cs="Arial"/>
          <w:sz w:val="24"/>
          <w:szCs w:val="24"/>
        </w:rPr>
        <w:t>up also make it difficult to determine the durability of social gains, with recent reviews highlighting that many social</w:t>
      </w:r>
      <w:r w:rsidRPr="00BA77B0">
        <w:rPr>
          <w:rFonts w:ascii="Cambria Math" w:hAnsi="Cambria Math" w:cs="Cambria Math"/>
          <w:sz w:val="24"/>
          <w:szCs w:val="24"/>
        </w:rPr>
        <w:t>‑</w:t>
      </w:r>
      <w:r w:rsidRPr="00BA77B0">
        <w:rPr>
          <w:rFonts w:ascii="Arial" w:hAnsi="Arial" w:cs="Arial"/>
          <w:sz w:val="24"/>
          <w:szCs w:val="24"/>
        </w:rPr>
        <w:t>skills programmes show only modest or time</w:t>
      </w:r>
      <w:r w:rsidRPr="00BA77B0">
        <w:rPr>
          <w:rFonts w:ascii="Cambria Math" w:hAnsi="Cambria Math" w:cs="Cambria Math"/>
          <w:sz w:val="24"/>
          <w:szCs w:val="24"/>
        </w:rPr>
        <w:t>‑</w:t>
      </w:r>
      <w:r w:rsidRPr="00BA77B0">
        <w:rPr>
          <w:rFonts w:ascii="Arial" w:hAnsi="Arial" w:cs="Arial"/>
          <w:sz w:val="24"/>
          <w:szCs w:val="24"/>
        </w:rPr>
        <w:t>limited effects (Gates et al., 2017). As a result, social</w:t>
      </w:r>
      <w:r w:rsidRPr="00BA77B0">
        <w:rPr>
          <w:rFonts w:ascii="Cambria Math" w:hAnsi="Cambria Math" w:cs="Cambria Math"/>
          <w:sz w:val="24"/>
          <w:szCs w:val="24"/>
        </w:rPr>
        <w:t>‑</w:t>
      </w:r>
      <w:r w:rsidRPr="00BA77B0">
        <w:rPr>
          <w:rFonts w:ascii="Arial" w:hAnsi="Arial" w:cs="Arial"/>
          <w:sz w:val="24"/>
          <w:szCs w:val="24"/>
        </w:rPr>
        <w:t>development outcomes should be interpreted with caution, even as they highlight the potential of therapeutic play to support relational growth.</w:t>
      </w:r>
    </w:p>
    <w:p w14:paraId="54901846" w14:textId="1AC94CB0"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Children with impairments or chronic illnesses often experience heightened anxiety, communication challenges, and reduced opportunities for peer interaction, making them particularly likely to benefit from therapeutic play. In hospital settings, therapeutic play is widely used to increase children’s understanding of medical procedures, reduce distress, and prepare them for treatment (Zengin et al., 2020). Multisensory approaches and adapted play materials can further support emotional expression and engagement for children with physical or sensory impairments (Malhotra &amp; Meeru Abrol, 2024).</w:t>
      </w:r>
    </w:p>
    <w:p w14:paraId="633C731F" w14:textId="77777777" w:rsidR="00B9306A" w:rsidRPr="00BA77B0" w:rsidRDefault="00B9306A" w:rsidP="00A16AFB">
      <w:pPr>
        <w:spacing w:line="360" w:lineRule="auto"/>
        <w:rPr>
          <w:rFonts w:ascii="Arial" w:hAnsi="Arial" w:cs="Arial"/>
          <w:sz w:val="24"/>
          <w:szCs w:val="24"/>
        </w:rPr>
      </w:pPr>
      <w:r w:rsidRPr="00BA77B0">
        <w:rPr>
          <w:rFonts w:ascii="Arial" w:hAnsi="Arial" w:cs="Arial"/>
          <w:sz w:val="24"/>
          <w:szCs w:val="24"/>
        </w:rPr>
        <w:t>However, hospital environments are highly structured and adult</w:t>
      </w:r>
      <w:r w:rsidRPr="00BA77B0">
        <w:rPr>
          <w:rFonts w:ascii="Arial" w:hAnsi="Arial" w:cs="Arial"/>
          <w:sz w:val="24"/>
          <w:szCs w:val="24"/>
        </w:rPr>
        <w:noBreakHyphen/>
        <w:t>led, meaning findings may not translate to educational or community settings where children’s social worlds are more complex and less predictable. Studies of hospital</w:t>
      </w:r>
      <w:r w:rsidRPr="00BA77B0">
        <w:rPr>
          <w:rFonts w:ascii="Arial" w:hAnsi="Arial" w:cs="Arial"/>
          <w:sz w:val="24"/>
          <w:szCs w:val="24"/>
        </w:rPr>
        <w:noBreakHyphen/>
        <w:t>based play consistently highlight this ecological limitation, noting that children’s responses to procedural play may differ substantially in everyday environments where routines, relationships, and sensory demands are far less controlled (Li et al., 2016).</w:t>
      </w:r>
    </w:p>
    <w:p w14:paraId="30285155" w14:textId="62A8B959" w:rsidR="00B9306A" w:rsidRPr="00BA77B0" w:rsidRDefault="00B9306A" w:rsidP="00A16AFB">
      <w:pPr>
        <w:spacing w:line="360" w:lineRule="auto"/>
        <w:rPr>
          <w:rFonts w:ascii="Arial" w:hAnsi="Arial" w:cs="Arial"/>
          <w:sz w:val="24"/>
          <w:szCs w:val="24"/>
        </w:rPr>
      </w:pPr>
      <w:r w:rsidRPr="00BA77B0">
        <w:rPr>
          <w:rFonts w:ascii="Arial" w:hAnsi="Arial" w:cs="Arial"/>
          <w:sz w:val="24"/>
          <w:szCs w:val="24"/>
        </w:rPr>
        <w:t xml:space="preserve"> It also remains unclear whether procedural play leads to broader emotional or social gains beyond the medical context. The evidence base is dominated by </w:t>
      </w:r>
      <w:r w:rsidRPr="00BA77B0">
        <w:rPr>
          <w:rFonts w:ascii="Arial" w:hAnsi="Arial" w:cs="Arial"/>
          <w:sz w:val="24"/>
          <w:szCs w:val="24"/>
        </w:rPr>
        <w:lastRenderedPageBreak/>
        <w:t>hospital</w:t>
      </w:r>
      <w:r w:rsidRPr="00BA77B0">
        <w:rPr>
          <w:rFonts w:ascii="Arial" w:hAnsi="Arial" w:cs="Arial"/>
          <w:sz w:val="24"/>
          <w:szCs w:val="24"/>
        </w:rPr>
        <w:noBreakHyphen/>
        <w:t>based interventions, leaving a limited understanding of how therapeutic play supports children with impairments in everyday environments, particularly where cultural, relational, and developmental factors shape engagement. Recent reviews emphasise that without community</w:t>
      </w:r>
      <w:r w:rsidRPr="00BA77B0">
        <w:rPr>
          <w:rFonts w:ascii="Arial" w:hAnsi="Arial" w:cs="Arial"/>
          <w:sz w:val="24"/>
          <w:szCs w:val="24"/>
        </w:rPr>
        <w:noBreakHyphen/>
        <w:t>based or school</w:t>
      </w:r>
      <w:r w:rsidRPr="00BA77B0">
        <w:rPr>
          <w:rFonts w:ascii="Arial" w:hAnsi="Arial" w:cs="Arial"/>
          <w:sz w:val="24"/>
          <w:szCs w:val="24"/>
        </w:rPr>
        <w:noBreakHyphen/>
        <w:t>based research, claims about generalisable benefits remain tentative (Coyne et al., 2016). This gap highlights the need for more ecologically valid and inclusive research. Therapeutic play is widely used across diverse populations, yet its effectiveness is shaped by the developmental, cultural, and relational contexts in which children engage with play. A critical inclusion lens is therefore essential for understanding both its potential and its limitations.</w:t>
      </w:r>
    </w:p>
    <w:p w14:paraId="0D062FF1" w14:textId="2EB99325"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Therapeutic play offers a flexible, strengths</w:t>
      </w:r>
      <w:r w:rsidRPr="00BA77B0">
        <w:rPr>
          <w:rFonts w:ascii="Cambria Math" w:hAnsi="Cambria Math" w:cs="Cambria Math"/>
          <w:sz w:val="24"/>
          <w:szCs w:val="24"/>
        </w:rPr>
        <w:t>‑</w:t>
      </w:r>
      <w:r w:rsidRPr="00BA77B0">
        <w:rPr>
          <w:rFonts w:ascii="Arial" w:hAnsi="Arial" w:cs="Arial"/>
          <w:sz w:val="24"/>
          <w:szCs w:val="24"/>
        </w:rPr>
        <w:t>based approach for neurodivergent children, accommodating diverse sensory preferences, communication styles, and ways of engaging with the world. Structured routines, sensory</w:t>
      </w:r>
      <w:r w:rsidRPr="00BA77B0">
        <w:rPr>
          <w:rFonts w:ascii="Cambria Math" w:hAnsi="Cambria Math" w:cs="Cambria Math"/>
          <w:sz w:val="24"/>
          <w:szCs w:val="24"/>
        </w:rPr>
        <w:t>‑</w:t>
      </w:r>
      <w:r w:rsidRPr="00BA77B0">
        <w:rPr>
          <w:rFonts w:ascii="Arial" w:hAnsi="Arial" w:cs="Arial"/>
          <w:sz w:val="24"/>
          <w:szCs w:val="24"/>
        </w:rPr>
        <w:t>regulation activities, and child</w:t>
      </w:r>
      <w:r w:rsidRPr="00BA77B0">
        <w:rPr>
          <w:rFonts w:ascii="Cambria Math" w:hAnsi="Cambria Math" w:cs="Cambria Math"/>
          <w:sz w:val="24"/>
          <w:szCs w:val="24"/>
        </w:rPr>
        <w:t>‑</w:t>
      </w:r>
      <w:r w:rsidRPr="00BA77B0">
        <w:rPr>
          <w:rFonts w:ascii="Arial" w:hAnsi="Arial" w:cs="Arial"/>
          <w:sz w:val="24"/>
          <w:szCs w:val="24"/>
        </w:rPr>
        <w:t xml:space="preserve">led play can support autistic children or those with ADHD in developing emotional regulation, social awareness, and sustained engagement (Kelly et al., 2025). Many studies report reductions in anxiety and </w:t>
      </w:r>
      <w:r w:rsidR="008E1E15" w:rsidRPr="00BA77B0">
        <w:rPr>
          <w:rFonts w:ascii="Arial" w:hAnsi="Arial" w:cs="Arial"/>
          <w:sz w:val="24"/>
          <w:szCs w:val="24"/>
        </w:rPr>
        <w:t xml:space="preserve">an </w:t>
      </w:r>
      <w:r w:rsidR="006855C7" w:rsidRPr="00BA77B0">
        <w:rPr>
          <w:rFonts w:ascii="Arial" w:hAnsi="Arial" w:cs="Arial"/>
          <w:sz w:val="24"/>
          <w:szCs w:val="24"/>
        </w:rPr>
        <w:t>increase</w:t>
      </w:r>
      <w:r w:rsidRPr="00BA77B0">
        <w:rPr>
          <w:rFonts w:ascii="Arial" w:hAnsi="Arial" w:cs="Arial"/>
          <w:sz w:val="24"/>
          <w:szCs w:val="24"/>
        </w:rPr>
        <w:t xml:space="preserve"> in participation, suggesting that therapeutic play can be a meaningful support for neurodivergent children.</w:t>
      </w:r>
    </w:p>
    <w:p w14:paraId="4169E261" w14:textId="15BFEF1B"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However, the evidence base is shaped by significant limitations. Many studies measure outcomes that reflect neurotypical expectations</w:t>
      </w:r>
      <w:r w:rsidR="008E1E15" w:rsidRPr="00BA77B0">
        <w:rPr>
          <w:rFonts w:ascii="Arial" w:hAnsi="Arial" w:cs="Arial"/>
          <w:sz w:val="24"/>
          <w:szCs w:val="24"/>
        </w:rPr>
        <w:t xml:space="preserve">, </w:t>
      </w:r>
      <w:r w:rsidRPr="00BA77B0">
        <w:rPr>
          <w:rFonts w:ascii="Arial" w:hAnsi="Arial" w:cs="Arial"/>
          <w:sz w:val="24"/>
          <w:szCs w:val="24"/>
        </w:rPr>
        <w:t>such as eye contact, turn</w:t>
      </w:r>
      <w:r w:rsidRPr="00BA77B0">
        <w:rPr>
          <w:rFonts w:ascii="Cambria Math" w:hAnsi="Cambria Math" w:cs="Cambria Math"/>
          <w:sz w:val="24"/>
          <w:szCs w:val="24"/>
        </w:rPr>
        <w:t>‑</w:t>
      </w:r>
      <w:r w:rsidRPr="00BA77B0">
        <w:rPr>
          <w:rFonts w:ascii="Arial" w:hAnsi="Arial" w:cs="Arial"/>
          <w:sz w:val="24"/>
          <w:szCs w:val="24"/>
        </w:rPr>
        <w:t>taking, or “appropriate” play</w:t>
      </w:r>
      <w:r w:rsidR="008E1E15" w:rsidRPr="00BA77B0">
        <w:rPr>
          <w:rFonts w:ascii="Arial" w:hAnsi="Arial" w:cs="Arial"/>
          <w:sz w:val="24"/>
          <w:szCs w:val="24"/>
        </w:rPr>
        <w:t xml:space="preserve">, </w:t>
      </w:r>
      <w:r w:rsidRPr="00BA77B0">
        <w:rPr>
          <w:rFonts w:ascii="Arial" w:hAnsi="Arial" w:cs="Arial"/>
          <w:sz w:val="24"/>
          <w:szCs w:val="24"/>
        </w:rPr>
        <w:t xml:space="preserve">rather than goals meaningful to neurodivergent children themselves. </w:t>
      </w:r>
      <w:r w:rsidR="00E04225" w:rsidRPr="00BA77B0">
        <w:rPr>
          <w:rFonts w:ascii="Arial" w:hAnsi="Arial" w:cs="Arial"/>
          <w:sz w:val="24"/>
          <w:szCs w:val="24"/>
        </w:rPr>
        <w:t>These risks</w:t>
      </w:r>
      <w:r w:rsidR="00E04225">
        <w:rPr>
          <w:rFonts w:ascii="Arial" w:hAnsi="Arial" w:cs="Arial"/>
          <w:sz w:val="24"/>
          <w:szCs w:val="24"/>
        </w:rPr>
        <w:t xml:space="preserve"> marginalising</w:t>
      </w:r>
      <w:r w:rsidRPr="00BA77B0">
        <w:rPr>
          <w:rFonts w:ascii="Arial" w:hAnsi="Arial" w:cs="Arial"/>
          <w:sz w:val="24"/>
          <w:szCs w:val="24"/>
        </w:rPr>
        <w:t xml:space="preserve"> neurodivergent behaviours or prioritising compliance over wellbeing (Hope Currin, 2022). Some interventions are interpreted through a behavioural or normalising lens, reinforcing deficit</w:t>
      </w:r>
      <w:r w:rsidRPr="00BA77B0">
        <w:rPr>
          <w:rFonts w:ascii="Cambria Math" w:hAnsi="Cambria Math" w:cs="Cambria Math"/>
          <w:sz w:val="24"/>
          <w:szCs w:val="24"/>
        </w:rPr>
        <w:t>‑</w:t>
      </w:r>
      <w:r w:rsidRPr="00BA77B0">
        <w:rPr>
          <w:rFonts w:ascii="Arial" w:hAnsi="Arial" w:cs="Arial"/>
          <w:sz w:val="24"/>
          <w:szCs w:val="24"/>
        </w:rPr>
        <w:t>based assumptions rather than supporting autonomy, identity, and authentic communication.</w:t>
      </w:r>
    </w:p>
    <w:p w14:paraId="161E7510" w14:textId="2150DE58"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A neurodiversity</w:t>
      </w:r>
      <w:r w:rsidRPr="00BA77B0">
        <w:rPr>
          <w:rFonts w:ascii="Cambria Math" w:hAnsi="Cambria Math" w:cs="Cambria Math"/>
          <w:sz w:val="24"/>
          <w:szCs w:val="24"/>
        </w:rPr>
        <w:t>‑</w:t>
      </w:r>
      <w:r w:rsidRPr="00BA77B0">
        <w:rPr>
          <w:rFonts w:ascii="Arial" w:hAnsi="Arial" w:cs="Arial"/>
          <w:sz w:val="24"/>
          <w:szCs w:val="24"/>
        </w:rPr>
        <w:t xml:space="preserve">affirming approach reframes these concerns by recognising neurodivergent communication as valid and meaningful. This requires practitioners to adapt expectations around play, avoid imposing neurotypical norms, and create environments that support sensory regulation and relational connection. When therapeutic play is delivered through such an approach, it can become a powerful medium for supporting emotional expression and fostering a sense of belonging </w:t>
      </w:r>
      <w:r w:rsidRPr="00BA77B0">
        <w:rPr>
          <w:rFonts w:ascii="Arial" w:hAnsi="Arial" w:cs="Arial"/>
          <w:sz w:val="24"/>
          <w:szCs w:val="24"/>
        </w:rPr>
        <w:lastRenderedPageBreak/>
        <w:t>(Chapman, 2021). Yet the research base remains limited by small samples, short</w:t>
      </w:r>
      <w:r w:rsidRPr="00BA77B0">
        <w:rPr>
          <w:rFonts w:ascii="Cambria Math" w:hAnsi="Cambria Math" w:cs="Cambria Math"/>
          <w:sz w:val="24"/>
          <w:szCs w:val="24"/>
        </w:rPr>
        <w:t>‑</w:t>
      </w:r>
      <w:r w:rsidRPr="00BA77B0">
        <w:rPr>
          <w:rFonts w:ascii="Arial" w:hAnsi="Arial" w:cs="Arial"/>
          <w:sz w:val="24"/>
          <w:szCs w:val="24"/>
        </w:rPr>
        <w:t xml:space="preserve">term interventions, and a lack of participatory methodologies that centre </w:t>
      </w:r>
      <w:r w:rsidR="00E20F47" w:rsidRPr="00BA77B0">
        <w:rPr>
          <w:rFonts w:ascii="Arial" w:hAnsi="Arial" w:cs="Arial"/>
          <w:sz w:val="24"/>
          <w:szCs w:val="24"/>
        </w:rPr>
        <w:t xml:space="preserve">on </w:t>
      </w:r>
      <w:r w:rsidRPr="00BA77B0">
        <w:rPr>
          <w:rFonts w:ascii="Arial" w:hAnsi="Arial" w:cs="Arial"/>
          <w:sz w:val="24"/>
          <w:szCs w:val="24"/>
        </w:rPr>
        <w:t>neurodivergent children’s perspectives.</w:t>
      </w:r>
    </w:p>
    <w:p w14:paraId="549A4346" w14:textId="275A1868"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Therapeutic play is frequently used to support children who have experienced trauma, loss, displacement, or other adverse childhood events. Play offers a developmentally appropriate medium through which children can process overwhelming experiences, regain a sense of control, and rebuild trust in relationships (Pearson &amp; Wilson, 2019). Trauma</w:t>
      </w:r>
      <w:r w:rsidRPr="00BA77B0">
        <w:rPr>
          <w:rFonts w:ascii="Cambria Math" w:hAnsi="Cambria Math" w:cs="Cambria Math"/>
          <w:sz w:val="24"/>
          <w:szCs w:val="24"/>
        </w:rPr>
        <w:t>‑</w:t>
      </w:r>
      <w:r w:rsidRPr="00BA77B0">
        <w:rPr>
          <w:rFonts w:ascii="Arial" w:hAnsi="Arial" w:cs="Arial"/>
          <w:sz w:val="24"/>
          <w:szCs w:val="24"/>
        </w:rPr>
        <w:t xml:space="preserve">informed approaches emphasise safety, predictability, and </w:t>
      </w:r>
      <w:r w:rsidR="008E1E15" w:rsidRPr="00BA77B0">
        <w:rPr>
          <w:rFonts w:ascii="Arial" w:hAnsi="Arial" w:cs="Arial"/>
          <w:sz w:val="24"/>
          <w:szCs w:val="24"/>
        </w:rPr>
        <w:t>attachment</w:t>
      </w:r>
      <w:r w:rsidRPr="00BA77B0">
        <w:rPr>
          <w:rFonts w:ascii="Arial" w:hAnsi="Arial" w:cs="Arial"/>
          <w:sz w:val="24"/>
          <w:szCs w:val="24"/>
        </w:rPr>
        <w:t>, all of which can be embedded within therapeutic play sessions.</w:t>
      </w:r>
    </w:p>
    <w:p w14:paraId="3D13C74C"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Research indicates positive outcomes, including reductions in anxiety and improvements in emotional expression. However, many studies are limited by small sample sizes, culturally narrow trauma frameworks, and a lack of long</w:t>
      </w:r>
      <w:r w:rsidRPr="00BA77B0">
        <w:rPr>
          <w:rFonts w:ascii="Cambria Math" w:hAnsi="Cambria Math" w:cs="Cambria Math"/>
          <w:sz w:val="24"/>
          <w:szCs w:val="24"/>
        </w:rPr>
        <w:t>‑</w:t>
      </w:r>
      <w:r w:rsidRPr="00BA77B0">
        <w:rPr>
          <w:rFonts w:ascii="Arial" w:hAnsi="Arial" w:cs="Arial"/>
          <w:sz w:val="24"/>
          <w:szCs w:val="24"/>
        </w:rPr>
        <w:t>term follow</w:t>
      </w:r>
      <w:r w:rsidRPr="00BA77B0">
        <w:rPr>
          <w:rFonts w:ascii="Cambria Math" w:hAnsi="Cambria Math" w:cs="Cambria Math"/>
          <w:sz w:val="24"/>
          <w:szCs w:val="24"/>
        </w:rPr>
        <w:t>‑</w:t>
      </w:r>
      <w:r w:rsidRPr="00BA77B0">
        <w:rPr>
          <w:rFonts w:ascii="Arial" w:hAnsi="Arial" w:cs="Arial"/>
          <w:sz w:val="24"/>
          <w:szCs w:val="24"/>
        </w:rPr>
        <w:t>up (Chauhan et al., 2024). Trauma frameworks used in therapeutic play research often reflect Western assumptions about emotional openness, verbal disclosure, or symbolic reenactment as universal pathways to healing. These assumptions overlook cultural variations in how distress is communicated and processed, risking misinterpretation of culturally normative behaviours as avoidance or suppression.</w:t>
      </w:r>
    </w:p>
    <w:p w14:paraId="3AD1738B"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Despite these limitations, therapeutic play remains a valuable resource for traumatised children. It provides a symbolic language through which they can gradually approach and integrate overwhelming experiences, while the therapeutic relationship offers a secure base from which to explore difficult emotions (Humble et al., 2018). Yet the field requires more culturally grounded, longitudinal, and participatory research to understand how therapeutic play supports healing across diverse contexts.</w:t>
      </w:r>
    </w:p>
    <w:p w14:paraId="14252EAD"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Children with physical, sensory, or cognitive impairments often face heightened anxiety, communication challenges, and reduced opportunities for peer interaction. Therapeutic play can support these children by providing accessible, multisensory opportunities for emotional expression, communication, and relational engagement. In hospital settings, therapeutic play is widely used to prepare children for medical procedures, reduce distress, and increase understanding of treatment (Zengin et al., 2020). Adapted materials and sensory</w:t>
      </w:r>
      <w:r w:rsidRPr="00BA77B0">
        <w:rPr>
          <w:rFonts w:ascii="Cambria Math" w:hAnsi="Cambria Math" w:cs="Cambria Math"/>
          <w:sz w:val="24"/>
          <w:szCs w:val="24"/>
        </w:rPr>
        <w:t>‑</w:t>
      </w:r>
      <w:r w:rsidRPr="00BA77B0">
        <w:rPr>
          <w:rFonts w:ascii="Arial" w:hAnsi="Arial" w:cs="Arial"/>
          <w:sz w:val="24"/>
          <w:szCs w:val="24"/>
        </w:rPr>
        <w:t xml:space="preserve">based activities can further enhance </w:t>
      </w:r>
      <w:r w:rsidRPr="00BA77B0">
        <w:rPr>
          <w:rFonts w:ascii="Arial" w:hAnsi="Arial" w:cs="Arial"/>
          <w:sz w:val="24"/>
          <w:szCs w:val="24"/>
        </w:rPr>
        <w:lastRenderedPageBreak/>
        <w:t>engagement for children with physical or sensory impairments (Malhotra &amp; Meeru Abrol, 2024).</w:t>
      </w:r>
    </w:p>
    <w:p w14:paraId="717C5546"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However, the evidence base is dominated by hospital</w:t>
      </w:r>
      <w:r w:rsidRPr="00BA77B0">
        <w:rPr>
          <w:rFonts w:ascii="Cambria Math" w:hAnsi="Cambria Math" w:cs="Cambria Math"/>
          <w:sz w:val="24"/>
          <w:szCs w:val="24"/>
        </w:rPr>
        <w:t>‑</w:t>
      </w:r>
      <w:r w:rsidRPr="00BA77B0">
        <w:rPr>
          <w:rFonts w:ascii="Arial" w:hAnsi="Arial" w:cs="Arial"/>
          <w:sz w:val="24"/>
          <w:szCs w:val="24"/>
        </w:rPr>
        <w:t>based interventions, which are highly structured and adult</w:t>
      </w:r>
      <w:r w:rsidRPr="00BA77B0">
        <w:rPr>
          <w:rFonts w:ascii="Cambria Math" w:hAnsi="Cambria Math" w:cs="Cambria Math"/>
          <w:sz w:val="24"/>
          <w:szCs w:val="24"/>
        </w:rPr>
        <w:t>‑</w:t>
      </w:r>
      <w:r w:rsidRPr="00BA77B0">
        <w:rPr>
          <w:rFonts w:ascii="Arial" w:hAnsi="Arial" w:cs="Arial"/>
          <w:sz w:val="24"/>
          <w:szCs w:val="24"/>
        </w:rPr>
        <w:t>led. Findings from these environments may not translate to educational or community settings where children’s social worlds are more complex and less predictable. It also remains unclear whether procedural play leads to broader emotional or social gains beyond the medical context. This gap highlights the need for more ecologically valid research that reflects the environments in which children live, learn, and socialise.</w:t>
      </w:r>
    </w:p>
    <w:p w14:paraId="3B42D093"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Cultural diversity profoundly shapes how children engage with and make meaning through play. Culturally responsive therapeutic play requires practitioners to select culturally meaningful materials, draw on diverse storytelling traditions, and involve families and communities in ways that honour their cultural practices. Research shows that when practitioners intentionally adapt play activities to reflect children’s cultural identities, children demonstrate greater engagement and more authentic emotional expression (Swank &amp; Shin, 2015).</w:t>
      </w:r>
    </w:p>
    <w:p w14:paraId="0D486063" w14:textId="0454D340"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Conversely, cultural mismatch can reduce engagement, limit emotional expression, and lead practitioners to misinterpret culturally grounded play behaviours. Yet practitioner cultural competence is rarely measured in research, making it difficult to determine whether positive outcomes reflect effective practice or cultural alignment. Many studies continue to underrepresent minoritised groups, and Western assumptions about what constitutes “appropriate” or “typical” play still </w:t>
      </w:r>
      <w:r w:rsidR="005247D3" w:rsidRPr="00BA77B0">
        <w:rPr>
          <w:rFonts w:ascii="Arial" w:hAnsi="Arial" w:cs="Arial"/>
          <w:sz w:val="24"/>
          <w:szCs w:val="24"/>
        </w:rPr>
        <w:t>overlook</w:t>
      </w:r>
      <w:r w:rsidRPr="00BA77B0">
        <w:rPr>
          <w:rFonts w:ascii="Arial" w:hAnsi="Arial" w:cs="Arial"/>
          <w:sz w:val="24"/>
          <w:szCs w:val="24"/>
        </w:rPr>
        <w:t xml:space="preserve"> the literature. Without culturally responsive approaches, therapeutic play risks reinforcing dominant cultural norms rather than supporting children’s authentic expression</w:t>
      </w:r>
      <w:r w:rsidR="00457920" w:rsidRPr="00BA77B0">
        <w:rPr>
          <w:rFonts w:ascii="Arial" w:hAnsi="Arial" w:cs="Arial"/>
          <w:sz w:val="24"/>
          <w:szCs w:val="24"/>
        </w:rPr>
        <w:t xml:space="preserve"> (Mollen &amp; Ridley, 2021)</w:t>
      </w:r>
    </w:p>
    <w:p w14:paraId="06AF2B28"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Cultural and structural barriers continue to limit equitable access to therapeutic play. Limited practitioner training, resource constraints, and institutional biases shape who can benefit from play</w:t>
      </w:r>
      <w:r w:rsidRPr="00BA77B0">
        <w:rPr>
          <w:rFonts w:ascii="Cambria Math" w:hAnsi="Cambria Math" w:cs="Cambria Math"/>
          <w:sz w:val="24"/>
          <w:szCs w:val="24"/>
        </w:rPr>
        <w:t>‑</w:t>
      </w:r>
      <w:r w:rsidRPr="00BA77B0">
        <w:rPr>
          <w:rFonts w:ascii="Arial" w:hAnsi="Arial" w:cs="Arial"/>
          <w:sz w:val="24"/>
          <w:szCs w:val="24"/>
        </w:rPr>
        <w:t>based support. Research on inequalities in children’s services shows that minoritised and socioeconomically disadvantaged children often experience reduced access to developmentally supportive interventions, reflecting broader patterns of unequal provision across education and health systems (Cattan et al., 2024).</w:t>
      </w:r>
    </w:p>
    <w:p w14:paraId="1C10D03E" w14:textId="09176431"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lastRenderedPageBreak/>
        <w:t>Practitioners frequently report feeling underprepared to adapt therapeutic play for diverse developmental or cultural needs, leading to inconsistent implementation and a reliance on generic strategies that may not meet children’s individual profiles (Kilderry, 2015). Cultural barriers further restrict inclusion, as practitioners may lack confidence in implementing culturally responsive play practices (Davies et al., 2023). These structural and cultural constraints diminish the overall effectiveness of therapeutic play and highlight the need for inclusion to be embedded within policy, practitioner training, and service design.</w:t>
      </w:r>
    </w:p>
    <w:p w14:paraId="68815925" w14:textId="77777777" w:rsidR="00E87DE9" w:rsidRPr="00BA77B0" w:rsidRDefault="00E87DE9" w:rsidP="00A16AFB">
      <w:pPr>
        <w:spacing w:line="360" w:lineRule="auto"/>
        <w:rPr>
          <w:rFonts w:ascii="Arial" w:hAnsi="Arial" w:cs="Arial"/>
          <w:sz w:val="24"/>
          <w:szCs w:val="24"/>
        </w:rPr>
      </w:pPr>
      <w:r w:rsidRPr="00BA77B0">
        <w:rPr>
          <w:rFonts w:ascii="Arial" w:hAnsi="Arial" w:cs="Arial"/>
          <w:sz w:val="24"/>
          <w:szCs w:val="24"/>
        </w:rPr>
        <w:t>The effectiveness of therapeutic play is shaped not only by developmental theory or practitioner skill but by the broader structural conditions in which interventions are delivered. Policy and training frameworks have a vital role in supporting inclusive practice by prioritising equity, practitioner competence, and the systemic conditions required for consistent implementation. Evidence from trauma</w:t>
      </w:r>
      <w:r w:rsidRPr="00BA77B0">
        <w:rPr>
          <w:rFonts w:ascii="Cambria Math" w:hAnsi="Cambria Math" w:cs="Cambria Math"/>
          <w:sz w:val="24"/>
          <w:szCs w:val="24"/>
        </w:rPr>
        <w:t>‑</w:t>
      </w:r>
      <w:r w:rsidRPr="00BA77B0">
        <w:rPr>
          <w:rFonts w:ascii="Arial" w:hAnsi="Arial" w:cs="Arial"/>
          <w:sz w:val="24"/>
          <w:szCs w:val="24"/>
        </w:rPr>
        <w:t>informed systems shows that meaningful, sustainable practice depends on organisational infrastructure, workforce development, and policy alignment rather than individual practitioner effort alone (Bunting et al., 2019). This includes ensuring that practitioners receive training in trauma</w:t>
      </w:r>
      <w:r w:rsidRPr="00BA77B0">
        <w:rPr>
          <w:rFonts w:ascii="Cambria Math" w:hAnsi="Cambria Math" w:cs="Cambria Math"/>
          <w:sz w:val="24"/>
          <w:szCs w:val="24"/>
        </w:rPr>
        <w:t>‑</w:t>
      </w:r>
      <w:r w:rsidRPr="00BA77B0">
        <w:rPr>
          <w:rFonts w:ascii="Arial" w:hAnsi="Arial" w:cs="Arial"/>
          <w:sz w:val="24"/>
          <w:szCs w:val="24"/>
        </w:rPr>
        <w:t>informed care, neurodiversity</w:t>
      </w:r>
      <w:r w:rsidRPr="00BA77B0">
        <w:rPr>
          <w:rFonts w:ascii="Cambria Math" w:hAnsi="Cambria Math" w:cs="Cambria Math"/>
          <w:sz w:val="24"/>
          <w:szCs w:val="24"/>
        </w:rPr>
        <w:t>‑</w:t>
      </w:r>
      <w:r w:rsidRPr="00BA77B0">
        <w:rPr>
          <w:rFonts w:ascii="Arial" w:hAnsi="Arial" w:cs="Arial"/>
          <w:sz w:val="24"/>
          <w:szCs w:val="24"/>
        </w:rPr>
        <w:t>affirming approaches, and culturally responsive pedagogy, alongside investment in staffing, resources, and organisational support. Reviews of child mental</w:t>
      </w:r>
      <w:r w:rsidRPr="00BA77B0">
        <w:rPr>
          <w:rFonts w:ascii="Cambria Math" w:hAnsi="Cambria Math" w:cs="Cambria Math"/>
          <w:sz w:val="24"/>
          <w:szCs w:val="24"/>
        </w:rPr>
        <w:t>‑</w:t>
      </w:r>
      <w:r w:rsidRPr="00BA77B0">
        <w:rPr>
          <w:rFonts w:ascii="Arial" w:hAnsi="Arial" w:cs="Arial"/>
          <w:sz w:val="24"/>
          <w:szCs w:val="24"/>
        </w:rPr>
        <w:t>health provision similarly highlight that equitable and effective interventions rely on well</w:t>
      </w:r>
      <w:r w:rsidRPr="00BA77B0">
        <w:rPr>
          <w:rFonts w:ascii="Cambria Math" w:hAnsi="Cambria Math" w:cs="Cambria Math"/>
          <w:sz w:val="24"/>
          <w:szCs w:val="24"/>
        </w:rPr>
        <w:t>‑</w:t>
      </w:r>
      <w:r w:rsidRPr="00BA77B0">
        <w:rPr>
          <w:rFonts w:ascii="Arial" w:hAnsi="Arial" w:cs="Arial"/>
          <w:sz w:val="24"/>
          <w:szCs w:val="24"/>
        </w:rPr>
        <w:t>resourced systems and a trained, supported workforce (Fazel et al., 2014).</w:t>
      </w:r>
    </w:p>
    <w:p w14:paraId="3D495BBA" w14:textId="4929ED4C"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However, current policy environments often lack the funding, staffing, and time required to implement these expectations realistically. Without systemic investment, even well</w:t>
      </w:r>
      <w:r w:rsidRPr="00BA77B0">
        <w:rPr>
          <w:rFonts w:ascii="Cambria Math" w:hAnsi="Cambria Math" w:cs="Cambria Math"/>
          <w:sz w:val="24"/>
          <w:szCs w:val="24"/>
        </w:rPr>
        <w:t>‑</w:t>
      </w:r>
      <w:r w:rsidRPr="00BA77B0">
        <w:rPr>
          <w:rFonts w:ascii="Arial" w:hAnsi="Arial" w:cs="Arial"/>
          <w:sz w:val="24"/>
          <w:szCs w:val="24"/>
        </w:rPr>
        <w:t>designed policies risk becoming aspirational rather than actionable. Structural inequities across education, health, and community services mean that therapeutic play is often more accessible in well</w:t>
      </w:r>
      <w:r w:rsidRPr="00BA77B0">
        <w:rPr>
          <w:rFonts w:ascii="Cambria Math" w:hAnsi="Cambria Math" w:cs="Cambria Math"/>
          <w:sz w:val="24"/>
          <w:szCs w:val="24"/>
        </w:rPr>
        <w:t>‑</w:t>
      </w:r>
      <w:r w:rsidRPr="00BA77B0">
        <w:rPr>
          <w:rFonts w:ascii="Arial" w:hAnsi="Arial" w:cs="Arial"/>
          <w:sz w:val="24"/>
          <w:szCs w:val="24"/>
        </w:rPr>
        <w:t>resourced settings, while children in under</w:t>
      </w:r>
      <w:r w:rsidRPr="00BA77B0">
        <w:rPr>
          <w:rFonts w:ascii="Cambria Math" w:hAnsi="Cambria Math" w:cs="Cambria Math"/>
          <w:sz w:val="24"/>
          <w:szCs w:val="24"/>
        </w:rPr>
        <w:t>‑</w:t>
      </w:r>
      <w:r w:rsidRPr="00BA77B0">
        <w:rPr>
          <w:rFonts w:ascii="Arial" w:hAnsi="Arial" w:cs="Arial"/>
          <w:sz w:val="24"/>
          <w:szCs w:val="24"/>
        </w:rPr>
        <w:t>resourced schools or minoritised communities face reduced access to developmentally supportive interventions (Cattan et al., 2024). These disparities reflect broader patterns of unequal provision and raise concerns about social justice, particularly given the long</w:t>
      </w:r>
      <w:r w:rsidRPr="00BA77B0">
        <w:rPr>
          <w:rFonts w:ascii="Cambria Math" w:hAnsi="Cambria Math" w:cs="Cambria Math"/>
          <w:sz w:val="24"/>
          <w:szCs w:val="24"/>
        </w:rPr>
        <w:t>‑</w:t>
      </w:r>
      <w:r w:rsidRPr="00BA77B0">
        <w:rPr>
          <w:rFonts w:ascii="Arial" w:hAnsi="Arial" w:cs="Arial"/>
          <w:sz w:val="24"/>
          <w:szCs w:val="24"/>
        </w:rPr>
        <w:t xml:space="preserve">term impact of early emotional experiences on mental health, academic engagement, and relational </w:t>
      </w:r>
      <w:r w:rsidR="00E20F47" w:rsidRPr="00BA77B0">
        <w:rPr>
          <w:rFonts w:ascii="Arial" w:hAnsi="Arial" w:cs="Arial"/>
          <w:sz w:val="24"/>
          <w:szCs w:val="24"/>
        </w:rPr>
        <w:t>well-being</w:t>
      </w:r>
      <w:r w:rsidRPr="00BA77B0">
        <w:rPr>
          <w:rFonts w:ascii="Arial" w:hAnsi="Arial" w:cs="Arial"/>
          <w:sz w:val="24"/>
          <w:szCs w:val="24"/>
        </w:rPr>
        <w:t xml:space="preserve"> (Burke Harris, 2018).</w:t>
      </w:r>
    </w:p>
    <w:p w14:paraId="4250C9E8"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lastRenderedPageBreak/>
        <w:t>Practitioners frequently report feeling underprepared to adapt therapeutic play for children with complex emotional needs, trauma histories, neurodivergent communication styles, or cultural backgrounds that differ from their own. This uncertainty can lead to inconsistent implementation, reduced confidence, and a reliance on generic strategies that may not meet children’s individual needs (Perryman et al., 2020). When therapeutic play is delivered within systems that lack cultural competence, adequate staffing, or equitable resource allocation, its potential impact is inevitably constrained. The issue is therefore not solely one of practitioner skill but of structural bias embedded within the research, policy, and service environments that shape children’s access to support.</w:t>
      </w:r>
    </w:p>
    <w:p w14:paraId="3C0EB221" w14:textId="2F30E9F3"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The methodological limitations within the therapeutic play literature further complicate efforts to evaluate effectiveness. Many studies rely on small samples, lack control groups, or use inconsistent definitions of therapeutic play, making it difficult to compare findings across contexts (Reichenberger et al., 2025). Much of the literature focuses on short</w:t>
      </w:r>
      <w:r w:rsidRPr="00BA77B0">
        <w:rPr>
          <w:rFonts w:ascii="Cambria Math" w:hAnsi="Cambria Math" w:cs="Cambria Math"/>
          <w:sz w:val="24"/>
          <w:szCs w:val="24"/>
        </w:rPr>
        <w:t>‑</w:t>
      </w:r>
      <w:r w:rsidRPr="00BA77B0">
        <w:rPr>
          <w:rFonts w:ascii="Arial" w:hAnsi="Arial" w:cs="Arial"/>
          <w:sz w:val="24"/>
          <w:szCs w:val="24"/>
        </w:rPr>
        <w:t xml:space="preserve">term outcomes, </w:t>
      </w:r>
      <w:r w:rsidR="00E20F47" w:rsidRPr="00BA77B0">
        <w:rPr>
          <w:rFonts w:ascii="Arial" w:hAnsi="Arial" w:cs="Arial"/>
          <w:sz w:val="24"/>
          <w:szCs w:val="24"/>
        </w:rPr>
        <w:t>even though</w:t>
      </w:r>
      <w:r w:rsidRPr="00BA77B0">
        <w:rPr>
          <w:rFonts w:ascii="Arial" w:hAnsi="Arial" w:cs="Arial"/>
          <w:sz w:val="24"/>
          <w:szCs w:val="24"/>
        </w:rPr>
        <w:t xml:space="preserve"> emotional regulation, social competence, and relational trust develop gradually and may not be fully captured within brief intervention windows.</w:t>
      </w:r>
    </w:p>
    <w:p w14:paraId="1AD471B5" w14:textId="696ACD48"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The evidence base is also shaped by ethical constraints and funding limitations, which restrict opportunities for large</w:t>
      </w:r>
      <w:r w:rsidRPr="00BA77B0">
        <w:rPr>
          <w:rFonts w:ascii="Cambria Math" w:hAnsi="Cambria Math" w:cs="Cambria Math"/>
          <w:sz w:val="24"/>
          <w:szCs w:val="24"/>
        </w:rPr>
        <w:t>‑</w:t>
      </w:r>
      <w:r w:rsidRPr="00BA77B0">
        <w:rPr>
          <w:rFonts w:ascii="Arial" w:hAnsi="Arial" w:cs="Arial"/>
          <w:sz w:val="24"/>
          <w:szCs w:val="24"/>
        </w:rPr>
        <w:t>scale or longitudinal research. Practitioner</w:t>
      </w:r>
      <w:r w:rsidRPr="00BA77B0">
        <w:rPr>
          <w:rFonts w:ascii="Cambria Math" w:hAnsi="Cambria Math" w:cs="Cambria Math"/>
          <w:sz w:val="24"/>
          <w:szCs w:val="24"/>
        </w:rPr>
        <w:t>‑</w:t>
      </w:r>
      <w:r w:rsidRPr="00BA77B0">
        <w:rPr>
          <w:rFonts w:ascii="Arial" w:hAnsi="Arial" w:cs="Arial"/>
          <w:sz w:val="24"/>
          <w:szCs w:val="24"/>
        </w:rPr>
        <w:t>led studies, while valuable for capturing lived practice, often lack the methodological rigour required to establish causal claims. Inconsistent terminology further complicates synthesis, as interventions labelled “therapeutic play” vary widely in structure, duration, theoretical grounding, and practitioner training</w:t>
      </w:r>
      <w:r w:rsidR="00633D26" w:rsidRPr="00BA77B0">
        <w:rPr>
          <w:rFonts w:ascii="Arial" w:hAnsi="Arial" w:cs="Arial"/>
          <w:sz w:val="24"/>
          <w:szCs w:val="24"/>
        </w:rPr>
        <w:t xml:space="preserve"> (Skene et al., 2022)</w:t>
      </w:r>
    </w:p>
    <w:p w14:paraId="1DADD458" w14:textId="5CB4CF0B"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Crucially, children from minoritised cultural backgrounds, disabled children, and neurodivergent children are often excluded from research samples or included in ways that do not fully account for their developmental profiles or lived experiences. This exclusion not only limits understanding of how therapeutic play functions across diverse contexts but also reinforces systemic inequities by privileging certain developmental trajectories over others (Reichow et al., 2018). These methodological and structural limitations mean that claims of effectiveness must remain cautious, even as the consistency of positive findings suggests meaningful potential.</w:t>
      </w:r>
    </w:p>
    <w:p w14:paraId="73A16C3A" w14:textId="30B7ED9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lastRenderedPageBreak/>
        <w:t>To maximise effectiveness, therapeutic play must be delivered through inclusive, culturally responsive, and developmentally attuned practice. This involves adapting materials to reflect children’s cultural identities, ensuring accessibility for children with sensory or physical impairments, embedding trauma</w:t>
      </w:r>
      <w:r w:rsidRPr="00BA77B0">
        <w:rPr>
          <w:rFonts w:ascii="Cambria Math" w:hAnsi="Cambria Math" w:cs="Cambria Math"/>
          <w:sz w:val="24"/>
          <w:szCs w:val="24"/>
        </w:rPr>
        <w:t>‑</w:t>
      </w:r>
      <w:r w:rsidRPr="00BA77B0">
        <w:rPr>
          <w:rFonts w:ascii="Arial" w:hAnsi="Arial" w:cs="Arial"/>
          <w:sz w:val="24"/>
          <w:szCs w:val="24"/>
        </w:rPr>
        <w:t>informed and neurodiversity</w:t>
      </w:r>
      <w:r w:rsidRPr="00BA77B0">
        <w:rPr>
          <w:rFonts w:ascii="Cambria Math" w:hAnsi="Cambria Math" w:cs="Cambria Math"/>
          <w:sz w:val="24"/>
          <w:szCs w:val="24"/>
        </w:rPr>
        <w:t>‑</w:t>
      </w:r>
      <w:r w:rsidRPr="00BA77B0">
        <w:rPr>
          <w:rFonts w:ascii="Arial" w:hAnsi="Arial" w:cs="Arial"/>
          <w:sz w:val="24"/>
          <w:szCs w:val="24"/>
        </w:rPr>
        <w:t>affirming principles, and involving families in ways that honour cultural and relational contexts (Souto</w:t>
      </w:r>
      <w:r w:rsidRPr="00BA77B0">
        <w:rPr>
          <w:rFonts w:ascii="Cambria Math" w:hAnsi="Cambria Math" w:cs="Cambria Math"/>
          <w:sz w:val="24"/>
          <w:szCs w:val="24"/>
        </w:rPr>
        <w:t>‑</w:t>
      </w:r>
      <w:r w:rsidRPr="00BA77B0">
        <w:rPr>
          <w:rFonts w:ascii="Arial" w:hAnsi="Arial" w:cs="Arial"/>
          <w:sz w:val="24"/>
          <w:szCs w:val="24"/>
        </w:rPr>
        <w:t>Manning &amp; Rabadi</w:t>
      </w:r>
      <w:r w:rsidRPr="00BA77B0">
        <w:rPr>
          <w:rFonts w:ascii="Cambria Math" w:hAnsi="Cambria Math" w:cs="Cambria Math"/>
          <w:sz w:val="24"/>
          <w:szCs w:val="24"/>
        </w:rPr>
        <w:t>‑</w:t>
      </w:r>
      <w:r w:rsidRPr="00BA77B0">
        <w:rPr>
          <w:rFonts w:ascii="Arial" w:hAnsi="Arial" w:cs="Arial"/>
          <w:sz w:val="24"/>
          <w:szCs w:val="24"/>
        </w:rPr>
        <w:t>Raol, 2018). Practitioners also need to engage in ongoing critical reflection to recognise bias, respond to diverse needs, and create environments in which all children can meaningfully participate (Fleer &amp; van Oers, 2018).</w:t>
      </w:r>
    </w:p>
    <w:p w14:paraId="21AC0FEA" w14:textId="77777777" w:rsidR="0091677A"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This reflective stance is essential for navigating the complexities of children’s emotional and social development, particularly in contexts marked by cultural diversity, socioeconomic inequality, and varied developmental trajectories. When practitioners approach therapeutic play with curiosity, humility, and relational </w:t>
      </w:r>
      <w:r w:rsidR="00C10B36" w:rsidRPr="00BA77B0">
        <w:rPr>
          <w:rFonts w:ascii="Arial" w:hAnsi="Arial" w:cs="Arial"/>
          <w:sz w:val="24"/>
          <w:szCs w:val="24"/>
        </w:rPr>
        <w:t>perspectives, they</w:t>
      </w:r>
      <w:r w:rsidRPr="00BA77B0">
        <w:rPr>
          <w:rFonts w:ascii="Arial" w:hAnsi="Arial" w:cs="Arial"/>
          <w:sz w:val="24"/>
          <w:szCs w:val="24"/>
        </w:rPr>
        <w:t xml:space="preserve"> are better positioned to support children’s emotional expression, social engagement, and sense of belonging</w:t>
      </w:r>
      <w:r w:rsidR="0091677A" w:rsidRPr="00BA77B0">
        <w:rPr>
          <w:rFonts w:ascii="Arial" w:hAnsi="Arial" w:cs="Arial"/>
          <w:sz w:val="24"/>
          <w:szCs w:val="24"/>
        </w:rPr>
        <w:t xml:space="preserve"> (Hook et al., 2016)</w:t>
      </w:r>
    </w:p>
    <w:p w14:paraId="52D2D54C" w14:textId="60EB3708" w:rsidR="00367936" w:rsidRPr="00BA77B0" w:rsidRDefault="00367936" w:rsidP="00A16AFB">
      <w:pPr>
        <w:spacing w:line="360" w:lineRule="auto"/>
        <w:rPr>
          <w:rFonts w:ascii="Arial" w:hAnsi="Arial" w:cs="Arial"/>
          <w:sz w:val="24"/>
          <w:szCs w:val="24"/>
        </w:rPr>
      </w:pPr>
    </w:p>
    <w:p w14:paraId="2694A9DC" w14:textId="77777777" w:rsidR="001510EA"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Therapeutic play emerges as a versatile and developmentally attuned approach that can meaningfully support children’s emotional, social, and relational </w:t>
      </w:r>
      <w:r w:rsidR="00E20F47" w:rsidRPr="00BA77B0">
        <w:rPr>
          <w:rFonts w:ascii="Arial" w:hAnsi="Arial" w:cs="Arial"/>
          <w:sz w:val="24"/>
          <w:szCs w:val="24"/>
        </w:rPr>
        <w:t>well-being</w:t>
      </w:r>
      <w:r w:rsidRPr="00BA77B0">
        <w:rPr>
          <w:rFonts w:ascii="Arial" w:hAnsi="Arial" w:cs="Arial"/>
          <w:sz w:val="24"/>
          <w:szCs w:val="24"/>
        </w:rPr>
        <w:t xml:space="preserve"> across a wide range of contexts. Evidence from healthcare, educational, and community settings points to consistent benefits</w:t>
      </w:r>
      <w:r w:rsidR="00C10B36" w:rsidRPr="00BA77B0">
        <w:rPr>
          <w:rFonts w:ascii="Arial" w:hAnsi="Arial" w:cs="Arial"/>
          <w:sz w:val="24"/>
          <w:szCs w:val="24"/>
        </w:rPr>
        <w:t xml:space="preserve"> </w:t>
      </w:r>
      <w:r w:rsidRPr="00BA77B0">
        <w:rPr>
          <w:rFonts w:ascii="Arial" w:hAnsi="Arial" w:cs="Arial"/>
          <w:sz w:val="24"/>
          <w:szCs w:val="24"/>
        </w:rPr>
        <w:t>such as reduced anxiety, enhanced communication, and strengthened peer relationships</w:t>
      </w:r>
      <w:r w:rsidR="00C10B36" w:rsidRPr="00BA77B0">
        <w:rPr>
          <w:rFonts w:ascii="Arial" w:hAnsi="Arial" w:cs="Arial"/>
          <w:sz w:val="24"/>
          <w:szCs w:val="24"/>
        </w:rPr>
        <w:t xml:space="preserve"> </w:t>
      </w:r>
      <w:r w:rsidRPr="00BA77B0">
        <w:rPr>
          <w:rFonts w:ascii="Arial" w:hAnsi="Arial" w:cs="Arial"/>
          <w:sz w:val="24"/>
          <w:szCs w:val="24"/>
        </w:rPr>
        <w:t>while also underscoring the importance of tailoring approaches to the needs of disabled, neurodivergent, traumatised, and culturally diverse children</w:t>
      </w:r>
      <w:r w:rsidR="001510EA" w:rsidRPr="00BA77B0">
        <w:rPr>
          <w:rFonts w:ascii="Arial" w:hAnsi="Arial" w:cs="Arial"/>
          <w:sz w:val="24"/>
          <w:szCs w:val="24"/>
        </w:rPr>
        <w:t xml:space="preserve"> (Coyne et al., 2016)</w:t>
      </w:r>
    </w:p>
    <w:p w14:paraId="285F5573" w14:textId="30453591" w:rsidR="00367936" w:rsidRPr="00BA77B0" w:rsidRDefault="00367936" w:rsidP="00A16AFB">
      <w:pPr>
        <w:spacing w:line="360" w:lineRule="auto"/>
        <w:rPr>
          <w:rFonts w:ascii="Arial" w:hAnsi="Arial" w:cs="Arial"/>
          <w:sz w:val="24"/>
          <w:szCs w:val="24"/>
        </w:rPr>
      </w:pPr>
    </w:p>
    <w:p w14:paraId="37131109" w14:textId="77777777" w:rsidR="00F354ED" w:rsidRPr="00BA77B0" w:rsidRDefault="00367936" w:rsidP="00A16AFB">
      <w:pPr>
        <w:spacing w:line="360" w:lineRule="auto"/>
        <w:rPr>
          <w:rFonts w:ascii="Arial" w:hAnsi="Arial" w:cs="Arial"/>
          <w:sz w:val="24"/>
          <w:szCs w:val="24"/>
        </w:rPr>
      </w:pPr>
      <w:r w:rsidRPr="00BA77B0">
        <w:rPr>
          <w:rFonts w:ascii="Arial" w:hAnsi="Arial" w:cs="Arial"/>
          <w:sz w:val="24"/>
          <w:szCs w:val="24"/>
        </w:rPr>
        <w:t>Yet given the uneven evidence base, methodological limitations, and cultural biases identified throughout this essay, claims of effectiveness must remain cautious. The field continues to grapple with conceptual ambiguity, inconsistent terminology, and structural inequities that shape both access and outcomes. Advancing therapeutic play</w:t>
      </w:r>
      <w:r w:rsidR="00E20F47" w:rsidRPr="00BA77B0">
        <w:rPr>
          <w:rFonts w:ascii="Arial" w:hAnsi="Arial" w:cs="Arial"/>
          <w:sz w:val="24"/>
          <w:szCs w:val="24"/>
        </w:rPr>
        <w:t>,</w:t>
      </w:r>
      <w:r w:rsidRPr="00BA77B0">
        <w:rPr>
          <w:rFonts w:ascii="Arial" w:hAnsi="Arial" w:cs="Arial"/>
          <w:sz w:val="24"/>
          <w:szCs w:val="24"/>
        </w:rPr>
        <w:t xml:space="preserve"> therefore</w:t>
      </w:r>
      <w:r w:rsidR="00C10B36" w:rsidRPr="00BA77B0">
        <w:rPr>
          <w:rFonts w:ascii="Arial" w:hAnsi="Arial" w:cs="Arial"/>
          <w:sz w:val="24"/>
          <w:szCs w:val="24"/>
        </w:rPr>
        <w:t>,</w:t>
      </w:r>
      <w:r w:rsidRPr="00BA77B0">
        <w:rPr>
          <w:rFonts w:ascii="Arial" w:hAnsi="Arial" w:cs="Arial"/>
          <w:sz w:val="24"/>
          <w:szCs w:val="24"/>
        </w:rPr>
        <w:t xml:space="preserve"> requires a sustained commitment to inclusive, culturally responsive, and neurodiversity</w:t>
      </w:r>
      <w:r w:rsidRPr="00BA77B0">
        <w:rPr>
          <w:rFonts w:ascii="Cambria Math" w:hAnsi="Cambria Math" w:cs="Cambria Math"/>
          <w:sz w:val="24"/>
          <w:szCs w:val="24"/>
        </w:rPr>
        <w:t>‑</w:t>
      </w:r>
      <w:r w:rsidRPr="00BA77B0">
        <w:rPr>
          <w:rFonts w:ascii="Arial" w:hAnsi="Arial" w:cs="Arial"/>
          <w:sz w:val="24"/>
          <w:szCs w:val="24"/>
        </w:rPr>
        <w:t>affirming principles, alongside more rigorous and representative research</w:t>
      </w:r>
      <w:r w:rsidR="00F354ED" w:rsidRPr="00BA77B0">
        <w:rPr>
          <w:rFonts w:ascii="Arial" w:hAnsi="Arial" w:cs="Arial"/>
          <w:sz w:val="24"/>
          <w:szCs w:val="24"/>
        </w:rPr>
        <w:t xml:space="preserve"> (Lester &amp; Russell, 2014)</w:t>
      </w:r>
    </w:p>
    <w:p w14:paraId="6C5DD2F3" w14:textId="718157F0" w:rsidR="00367936" w:rsidRPr="00BA77B0" w:rsidRDefault="00367936" w:rsidP="00A16AFB">
      <w:pPr>
        <w:spacing w:line="360" w:lineRule="auto"/>
        <w:rPr>
          <w:rFonts w:ascii="Arial" w:hAnsi="Arial" w:cs="Arial"/>
          <w:sz w:val="24"/>
          <w:szCs w:val="24"/>
        </w:rPr>
      </w:pPr>
    </w:p>
    <w:p w14:paraId="69A499EC" w14:textId="77777777" w:rsidR="00E62067" w:rsidRPr="00BA77B0" w:rsidRDefault="00E62067" w:rsidP="00A16AFB">
      <w:pPr>
        <w:spacing w:line="360" w:lineRule="auto"/>
        <w:rPr>
          <w:rFonts w:ascii="Arial" w:hAnsi="Arial" w:cs="Arial"/>
          <w:sz w:val="24"/>
          <w:szCs w:val="24"/>
        </w:rPr>
      </w:pPr>
      <w:r w:rsidRPr="00BA77B0">
        <w:rPr>
          <w:rFonts w:ascii="Arial" w:hAnsi="Arial" w:cs="Arial"/>
          <w:sz w:val="24"/>
          <w:szCs w:val="24"/>
        </w:rPr>
        <w:t>The future of therapeutic play depends on the field’s ability to address these challenges while maintaining a strong commitment to children’s rights, agency, and emotional well</w:t>
      </w:r>
      <w:r w:rsidRPr="00BA77B0">
        <w:rPr>
          <w:rFonts w:ascii="Cambria Math" w:hAnsi="Cambria Math" w:cs="Cambria Math"/>
          <w:sz w:val="24"/>
          <w:szCs w:val="24"/>
        </w:rPr>
        <w:t>‑</w:t>
      </w:r>
      <w:r w:rsidRPr="00BA77B0">
        <w:rPr>
          <w:rFonts w:ascii="Arial" w:hAnsi="Arial" w:cs="Arial"/>
          <w:sz w:val="24"/>
          <w:szCs w:val="24"/>
        </w:rPr>
        <w:t>being. This includes recognising children as active participants in their own development, capable of expressing complex emotions and constructing meaning through play, in line with contemporary rights</w:t>
      </w:r>
      <w:r w:rsidRPr="00BA77B0">
        <w:rPr>
          <w:rFonts w:ascii="Cambria Math" w:hAnsi="Cambria Math" w:cs="Cambria Math"/>
          <w:sz w:val="24"/>
          <w:szCs w:val="24"/>
        </w:rPr>
        <w:t>‑</w:t>
      </w:r>
      <w:r w:rsidRPr="00BA77B0">
        <w:rPr>
          <w:rFonts w:ascii="Arial" w:hAnsi="Arial" w:cs="Arial"/>
          <w:sz w:val="24"/>
          <w:szCs w:val="24"/>
        </w:rPr>
        <w:t>based frameworks that emphasise participation and relational respect (Lundy, 2018). It also requires practitioners to adopt a relational stance that prioritises attachments, empathy, and co</w:t>
      </w:r>
      <w:r w:rsidRPr="00BA77B0">
        <w:rPr>
          <w:rFonts w:ascii="Cambria Math" w:hAnsi="Cambria Math" w:cs="Cambria Math"/>
          <w:sz w:val="24"/>
          <w:szCs w:val="24"/>
        </w:rPr>
        <w:t>‑</w:t>
      </w:r>
      <w:r w:rsidRPr="00BA77B0">
        <w:rPr>
          <w:rFonts w:ascii="Arial" w:hAnsi="Arial" w:cs="Arial"/>
          <w:sz w:val="24"/>
          <w:szCs w:val="24"/>
        </w:rPr>
        <w:t>regulation, recognising that therapeutic play is not simply a set of techniques, but a deeply relational process grounded in trust and connection.</w:t>
      </w:r>
    </w:p>
    <w:p w14:paraId="556A1BE7" w14:textId="77777777" w:rsidR="00E62067" w:rsidRPr="00BA77B0" w:rsidRDefault="00E62067" w:rsidP="00A16AFB">
      <w:pPr>
        <w:spacing w:line="360" w:lineRule="auto"/>
        <w:rPr>
          <w:rFonts w:ascii="Arial" w:hAnsi="Arial" w:cs="Arial"/>
          <w:sz w:val="24"/>
          <w:szCs w:val="24"/>
        </w:rPr>
      </w:pPr>
      <w:r w:rsidRPr="00BA77B0">
        <w:rPr>
          <w:rFonts w:ascii="Arial" w:hAnsi="Arial" w:cs="Arial"/>
          <w:sz w:val="24"/>
          <w:szCs w:val="24"/>
        </w:rPr>
        <w:t>At the same time, the field must continue to challenge deficit</w:t>
      </w:r>
      <w:r w:rsidRPr="00BA77B0">
        <w:rPr>
          <w:rFonts w:ascii="Cambria Math" w:hAnsi="Cambria Math" w:cs="Cambria Math"/>
          <w:sz w:val="24"/>
          <w:szCs w:val="24"/>
        </w:rPr>
        <w:t>‑</w:t>
      </w:r>
      <w:r w:rsidRPr="00BA77B0">
        <w:rPr>
          <w:rFonts w:ascii="Arial" w:hAnsi="Arial" w:cs="Arial"/>
          <w:sz w:val="24"/>
          <w:szCs w:val="24"/>
        </w:rPr>
        <w:t>based perspectives that frame children’s behaviours or emotional expressions as problems to be fixed. A strengths</w:t>
      </w:r>
      <w:r w:rsidRPr="00BA77B0">
        <w:rPr>
          <w:rFonts w:ascii="Cambria Math" w:hAnsi="Cambria Math" w:cs="Cambria Math"/>
          <w:sz w:val="24"/>
          <w:szCs w:val="24"/>
        </w:rPr>
        <w:t>‑</w:t>
      </w:r>
      <w:r w:rsidRPr="00BA77B0">
        <w:rPr>
          <w:rFonts w:ascii="Arial" w:hAnsi="Arial" w:cs="Arial"/>
          <w:sz w:val="24"/>
          <w:szCs w:val="24"/>
        </w:rPr>
        <w:t>based, culturally grounded, and neurodiversity</w:t>
      </w:r>
      <w:r w:rsidRPr="00BA77B0">
        <w:rPr>
          <w:rFonts w:ascii="Cambria Math" w:hAnsi="Cambria Math" w:cs="Cambria Math"/>
          <w:sz w:val="24"/>
          <w:szCs w:val="24"/>
        </w:rPr>
        <w:t>‑</w:t>
      </w:r>
      <w:r w:rsidRPr="00BA77B0">
        <w:rPr>
          <w:rFonts w:ascii="Arial" w:hAnsi="Arial" w:cs="Arial"/>
          <w:sz w:val="24"/>
          <w:szCs w:val="24"/>
        </w:rPr>
        <w:t>affirming approach recognises that children express themselves in diverse ways and that therapeutic play must be flexible enough to accommodate these differences. This includes acknowledging the role of family, community, and cultural traditions in shaping children’s emotional lives and ensuring that therapeutic play reflects and respects these influences, echoing calls from neurodiversity</w:t>
      </w:r>
      <w:r w:rsidRPr="00BA77B0">
        <w:rPr>
          <w:rFonts w:ascii="Cambria Math" w:hAnsi="Cambria Math" w:cs="Cambria Math"/>
          <w:sz w:val="24"/>
          <w:szCs w:val="24"/>
        </w:rPr>
        <w:t>‑</w:t>
      </w:r>
      <w:r w:rsidRPr="00BA77B0">
        <w:rPr>
          <w:rFonts w:ascii="Arial" w:hAnsi="Arial" w:cs="Arial"/>
          <w:sz w:val="24"/>
          <w:szCs w:val="24"/>
        </w:rPr>
        <w:t>affirming research to centre children’s lived experiences and cultural contexts (Crane et al., 2019).</w:t>
      </w:r>
    </w:p>
    <w:p w14:paraId="03D37465" w14:textId="1791E99C" w:rsidR="00D9095A" w:rsidRPr="00BA77B0" w:rsidRDefault="00E62067" w:rsidP="00BA77B0">
      <w:pPr>
        <w:spacing w:line="360" w:lineRule="auto"/>
        <w:rPr>
          <w:rFonts w:ascii="Arial" w:hAnsi="Arial" w:cs="Arial"/>
          <w:sz w:val="24"/>
          <w:szCs w:val="24"/>
        </w:rPr>
      </w:pPr>
      <w:r w:rsidRPr="00BA77B0">
        <w:rPr>
          <w:rFonts w:ascii="Arial" w:hAnsi="Arial" w:cs="Arial"/>
          <w:sz w:val="24"/>
          <w:szCs w:val="24"/>
        </w:rPr>
        <w:t>Overall</w:t>
      </w:r>
      <w:r w:rsidR="00367936" w:rsidRPr="00BA77B0">
        <w:rPr>
          <w:rFonts w:ascii="Arial" w:hAnsi="Arial" w:cs="Arial"/>
          <w:sz w:val="24"/>
          <w:szCs w:val="24"/>
        </w:rPr>
        <w:t xml:space="preserve">, therapeutic play holds significant promise as a developmentally attuned, relationally grounded, and culturally adaptable approach to supporting children’s emotional and social development. Its effectiveness, however, depends on the extent to which practitioners, researchers, and policymakers are willing to engage with the complexities of </w:t>
      </w:r>
      <w:r w:rsidR="00E04225" w:rsidRPr="00BA77B0">
        <w:rPr>
          <w:rFonts w:ascii="Arial" w:hAnsi="Arial" w:cs="Arial"/>
          <w:sz w:val="24"/>
          <w:szCs w:val="24"/>
        </w:rPr>
        <w:t>children</w:t>
      </w:r>
      <w:r w:rsidR="00367936" w:rsidRPr="00BA77B0">
        <w:rPr>
          <w:rFonts w:ascii="Arial" w:hAnsi="Arial" w:cs="Arial"/>
          <w:sz w:val="24"/>
          <w:szCs w:val="24"/>
        </w:rPr>
        <w:t xml:space="preserve"> lived experiences and address the structural inequities that shape access to supportive interventions. By embracing inclusive, culturally responsive, and neurodiversity</w:t>
      </w:r>
      <w:r w:rsidR="00367936" w:rsidRPr="00BA77B0">
        <w:rPr>
          <w:rFonts w:ascii="Cambria Math" w:hAnsi="Cambria Math" w:cs="Cambria Math"/>
          <w:sz w:val="24"/>
          <w:szCs w:val="24"/>
        </w:rPr>
        <w:t>‑</w:t>
      </w:r>
      <w:r w:rsidR="00367936" w:rsidRPr="00BA77B0">
        <w:rPr>
          <w:rFonts w:ascii="Arial" w:hAnsi="Arial" w:cs="Arial"/>
          <w:sz w:val="24"/>
          <w:szCs w:val="24"/>
        </w:rPr>
        <w:t>affirming principles, the field can move toward a fairer and more effective model of therapeutic play</w:t>
      </w:r>
      <w:r w:rsidRPr="00BA77B0">
        <w:rPr>
          <w:rFonts w:ascii="Arial" w:hAnsi="Arial" w:cs="Arial"/>
          <w:sz w:val="24"/>
          <w:szCs w:val="24"/>
        </w:rPr>
        <w:t xml:space="preserve"> </w:t>
      </w:r>
      <w:r w:rsidR="00367936" w:rsidRPr="00BA77B0">
        <w:rPr>
          <w:rFonts w:ascii="Arial" w:hAnsi="Arial" w:cs="Arial"/>
          <w:sz w:val="24"/>
          <w:szCs w:val="24"/>
        </w:rPr>
        <w:t xml:space="preserve">one that recognises and honours the full diversity of </w:t>
      </w:r>
      <w:r w:rsidR="00E04225" w:rsidRPr="00BA77B0">
        <w:rPr>
          <w:rFonts w:ascii="Arial" w:hAnsi="Arial" w:cs="Arial"/>
          <w:sz w:val="24"/>
          <w:szCs w:val="24"/>
        </w:rPr>
        <w:t>children</w:t>
      </w:r>
      <w:r w:rsidR="00367936" w:rsidRPr="00BA77B0">
        <w:rPr>
          <w:rFonts w:ascii="Arial" w:hAnsi="Arial" w:cs="Arial"/>
          <w:sz w:val="24"/>
          <w:szCs w:val="24"/>
        </w:rPr>
        <w:t xml:space="preserve"> emotiona</w:t>
      </w:r>
      <w:r w:rsidR="00BA77B0">
        <w:rPr>
          <w:rFonts w:ascii="Arial" w:hAnsi="Arial" w:cs="Arial"/>
          <w:sz w:val="24"/>
          <w:szCs w:val="24"/>
        </w:rPr>
        <w:t>l.</w:t>
      </w:r>
    </w:p>
    <w:p w14:paraId="3D08F30A" w14:textId="77777777" w:rsidR="00D9095A" w:rsidRPr="00BA77B0" w:rsidRDefault="00D9095A" w:rsidP="00A3118A">
      <w:pPr>
        <w:spacing w:after="0" w:line="480" w:lineRule="auto"/>
        <w:jc w:val="center"/>
        <w:outlineLvl w:val="0"/>
        <w:rPr>
          <w:rFonts w:ascii="Arial" w:eastAsia="Times New Roman" w:hAnsi="Arial" w:cs="Arial"/>
          <w:b/>
          <w:bCs/>
          <w:kern w:val="36"/>
          <w:sz w:val="24"/>
          <w:szCs w:val="24"/>
          <w:lang w:eastAsia="en-GB"/>
          <w14:ligatures w14:val="none"/>
        </w:rPr>
      </w:pPr>
    </w:p>
    <w:p w14:paraId="58969B9E" w14:textId="77777777" w:rsidR="00D9095A" w:rsidRPr="00BA77B0" w:rsidRDefault="00D9095A" w:rsidP="00BA77B0">
      <w:pPr>
        <w:spacing w:after="0" w:line="480" w:lineRule="auto"/>
        <w:outlineLvl w:val="0"/>
        <w:rPr>
          <w:rFonts w:ascii="Arial" w:eastAsia="Times New Roman" w:hAnsi="Arial" w:cs="Arial"/>
          <w:b/>
          <w:bCs/>
          <w:kern w:val="36"/>
          <w:sz w:val="24"/>
          <w:szCs w:val="24"/>
          <w:lang w:eastAsia="en-GB"/>
          <w14:ligatures w14:val="none"/>
        </w:rPr>
      </w:pPr>
    </w:p>
    <w:p w14:paraId="4A5B0E12" w14:textId="77777777" w:rsidR="00D9095A" w:rsidRPr="00BA77B0" w:rsidRDefault="00D9095A" w:rsidP="00A3118A">
      <w:pPr>
        <w:spacing w:after="0" w:line="480" w:lineRule="auto"/>
        <w:jc w:val="center"/>
        <w:outlineLvl w:val="0"/>
        <w:rPr>
          <w:rFonts w:ascii="Arial" w:eastAsia="Times New Roman" w:hAnsi="Arial" w:cs="Arial"/>
          <w:b/>
          <w:bCs/>
          <w:kern w:val="36"/>
          <w:sz w:val="24"/>
          <w:szCs w:val="24"/>
          <w:lang w:eastAsia="en-GB"/>
          <w14:ligatures w14:val="none"/>
        </w:rPr>
      </w:pPr>
    </w:p>
    <w:p w14:paraId="63797980" w14:textId="2FC6B2FD" w:rsidR="00A3118A" w:rsidRPr="00BA77B0" w:rsidRDefault="00BA77B0" w:rsidP="00BA77B0">
      <w:pPr>
        <w:spacing w:after="0" w:line="480" w:lineRule="auto"/>
        <w:outlineLvl w:val="0"/>
        <w:rPr>
          <w:rFonts w:ascii="Arial" w:eastAsia="Times New Roman" w:hAnsi="Arial" w:cs="Arial"/>
          <w:b/>
          <w:bCs/>
          <w:kern w:val="36"/>
          <w:sz w:val="24"/>
          <w:szCs w:val="24"/>
          <w:lang w:eastAsia="en-GB"/>
          <w14:ligatures w14:val="none"/>
        </w:rPr>
      </w:pPr>
      <w:r>
        <w:rPr>
          <w:rFonts w:ascii="Arial" w:eastAsia="Times New Roman" w:hAnsi="Arial" w:cs="Arial"/>
          <w:b/>
          <w:bCs/>
          <w:kern w:val="36"/>
          <w:sz w:val="24"/>
          <w:szCs w:val="24"/>
          <w:lang w:eastAsia="en-GB"/>
          <w14:ligatures w14:val="none"/>
        </w:rPr>
        <w:lastRenderedPageBreak/>
        <w:t xml:space="preserve">                                                    </w:t>
      </w:r>
      <w:r w:rsidR="00A3118A" w:rsidRPr="00BA77B0">
        <w:rPr>
          <w:rFonts w:ascii="Arial" w:eastAsia="Times New Roman" w:hAnsi="Arial" w:cs="Arial"/>
          <w:b/>
          <w:bCs/>
          <w:kern w:val="36"/>
          <w:sz w:val="24"/>
          <w:szCs w:val="24"/>
          <w:lang w:eastAsia="en-GB"/>
          <w14:ligatures w14:val="none"/>
        </w:rPr>
        <w:t>References</w:t>
      </w:r>
    </w:p>
    <w:p w14:paraId="4637144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Ahmed, S., Khan, D. S., &amp; Mehmood, A. S. (2023). Let them play: A systematic review investigating the benefits of free play in emotional development of children. </w:t>
      </w:r>
      <w:r w:rsidRPr="00BA77B0">
        <w:rPr>
          <w:rFonts w:ascii="Arial" w:eastAsia="Times New Roman" w:hAnsi="Arial" w:cs="Arial"/>
          <w:i/>
          <w:iCs/>
          <w:kern w:val="0"/>
          <w:sz w:val="24"/>
          <w:szCs w:val="24"/>
          <w:lang w:eastAsia="en-GB"/>
          <w14:ligatures w14:val="none"/>
        </w:rPr>
        <w:t>Academy of Education and Social Sciences Review</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w:t>
      </w:r>
      <w:r w:rsidRPr="00BA77B0">
        <w:rPr>
          <w:rFonts w:ascii="Arial" w:eastAsia="Times New Roman" w:hAnsi="Arial" w:cs="Arial"/>
          <w:kern w:val="0"/>
          <w:sz w:val="24"/>
          <w:szCs w:val="24"/>
          <w:lang w:eastAsia="en-GB"/>
          <w14:ligatures w14:val="none"/>
        </w:rPr>
        <w:t>(4), 509–520. https://doi.org/10.48112/aessr.v3i4.660</w:t>
      </w:r>
    </w:p>
    <w:p w14:paraId="4A115CB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Amir, D., &amp; McAuliffe, K. (2020). Cross-cultural, developmental psychology: integrating approaches and key insights. </w:t>
      </w:r>
      <w:r w:rsidRPr="00BA77B0">
        <w:rPr>
          <w:rFonts w:ascii="Arial" w:eastAsia="Times New Roman" w:hAnsi="Arial" w:cs="Arial"/>
          <w:i/>
          <w:iCs/>
          <w:kern w:val="0"/>
          <w:sz w:val="24"/>
          <w:szCs w:val="24"/>
          <w:lang w:eastAsia="en-GB"/>
          <w14:ligatures w14:val="none"/>
        </w:rPr>
        <w:t>Evolution and Human Behavior</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41</w:t>
      </w:r>
      <w:r w:rsidRPr="00BA77B0">
        <w:rPr>
          <w:rFonts w:ascii="Arial" w:eastAsia="Times New Roman" w:hAnsi="Arial" w:cs="Arial"/>
          <w:kern w:val="0"/>
          <w:sz w:val="24"/>
          <w:szCs w:val="24"/>
          <w:lang w:eastAsia="en-GB"/>
          <w14:ligatures w14:val="none"/>
        </w:rPr>
        <w:t>(5). https://doi.org/10.1016/j.evolhumbehav.2020.06.006</w:t>
      </w:r>
    </w:p>
    <w:p w14:paraId="171E43BA"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Bosmans, G., &amp; Borelli, J. L. (2022). Attachment and the Development of Psychopathology: Introduction to the Special Issue. </w:t>
      </w:r>
      <w:r w:rsidRPr="00BA77B0">
        <w:rPr>
          <w:rFonts w:ascii="Arial" w:eastAsia="Times New Roman" w:hAnsi="Arial" w:cs="Arial"/>
          <w:i/>
          <w:iCs/>
          <w:kern w:val="0"/>
          <w:sz w:val="24"/>
          <w:szCs w:val="24"/>
          <w:lang w:eastAsia="en-GB"/>
          <w14:ligatures w14:val="none"/>
        </w:rPr>
        <w:t>Brain Sciences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12</w:t>
      </w:r>
      <w:r w:rsidRPr="00BA77B0">
        <w:rPr>
          <w:rFonts w:ascii="Arial" w:eastAsia="Times New Roman" w:hAnsi="Arial" w:cs="Arial"/>
          <w:kern w:val="0"/>
          <w:sz w:val="24"/>
          <w:szCs w:val="24"/>
          <w:lang w:eastAsia="en-GB"/>
          <w14:ligatures w14:val="none"/>
        </w:rPr>
        <w:t>(2), 174. https://doi.org/10.3390/brainsci12020174</w:t>
      </w:r>
    </w:p>
    <w:p w14:paraId="7F19045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Bunting, L., Montgomery, L., Mooney, S., MacDonald, M., Coulter, S., Hayes, D., &amp; Davidson, G. (2019). Trauma informed child welfare systems—a rapid evidence review. </w:t>
      </w:r>
      <w:r w:rsidRPr="00BA77B0">
        <w:rPr>
          <w:rFonts w:ascii="Arial" w:eastAsia="Times New Roman" w:hAnsi="Arial" w:cs="Arial"/>
          <w:i/>
          <w:iCs/>
          <w:kern w:val="0"/>
          <w:sz w:val="24"/>
          <w:szCs w:val="24"/>
          <w:lang w:eastAsia="en-GB"/>
          <w14:ligatures w14:val="none"/>
        </w:rPr>
        <w:t>International Journal of Environmental Research and Public Health</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16</w:t>
      </w:r>
      <w:r w:rsidRPr="00BA77B0">
        <w:rPr>
          <w:rFonts w:ascii="Arial" w:eastAsia="Times New Roman" w:hAnsi="Arial" w:cs="Arial"/>
          <w:kern w:val="0"/>
          <w:sz w:val="24"/>
          <w:szCs w:val="24"/>
          <w:lang w:eastAsia="en-GB"/>
          <w14:ligatures w14:val="none"/>
        </w:rPr>
        <w:t>(13), 2365. https://doi.org/10.3390/ijerph16132365</w:t>
      </w:r>
    </w:p>
    <w:p w14:paraId="7DC892A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Burke Harris, N. (2018). </w:t>
      </w:r>
      <w:r w:rsidRPr="00BA77B0">
        <w:rPr>
          <w:rFonts w:ascii="Arial" w:eastAsia="Times New Roman" w:hAnsi="Arial" w:cs="Arial"/>
          <w:i/>
          <w:iCs/>
          <w:kern w:val="0"/>
          <w:sz w:val="24"/>
          <w:szCs w:val="24"/>
          <w:lang w:eastAsia="en-GB"/>
          <w14:ligatures w14:val="none"/>
        </w:rPr>
        <w:t xml:space="preserve">The deepest </w:t>
      </w:r>
      <w:proofErr w:type="gramStart"/>
      <w:r w:rsidRPr="00BA77B0">
        <w:rPr>
          <w:rFonts w:ascii="Arial" w:eastAsia="Times New Roman" w:hAnsi="Arial" w:cs="Arial"/>
          <w:i/>
          <w:iCs/>
          <w:kern w:val="0"/>
          <w:sz w:val="24"/>
          <w:szCs w:val="24"/>
          <w:lang w:eastAsia="en-GB"/>
          <w14:ligatures w14:val="none"/>
        </w:rPr>
        <w:t>well :</w:t>
      </w:r>
      <w:proofErr w:type="gramEnd"/>
      <w:r w:rsidRPr="00BA77B0">
        <w:rPr>
          <w:rFonts w:ascii="Arial" w:eastAsia="Times New Roman" w:hAnsi="Arial" w:cs="Arial"/>
          <w:i/>
          <w:iCs/>
          <w:kern w:val="0"/>
          <w:sz w:val="24"/>
          <w:szCs w:val="24"/>
          <w:lang w:eastAsia="en-GB"/>
          <w14:ligatures w14:val="none"/>
        </w:rPr>
        <w:t xml:space="preserve"> healing the long-term effects of childhood adversity</w:t>
      </w:r>
      <w:r w:rsidRPr="00BA77B0">
        <w:rPr>
          <w:rFonts w:ascii="Arial" w:eastAsia="Times New Roman" w:hAnsi="Arial" w:cs="Arial"/>
          <w:kern w:val="0"/>
          <w:sz w:val="24"/>
          <w:szCs w:val="24"/>
          <w:lang w:eastAsia="en-GB"/>
          <w14:ligatures w14:val="none"/>
        </w:rPr>
        <w:t>. Marine Books/Houghton Mifflin Harcourt.</w:t>
      </w:r>
    </w:p>
    <w:p w14:paraId="12AE5BF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Bywaters, P., Featherstone, B., &amp; Morris, K. (2019). Child Protection and Social Inequality: Editorial. </w:t>
      </w:r>
      <w:r w:rsidRPr="00BA77B0">
        <w:rPr>
          <w:rFonts w:ascii="Arial" w:eastAsia="Times New Roman" w:hAnsi="Arial" w:cs="Arial"/>
          <w:i/>
          <w:iCs/>
          <w:kern w:val="0"/>
          <w:sz w:val="24"/>
          <w:szCs w:val="24"/>
          <w:lang w:eastAsia="en-GB"/>
          <w14:ligatures w14:val="none"/>
        </w:rPr>
        <w:t>Social Sciences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8</w:t>
      </w:r>
      <w:r w:rsidRPr="00BA77B0">
        <w:rPr>
          <w:rFonts w:ascii="Arial" w:eastAsia="Times New Roman" w:hAnsi="Arial" w:cs="Arial"/>
          <w:kern w:val="0"/>
          <w:sz w:val="24"/>
          <w:szCs w:val="24"/>
          <w:lang w:eastAsia="en-GB"/>
          <w14:ligatures w14:val="none"/>
        </w:rPr>
        <w:t>(2), 42. https://doi.org/10.3390/socsci8020042</w:t>
      </w:r>
    </w:p>
    <w:p w14:paraId="460C04F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Carrington, L., Hale, L., Freeman, C., Smith, D., &amp; Perry, M. O. (2023). The effectiveness of play as an intervention using International Classification of Functioning outcome measures for children with disabilities – a systematic review and meta-synthesis. </w:t>
      </w:r>
      <w:r w:rsidRPr="00BA77B0">
        <w:rPr>
          <w:rFonts w:ascii="Arial" w:eastAsia="Times New Roman" w:hAnsi="Arial" w:cs="Arial"/>
          <w:i/>
          <w:iCs/>
          <w:kern w:val="0"/>
          <w:sz w:val="24"/>
          <w:szCs w:val="24"/>
          <w:lang w:eastAsia="en-GB"/>
          <w14:ligatures w14:val="none"/>
        </w:rPr>
        <w:t>Disability and Rehabilitation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46</w:t>
      </w:r>
      <w:r w:rsidRPr="00BA77B0">
        <w:rPr>
          <w:rFonts w:ascii="Arial" w:eastAsia="Times New Roman" w:hAnsi="Arial" w:cs="Arial"/>
          <w:kern w:val="0"/>
          <w:sz w:val="24"/>
          <w:szCs w:val="24"/>
          <w:lang w:eastAsia="en-GB"/>
          <w14:ligatures w14:val="none"/>
        </w:rPr>
        <w:t>(17), 1–22. https://doi.org/10.1080/09638288.2023.2259305</w:t>
      </w:r>
    </w:p>
    <w:p w14:paraId="5626CAC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Cattan, S., Fitzsimons, E., Goodman, A., Angus Phimister, Ploubidis, G. B., &amp; Wertz, J. (2024). Early childhood inequalities. </w:t>
      </w:r>
      <w:r w:rsidRPr="00BA77B0">
        <w:rPr>
          <w:rFonts w:ascii="Arial" w:eastAsia="Times New Roman" w:hAnsi="Arial" w:cs="Arial"/>
          <w:i/>
          <w:iCs/>
          <w:kern w:val="0"/>
          <w:sz w:val="24"/>
          <w:szCs w:val="24"/>
          <w:lang w:eastAsia="en-GB"/>
          <w14:ligatures w14:val="none"/>
        </w:rPr>
        <w:t>Oxford Open Economics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w:t>
      </w:r>
      <w:r w:rsidRPr="00BA77B0">
        <w:rPr>
          <w:rFonts w:ascii="Arial" w:eastAsia="Times New Roman" w:hAnsi="Arial" w:cs="Arial"/>
          <w:kern w:val="0"/>
          <w:sz w:val="24"/>
          <w:szCs w:val="24"/>
          <w:lang w:eastAsia="en-GB"/>
          <w14:ligatures w14:val="none"/>
        </w:rPr>
        <w:t>(Supplement_1), i711–i740. https://doi.org/10.1093/ooec/odad072</w:t>
      </w:r>
    </w:p>
    <w:p w14:paraId="293DE85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Chapman, R. (2021). Neurodiversity and the Social Ecology of Mental Functions. </w:t>
      </w:r>
      <w:r w:rsidRPr="00BA77B0">
        <w:rPr>
          <w:rFonts w:ascii="Arial" w:eastAsia="Times New Roman" w:hAnsi="Arial" w:cs="Arial"/>
          <w:i/>
          <w:iCs/>
          <w:kern w:val="0"/>
          <w:sz w:val="24"/>
          <w:szCs w:val="24"/>
          <w:lang w:eastAsia="en-GB"/>
          <w14:ligatures w14:val="none"/>
        </w:rPr>
        <w:t>Perspectives on Psychological Science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16</w:t>
      </w:r>
      <w:r w:rsidRPr="00BA77B0">
        <w:rPr>
          <w:rFonts w:ascii="Arial" w:eastAsia="Times New Roman" w:hAnsi="Arial" w:cs="Arial"/>
          <w:kern w:val="0"/>
          <w:sz w:val="24"/>
          <w:szCs w:val="24"/>
          <w:lang w:eastAsia="en-GB"/>
          <w14:ligatures w14:val="none"/>
        </w:rPr>
        <w:t>(6), 1360–1372. https://doi.org/10.1177/1745691620959833</w:t>
      </w:r>
    </w:p>
    <w:p w14:paraId="4708413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Chatzipanteli, A., &amp; Adamakis, M. (2022). Social Interaction Through Structured Play Activities and Games in Early Childhood. </w:t>
      </w:r>
      <w:r w:rsidRPr="00BA77B0">
        <w:rPr>
          <w:rFonts w:ascii="Arial" w:eastAsia="Times New Roman" w:hAnsi="Arial" w:cs="Arial"/>
          <w:i/>
          <w:iCs/>
          <w:kern w:val="0"/>
          <w:sz w:val="24"/>
          <w:szCs w:val="24"/>
          <w:lang w:eastAsia="en-GB"/>
          <w14:ligatures w14:val="none"/>
        </w:rPr>
        <w:t>Advances in Early Childhood and K-12 Education</w:t>
      </w:r>
      <w:r w:rsidRPr="00BA77B0">
        <w:rPr>
          <w:rFonts w:ascii="Arial" w:eastAsia="Times New Roman" w:hAnsi="Arial" w:cs="Arial"/>
          <w:kern w:val="0"/>
          <w:sz w:val="24"/>
          <w:szCs w:val="24"/>
          <w:lang w:eastAsia="en-GB"/>
          <w14:ligatures w14:val="none"/>
        </w:rPr>
        <w:t>, 80–99. https://doi.org/10.4018/978-1-7998-9621-0.ch005</w:t>
      </w:r>
    </w:p>
    <w:p w14:paraId="22BA46A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Chauhan, N., Sachdeva, D., Malhotra, S., &amp; Gupta, N. (2024). Play Therapy: An Analytical Mode of Therapy in Children. </w:t>
      </w:r>
      <w:r w:rsidRPr="00BA77B0">
        <w:rPr>
          <w:rFonts w:ascii="Arial" w:eastAsia="Times New Roman" w:hAnsi="Arial" w:cs="Arial"/>
          <w:i/>
          <w:iCs/>
          <w:kern w:val="0"/>
          <w:sz w:val="24"/>
          <w:szCs w:val="24"/>
          <w:lang w:eastAsia="en-GB"/>
          <w14:ligatures w14:val="none"/>
        </w:rPr>
        <w:t>Journal of Indian Association for Child and Adolescent Mental Health</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20</w:t>
      </w:r>
      <w:r w:rsidRPr="00BA77B0">
        <w:rPr>
          <w:rFonts w:ascii="Arial" w:eastAsia="Times New Roman" w:hAnsi="Arial" w:cs="Arial"/>
          <w:kern w:val="0"/>
          <w:sz w:val="24"/>
          <w:szCs w:val="24"/>
          <w:lang w:eastAsia="en-GB"/>
          <w14:ligatures w14:val="none"/>
        </w:rPr>
        <w:t>(2). https://doi.org/10.1177/09731342241238524</w:t>
      </w:r>
    </w:p>
    <w:p w14:paraId="5F362C1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Colliver, Y., &amp; Veraksa, N. (2021). Vygotsky’s contributions to understandings of emotional development through early childhood play. </w:t>
      </w:r>
      <w:r w:rsidRPr="00BA77B0">
        <w:rPr>
          <w:rFonts w:ascii="Arial" w:eastAsia="Times New Roman" w:hAnsi="Arial" w:cs="Arial"/>
          <w:i/>
          <w:iCs/>
          <w:kern w:val="0"/>
          <w:sz w:val="24"/>
          <w:szCs w:val="24"/>
          <w:lang w:eastAsia="en-GB"/>
          <w14:ligatures w14:val="none"/>
        </w:rPr>
        <w:t>Early Child Development and Care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191</w:t>
      </w:r>
      <w:r w:rsidRPr="00BA77B0">
        <w:rPr>
          <w:rFonts w:ascii="Arial" w:eastAsia="Times New Roman" w:hAnsi="Arial" w:cs="Arial"/>
          <w:kern w:val="0"/>
          <w:sz w:val="24"/>
          <w:szCs w:val="24"/>
          <w:lang w:eastAsia="en-GB"/>
          <w14:ligatures w14:val="none"/>
        </w:rPr>
        <w:t>(7-8), 1–15. https://doi.org/10.1080/03004430.2021.1887166</w:t>
      </w:r>
    </w:p>
    <w:p w14:paraId="3C45847B"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Coyne, I., Hallström, I., &amp; Söderbäck, M. (2016). Reframing the Focus from a family-centred to a child-centred Care Approach for Children’s Healthcare. </w:t>
      </w:r>
      <w:r w:rsidRPr="00BA77B0">
        <w:rPr>
          <w:rFonts w:ascii="Arial" w:eastAsia="Times New Roman" w:hAnsi="Arial" w:cs="Arial"/>
          <w:i/>
          <w:iCs/>
          <w:kern w:val="0"/>
          <w:sz w:val="24"/>
          <w:szCs w:val="24"/>
          <w:lang w:eastAsia="en-GB"/>
          <w14:ligatures w14:val="none"/>
        </w:rPr>
        <w:t>Journal of Child Health Care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20</w:t>
      </w:r>
      <w:r w:rsidRPr="00BA77B0">
        <w:rPr>
          <w:rFonts w:ascii="Arial" w:eastAsia="Times New Roman" w:hAnsi="Arial" w:cs="Arial"/>
          <w:kern w:val="0"/>
          <w:sz w:val="24"/>
          <w:szCs w:val="24"/>
          <w:lang w:eastAsia="en-GB"/>
          <w14:ligatures w14:val="none"/>
        </w:rPr>
        <w:t>(4), 494–502. https://doi.org/10.1177/1367493516642744</w:t>
      </w:r>
    </w:p>
    <w:p w14:paraId="51F849A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Crane, L., Adams, F., Harper, G., Welch, J., &amp; Pellicano, E. (2019). “Something needs to change”: Mental health experiences of young autistic adults in England. </w:t>
      </w:r>
      <w:r w:rsidRPr="00BA77B0">
        <w:rPr>
          <w:rFonts w:ascii="Arial" w:eastAsia="Times New Roman" w:hAnsi="Arial" w:cs="Arial"/>
          <w:i/>
          <w:iCs/>
          <w:kern w:val="0"/>
          <w:sz w:val="24"/>
          <w:szCs w:val="24"/>
          <w:lang w:eastAsia="en-GB"/>
          <w14:ligatures w14:val="none"/>
        </w:rPr>
        <w:t>Autism</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23</w:t>
      </w:r>
      <w:r w:rsidRPr="00BA77B0">
        <w:rPr>
          <w:rFonts w:ascii="Arial" w:eastAsia="Times New Roman" w:hAnsi="Arial" w:cs="Arial"/>
          <w:kern w:val="0"/>
          <w:sz w:val="24"/>
          <w:szCs w:val="24"/>
          <w:lang w:eastAsia="en-GB"/>
          <w14:ligatures w14:val="none"/>
        </w:rPr>
        <w:t>(2), 477–493. https://doi.org/10.1177/1362361318757048</w:t>
      </w:r>
    </w:p>
    <w:p w14:paraId="3D2DBBB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Davies, C., Gibson, S. P., Hendry, A., Archer, N. K., McGillion, M., &amp; Nayeli Gonzalez</w:t>
      </w:r>
      <w:r w:rsidRPr="00BA77B0">
        <w:rPr>
          <w:rFonts w:ascii="Cambria Math" w:eastAsia="Times New Roman" w:hAnsi="Cambria Math" w:cs="Cambria Math"/>
          <w:kern w:val="0"/>
          <w:sz w:val="24"/>
          <w:szCs w:val="24"/>
          <w:lang w:eastAsia="en-GB"/>
          <w14:ligatures w14:val="none"/>
        </w:rPr>
        <w:t>‐</w:t>
      </w:r>
      <w:r w:rsidRPr="00BA77B0">
        <w:rPr>
          <w:rFonts w:ascii="Arial" w:eastAsia="Times New Roman" w:hAnsi="Arial" w:cs="Arial"/>
          <w:kern w:val="0"/>
          <w:sz w:val="24"/>
          <w:szCs w:val="24"/>
          <w:lang w:eastAsia="en-GB"/>
          <w14:ligatures w14:val="none"/>
        </w:rPr>
        <w:t xml:space="preserve">Gomez. (2023). Sustained benefits of early childhood education and care (ECEC) for young children’s development during COVID-19. </w:t>
      </w:r>
      <w:r w:rsidRPr="00BA77B0">
        <w:rPr>
          <w:rFonts w:ascii="Arial" w:eastAsia="Times New Roman" w:hAnsi="Arial" w:cs="Arial"/>
          <w:i/>
          <w:iCs/>
          <w:kern w:val="0"/>
          <w:sz w:val="24"/>
          <w:szCs w:val="24"/>
          <w:lang w:eastAsia="en-GB"/>
          <w14:ligatures w14:val="none"/>
        </w:rPr>
        <w:t>Journal of Early Childhood Research</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22</w:t>
      </w:r>
      <w:r w:rsidRPr="00BA77B0">
        <w:rPr>
          <w:rFonts w:ascii="Arial" w:eastAsia="Times New Roman" w:hAnsi="Arial" w:cs="Arial"/>
          <w:kern w:val="0"/>
          <w:sz w:val="24"/>
          <w:szCs w:val="24"/>
          <w:lang w:eastAsia="en-GB"/>
          <w14:ligatures w14:val="none"/>
        </w:rPr>
        <w:t>(2). https://doi.org/10.1177/1476718x231213488</w:t>
      </w:r>
    </w:p>
    <w:p w14:paraId="1E8762F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De Los Reyes, A., Augenstein, T. M., Wang, M., Thomas, S. A., Drabick, D. A. G., Burgers, D. E., &amp; Rabinowitz, J. (2015). The validity of the multi-informant approach to assessing child and adolescent mental health. </w:t>
      </w:r>
      <w:r w:rsidRPr="00BA77B0">
        <w:rPr>
          <w:rFonts w:ascii="Arial" w:eastAsia="Times New Roman" w:hAnsi="Arial" w:cs="Arial"/>
          <w:i/>
          <w:iCs/>
          <w:kern w:val="0"/>
          <w:sz w:val="24"/>
          <w:szCs w:val="24"/>
          <w:lang w:eastAsia="en-GB"/>
          <w14:ligatures w14:val="none"/>
        </w:rPr>
        <w:t>Psychological Bulletin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141</w:t>
      </w:r>
      <w:r w:rsidRPr="00BA77B0">
        <w:rPr>
          <w:rFonts w:ascii="Arial" w:eastAsia="Times New Roman" w:hAnsi="Arial" w:cs="Arial"/>
          <w:kern w:val="0"/>
          <w:sz w:val="24"/>
          <w:szCs w:val="24"/>
          <w:lang w:eastAsia="en-GB"/>
          <w14:ligatures w14:val="none"/>
        </w:rPr>
        <w:t>(4), 858–900. https://doi.org/10.1037/a0038498</w:t>
      </w:r>
    </w:p>
    <w:p w14:paraId="4AEBEDB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Dean, M., Harwood, R., &amp; Kasari, C. (2017). The Art of camouflage: Gender Differences in the Social Behaviors of Girls and Boys with Autism Spectrum Disorder. </w:t>
      </w:r>
      <w:r w:rsidRPr="00BA77B0">
        <w:rPr>
          <w:rFonts w:ascii="Arial" w:eastAsia="Times New Roman" w:hAnsi="Arial" w:cs="Arial"/>
          <w:i/>
          <w:iCs/>
          <w:kern w:val="0"/>
          <w:sz w:val="24"/>
          <w:szCs w:val="24"/>
          <w:lang w:eastAsia="en-GB"/>
          <w14:ligatures w14:val="none"/>
        </w:rPr>
        <w:t>Autism</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21</w:t>
      </w:r>
      <w:r w:rsidRPr="00BA77B0">
        <w:rPr>
          <w:rFonts w:ascii="Arial" w:eastAsia="Times New Roman" w:hAnsi="Arial" w:cs="Arial"/>
          <w:kern w:val="0"/>
          <w:sz w:val="24"/>
          <w:szCs w:val="24"/>
          <w:lang w:eastAsia="en-GB"/>
          <w14:ligatures w14:val="none"/>
        </w:rPr>
        <w:t>(6), 678–689. https://doi.org/10.1177/1362361316671845</w:t>
      </w:r>
    </w:p>
    <w:p w14:paraId="580ADBAB"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Dodd, H. F., Nesbit, R. J., &amp; FitzGibbon, L. (2022). Child’s play: Examining the association between time spent playing and child mental health. </w:t>
      </w:r>
      <w:r w:rsidRPr="00BA77B0">
        <w:rPr>
          <w:rFonts w:ascii="Arial" w:eastAsia="Times New Roman" w:hAnsi="Arial" w:cs="Arial"/>
          <w:i/>
          <w:iCs/>
          <w:kern w:val="0"/>
          <w:sz w:val="24"/>
          <w:szCs w:val="24"/>
          <w:lang w:eastAsia="en-GB"/>
          <w14:ligatures w14:val="none"/>
        </w:rPr>
        <w:t>Child Psychiatry &amp; Human Development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54</w:t>
      </w:r>
      <w:r w:rsidRPr="00BA77B0">
        <w:rPr>
          <w:rFonts w:ascii="Arial" w:eastAsia="Times New Roman" w:hAnsi="Arial" w:cs="Arial"/>
          <w:kern w:val="0"/>
          <w:sz w:val="24"/>
          <w:szCs w:val="24"/>
          <w:lang w:eastAsia="en-GB"/>
          <w14:ligatures w14:val="none"/>
        </w:rPr>
        <w:t>(6).</w:t>
      </w:r>
    </w:p>
    <w:p w14:paraId="339A21B0"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Fazel, M., Hoagwood, K., Stephan, S., &amp; Ford, T. (2014). Mental health interventions in schools in high-income countries. </w:t>
      </w:r>
      <w:r w:rsidRPr="00BA77B0">
        <w:rPr>
          <w:rFonts w:ascii="Arial" w:eastAsia="Times New Roman" w:hAnsi="Arial" w:cs="Arial"/>
          <w:i/>
          <w:iCs/>
          <w:kern w:val="0"/>
          <w:sz w:val="24"/>
          <w:szCs w:val="24"/>
          <w:lang w:eastAsia="en-GB"/>
          <w14:ligatures w14:val="none"/>
        </w:rPr>
        <w:t>The Lancet Psychiatry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w:t>
      </w:r>
      <w:r w:rsidRPr="00BA77B0">
        <w:rPr>
          <w:rFonts w:ascii="Arial" w:eastAsia="Times New Roman" w:hAnsi="Arial" w:cs="Arial"/>
          <w:kern w:val="0"/>
          <w:sz w:val="24"/>
          <w:szCs w:val="24"/>
          <w:lang w:eastAsia="en-GB"/>
          <w14:ligatures w14:val="none"/>
        </w:rPr>
        <w:t>(5), 377–387. https://doi.org/10.1016/S2215-0366(14)70312-8</w:t>
      </w:r>
    </w:p>
    <w:p w14:paraId="3B0B2C5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Featherstone, B., Morris, K., Daniel, B., Bywaters, P., Brady, G., Bunting, L., Mason, W., &amp; Mirza, N. (2019). Poverty, inequality, Child Abuse and neglect: Changing the Conversation across the UK in Child protection? </w:t>
      </w:r>
      <w:r w:rsidRPr="00BA77B0">
        <w:rPr>
          <w:rFonts w:ascii="Arial" w:eastAsia="Times New Roman" w:hAnsi="Arial" w:cs="Arial"/>
          <w:i/>
          <w:iCs/>
          <w:kern w:val="0"/>
          <w:sz w:val="24"/>
          <w:szCs w:val="24"/>
          <w:lang w:eastAsia="en-GB"/>
          <w14:ligatures w14:val="none"/>
        </w:rPr>
        <w:t>Children and Youth Services Review</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97</w:t>
      </w:r>
      <w:r w:rsidRPr="00BA77B0">
        <w:rPr>
          <w:rFonts w:ascii="Arial" w:eastAsia="Times New Roman" w:hAnsi="Arial" w:cs="Arial"/>
          <w:kern w:val="0"/>
          <w:sz w:val="24"/>
          <w:szCs w:val="24"/>
          <w:lang w:eastAsia="en-GB"/>
          <w14:ligatures w14:val="none"/>
        </w:rPr>
        <w:t>(97), 127–133. https://doi.org/10.1016/j.childyouth.2017.06.009</w:t>
      </w:r>
    </w:p>
    <w:p w14:paraId="36B1B3F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Finkel, E. J., &amp; Hall, A. N. (2018). The I 3 Model: a metatheoretical framework for understanding aggression. </w:t>
      </w:r>
      <w:r w:rsidRPr="00BA77B0">
        <w:rPr>
          <w:rFonts w:ascii="Arial" w:eastAsia="Times New Roman" w:hAnsi="Arial" w:cs="Arial"/>
          <w:i/>
          <w:iCs/>
          <w:kern w:val="0"/>
          <w:sz w:val="24"/>
          <w:szCs w:val="24"/>
          <w:lang w:eastAsia="en-GB"/>
          <w14:ligatures w14:val="none"/>
        </w:rPr>
        <w:t>Current Opinion in Psychology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19</w:t>
      </w:r>
      <w:r w:rsidRPr="00BA77B0">
        <w:rPr>
          <w:rFonts w:ascii="Arial" w:eastAsia="Times New Roman" w:hAnsi="Arial" w:cs="Arial"/>
          <w:kern w:val="0"/>
          <w:sz w:val="24"/>
          <w:szCs w:val="24"/>
          <w:lang w:eastAsia="en-GB"/>
          <w14:ligatures w14:val="none"/>
        </w:rPr>
        <w:t>, 125–130. https://doi.org/10.1016/j.copsyc.2017.03.013</w:t>
      </w:r>
    </w:p>
    <w:p w14:paraId="5A50FB5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Fleer, M. (2018). Conceptual Playworlds: the role of imagination in play and learning. </w:t>
      </w:r>
      <w:r w:rsidRPr="00BA77B0">
        <w:rPr>
          <w:rFonts w:ascii="Arial" w:eastAsia="Times New Roman" w:hAnsi="Arial" w:cs="Arial"/>
          <w:i/>
          <w:iCs/>
          <w:kern w:val="0"/>
          <w:sz w:val="24"/>
          <w:szCs w:val="24"/>
          <w:lang w:eastAsia="en-GB"/>
          <w14:ligatures w14:val="none"/>
        </w:rPr>
        <w:t>Early Years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41</w:t>
      </w:r>
      <w:r w:rsidRPr="00BA77B0">
        <w:rPr>
          <w:rFonts w:ascii="Arial" w:eastAsia="Times New Roman" w:hAnsi="Arial" w:cs="Arial"/>
          <w:kern w:val="0"/>
          <w:sz w:val="24"/>
          <w:szCs w:val="24"/>
          <w:lang w:eastAsia="en-GB"/>
          <w14:ligatures w14:val="none"/>
        </w:rPr>
        <w:t>(4), 1–12. https://doi.org/10.1080/09575146.2018.1549024</w:t>
      </w:r>
    </w:p>
    <w:p w14:paraId="6FC6394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Fleer, M., &amp; Veresov, N. (2018). Cultural-Historical and Activity Theories Informing Early Childhood Education. </w:t>
      </w:r>
      <w:r w:rsidRPr="00BA77B0">
        <w:rPr>
          <w:rFonts w:ascii="Arial" w:eastAsia="Times New Roman" w:hAnsi="Arial" w:cs="Arial"/>
          <w:i/>
          <w:iCs/>
          <w:kern w:val="0"/>
          <w:sz w:val="24"/>
          <w:szCs w:val="24"/>
          <w:lang w:eastAsia="en-GB"/>
          <w14:ligatures w14:val="none"/>
        </w:rPr>
        <w:t>International Handbook of Early Childhood Education</w:t>
      </w:r>
      <w:r w:rsidRPr="00BA77B0">
        <w:rPr>
          <w:rFonts w:ascii="Arial" w:eastAsia="Times New Roman" w:hAnsi="Arial" w:cs="Arial"/>
          <w:kern w:val="0"/>
          <w:sz w:val="24"/>
          <w:szCs w:val="24"/>
          <w:lang w:eastAsia="en-GB"/>
          <w14:ligatures w14:val="none"/>
        </w:rPr>
        <w:t>, 47–76. https://doi.org/10.1007/978-94-024-0927-7_3</w:t>
      </w:r>
    </w:p>
    <w:p w14:paraId="229127E0"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Fletcher-Watson, S., &amp; Happé, F. (2019). </w:t>
      </w:r>
      <w:r w:rsidRPr="00BA77B0">
        <w:rPr>
          <w:rFonts w:ascii="Arial" w:eastAsia="Times New Roman" w:hAnsi="Arial" w:cs="Arial"/>
          <w:i/>
          <w:iCs/>
          <w:kern w:val="0"/>
          <w:sz w:val="24"/>
          <w:szCs w:val="24"/>
          <w:lang w:eastAsia="en-GB"/>
          <w14:ligatures w14:val="none"/>
        </w:rPr>
        <w:t>Autism</w:t>
      </w:r>
      <w:r w:rsidRPr="00BA77B0">
        <w:rPr>
          <w:rFonts w:ascii="Arial" w:eastAsia="Times New Roman" w:hAnsi="Arial" w:cs="Arial"/>
          <w:kern w:val="0"/>
          <w:sz w:val="24"/>
          <w:szCs w:val="24"/>
          <w:lang w:eastAsia="en-GB"/>
          <w14:ligatures w14:val="none"/>
        </w:rPr>
        <w:t>. Routledge. https://doi.org/10.4324/9781315101699</w:t>
      </w:r>
    </w:p>
    <w:p w14:paraId="35B37B3E"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Fonagy, P. (2015). The Effectiveness of Psychodynamic psychotherapies: an Update. </w:t>
      </w:r>
      <w:r w:rsidRPr="00BA77B0">
        <w:rPr>
          <w:rFonts w:ascii="Arial" w:eastAsia="Times New Roman" w:hAnsi="Arial" w:cs="Arial"/>
          <w:i/>
          <w:iCs/>
          <w:kern w:val="0"/>
          <w:sz w:val="24"/>
          <w:szCs w:val="24"/>
          <w:lang w:eastAsia="en-GB"/>
          <w14:ligatures w14:val="none"/>
        </w:rPr>
        <w:t>World Psychiatry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14</w:t>
      </w:r>
      <w:r w:rsidRPr="00BA77B0">
        <w:rPr>
          <w:rFonts w:ascii="Arial" w:eastAsia="Times New Roman" w:hAnsi="Arial" w:cs="Arial"/>
          <w:kern w:val="0"/>
          <w:sz w:val="24"/>
          <w:szCs w:val="24"/>
          <w:lang w:eastAsia="en-GB"/>
          <w14:ligatures w14:val="none"/>
        </w:rPr>
        <w:t>(2), 137–150. https://doi.org/10.1002/wps.20235</w:t>
      </w:r>
    </w:p>
    <w:p w14:paraId="418BBC3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Gaskill, R., &amp; Perry, B. (2014). </w:t>
      </w:r>
      <w:r w:rsidRPr="00BA77B0">
        <w:rPr>
          <w:rFonts w:ascii="Arial" w:eastAsia="Times New Roman" w:hAnsi="Arial" w:cs="Arial"/>
          <w:i/>
          <w:iCs/>
          <w:kern w:val="0"/>
          <w:sz w:val="24"/>
          <w:szCs w:val="24"/>
          <w:lang w:eastAsia="en-GB"/>
          <w14:ligatures w14:val="none"/>
        </w:rPr>
        <w:t>The Neurobiological Power of Play Using the Neurosequential Model of Therapeutics to Guide Play in the Healing Process</w:t>
      </w:r>
      <w:r w:rsidRPr="00BA77B0">
        <w:rPr>
          <w:rFonts w:ascii="Arial" w:eastAsia="Times New Roman" w:hAnsi="Arial" w:cs="Arial"/>
          <w:kern w:val="0"/>
          <w:sz w:val="24"/>
          <w:szCs w:val="24"/>
          <w:lang w:eastAsia="en-GB"/>
          <w14:ligatures w14:val="none"/>
        </w:rPr>
        <w:t>. https://childandfamily-sa.org.au/wp-content/uploads/2022/10/Neurobiological_Power_of_Play_Malchiodi_Perry_Gaskill.pdf</w:t>
      </w:r>
    </w:p>
    <w:p w14:paraId="28C0306C"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Gates, J. A., Kang, E., &amp; Lerner, M. D. (2017). Efficacy of group social skills interventions for youth with autism spectrum disorder: A systematic review and meta-analysis. </w:t>
      </w:r>
      <w:r w:rsidRPr="00BA77B0">
        <w:rPr>
          <w:rFonts w:ascii="Arial" w:eastAsia="Times New Roman" w:hAnsi="Arial" w:cs="Arial"/>
          <w:i/>
          <w:iCs/>
          <w:kern w:val="0"/>
          <w:sz w:val="24"/>
          <w:szCs w:val="24"/>
          <w:lang w:eastAsia="en-GB"/>
          <w14:ligatures w14:val="none"/>
        </w:rPr>
        <w:t>Clinical Psychology Review</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52</w:t>
      </w:r>
      <w:r w:rsidRPr="00BA77B0">
        <w:rPr>
          <w:rFonts w:ascii="Arial" w:eastAsia="Times New Roman" w:hAnsi="Arial" w:cs="Arial"/>
          <w:kern w:val="0"/>
          <w:sz w:val="24"/>
          <w:szCs w:val="24"/>
          <w:lang w:eastAsia="en-GB"/>
          <w14:ligatures w14:val="none"/>
        </w:rPr>
        <w:t>, 164–181. https://doi.org/10.1016/j.cpr.2017.01.006</w:t>
      </w:r>
    </w:p>
    <w:p w14:paraId="700E59A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Gopnik, A. (2020). Childhood as a solution to explore–exploit tensions. </w:t>
      </w:r>
      <w:r w:rsidRPr="00BA77B0">
        <w:rPr>
          <w:rFonts w:ascii="Arial" w:eastAsia="Times New Roman" w:hAnsi="Arial" w:cs="Arial"/>
          <w:i/>
          <w:iCs/>
          <w:kern w:val="0"/>
          <w:sz w:val="24"/>
          <w:szCs w:val="24"/>
          <w:lang w:eastAsia="en-GB"/>
          <w14:ligatures w14:val="none"/>
        </w:rPr>
        <w:t>Philosophical Transactions of the Royal Society B: Biological Sciences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375</w:t>
      </w:r>
      <w:r w:rsidRPr="00BA77B0">
        <w:rPr>
          <w:rFonts w:ascii="Arial" w:eastAsia="Times New Roman" w:hAnsi="Arial" w:cs="Arial"/>
          <w:kern w:val="0"/>
          <w:sz w:val="24"/>
          <w:szCs w:val="24"/>
          <w:lang w:eastAsia="en-GB"/>
          <w14:ligatures w14:val="none"/>
        </w:rPr>
        <w:t>(1803), 20190502. https://doi.org/10.1098/rstb.2019.0502</w:t>
      </w:r>
    </w:p>
    <w:p w14:paraId="719335C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Griffin, L., &amp; Parson, J. (2023). Evidencing the therapeutic powers of play to understand the mechanism of change in filial therapy.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32</w:t>
      </w:r>
      <w:r w:rsidRPr="00BA77B0">
        <w:rPr>
          <w:rFonts w:ascii="Arial" w:eastAsia="Times New Roman" w:hAnsi="Arial" w:cs="Arial"/>
          <w:kern w:val="0"/>
          <w:sz w:val="24"/>
          <w:szCs w:val="24"/>
          <w:lang w:eastAsia="en-GB"/>
          <w14:ligatures w14:val="none"/>
        </w:rPr>
        <w:t>(2). https://doi.org/10.1037/pla0000193</w:t>
      </w:r>
    </w:p>
    <w:p w14:paraId="378253AE"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Haoyue, W., Donna, M., &amp; Oyam. (2024). The Role of play-based Learning in Early Childhood Cognitive Development. </w:t>
      </w:r>
      <w:r w:rsidRPr="00BA77B0">
        <w:rPr>
          <w:rFonts w:ascii="Arial" w:eastAsia="Times New Roman" w:hAnsi="Arial" w:cs="Arial"/>
          <w:i/>
          <w:iCs/>
          <w:kern w:val="0"/>
          <w:sz w:val="24"/>
          <w:szCs w:val="24"/>
          <w:lang w:eastAsia="en-GB"/>
          <w14:ligatures w14:val="none"/>
        </w:rPr>
        <w:t>Print) International Journal of Social Science and Humanities Research</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12</w:t>
      </w:r>
      <w:r w:rsidRPr="00BA77B0">
        <w:rPr>
          <w:rFonts w:ascii="Arial" w:eastAsia="Times New Roman" w:hAnsi="Arial" w:cs="Arial"/>
          <w:kern w:val="0"/>
          <w:sz w:val="24"/>
          <w:szCs w:val="24"/>
          <w:lang w:eastAsia="en-GB"/>
          <w14:ligatures w14:val="none"/>
        </w:rPr>
        <w:t>(3), 139–144. https://doi.org/10.5281/zenodo.13143653</w:t>
      </w:r>
    </w:p>
    <w:p w14:paraId="1DD10BF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Hill, H. M., Dietrich, S., &amp; Cappiello, B. (2017). Learning to play: A review and theoretical investigation of the developmental mechanisms and functions of cetacean play. </w:t>
      </w:r>
      <w:r w:rsidRPr="00BA77B0">
        <w:rPr>
          <w:rFonts w:ascii="Arial" w:eastAsia="Times New Roman" w:hAnsi="Arial" w:cs="Arial"/>
          <w:i/>
          <w:iCs/>
          <w:kern w:val="0"/>
          <w:sz w:val="24"/>
          <w:szCs w:val="24"/>
          <w:lang w:eastAsia="en-GB"/>
          <w14:ligatures w14:val="none"/>
        </w:rPr>
        <w:t>Learning &amp; Behavior</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45</w:t>
      </w:r>
      <w:r w:rsidRPr="00BA77B0">
        <w:rPr>
          <w:rFonts w:ascii="Arial" w:eastAsia="Times New Roman" w:hAnsi="Arial" w:cs="Arial"/>
          <w:kern w:val="0"/>
          <w:sz w:val="24"/>
          <w:szCs w:val="24"/>
          <w:lang w:eastAsia="en-GB"/>
          <w14:ligatures w14:val="none"/>
        </w:rPr>
        <w:t>(4), 335–354. https://doi.org/10.3758/s13420-017-0291-0</w:t>
      </w:r>
    </w:p>
    <w:p w14:paraId="77C4965C"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Holmes, J., &amp; Slade, A. (2018). </w:t>
      </w:r>
      <w:r w:rsidRPr="00BA77B0">
        <w:rPr>
          <w:rFonts w:ascii="Arial" w:eastAsia="Times New Roman" w:hAnsi="Arial" w:cs="Arial"/>
          <w:i/>
          <w:iCs/>
          <w:kern w:val="0"/>
          <w:sz w:val="24"/>
          <w:szCs w:val="24"/>
          <w:lang w:eastAsia="en-GB"/>
          <w14:ligatures w14:val="none"/>
        </w:rPr>
        <w:t>Attachment in Therapeutic Practice</w:t>
      </w:r>
      <w:r w:rsidRPr="00BA77B0">
        <w:rPr>
          <w:rFonts w:ascii="Arial" w:eastAsia="Times New Roman" w:hAnsi="Arial" w:cs="Arial"/>
          <w:kern w:val="0"/>
          <w:sz w:val="24"/>
          <w:szCs w:val="24"/>
          <w:lang w:eastAsia="en-GB"/>
          <w14:ligatures w14:val="none"/>
        </w:rPr>
        <w:t>. SAGE Publications Ltd. https://doi.org/10.4135/9781036234447</w:t>
      </w:r>
    </w:p>
    <w:p w14:paraId="4BC937E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Hook, J. N., Farrell, J. E., Davis, D. E., DeBlaere, C., Van Tongeren, D. R., &amp; Utsey, S. O. (2016). Cultural humility and racial microaggressions in counseling. </w:t>
      </w:r>
      <w:r w:rsidRPr="00BA77B0">
        <w:rPr>
          <w:rFonts w:ascii="Arial" w:eastAsia="Times New Roman" w:hAnsi="Arial" w:cs="Arial"/>
          <w:i/>
          <w:iCs/>
          <w:kern w:val="0"/>
          <w:sz w:val="24"/>
          <w:szCs w:val="24"/>
          <w:lang w:eastAsia="en-GB"/>
          <w14:ligatures w14:val="none"/>
        </w:rPr>
        <w:t>Journal of Counseling Psychology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63</w:t>
      </w:r>
      <w:r w:rsidRPr="00BA77B0">
        <w:rPr>
          <w:rFonts w:ascii="Arial" w:eastAsia="Times New Roman" w:hAnsi="Arial" w:cs="Arial"/>
          <w:kern w:val="0"/>
          <w:sz w:val="24"/>
          <w:szCs w:val="24"/>
          <w:lang w:eastAsia="en-GB"/>
          <w14:ligatures w14:val="none"/>
        </w:rPr>
        <w:t>(3), 269–277. https://doi.org/10.1037/cou0000114</w:t>
      </w:r>
    </w:p>
    <w:p w14:paraId="0171F20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Hope Currin, F. (2022). Supporting Shy &amp; Neurodivergent Children in Social Play. </w:t>
      </w:r>
      <w:r w:rsidRPr="00BA77B0">
        <w:rPr>
          <w:rFonts w:ascii="Arial" w:eastAsia="Times New Roman" w:hAnsi="Arial" w:cs="Arial"/>
          <w:i/>
          <w:iCs/>
          <w:kern w:val="0"/>
          <w:sz w:val="24"/>
          <w:szCs w:val="24"/>
          <w:lang w:eastAsia="en-GB"/>
          <w14:ligatures w14:val="none"/>
        </w:rPr>
        <w:t>CHI Conference on Human Factors in Computing Systems Extended Abstracts</w:t>
      </w:r>
      <w:r w:rsidRPr="00BA77B0">
        <w:rPr>
          <w:rFonts w:ascii="Arial" w:eastAsia="Times New Roman" w:hAnsi="Arial" w:cs="Arial"/>
          <w:kern w:val="0"/>
          <w:sz w:val="24"/>
          <w:szCs w:val="24"/>
          <w:lang w:eastAsia="en-GB"/>
          <w14:ligatures w14:val="none"/>
        </w:rPr>
        <w:t>. https://doi.org/10.1145/3491101.3503800</w:t>
      </w:r>
    </w:p>
    <w:p w14:paraId="0B5EEC55"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Humble, J. J., Summers, N. L., Villarreal, V., Styck, K. M., Sullivan, J. R., Hechler, J. M., &amp; Warren, B. S. (2018). Child-Centered Play Therapy for Youths Who Have Experienced Trauma: a Systematic Literature Review. </w:t>
      </w:r>
      <w:r w:rsidRPr="00BA77B0">
        <w:rPr>
          <w:rFonts w:ascii="Arial" w:eastAsia="Times New Roman" w:hAnsi="Arial" w:cs="Arial"/>
          <w:i/>
          <w:iCs/>
          <w:kern w:val="0"/>
          <w:sz w:val="24"/>
          <w:szCs w:val="24"/>
          <w:lang w:eastAsia="en-GB"/>
          <w14:ligatures w14:val="none"/>
        </w:rPr>
        <w:t>Journal of Child &amp; Adolescent Trauma</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12</w:t>
      </w:r>
      <w:r w:rsidRPr="00BA77B0">
        <w:rPr>
          <w:rFonts w:ascii="Arial" w:eastAsia="Times New Roman" w:hAnsi="Arial" w:cs="Arial"/>
          <w:kern w:val="0"/>
          <w:sz w:val="24"/>
          <w:szCs w:val="24"/>
          <w:lang w:eastAsia="en-GB"/>
          <w14:ligatures w14:val="none"/>
        </w:rPr>
        <w:t>(3), 365–375. https://doi.org/10.1007/s40653-018-0235-7</w:t>
      </w:r>
    </w:p>
    <w:p w14:paraId="539D410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Immordino-Yang, M. H., Darling-Hammond, L., &amp; Krone, C. R. (2019). Nurturing Nature: How Brain Development Is Inherently Social and Emotional, and What This Means for Education. </w:t>
      </w:r>
      <w:r w:rsidRPr="00BA77B0">
        <w:rPr>
          <w:rFonts w:ascii="Arial" w:eastAsia="Times New Roman" w:hAnsi="Arial" w:cs="Arial"/>
          <w:i/>
          <w:iCs/>
          <w:kern w:val="0"/>
          <w:sz w:val="24"/>
          <w:szCs w:val="24"/>
          <w:lang w:eastAsia="en-GB"/>
          <w14:ligatures w14:val="none"/>
        </w:rPr>
        <w:t>Educational Psychologist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54</w:t>
      </w:r>
      <w:r w:rsidRPr="00BA77B0">
        <w:rPr>
          <w:rFonts w:ascii="Arial" w:eastAsia="Times New Roman" w:hAnsi="Arial" w:cs="Arial"/>
          <w:kern w:val="0"/>
          <w:sz w:val="24"/>
          <w:szCs w:val="24"/>
          <w:lang w:eastAsia="en-GB"/>
          <w14:ligatures w14:val="none"/>
        </w:rPr>
        <w:t>(3), 185–204. https://doi.org/10.1080/00461520.2019.1633924</w:t>
      </w:r>
    </w:p>
    <w:p w14:paraId="52D4D88A"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Jayne, K. M., Purswell, K. E., &amp; Stulmaker, H. L. (2019). Facilitating congruence, empathy, and unconditional positive regard through therapeutic limit-setting: Attitudinal conditions limit-setting model (ACLM).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28</w:t>
      </w:r>
      <w:r w:rsidRPr="00BA77B0">
        <w:rPr>
          <w:rFonts w:ascii="Arial" w:eastAsia="Times New Roman" w:hAnsi="Arial" w:cs="Arial"/>
          <w:kern w:val="0"/>
          <w:sz w:val="24"/>
          <w:szCs w:val="24"/>
          <w:lang w:eastAsia="en-GB"/>
          <w14:ligatures w14:val="none"/>
        </w:rPr>
        <w:t>(4), 238–249. https://doi.org/10.1037/pla0000101</w:t>
      </w:r>
    </w:p>
    <w:p w14:paraId="4A83F54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Jessee, P. O., Wilson, H., &amp; Morgan, D. (2000). Medical Play for Young Children. </w:t>
      </w:r>
      <w:r w:rsidRPr="00BA77B0">
        <w:rPr>
          <w:rFonts w:ascii="Arial" w:eastAsia="Times New Roman" w:hAnsi="Arial" w:cs="Arial"/>
          <w:i/>
          <w:iCs/>
          <w:kern w:val="0"/>
          <w:sz w:val="24"/>
          <w:szCs w:val="24"/>
          <w:lang w:eastAsia="en-GB"/>
          <w14:ligatures w14:val="none"/>
        </w:rPr>
        <w:t>Childhood Education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76</w:t>
      </w:r>
      <w:r w:rsidRPr="00BA77B0">
        <w:rPr>
          <w:rFonts w:ascii="Arial" w:eastAsia="Times New Roman" w:hAnsi="Arial" w:cs="Arial"/>
          <w:kern w:val="0"/>
          <w:sz w:val="24"/>
          <w:szCs w:val="24"/>
          <w:lang w:eastAsia="en-GB"/>
          <w14:ligatures w14:val="none"/>
        </w:rPr>
        <w:t>(4), 215–218. https://doi.org/10.1080/00094056.2000.10521165</w:t>
      </w:r>
    </w:p>
    <w:p w14:paraId="4364B79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Johora, F. T., Fleer, M., &amp; Veresov, N. (2020). Inclusion of a child with expressive language difficulties in a mainstream Australian preschool – roundabout ways can create opportunities for participation. </w:t>
      </w:r>
      <w:r w:rsidRPr="00BA77B0">
        <w:rPr>
          <w:rFonts w:ascii="Arial" w:eastAsia="Times New Roman" w:hAnsi="Arial" w:cs="Arial"/>
          <w:i/>
          <w:iCs/>
          <w:kern w:val="0"/>
          <w:sz w:val="24"/>
          <w:szCs w:val="24"/>
          <w:lang w:eastAsia="en-GB"/>
          <w14:ligatures w14:val="none"/>
        </w:rPr>
        <w:t>International Journal of Inclusive Education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25</w:t>
      </w:r>
      <w:r w:rsidRPr="00BA77B0">
        <w:rPr>
          <w:rFonts w:ascii="Arial" w:eastAsia="Times New Roman" w:hAnsi="Arial" w:cs="Arial"/>
          <w:kern w:val="0"/>
          <w:sz w:val="24"/>
          <w:szCs w:val="24"/>
          <w:lang w:eastAsia="en-GB"/>
          <w14:ligatures w14:val="none"/>
        </w:rPr>
        <w:t>(11), 1–18. https://doi.org/10.1080/13603116.2019.1609100</w:t>
      </w:r>
    </w:p>
    <w:p w14:paraId="09E5360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Kaizar, V. O., &amp; Alordiah, C. (2023). UNDERSTANDING THE ROLE OF PLAY IN PROMOTING COGNITIVE, SOCIAL, AND EMOTIONAL DEVELOPMENT IN SCHOOL... </w:t>
      </w:r>
      <w:r w:rsidRPr="00BA77B0">
        <w:rPr>
          <w:rFonts w:ascii="Arial" w:eastAsia="Times New Roman" w:hAnsi="Arial" w:cs="Arial"/>
          <w:i/>
          <w:iCs/>
          <w:kern w:val="0"/>
          <w:sz w:val="24"/>
          <w:szCs w:val="24"/>
          <w:lang w:eastAsia="en-GB"/>
          <w14:ligatures w14:val="none"/>
        </w:rPr>
        <w:t>ResearchGate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w:t>
      </w:r>
      <w:r w:rsidRPr="00BA77B0">
        <w:rPr>
          <w:rFonts w:ascii="Arial" w:eastAsia="Times New Roman" w:hAnsi="Arial" w:cs="Arial"/>
          <w:kern w:val="0"/>
          <w:sz w:val="24"/>
          <w:szCs w:val="24"/>
          <w:lang w:eastAsia="en-GB"/>
          <w14:ligatures w14:val="none"/>
        </w:rPr>
        <w:t>(1), 138–152. https://www.researchgate.net/publication/374419878_UNDERSTANDING_THE_ROLE_OF_PLAY_IN_PROMOTING_COGNITIVE_SOCIAL_AND_EMOTIONAL_DEVELOPMENT_IN_SCHOOL_CHILDREN_IMPLICATIONS_FOR_COUNSELLORS_AND_EVALUATORS</w:t>
      </w:r>
    </w:p>
    <w:p w14:paraId="3955F67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Keller, H. (2018). Universality Claim of Attachment theory: Children’s Socioemotional Development across Cultures. </w:t>
      </w:r>
      <w:r w:rsidRPr="00BA77B0">
        <w:rPr>
          <w:rFonts w:ascii="Arial" w:eastAsia="Times New Roman" w:hAnsi="Arial" w:cs="Arial"/>
          <w:i/>
          <w:iCs/>
          <w:kern w:val="0"/>
          <w:sz w:val="24"/>
          <w:szCs w:val="24"/>
          <w:lang w:eastAsia="en-GB"/>
          <w14:ligatures w14:val="none"/>
        </w:rPr>
        <w:t>Proceedings of the National Academy of Sciences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115</w:t>
      </w:r>
      <w:r w:rsidRPr="00BA77B0">
        <w:rPr>
          <w:rFonts w:ascii="Arial" w:eastAsia="Times New Roman" w:hAnsi="Arial" w:cs="Arial"/>
          <w:kern w:val="0"/>
          <w:sz w:val="24"/>
          <w:szCs w:val="24"/>
          <w:lang w:eastAsia="en-GB"/>
          <w14:ligatures w14:val="none"/>
        </w:rPr>
        <w:t>(45), 11414–11419. https://doi.org/10.1073/pnas.1720325115</w:t>
      </w:r>
    </w:p>
    <w:p w14:paraId="31DD2A3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Kelly, S., Kerr, J., Rieger, J., &amp; Cushing, D. F. (2025). Let’s Play: Co-designing inclusive school playgrounds with neurodivergent children. </w:t>
      </w:r>
      <w:r w:rsidRPr="00BA77B0">
        <w:rPr>
          <w:rFonts w:ascii="Arial" w:eastAsia="Times New Roman" w:hAnsi="Arial" w:cs="Arial"/>
          <w:i/>
          <w:iCs/>
          <w:kern w:val="0"/>
          <w:sz w:val="24"/>
          <w:szCs w:val="24"/>
          <w:lang w:eastAsia="en-GB"/>
          <w14:ligatures w14:val="none"/>
        </w:rPr>
        <w:t>International Journal of Educational Research Open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9</w:t>
      </w:r>
      <w:r w:rsidRPr="00BA77B0">
        <w:rPr>
          <w:rFonts w:ascii="Arial" w:eastAsia="Times New Roman" w:hAnsi="Arial" w:cs="Arial"/>
          <w:kern w:val="0"/>
          <w:sz w:val="24"/>
          <w:szCs w:val="24"/>
          <w:lang w:eastAsia="en-GB"/>
          <w14:ligatures w14:val="none"/>
        </w:rPr>
        <w:t>, 100494. https://doi.org/10.1016/j.ijedro.2025.100494</w:t>
      </w:r>
    </w:p>
    <w:p w14:paraId="0CA96AE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Keung, C. P. C., &amp; Cheung, A. C. K. (2019). Towards Holistic Supporting of Play-Based Learning Implementation in Kindergartens: A Mixed Method Study. </w:t>
      </w:r>
      <w:r w:rsidRPr="00BA77B0">
        <w:rPr>
          <w:rFonts w:ascii="Arial" w:eastAsia="Times New Roman" w:hAnsi="Arial" w:cs="Arial"/>
          <w:i/>
          <w:iCs/>
          <w:kern w:val="0"/>
          <w:sz w:val="24"/>
          <w:szCs w:val="24"/>
          <w:lang w:eastAsia="en-GB"/>
          <w14:ligatures w14:val="none"/>
        </w:rPr>
        <w:t>Early Childhood Education Journal</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47</w:t>
      </w:r>
      <w:r w:rsidRPr="00BA77B0">
        <w:rPr>
          <w:rFonts w:ascii="Arial" w:eastAsia="Times New Roman" w:hAnsi="Arial" w:cs="Arial"/>
          <w:kern w:val="0"/>
          <w:sz w:val="24"/>
          <w:szCs w:val="24"/>
          <w:lang w:eastAsia="en-GB"/>
          <w14:ligatures w14:val="none"/>
        </w:rPr>
        <w:t>(5), 627–640. https://doi.org/10.1007/s10643-019-00956-2</w:t>
      </w:r>
    </w:p>
    <w:p w14:paraId="5A77017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Kilderry, A. (2015). Intentional Pedagogies: Insights from the Past. </w:t>
      </w:r>
      <w:r w:rsidRPr="00BA77B0">
        <w:rPr>
          <w:rFonts w:ascii="Arial" w:eastAsia="Times New Roman" w:hAnsi="Arial" w:cs="Arial"/>
          <w:i/>
          <w:iCs/>
          <w:kern w:val="0"/>
          <w:sz w:val="24"/>
          <w:szCs w:val="24"/>
          <w:lang w:eastAsia="en-GB"/>
          <w14:ligatures w14:val="none"/>
        </w:rPr>
        <w:t>Australasian Journal of Early Childhood</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40</w:t>
      </w:r>
      <w:r w:rsidRPr="00BA77B0">
        <w:rPr>
          <w:rFonts w:ascii="Arial" w:eastAsia="Times New Roman" w:hAnsi="Arial" w:cs="Arial"/>
          <w:kern w:val="0"/>
          <w:sz w:val="24"/>
          <w:szCs w:val="24"/>
          <w:lang w:eastAsia="en-GB"/>
          <w14:ligatures w14:val="none"/>
        </w:rPr>
        <w:t>(3), 20–28. https://doi.org/10.1177/183693911504000304</w:t>
      </w:r>
    </w:p>
    <w:p w14:paraId="22806BD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Koukourikos, K., Tsaloglidou, A., Tzeha, L., Iliadis, C., Frantzana, A., Katsimbeli, A., &amp; Kourkouta, L. (2021). An Overview of Play Therapy. </w:t>
      </w:r>
      <w:r w:rsidRPr="00BA77B0">
        <w:rPr>
          <w:rFonts w:ascii="Arial" w:eastAsia="Times New Roman" w:hAnsi="Arial" w:cs="Arial"/>
          <w:i/>
          <w:iCs/>
          <w:kern w:val="0"/>
          <w:sz w:val="24"/>
          <w:szCs w:val="24"/>
          <w:lang w:eastAsia="en-GB"/>
          <w14:ligatures w14:val="none"/>
        </w:rPr>
        <w:t>Materia Socio Medica</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33</w:t>
      </w:r>
      <w:r w:rsidRPr="00BA77B0">
        <w:rPr>
          <w:rFonts w:ascii="Arial" w:eastAsia="Times New Roman" w:hAnsi="Arial" w:cs="Arial"/>
          <w:kern w:val="0"/>
          <w:sz w:val="24"/>
          <w:szCs w:val="24"/>
          <w:lang w:eastAsia="en-GB"/>
          <w14:ligatures w14:val="none"/>
        </w:rPr>
        <w:t>(4), 293–297. https://doi.org/10.5455/msm.2021.33.293-297</w:t>
      </w:r>
    </w:p>
    <w:p w14:paraId="33B57AE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Kravtsova, E., &amp; Maximov, A. (2014). Play in the Non-classical Psychology of L.S. Vygotsky. </w:t>
      </w:r>
      <w:r w:rsidRPr="00BA77B0">
        <w:rPr>
          <w:rFonts w:ascii="Arial" w:eastAsia="Times New Roman" w:hAnsi="Arial" w:cs="Arial"/>
          <w:i/>
          <w:iCs/>
          <w:kern w:val="0"/>
          <w:sz w:val="24"/>
          <w:szCs w:val="24"/>
          <w:lang w:eastAsia="en-GB"/>
          <w14:ligatures w14:val="none"/>
        </w:rPr>
        <w:t>SAGE Publications Ltd EBooks</w:t>
      </w:r>
      <w:r w:rsidRPr="00BA77B0">
        <w:rPr>
          <w:rFonts w:ascii="Arial" w:eastAsia="Times New Roman" w:hAnsi="Arial" w:cs="Arial"/>
          <w:kern w:val="0"/>
          <w:sz w:val="24"/>
          <w:szCs w:val="24"/>
          <w:lang w:eastAsia="en-GB"/>
          <w14:ligatures w14:val="none"/>
        </w:rPr>
        <w:t>, 21–30. https://doi.org/10.4135/9781473907850.n4</w:t>
      </w:r>
    </w:p>
    <w:p w14:paraId="5439F14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Kuhaneck, H., Bundy, A., Fabrizi, S., Lynch, H., Moore, A., Román-Oyola, R., Stagnitti, K., &amp; Amiya Waldman-Levi. (2024). Play as Occupation: the State of Our Science and a Research Agenda for the Profession. </w:t>
      </w:r>
      <w:r w:rsidRPr="00BA77B0">
        <w:rPr>
          <w:rFonts w:ascii="Arial" w:eastAsia="Times New Roman" w:hAnsi="Arial" w:cs="Arial"/>
          <w:i/>
          <w:iCs/>
          <w:kern w:val="0"/>
          <w:sz w:val="24"/>
          <w:szCs w:val="24"/>
          <w:lang w:eastAsia="en-GB"/>
          <w14:ligatures w14:val="none"/>
        </w:rPr>
        <w:t>The American Journal of Occupational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78</w:t>
      </w:r>
      <w:r w:rsidRPr="00BA77B0">
        <w:rPr>
          <w:rFonts w:ascii="Arial" w:eastAsia="Times New Roman" w:hAnsi="Arial" w:cs="Arial"/>
          <w:kern w:val="0"/>
          <w:sz w:val="24"/>
          <w:szCs w:val="24"/>
          <w:lang w:eastAsia="en-GB"/>
          <w14:ligatures w14:val="none"/>
        </w:rPr>
        <w:t>(4). https://doi.org/10.5014/ajot.2024.050824</w:t>
      </w:r>
    </w:p>
    <w:p w14:paraId="4DE9EB1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Laurie, M. H., Manches, A., &amp; Fletcher-Watson, S. (2021). The role of robotic toys in shaping play and joint engagement in autistic children: Implications for future </w:t>
      </w:r>
      <w:r w:rsidRPr="00BA77B0">
        <w:rPr>
          <w:rFonts w:ascii="Arial" w:eastAsia="Times New Roman" w:hAnsi="Arial" w:cs="Arial"/>
          <w:kern w:val="0"/>
          <w:sz w:val="24"/>
          <w:szCs w:val="24"/>
          <w:lang w:eastAsia="en-GB"/>
          <w14:ligatures w14:val="none"/>
        </w:rPr>
        <w:lastRenderedPageBreak/>
        <w:t xml:space="preserve">design. </w:t>
      </w:r>
      <w:r w:rsidRPr="00BA77B0">
        <w:rPr>
          <w:rFonts w:ascii="Arial" w:eastAsia="Times New Roman" w:hAnsi="Arial" w:cs="Arial"/>
          <w:i/>
          <w:iCs/>
          <w:kern w:val="0"/>
          <w:sz w:val="24"/>
          <w:szCs w:val="24"/>
          <w:lang w:eastAsia="en-GB"/>
          <w14:ligatures w14:val="none"/>
        </w:rPr>
        <w:t>International Journal of Child-Computer Interaction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32</w:t>
      </w:r>
      <w:r w:rsidRPr="00BA77B0">
        <w:rPr>
          <w:rFonts w:ascii="Arial" w:eastAsia="Times New Roman" w:hAnsi="Arial" w:cs="Arial"/>
          <w:kern w:val="0"/>
          <w:sz w:val="24"/>
          <w:szCs w:val="24"/>
          <w:lang w:eastAsia="en-GB"/>
          <w14:ligatures w14:val="none"/>
        </w:rPr>
        <w:t>(3), 100384. https://doi.org/10.1016/j.ijcci.2021.100384</w:t>
      </w:r>
    </w:p>
    <w:p w14:paraId="21EC90F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Lester, S., &amp; Russell, W. (2014). Turning the World Upside Down: Playing as the Deliberate Creation of Uncertainty. </w:t>
      </w:r>
      <w:r w:rsidRPr="00BA77B0">
        <w:rPr>
          <w:rFonts w:ascii="Arial" w:eastAsia="Times New Roman" w:hAnsi="Arial" w:cs="Arial"/>
          <w:i/>
          <w:iCs/>
          <w:kern w:val="0"/>
          <w:sz w:val="24"/>
          <w:szCs w:val="24"/>
          <w:lang w:eastAsia="en-GB"/>
          <w14:ligatures w14:val="none"/>
        </w:rPr>
        <w:t>Children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w:t>
      </w:r>
      <w:r w:rsidRPr="00BA77B0">
        <w:rPr>
          <w:rFonts w:ascii="Arial" w:eastAsia="Times New Roman" w:hAnsi="Arial" w:cs="Arial"/>
          <w:kern w:val="0"/>
          <w:sz w:val="24"/>
          <w:szCs w:val="24"/>
          <w:lang w:eastAsia="en-GB"/>
          <w14:ligatures w14:val="none"/>
        </w:rPr>
        <w:t>(2), 241–260. https://doi.org/10.3390/children1020241</w:t>
      </w:r>
    </w:p>
    <w:p w14:paraId="0B825C1A"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Levy, A. J. (2008). The Therapeutic Action of Play in the Psychodynamic Treatment of Children: A Critical Analysis. </w:t>
      </w:r>
      <w:r w:rsidRPr="00BA77B0">
        <w:rPr>
          <w:rFonts w:ascii="Arial" w:eastAsia="Times New Roman" w:hAnsi="Arial" w:cs="Arial"/>
          <w:i/>
          <w:iCs/>
          <w:kern w:val="0"/>
          <w:sz w:val="24"/>
          <w:szCs w:val="24"/>
          <w:lang w:eastAsia="en-GB"/>
          <w14:ligatures w14:val="none"/>
        </w:rPr>
        <w:t>Clinical Social Work Journal</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36</w:t>
      </w:r>
      <w:r w:rsidRPr="00BA77B0">
        <w:rPr>
          <w:rFonts w:ascii="Arial" w:eastAsia="Times New Roman" w:hAnsi="Arial" w:cs="Arial"/>
          <w:kern w:val="0"/>
          <w:sz w:val="24"/>
          <w:szCs w:val="24"/>
          <w:lang w:eastAsia="en-GB"/>
          <w14:ligatures w14:val="none"/>
        </w:rPr>
        <w:t>(3), 281–291. https://doi.org/10.1007/s10615-008-0148-2</w:t>
      </w:r>
    </w:p>
    <w:p w14:paraId="23141B67"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Li, W. H. C., Chung, J. O. K., Ho, K. Y., &amp; Kwok, B. M. C. (2016). Play interventions to reduce anxiety and negative emotions in hospitalized children. </w:t>
      </w:r>
      <w:r w:rsidRPr="00BA77B0">
        <w:rPr>
          <w:rFonts w:ascii="Arial" w:eastAsia="Times New Roman" w:hAnsi="Arial" w:cs="Arial"/>
          <w:i/>
          <w:iCs/>
          <w:kern w:val="0"/>
          <w:sz w:val="24"/>
          <w:szCs w:val="24"/>
          <w:lang w:eastAsia="en-GB"/>
          <w14:ligatures w14:val="none"/>
        </w:rPr>
        <w:t>BMC Pediatrics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16</w:t>
      </w:r>
      <w:r w:rsidRPr="00BA77B0">
        <w:rPr>
          <w:rFonts w:ascii="Arial" w:eastAsia="Times New Roman" w:hAnsi="Arial" w:cs="Arial"/>
          <w:kern w:val="0"/>
          <w:sz w:val="24"/>
          <w:szCs w:val="24"/>
          <w:lang w:eastAsia="en-GB"/>
          <w14:ligatures w14:val="none"/>
        </w:rPr>
        <w:t>(1). https://doi.org/10.1186/s12887-016-0570-5</w:t>
      </w:r>
    </w:p>
    <w:p w14:paraId="556BFC9C"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Liasidou, A. (2022). Inclusive education as a trauma-responsive practice: research-based considerations and implications. </w:t>
      </w:r>
      <w:r w:rsidRPr="00BA77B0">
        <w:rPr>
          <w:rFonts w:ascii="Arial" w:eastAsia="Times New Roman" w:hAnsi="Arial" w:cs="Arial"/>
          <w:i/>
          <w:iCs/>
          <w:kern w:val="0"/>
          <w:sz w:val="24"/>
          <w:szCs w:val="24"/>
          <w:lang w:eastAsia="en-GB"/>
          <w14:ligatures w14:val="none"/>
        </w:rPr>
        <w:t>International Journal of Inclusive Education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28</w:t>
      </w:r>
      <w:r w:rsidRPr="00BA77B0">
        <w:rPr>
          <w:rFonts w:ascii="Arial" w:eastAsia="Times New Roman" w:hAnsi="Arial" w:cs="Arial"/>
          <w:kern w:val="0"/>
          <w:sz w:val="24"/>
          <w:szCs w:val="24"/>
          <w:lang w:eastAsia="en-GB"/>
          <w14:ligatures w14:val="none"/>
        </w:rPr>
        <w:t>(11), 1–13. https://doi.org/10.1080/13603116.2022.2107720</w:t>
      </w:r>
    </w:p>
    <w:p w14:paraId="2AC6BD5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Lundy, L. (2018). In Defence of tokenism? Implementing Children’s Right to Participate in Collective decision-making. </w:t>
      </w:r>
      <w:r w:rsidRPr="00BA77B0">
        <w:rPr>
          <w:rFonts w:ascii="Arial" w:eastAsia="Times New Roman" w:hAnsi="Arial" w:cs="Arial"/>
          <w:i/>
          <w:iCs/>
          <w:kern w:val="0"/>
          <w:sz w:val="24"/>
          <w:szCs w:val="24"/>
          <w:lang w:eastAsia="en-GB"/>
          <w14:ligatures w14:val="none"/>
        </w:rPr>
        <w:t>Childhood</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25</w:t>
      </w:r>
      <w:r w:rsidRPr="00BA77B0">
        <w:rPr>
          <w:rFonts w:ascii="Arial" w:eastAsia="Times New Roman" w:hAnsi="Arial" w:cs="Arial"/>
          <w:kern w:val="0"/>
          <w:sz w:val="24"/>
          <w:szCs w:val="24"/>
          <w:lang w:eastAsia="en-GB"/>
          <w14:ligatures w14:val="none"/>
        </w:rPr>
        <w:t>(3), 340–354. https://doi.org/10.1177/0907568218777292</w:t>
      </w:r>
    </w:p>
    <w:p w14:paraId="255BB10B"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Malhotra, A., &amp; Meeru Abrol. (2024). DESIGNING FOR THE SENSES: MULTISENSORY APPROACHES IN THERAPEUTIC CLINICAL SPACES. </w:t>
      </w:r>
      <w:r w:rsidRPr="00BA77B0">
        <w:rPr>
          <w:rFonts w:ascii="Arial" w:eastAsia="Times New Roman" w:hAnsi="Arial" w:cs="Arial"/>
          <w:i/>
          <w:iCs/>
          <w:kern w:val="0"/>
          <w:sz w:val="24"/>
          <w:szCs w:val="24"/>
          <w:lang w:eastAsia="en-GB"/>
          <w14:ligatures w14:val="none"/>
        </w:rPr>
        <w:t>ShodhKosh Journal of Visual and Performing Arts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w:t>
      </w:r>
      <w:r w:rsidRPr="00BA77B0">
        <w:rPr>
          <w:rFonts w:ascii="Arial" w:eastAsia="Times New Roman" w:hAnsi="Arial" w:cs="Arial"/>
          <w:kern w:val="0"/>
          <w:sz w:val="24"/>
          <w:szCs w:val="24"/>
          <w:lang w:eastAsia="en-GB"/>
          <w14:ligatures w14:val="none"/>
        </w:rPr>
        <w:t>(6). https://doi.org/10.29121/shodhkosh.v5.i6.2024.1566</w:t>
      </w:r>
    </w:p>
    <w:p w14:paraId="49A3AA1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Meany-Walen, K. K., &amp; Kottman, T. (2019). Group Adlerian play therapy.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28</w:t>
      </w:r>
      <w:r w:rsidRPr="00BA77B0">
        <w:rPr>
          <w:rFonts w:ascii="Arial" w:eastAsia="Times New Roman" w:hAnsi="Arial" w:cs="Arial"/>
          <w:kern w:val="0"/>
          <w:sz w:val="24"/>
          <w:szCs w:val="24"/>
          <w:lang w:eastAsia="en-GB"/>
          <w14:ligatures w14:val="none"/>
        </w:rPr>
        <w:t>(1), 1–12. https://doi.org/10.1037/pla0000079</w:t>
      </w:r>
    </w:p>
    <w:p w14:paraId="26C03B6C"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Melita, F. M., &amp; Parson, J. (2022). Play in Therapy and the Therapeutic Powers of Play. </w:t>
      </w:r>
      <w:r w:rsidRPr="00BA77B0">
        <w:rPr>
          <w:rFonts w:ascii="Arial" w:eastAsia="Times New Roman" w:hAnsi="Arial" w:cs="Arial"/>
          <w:i/>
          <w:iCs/>
          <w:kern w:val="0"/>
          <w:sz w:val="24"/>
          <w:szCs w:val="24"/>
          <w:lang w:eastAsia="en-GB"/>
          <w14:ligatures w14:val="none"/>
        </w:rPr>
        <w:t>Springer EBooks</w:t>
      </w:r>
      <w:r w:rsidRPr="00BA77B0">
        <w:rPr>
          <w:rFonts w:ascii="Arial" w:eastAsia="Times New Roman" w:hAnsi="Arial" w:cs="Arial"/>
          <w:kern w:val="0"/>
          <w:sz w:val="24"/>
          <w:szCs w:val="24"/>
          <w:lang w:eastAsia="en-GB"/>
          <w14:ligatures w14:val="none"/>
        </w:rPr>
        <w:t>, 17–30. https://doi.org/10.1007/978-3-031-16938-0_2</w:t>
      </w:r>
    </w:p>
    <w:p w14:paraId="37B471A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Midgley, N., O’Keeffe, S., French, L., &amp; Kennedy, E. (2017). Psychodynamic psychotherapy for children and adolescents: an updated narrative review of the evidence base. </w:t>
      </w:r>
      <w:r w:rsidRPr="00BA77B0">
        <w:rPr>
          <w:rFonts w:ascii="Arial" w:eastAsia="Times New Roman" w:hAnsi="Arial" w:cs="Arial"/>
          <w:i/>
          <w:iCs/>
          <w:kern w:val="0"/>
          <w:sz w:val="24"/>
          <w:szCs w:val="24"/>
          <w:lang w:eastAsia="en-GB"/>
          <w14:ligatures w14:val="none"/>
        </w:rPr>
        <w:t>Journal of Child Psychotherapy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43</w:t>
      </w:r>
      <w:r w:rsidRPr="00BA77B0">
        <w:rPr>
          <w:rFonts w:ascii="Arial" w:eastAsia="Times New Roman" w:hAnsi="Arial" w:cs="Arial"/>
          <w:kern w:val="0"/>
          <w:sz w:val="24"/>
          <w:szCs w:val="24"/>
          <w:lang w:eastAsia="en-GB"/>
          <w14:ligatures w14:val="none"/>
        </w:rPr>
        <w:t>(3), 307–329. https://doi.org/10.1080/0075417x.2017.1323945</w:t>
      </w:r>
    </w:p>
    <w:p w14:paraId="20780DB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Mollen, D., &amp; Ridley, C. R. (2021). Rethinking Multicultural Counseling Competence: An Introduction to the Major Contribution. </w:t>
      </w:r>
      <w:r w:rsidRPr="00BA77B0">
        <w:rPr>
          <w:rFonts w:ascii="Arial" w:eastAsia="Times New Roman" w:hAnsi="Arial" w:cs="Arial"/>
          <w:i/>
          <w:iCs/>
          <w:kern w:val="0"/>
          <w:sz w:val="24"/>
          <w:szCs w:val="24"/>
          <w:lang w:eastAsia="en-GB"/>
          <w14:ligatures w14:val="none"/>
        </w:rPr>
        <w:t>The Counseling Psychologist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49</w:t>
      </w:r>
      <w:r w:rsidRPr="00BA77B0">
        <w:rPr>
          <w:rFonts w:ascii="Arial" w:eastAsia="Times New Roman" w:hAnsi="Arial" w:cs="Arial"/>
          <w:kern w:val="0"/>
          <w:sz w:val="24"/>
          <w:szCs w:val="24"/>
          <w:lang w:eastAsia="en-GB"/>
          <w14:ligatures w14:val="none"/>
        </w:rPr>
        <w:t>(4), 490–503. https://doi.org/10.1177/0011000020986543</w:t>
      </w:r>
    </w:p>
    <w:p w14:paraId="38B2483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Pakpahan, F. H., &amp; Saragih, M. (2022). Theory of Cognitive Development by Jean Piaget. </w:t>
      </w:r>
      <w:r w:rsidRPr="00BA77B0">
        <w:rPr>
          <w:rFonts w:ascii="Arial" w:eastAsia="Times New Roman" w:hAnsi="Arial" w:cs="Arial"/>
          <w:i/>
          <w:iCs/>
          <w:kern w:val="0"/>
          <w:sz w:val="24"/>
          <w:szCs w:val="24"/>
          <w:lang w:eastAsia="en-GB"/>
          <w14:ligatures w14:val="none"/>
        </w:rPr>
        <w:t>Journal of Applied Linguistics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w:t>
      </w:r>
      <w:r w:rsidRPr="00BA77B0">
        <w:rPr>
          <w:rFonts w:ascii="Arial" w:eastAsia="Times New Roman" w:hAnsi="Arial" w:cs="Arial"/>
          <w:kern w:val="0"/>
          <w:sz w:val="24"/>
          <w:szCs w:val="24"/>
          <w:lang w:eastAsia="en-GB"/>
          <w14:ligatures w14:val="none"/>
        </w:rPr>
        <w:t>(2), 55–60. https://doi.org/10.52622/joal.v2i2.79</w:t>
      </w:r>
    </w:p>
    <w:p w14:paraId="2A887A8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Parker, M. M., Hergenrather, K., Smelser, Q., &amp; Kelly, C. T. (2021). Exploring child-centered play therapy and trauma: A systematic review of literature.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30</w:t>
      </w:r>
      <w:r w:rsidRPr="00BA77B0">
        <w:rPr>
          <w:rFonts w:ascii="Arial" w:eastAsia="Times New Roman" w:hAnsi="Arial" w:cs="Arial"/>
          <w:kern w:val="0"/>
          <w:sz w:val="24"/>
          <w:szCs w:val="24"/>
          <w:lang w:eastAsia="en-GB"/>
          <w14:ligatures w14:val="none"/>
        </w:rPr>
        <w:t>(1), 2–13. https://doi.org/10.1037/pla0000136</w:t>
      </w:r>
    </w:p>
    <w:p w14:paraId="50D1A17A"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Pearson, M., &amp; Wilson, H. (2019). Sandplay Therapy: A Safe, Creative Space for Trauma Recovery. In </w:t>
      </w:r>
      <w:r w:rsidRPr="00BA77B0">
        <w:rPr>
          <w:rFonts w:ascii="Arial" w:eastAsia="Times New Roman" w:hAnsi="Arial" w:cs="Arial"/>
          <w:i/>
          <w:iCs/>
          <w:kern w:val="0"/>
          <w:sz w:val="24"/>
          <w:szCs w:val="24"/>
          <w:lang w:eastAsia="en-GB"/>
          <w14:ligatures w14:val="none"/>
        </w:rPr>
        <w:t>Australian Counselling Research Journal | www.acrjournal.com.au Australian Counselling Research Journal | www.acrjournal.com.au</w:t>
      </w:r>
      <w:r w:rsidRPr="00BA77B0">
        <w:rPr>
          <w:rFonts w:ascii="Arial" w:eastAsia="Times New Roman" w:hAnsi="Arial" w:cs="Arial"/>
          <w:kern w:val="0"/>
          <w:sz w:val="24"/>
          <w:szCs w:val="24"/>
          <w:lang w:eastAsia="en-GB"/>
          <w14:ligatures w14:val="none"/>
        </w:rPr>
        <w:t>. https://www.acrjournal.com.au/resources/assets/journals/Volume-13-Issue-1-2019/Manuscript4%20-%20Sandplay%20Therapy.pdf</w:t>
      </w:r>
    </w:p>
    <w:p w14:paraId="152C98A5"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Perryman, K. L., Robinson, S., Bowers, L., &amp; Massengale, B. (2020). Child-centered play therapy and academic achievement: A prevention-based model. </w:t>
      </w:r>
      <w:r w:rsidRPr="00BA77B0">
        <w:rPr>
          <w:rFonts w:ascii="Arial" w:eastAsia="Times New Roman" w:hAnsi="Arial" w:cs="Arial"/>
          <w:i/>
          <w:iCs/>
          <w:kern w:val="0"/>
          <w:sz w:val="24"/>
          <w:szCs w:val="24"/>
          <w:lang w:eastAsia="en-GB"/>
          <w14:ligatures w14:val="none"/>
        </w:rPr>
        <w:lastRenderedPageBreak/>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29</w:t>
      </w:r>
      <w:r w:rsidRPr="00BA77B0">
        <w:rPr>
          <w:rFonts w:ascii="Arial" w:eastAsia="Times New Roman" w:hAnsi="Arial" w:cs="Arial"/>
          <w:kern w:val="0"/>
          <w:sz w:val="24"/>
          <w:szCs w:val="24"/>
          <w:lang w:eastAsia="en-GB"/>
          <w14:ligatures w14:val="none"/>
        </w:rPr>
        <w:t>(2), 104–117. https://doi.org/10.1037/pla0000117</w:t>
      </w:r>
    </w:p>
    <w:p w14:paraId="6AE8A4D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Perryman, K. L., Robinson, S., Schoonover, T. J., &amp; Conroy, J. (2024). Psychophysiological Insights into Child-Centered Play Therapy for Trauma: A Case Study. </w:t>
      </w:r>
      <w:r w:rsidRPr="00BA77B0">
        <w:rPr>
          <w:rFonts w:ascii="Arial" w:eastAsia="Times New Roman" w:hAnsi="Arial" w:cs="Arial"/>
          <w:i/>
          <w:iCs/>
          <w:kern w:val="0"/>
          <w:sz w:val="24"/>
          <w:szCs w:val="24"/>
          <w:lang w:eastAsia="en-GB"/>
          <w14:ligatures w14:val="none"/>
        </w:rPr>
        <w:t>Trauma Care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w:t>
      </w:r>
      <w:r w:rsidRPr="00BA77B0">
        <w:rPr>
          <w:rFonts w:ascii="Arial" w:eastAsia="Times New Roman" w:hAnsi="Arial" w:cs="Arial"/>
          <w:kern w:val="0"/>
          <w:sz w:val="24"/>
          <w:szCs w:val="24"/>
          <w:lang w:eastAsia="en-GB"/>
          <w14:ligatures w14:val="none"/>
        </w:rPr>
        <w:t>(3), 208–218. https://doi.org/10.3390/traumacare4030019</w:t>
      </w:r>
    </w:p>
    <w:p w14:paraId="7A07CC9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Ray, D. C. (2019). The Child and the Counselor: Relational Humanism in the Playroom and Beyond. </w:t>
      </w:r>
      <w:r w:rsidRPr="00BA77B0">
        <w:rPr>
          <w:rFonts w:ascii="Arial" w:eastAsia="Times New Roman" w:hAnsi="Arial" w:cs="Arial"/>
          <w:i/>
          <w:iCs/>
          <w:kern w:val="0"/>
          <w:sz w:val="24"/>
          <w:szCs w:val="24"/>
          <w:lang w:eastAsia="en-GB"/>
          <w14:ligatures w14:val="none"/>
        </w:rPr>
        <w:t>The Journal of Humanistic Counseling</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58</w:t>
      </w:r>
      <w:r w:rsidRPr="00BA77B0">
        <w:rPr>
          <w:rFonts w:ascii="Arial" w:eastAsia="Times New Roman" w:hAnsi="Arial" w:cs="Arial"/>
          <w:kern w:val="0"/>
          <w:sz w:val="24"/>
          <w:szCs w:val="24"/>
          <w:lang w:eastAsia="en-GB"/>
          <w14:ligatures w14:val="none"/>
        </w:rPr>
        <w:t>(1), 68–82. https://doi.org/10.1002/johc.12090</w:t>
      </w:r>
    </w:p>
    <w:p w14:paraId="18401DEA"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Ray, D. C., Armstrong, S. A., Balkin, R. S., &amp; Jayne, K. M. (2015). Child-centred play therapy in the schools: Review and meta-analysis. </w:t>
      </w:r>
      <w:r w:rsidRPr="00BA77B0">
        <w:rPr>
          <w:rFonts w:ascii="Arial" w:eastAsia="Times New Roman" w:hAnsi="Arial" w:cs="Arial"/>
          <w:i/>
          <w:iCs/>
          <w:kern w:val="0"/>
          <w:sz w:val="24"/>
          <w:szCs w:val="24"/>
          <w:lang w:eastAsia="en-GB"/>
          <w14:ligatures w14:val="none"/>
        </w:rPr>
        <w:t>Psychology in the Schools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52</w:t>
      </w:r>
      <w:r w:rsidRPr="00BA77B0">
        <w:rPr>
          <w:rFonts w:ascii="Arial" w:eastAsia="Times New Roman" w:hAnsi="Arial" w:cs="Arial"/>
          <w:kern w:val="0"/>
          <w:sz w:val="24"/>
          <w:szCs w:val="24"/>
          <w:lang w:eastAsia="en-GB"/>
          <w14:ligatures w14:val="none"/>
        </w:rPr>
        <w:t>(2), 107–123. https://doi.org/10.1002/pits.21798</w:t>
      </w:r>
    </w:p>
    <w:p w14:paraId="6EC84CE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Reese, E. (2018). ATTACHMENT AND MEMORY RESEARCH: REFLECTING ON A SHARED PAST AND A COLLABORATIVE FUTURE. </w:t>
      </w:r>
      <w:r w:rsidRPr="00BA77B0">
        <w:rPr>
          <w:rFonts w:ascii="Arial" w:eastAsia="Times New Roman" w:hAnsi="Arial" w:cs="Arial"/>
          <w:i/>
          <w:iCs/>
          <w:kern w:val="0"/>
          <w:sz w:val="24"/>
          <w:szCs w:val="24"/>
          <w:lang w:eastAsia="en-GB"/>
          <w14:ligatures w14:val="none"/>
        </w:rPr>
        <w:t>Monographs of the Society for Research in Child Development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83</w:t>
      </w:r>
      <w:r w:rsidRPr="00BA77B0">
        <w:rPr>
          <w:rFonts w:ascii="Arial" w:eastAsia="Times New Roman" w:hAnsi="Arial" w:cs="Arial"/>
          <w:kern w:val="0"/>
          <w:sz w:val="24"/>
          <w:szCs w:val="24"/>
          <w:lang w:eastAsia="en-GB"/>
          <w14:ligatures w14:val="none"/>
        </w:rPr>
        <w:t>(4), 162–172. JSTOR. https://doi.org/10.2307/45106994</w:t>
      </w:r>
    </w:p>
    <w:p w14:paraId="153A60C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Reichenberger, V., van der Watt, A. S. J., Louw, Q., Seedat, S., &amp; Smythe, T. (2025). Mapping play-based interventions for children with disabilities in LMICs: a scoping review on cultural relevance, implementation, and impact. </w:t>
      </w:r>
      <w:r w:rsidRPr="00BA77B0">
        <w:rPr>
          <w:rFonts w:ascii="Arial" w:eastAsia="Times New Roman" w:hAnsi="Arial" w:cs="Arial"/>
          <w:i/>
          <w:iCs/>
          <w:kern w:val="0"/>
          <w:sz w:val="24"/>
          <w:szCs w:val="24"/>
          <w:lang w:eastAsia="en-GB"/>
          <w14:ligatures w14:val="none"/>
        </w:rPr>
        <w:t>EClinicalMedicine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88</w:t>
      </w:r>
      <w:r w:rsidRPr="00BA77B0">
        <w:rPr>
          <w:rFonts w:ascii="Arial" w:eastAsia="Times New Roman" w:hAnsi="Arial" w:cs="Arial"/>
          <w:kern w:val="0"/>
          <w:sz w:val="24"/>
          <w:szCs w:val="24"/>
          <w:lang w:eastAsia="en-GB"/>
          <w14:ligatures w14:val="none"/>
        </w:rPr>
        <w:t>, 103444. https://doi.org/10.1016/j.eclinm.2025.103444</w:t>
      </w:r>
    </w:p>
    <w:p w14:paraId="7B9EA04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Reichow, B., Barton, E. E., Boyd, B. A., &amp; Hume, K. (2012). Early intensive behavioral intervention (EIBI) for young children with autism spectrum disorders (ASD). </w:t>
      </w:r>
      <w:r w:rsidRPr="00BA77B0">
        <w:rPr>
          <w:rFonts w:ascii="Arial" w:eastAsia="Times New Roman" w:hAnsi="Arial" w:cs="Arial"/>
          <w:i/>
          <w:iCs/>
          <w:kern w:val="0"/>
          <w:sz w:val="24"/>
          <w:szCs w:val="24"/>
          <w:lang w:eastAsia="en-GB"/>
          <w14:ligatures w14:val="none"/>
        </w:rPr>
        <w:t>Cochrane Database of Systematic Reviews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10</w:t>
      </w:r>
      <w:r w:rsidRPr="00BA77B0">
        <w:rPr>
          <w:rFonts w:ascii="Arial" w:eastAsia="Times New Roman" w:hAnsi="Arial" w:cs="Arial"/>
          <w:kern w:val="0"/>
          <w:sz w:val="24"/>
          <w:szCs w:val="24"/>
          <w:lang w:eastAsia="en-GB"/>
          <w14:ligatures w14:val="none"/>
        </w:rPr>
        <w:t>. https://doi.org/10.1002/14651858.cd009260.pub2</w:t>
      </w:r>
    </w:p>
    <w:p w14:paraId="0F76DD25"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Reichow, B., Hume, K., Barton, E. E., &amp; Boyd, B. A. (2018). Early intensive behavioral intervention (EIBI) for young children with autism spectrum disorders (ASD). </w:t>
      </w:r>
      <w:r w:rsidRPr="00BA77B0">
        <w:rPr>
          <w:rFonts w:ascii="Arial" w:eastAsia="Times New Roman" w:hAnsi="Arial" w:cs="Arial"/>
          <w:i/>
          <w:iCs/>
          <w:kern w:val="0"/>
          <w:sz w:val="24"/>
          <w:szCs w:val="24"/>
          <w:lang w:eastAsia="en-GB"/>
          <w14:ligatures w14:val="none"/>
        </w:rPr>
        <w:t>Cochrane Database of Systematic Reviews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w:t>
      </w:r>
      <w:r w:rsidRPr="00BA77B0">
        <w:rPr>
          <w:rFonts w:ascii="Arial" w:eastAsia="Times New Roman" w:hAnsi="Arial" w:cs="Arial"/>
          <w:kern w:val="0"/>
          <w:sz w:val="24"/>
          <w:szCs w:val="24"/>
          <w:lang w:eastAsia="en-GB"/>
          <w14:ligatures w14:val="none"/>
        </w:rPr>
        <w:t>(5). https://doi.org/10.1002/14651858.cd009260.pub3</w:t>
      </w:r>
    </w:p>
    <w:p w14:paraId="5E0E8DE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Robert Jason Grant. (2023). </w:t>
      </w:r>
      <w:r w:rsidRPr="00BA77B0">
        <w:rPr>
          <w:rFonts w:ascii="Arial" w:eastAsia="Times New Roman" w:hAnsi="Arial" w:cs="Arial"/>
          <w:i/>
          <w:iCs/>
          <w:kern w:val="0"/>
          <w:sz w:val="24"/>
          <w:szCs w:val="24"/>
          <w:lang w:eastAsia="en-GB"/>
          <w14:ligatures w14:val="none"/>
        </w:rPr>
        <w:t>Play Interventions for Neurodivergent Children and Adolescents</w:t>
      </w:r>
      <w:r w:rsidRPr="00BA77B0">
        <w:rPr>
          <w:rFonts w:ascii="Arial" w:eastAsia="Times New Roman" w:hAnsi="Arial" w:cs="Arial"/>
          <w:kern w:val="0"/>
          <w:sz w:val="24"/>
          <w:szCs w:val="24"/>
          <w:lang w:eastAsia="en-GB"/>
          <w14:ligatures w14:val="none"/>
        </w:rPr>
        <w:t>. https://doi.org/10.4324/9781003398691</w:t>
      </w:r>
    </w:p>
    <w:p w14:paraId="6F6709B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Roesler, C. (2024). Emotion Regulation, Relationship and Therapeutic Change in Analytical Psychology and Contemporary Psychodynamic Approaches. </w:t>
      </w:r>
      <w:r w:rsidRPr="00BA77B0">
        <w:rPr>
          <w:rFonts w:ascii="Arial" w:eastAsia="Times New Roman" w:hAnsi="Arial" w:cs="Arial"/>
          <w:i/>
          <w:iCs/>
          <w:kern w:val="0"/>
          <w:sz w:val="24"/>
          <w:szCs w:val="24"/>
          <w:lang w:eastAsia="en-GB"/>
          <w14:ligatures w14:val="none"/>
        </w:rPr>
        <w:t>Journal of Analytical Psychology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69</w:t>
      </w:r>
      <w:r w:rsidRPr="00BA77B0">
        <w:rPr>
          <w:rFonts w:ascii="Arial" w:eastAsia="Times New Roman" w:hAnsi="Arial" w:cs="Arial"/>
          <w:kern w:val="0"/>
          <w:sz w:val="24"/>
          <w:szCs w:val="24"/>
          <w:lang w:eastAsia="en-GB"/>
          <w14:ligatures w14:val="none"/>
        </w:rPr>
        <w:t>(4). https://doi.org/10.1111/1468-5922.13031</w:t>
      </w:r>
    </w:p>
    <w:p w14:paraId="5EEBDAA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Russell, B., Dillman Taylor, D., &amp; Thompson, K. (2024). Understanding evidence-based treatment criterion through the evaluation of play therapy approaches.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33</w:t>
      </w:r>
      <w:r w:rsidRPr="00BA77B0">
        <w:rPr>
          <w:rFonts w:ascii="Arial" w:eastAsia="Times New Roman" w:hAnsi="Arial" w:cs="Arial"/>
          <w:kern w:val="0"/>
          <w:sz w:val="24"/>
          <w:szCs w:val="24"/>
          <w:lang w:eastAsia="en-GB"/>
          <w14:ligatures w14:val="none"/>
        </w:rPr>
        <w:t>(2), 93–106. https://doi.org/10.1037/pla0000214</w:t>
      </w:r>
    </w:p>
    <w:p w14:paraId="192F8B7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Salcuni, S., Di Riso, D., Mabilia, D., &amp; Lis, A. (2017). Psychotherapy with a 3-Year-Old Child: The Role of Play in the Unfolding Process. </w:t>
      </w:r>
      <w:r w:rsidRPr="00BA77B0">
        <w:rPr>
          <w:rFonts w:ascii="Arial" w:eastAsia="Times New Roman" w:hAnsi="Arial" w:cs="Arial"/>
          <w:i/>
          <w:iCs/>
          <w:kern w:val="0"/>
          <w:sz w:val="24"/>
          <w:szCs w:val="24"/>
          <w:lang w:eastAsia="en-GB"/>
          <w14:ligatures w14:val="none"/>
        </w:rPr>
        <w:t>Frontiers in Psychology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7</w:t>
      </w:r>
      <w:r w:rsidRPr="00BA77B0">
        <w:rPr>
          <w:rFonts w:ascii="Arial" w:eastAsia="Times New Roman" w:hAnsi="Arial" w:cs="Arial"/>
          <w:kern w:val="0"/>
          <w:sz w:val="24"/>
          <w:szCs w:val="24"/>
          <w:lang w:eastAsia="en-GB"/>
          <w14:ligatures w14:val="none"/>
        </w:rPr>
        <w:t>. https://doi.org/10.3389/fpsyg.2016.02021</w:t>
      </w:r>
    </w:p>
    <w:p w14:paraId="5006FFF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Santos, M., Baughcum, A. E., Burton, E. T., Cadieux, A., Curran, J. L., Gaffka, B. J., Gray, J., Shaffer, L., Testa, E. G., &amp; Ward, W. (2015). Fellowship training in pediatric obesity: Key components. </w:t>
      </w:r>
      <w:r w:rsidRPr="00BA77B0">
        <w:rPr>
          <w:rFonts w:ascii="Arial" w:eastAsia="Times New Roman" w:hAnsi="Arial" w:cs="Arial"/>
          <w:i/>
          <w:iCs/>
          <w:kern w:val="0"/>
          <w:sz w:val="24"/>
          <w:szCs w:val="24"/>
          <w:lang w:eastAsia="en-GB"/>
          <w14:ligatures w14:val="none"/>
        </w:rPr>
        <w:t>Professional Psychology: Research and Practice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46</w:t>
      </w:r>
      <w:r w:rsidRPr="00BA77B0">
        <w:rPr>
          <w:rFonts w:ascii="Arial" w:eastAsia="Times New Roman" w:hAnsi="Arial" w:cs="Arial"/>
          <w:kern w:val="0"/>
          <w:sz w:val="24"/>
          <w:szCs w:val="24"/>
          <w:lang w:eastAsia="en-GB"/>
          <w14:ligatures w14:val="none"/>
        </w:rPr>
        <w:t>(6), 400–408. https://doi.org/10.1037/pro0000050</w:t>
      </w:r>
    </w:p>
    <w:p w14:paraId="3795AFF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Shin, S. M., Choi, S., &amp; Park, S. Y. (2020). Play therapy in South Korea: History, current practices, research, and future directions.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29</w:t>
      </w:r>
      <w:r w:rsidRPr="00BA77B0">
        <w:rPr>
          <w:rFonts w:ascii="Arial" w:eastAsia="Times New Roman" w:hAnsi="Arial" w:cs="Arial"/>
          <w:kern w:val="0"/>
          <w:sz w:val="24"/>
          <w:szCs w:val="24"/>
          <w:lang w:eastAsia="en-GB"/>
          <w14:ligatures w14:val="none"/>
        </w:rPr>
        <w:t>(1), 54–64. https://doi.org/10.1037/pla0000112</w:t>
      </w:r>
    </w:p>
    <w:p w14:paraId="048C9AC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Sicouri, G., Sharpe, L., Hudson, J. L., Dudeney, J., Jaffe, A., Selvadurai, H., Lorimer, S., &amp; Hunt, C. (2017). Threat interpretation and parental influences for children with asthma and anxiety. </w:t>
      </w:r>
      <w:r w:rsidRPr="00BA77B0">
        <w:rPr>
          <w:rFonts w:ascii="Arial" w:eastAsia="Times New Roman" w:hAnsi="Arial" w:cs="Arial"/>
          <w:i/>
          <w:iCs/>
          <w:kern w:val="0"/>
          <w:sz w:val="24"/>
          <w:szCs w:val="24"/>
          <w:lang w:eastAsia="en-GB"/>
          <w14:ligatures w14:val="none"/>
        </w:rPr>
        <w:t>Behaviour Research and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89</w:t>
      </w:r>
      <w:r w:rsidRPr="00BA77B0">
        <w:rPr>
          <w:rFonts w:ascii="Arial" w:eastAsia="Times New Roman" w:hAnsi="Arial" w:cs="Arial"/>
          <w:kern w:val="0"/>
          <w:sz w:val="24"/>
          <w:szCs w:val="24"/>
          <w:lang w:eastAsia="en-GB"/>
          <w14:ligatures w14:val="none"/>
        </w:rPr>
        <w:t>, 14–23. https://doi.org/10.1016/j.brat.2016.11.004</w:t>
      </w:r>
    </w:p>
    <w:p w14:paraId="2119B9E7"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Silber, L. M. (2020). Play for a Change; Therapeutic Action in Contemporary Child Psychotherapy. </w:t>
      </w:r>
      <w:r w:rsidRPr="00BA77B0">
        <w:rPr>
          <w:rFonts w:ascii="Arial" w:eastAsia="Times New Roman" w:hAnsi="Arial" w:cs="Arial"/>
          <w:i/>
          <w:iCs/>
          <w:kern w:val="0"/>
          <w:sz w:val="24"/>
          <w:szCs w:val="24"/>
          <w:lang w:eastAsia="en-GB"/>
          <w14:ligatures w14:val="none"/>
        </w:rPr>
        <w:t>Journal of Infant, Child, and Adolescent Psychotherapy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19</w:t>
      </w:r>
      <w:r w:rsidRPr="00BA77B0">
        <w:rPr>
          <w:rFonts w:ascii="Arial" w:eastAsia="Times New Roman" w:hAnsi="Arial" w:cs="Arial"/>
          <w:kern w:val="0"/>
          <w:sz w:val="24"/>
          <w:szCs w:val="24"/>
          <w:lang w:eastAsia="en-GB"/>
          <w14:ligatures w14:val="none"/>
        </w:rPr>
        <w:t>(2), 109–114. https://doi.org/10.1080/15289168.2020.1759309</w:t>
      </w:r>
    </w:p>
    <w:p w14:paraId="72FD99F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Skene, K., O’Farrelly, C. M., Byrne, E. M., Kirby, N., Stevens, E. C., &amp; Ramchandani, P. G. (2022). Can guidance during play enhance children’s learning and development in educational contexts? A systematic review and meta</w:t>
      </w:r>
      <w:r w:rsidRPr="00BA77B0">
        <w:rPr>
          <w:rFonts w:ascii="Cambria Math" w:eastAsia="Times New Roman" w:hAnsi="Cambria Math" w:cs="Cambria Math"/>
          <w:kern w:val="0"/>
          <w:sz w:val="24"/>
          <w:szCs w:val="24"/>
          <w:lang w:eastAsia="en-GB"/>
          <w14:ligatures w14:val="none"/>
        </w:rPr>
        <w:t>‐</w:t>
      </w:r>
      <w:r w:rsidRPr="00BA77B0">
        <w:rPr>
          <w:rFonts w:ascii="Arial" w:eastAsia="Times New Roman" w:hAnsi="Arial" w:cs="Arial"/>
          <w:kern w:val="0"/>
          <w:sz w:val="24"/>
          <w:szCs w:val="24"/>
          <w:lang w:eastAsia="en-GB"/>
          <w14:ligatures w14:val="none"/>
        </w:rPr>
        <w:t xml:space="preserve">analysis. </w:t>
      </w:r>
      <w:r w:rsidRPr="00BA77B0">
        <w:rPr>
          <w:rFonts w:ascii="Arial" w:eastAsia="Times New Roman" w:hAnsi="Arial" w:cs="Arial"/>
          <w:i/>
          <w:iCs/>
          <w:kern w:val="0"/>
          <w:sz w:val="24"/>
          <w:szCs w:val="24"/>
          <w:lang w:eastAsia="en-GB"/>
          <w14:ligatures w14:val="none"/>
        </w:rPr>
        <w:t>Child Development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93</w:t>
      </w:r>
      <w:r w:rsidRPr="00BA77B0">
        <w:rPr>
          <w:rFonts w:ascii="Arial" w:eastAsia="Times New Roman" w:hAnsi="Arial" w:cs="Arial"/>
          <w:kern w:val="0"/>
          <w:sz w:val="24"/>
          <w:szCs w:val="24"/>
          <w:lang w:eastAsia="en-GB"/>
          <w14:ligatures w14:val="none"/>
        </w:rPr>
        <w:t>(4), 1162–1180. https://doi.org/10.1111/cdev.13730</w:t>
      </w:r>
    </w:p>
    <w:p w14:paraId="0607E09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Smith, N., &amp; Glass, W. (2019). Ready or not? Teachers’ perceptions of young children’s school readiness. </w:t>
      </w:r>
      <w:r w:rsidRPr="00BA77B0">
        <w:rPr>
          <w:rFonts w:ascii="Arial" w:eastAsia="Times New Roman" w:hAnsi="Arial" w:cs="Arial"/>
          <w:i/>
          <w:iCs/>
          <w:kern w:val="0"/>
          <w:sz w:val="24"/>
          <w:szCs w:val="24"/>
          <w:lang w:eastAsia="en-GB"/>
          <w14:ligatures w14:val="none"/>
        </w:rPr>
        <w:t>Journal of Early Childhood Research</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17</w:t>
      </w:r>
      <w:r w:rsidRPr="00BA77B0">
        <w:rPr>
          <w:rFonts w:ascii="Arial" w:eastAsia="Times New Roman" w:hAnsi="Arial" w:cs="Arial"/>
          <w:kern w:val="0"/>
          <w:sz w:val="24"/>
          <w:szCs w:val="24"/>
          <w:lang w:eastAsia="en-GB"/>
          <w14:ligatures w14:val="none"/>
        </w:rPr>
        <w:t>(4), 329–346. https://doi.org/10.1177/1476718x19875760</w:t>
      </w:r>
    </w:p>
    <w:p w14:paraId="774098B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Souto-Manning, M., &amp; Rabadi-Raol, A. (2018). (Re)Centering Quality in Early Childhood Education: Toward Intersectional Justice for Minoritized Children. </w:t>
      </w:r>
      <w:r w:rsidRPr="00BA77B0">
        <w:rPr>
          <w:rFonts w:ascii="Arial" w:eastAsia="Times New Roman" w:hAnsi="Arial" w:cs="Arial"/>
          <w:i/>
          <w:iCs/>
          <w:kern w:val="0"/>
          <w:sz w:val="24"/>
          <w:szCs w:val="24"/>
          <w:lang w:eastAsia="en-GB"/>
          <w14:ligatures w14:val="none"/>
        </w:rPr>
        <w:t>Review of Research in Education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42</w:t>
      </w:r>
      <w:r w:rsidRPr="00BA77B0">
        <w:rPr>
          <w:rFonts w:ascii="Arial" w:eastAsia="Times New Roman" w:hAnsi="Arial" w:cs="Arial"/>
          <w:kern w:val="0"/>
          <w:sz w:val="24"/>
          <w:szCs w:val="24"/>
          <w:lang w:eastAsia="en-GB"/>
          <w14:ligatures w14:val="none"/>
        </w:rPr>
        <w:t>(1), 203–225. https://doi.org/10.3102/0091732x18759550</w:t>
      </w:r>
    </w:p>
    <w:p w14:paraId="042F685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Swank, J. M., &amp; Sang Min Shin. (2022). Nature-Based Child-Centered Play Therapy: Taking the Playroom Outside. </w:t>
      </w:r>
      <w:r w:rsidRPr="00BA77B0">
        <w:rPr>
          <w:rFonts w:ascii="Arial" w:eastAsia="Times New Roman" w:hAnsi="Arial" w:cs="Arial"/>
          <w:i/>
          <w:iCs/>
          <w:kern w:val="0"/>
          <w:sz w:val="24"/>
          <w:szCs w:val="24"/>
          <w:lang w:eastAsia="en-GB"/>
          <w14:ligatures w14:val="none"/>
        </w:rPr>
        <w:t>Routledge EBooks</w:t>
      </w:r>
      <w:r w:rsidRPr="00BA77B0">
        <w:rPr>
          <w:rFonts w:ascii="Arial" w:eastAsia="Times New Roman" w:hAnsi="Arial" w:cs="Arial"/>
          <w:kern w:val="0"/>
          <w:sz w:val="24"/>
          <w:szCs w:val="24"/>
          <w:lang w:eastAsia="en-GB"/>
          <w14:ligatures w14:val="none"/>
        </w:rPr>
        <w:t>, 127–135. https://doi.org/10.4324/9781003152767-14</w:t>
      </w:r>
    </w:p>
    <w:p w14:paraId="29C3A78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Swank, J. M., &amp; Shin, S. M. (2015). Nature-based child-centered play therapy: An innovative counseling approach.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24</w:t>
      </w:r>
      <w:r w:rsidRPr="00BA77B0">
        <w:rPr>
          <w:rFonts w:ascii="Arial" w:eastAsia="Times New Roman" w:hAnsi="Arial" w:cs="Arial"/>
          <w:kern w:val="0"/>
          <w:sz w:val="24"/>
          <w:szCs w:val="24"/>
          <w:lang w:eastAsia="en-GB"/>
          <w14:ligatures w14:val="none"/>
        </w:rPr>
        <w:t>(3), 151–161. https://doi.org/10.1037/a0039127</w:t>
      </w:r>
    </w:p>
    <w:p w14:paraId="51FDD30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Thomas, R., &amp; Zimmer-Gembeck, M. J. (2012). Parent–child interaction therapy: an evidence-based treatment for child maltreatment. </w:t>
      </w:r>
      <w:r w:rsidRPr="00BA77B0">
        <w:rPr>
          <w:rFonts w:ascii="Arial" w:eastAsia="Times New Roman" w:hAnsi="Arial" w:cs="Arial"/>
          <w:i/>
          <w:iCs/>
          <w:kern w:val="0"/>
          <w:sz w:val="24"/>
          <w:szCs w:val="24"/>
          <w:lang w:eastAsia="en-GB"/>
          <w14:ligatures w14:val="none"/>
        </w:rPr>
        <w:t>Child Maltreatment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17</w:t>
      </w:r>
      <w:r w:rsidRPr="00BA77B0">
        <w:rPr>
          <w:rFonts w:ascii="Arial" w:eastAsia="Times New Roman" w:hAnsi="Arial" w:cs="Arial"/>
          <w:kern w:val="0"/>
          <w:sz w:val="24"/>
          <w:szCs w:val="24"/>
          <w:lang w:eastAsia="en-GB"/>
          <w14:ligatures w14:val="none"/>
        </w:rPr>
        <w:t>(3), 253–266. https://doi.org/10.1177/1077559512459555</w:t>
      </w:r>
    </w:p>
    <w:p w14:paraId="1195CB9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Thomson, J., &amp; Janet, S. (2025). Play has therapeutic power in healthcare and humanitarian settings. </w:t>
      </w:r>
      <w:r w:rsidRPr="00BA77B0">
        <w:rPr>
          <w:rFonts w:ascii="Arial" w:eastAsia="Times New Roman" w:hAnsi="Arial" w:cs="Arial"/>
          <w:i/>
          <w:iCs/>
          <w:kern w:val="0"/>
          <w:sz w:val="24"/>
          <w:szCs w:val="24"/>
          <w:lang w:eastAsia="en-GB"/>
          <w14:ligatures w14:val="none"/>
        </w:rPr>
        <w:t>BMJ</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389</w:t>
      </w:r>
      <w:r w:rsidRPr="00BA77B0">
        <w:rPr>
          <w:rFonts w:ascii="Arial" w:eastAsia="Times New Roman" w:hAnsi="Arial" w:cs="Arial"/>
          <w:kern w:val="0"/>
          <w:sz w:val="24"/>
          <w:szCs w:val="24"/>
          <w:lang w:eastAsia="en-GB"/>
          <w14:ligatures w14:val="none"/>
        </w:rPr>
        <w:t>, r1190. https://doi.org/10.1136/bmj.r1190</w:t>
      </w:r>
    </w:p>
    <w:p w14:paraId="3AAF8EE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Turner, R., Schoeneberg, C., Ray, D., &amp; Lin, Y.-W. (2020). Establishing play therapy competencies: A Delphi study.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29</w:t>
      </w:r>
      <w:r w:rsidRPr="00BA77B0">
        <w:rPr>
          <w:rFonts w:ascii="Arial" w:eastAsia="Times New Roman" w:hAnsi="Arial" w:cs="Arial"/>
          <w:kern w:val="0"/>
          <w:sz w:val="24"/>
          <w:szCs w:val="24"/>
          <w:lang w:eastAsia="en-GB"/>
          <w14:ligatures w14:val="none"/>
        </w:rPr>
        <w:t>(4), 177–190. https://doi.org/10.1037/pla0000138</w:t>
      </w:r>
    </w:p>
    <w:p w14:paraId="7C0B3A1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Veraksa, N., &amp; Sheridan, S. (Eds.). (2018). </w:t>
      </w:r>
      <w:r w:rsidRPr="00BA77B0">
        <w:rPr>
          <w:rFonts w:ascii="Arial" w:eastAsia="Times New Roman" w:hAnsi="Arial" w:cs="Arial"/>
          <w:i/>
          <w:iCs/>
          <w:kern w:val="0"/>
          <w:sz w:val="24"/>
          <w:szCs w:val="24"/>
          <w:lang w:eastAsia="en-GB"/>
          <w14:ligatures w14:val="none"/>
        </w:rPr>
        <w:t>Vygotsky’s Theory in Early Childhood Education and Research</w:t>
      </w:r>
      <w:r w:rsidRPr="00BA77B0">
        <w:rPr>
          <w:rFonts w:ascii="Arial" w:eastAsia="Times New Roman" w:hAnsi="Arial" w:cs="Arial"/>
          <w:kern w:val="0"/>
          <w:sz w:val="24"/>
          <w:szCs w:val="24"/>
          <w:lang w:eastAsia="en-GB"/>
          <w14:ligatures w14:val="none"/>
        </w:rPr>
        <w:t>. Routledge. https://doi.org/10.4324/9781315098203</w:t>
      </w:r>
    </w:p>
    <w:p w14:paraId="55BF96C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von Stumm, S. (2024). Early childhood inequalities: the rocky path from observation to action. </w:t>
      </w:r>
      <w:r w:rsidRPr="00BA77B0">
        <w:rPr>
          <w:rFonts w:ascii="Arial" w:eastAsia="Times New Roman" w:hAnsi="Arial" w:cs="Arial"/>
          <w:i/>
          <w:iCs/>
          <w:kern w:val="0"/>
          <w:sz w:val="24"/>
          <w:szCs w:val="24"/>
          <w:lang w:eastAsia="en-GB"/>
          <w14:ligatures w14:val="none"/>
        </w:rPr>
        <w:t>Oxford Open Economics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w:t>
      </w:r>
      <w:r w:rsidRPr="00BA77B0">
        <w:rPr>
          <w:rFonts w:ascii="Arial" w:eastAsia="Times New Roman" w:hAnsi="Arial" w:cs="Arial"/>
          <w:kern w:val="0"/>
          <w:sz w:val="24"/>
          <w:szCs w:val="24"/>
          <w:lang w:eastAsia="en-GB"/>
          <w14:ligatures w14:val="none"/>
        </w:rPr>
        <w:t>(Supplement_1), i754–i757. https://doi.org/10.1093/ooec/odad070</w:t>
      </w:r>
    </w:p>
    <w:p w14:paraId="32096E20"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Weisz, J. R., Kuppens, S., Ng, M. Y., Eckshtain, D., Ugueto, A. M., Vaughn-Coaxum, R., Jensen-Doss, A., Hawley, K. M., Krumholz Marchette, L. S., Chu, B. C., Weersing, V. R., &amp; Fordwood, S. R. (2017). What five decades of research tells us about the effects of youth psychological therapy: A multilevel meta-analysis and implications for science and practice. </w:t>
      </w:r>
      <w:r w:rsidRPr="00BA77B0">
        <w:rPr>
          <w:rFonts w:ascii="Arial" w:eastAsia="Times New Roman" w:hAnsi="Arial" w:cs="Arial"/>
          <w:i/>
          <w:iCs/>
          <w:kern w:val="0"/>
          <w:sz w:val="24"/>
          <w:szCs w:val="24"/>
          <w:lang w:eastAsia="en-GB"/>
          <w14:ligatures w14:val="none"/>
        </w:rPr>
        <w:t>American Psychologist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72</w:t>
      </w:r>
      <w:r w:rsidRPr="00BA77B0">
        <w:rPr>
          <w:rFonts w:ascii="Arial" w:eastAsia="Times New Roman" w:hAnsi="Arial" w:cs="Arial"/>
          <w:kern w:val="0"/>
          <w:sz w:val="24"/>
          <w:szCs w:val="24"/>
          <w:lang w:eastAsia="en-GB"/>
          <w14:ligatures w14:val="none"/>
        </w:rPr>
        <w:t>(2), 79–117. https://doi.org/10.1037/a0040360</w:t>
      </w:r>
    </w:p>
    <w:p w14:paraId="2ED27CD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Zengin, M., Yayan, E. H., &amp; Düken, M. E. (2020). The Effects of a Therapeutic Play/Play Therapy Program on the Fear and Anxiety Levels of Hospitalized Children After Liver Transplantation. </w:t>
      </w:r>
      <w:r w:rsidRPr="00BA77B0">
        <w:rPr>
          <w:rFonts w:ascii="Arial" w:eastAsia="Times New Roman" w:hAnsi="Arial" w:cs="Arial"/>
          <w:i/>
          <w:iCs/>
          <w:kern w:val="0"/>
          <w:sz w:val="24"/>
          <w:szCs w:val="24"/>
          <w:lang w:eastAsia="en-GB"/>
          <w14:ligatures w14:val="none"/>
        </w:rPr>
        <w:t>Journal of PeriAnesthesia Nursing</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36</w:t>
      </w:r>
      <w:r w:rsidRPr="00BA77B0">
        <w:rPr>
          <w:rFonts w:ascii="Arial" w:eastAsia="Times New Roman" w:hAnsi="Arial" w:cs="Arial"/>
          <w:kern w:val="0"/>
          <w:sz w:val="24"/>
          <w:szCs w:val="24"/>
          <w:lang w:eastAsia="en-GB"/>
          <w14:ligatures w14:val="none"/>
        </w:rPr>
        <w:t>(1). https://doi.org/10.1016/j.jopan.2020.07.006</w:t>
      </w:r>
    </w:p>
    <w:p w14:paraId="617DFC5B" w14:textId="77777777" w:rsidR="00C10B36" w:rsidRPr="00BA77B0" w:rsidRDefault="00C10B36" w:rsidP="00367936">
      <w:pPr>
        <w:rPr>
          <w:rFonts w:ascii="Arial" w:hAnsi="Arial" w:cs="Arial"/>
          <w:sz w:val="24"/>
          <w:szCs w:val="24"/>
        </w:rPr>
      </w:pPr>
    </w:p>
    <w:p w14:paraId="78BF4819" w14:textId="77777777" w:rsidR="00C10B36" w:rsidRPr="00BA77B0" w:rsidRDefault="00C10B36" w:rsidP="00367936">
      <w:pPr>
        <w:rPr>
          <w:rFonts w:ascii="Arial" w:hAnsi="Arial" w:cs="Arial"/>
          <w:sz w:val="24"/>
          <w:szCs w:val="24"/>
        </w:rPr>
      </w:pPr>
    </w:p>
    <w:p w14:paraId="29E1B8A6" w14:textId="77777777" w:rsidR="00C10B36" w:rsidRPr="00BA77B0" w:rsidRDefault="00C10B36" w:rsidP="00367936">
      <w:pPr>
        <w:rPr>
          <w:rFonts w:ascii="Arial" w:hAnsi="Arial" w:cs="Arial"/>
          <w:sz w:val="24"/>
          <w:szCs w:val="24"/>
        </w:rPr>
      </w:pPr>
    </w:p>
    <w:p w14:paraId="5E49A012" w14:textId="77777777" w:rsidR="00C10B36" w:rsidRPr="00BA77B0" w:rsidRDefault="00C10B36" w:rsidP="00367936">
      <w:pPr>
        <w:rPr>
          <w:rFonts w:ascii="Arial" w:hAnsi="Arial" w:cs="Arial"/>
          <w:sz w:val="24"/>
          <w:szCs w:val="24"/>
        </w:rPr>
      </w:pPr>
    </w:p>
    <w:p w14:paraId="059C8731" w14:textId="77777777" w:rsidR="00C10B36" w:rsidRPr="00BA77B0" w:rsidRDefault="00C10B36" w:rsidP="00367936">
      <w:pPr>
        <w:rPr>
          <w:rFonts w:ascii="Arial" w:hAnsi="Arial" w:cs="Arial"/>
          <w:sz w:val="24"/>
          <w:szCs w:val="24"/>
        </w:rPr>
      </w:pPr>
    </w:p>
    <w:p w14:paraId="1D94FC51" w14:textId="77777777" w:rsidR="00C10B36" w:rsidRPr="00BA77B0" w:rsidRDefault="00C10B36" w:rsidP="00367936">
      <w:pPr>
        <w:rPr>
          <w:rFonts w:ascii="Arial" w:hAnsi="Arial" w:cs="Arial"/>
          <w:sz w:val="24"/>
          <w:szCs w:val="24"/>
        </w:rPr>
      </w:pPr>
    </w:p>
    <w:p w14:paraId="635D3748" w14:textId="77777777" w:rsidR="00C10B36" w:rsidRPr="00BA77B0" w:rsidRDefault="00C10B36" w:rsidP="00367936">
      <w:pPr>
        <w:rPr>
          <w:rFonts w:ascii="Arial" w:hAnsi="Arial" w:cs="Arial"/>
          <w:sz w:val="24"/>
          <w:szCs w:val="24"/>
        </w:rPr>
      </w:pPr>
    </w:p>
    <w:p w14:paraId="54F160DC" w14:textId="77777777" w:rsidR="00C10B36" w:rsidRPr="00BA77B0" w:rsidRDefault="00C10B36" w:rsidP="00367936">
      <w:pPr>
        <w:rPr>
          <w:rFonts w:ascii="Arial" w:hAnsi="Arial" w:cs="Arial"/>
          <w:sz w:val="24"/>
          <w:szCs w:val="24"/>
        </w:rPr>
      </w:pPr>
    </w:p>
    <w:p w14:paraId="4C2B23AB" w14:textId="77777777" w:rsidR="00C10B36" w:rsidRPr="00BA77B0" w:rsidRDefault="00C10B36" w:rsidP="00367936">
      <w:pPr>
        <w:rPr>
          <w:rFonts w:ascii="Arial" w:hAnsi="Arial" w:cs="Arial"/>
          <w:sz w:val="24"/>
          <w:szCs w:val="24"/>
        </w:rPr>
      </w:pPr>
    </w:p>
    <w:p w14:paraId="72559959" w14:textId="77777777" w:rsidR="00C10B36" w:rsidRPr="00BA77B0" w:rsidRDefault="00C10B36" w:rsidP="00367936">
      <w:pPr>
        <w:rPr>
          <w:rFonts w:ascii="Arial" w:hAnsi="Arial" w:cs="Arial"/>
          <w:sz w:val="24"/>
          <w:szCs w:val="24"/>
        </w:rPr>
      </w:pPr>
    </w:p>
    <w:p w14:paraId="76622966" w14:textId="77777777" w:rsidR="00C10B36" w:rsidRPr="00BA77B0" w:rsidRDefault="00C10B36" w:rsidP="00367936">
      <w:pPr>
        <w:rPr>
          <w:rFonts w:ascii="Arial" w:hAnsi="Arial" w:cs="Arial"/>
          <w:sz w:val="24"/>
          <w:szCs w:val="24"/>
        </w:rPr>
      </w:pPr>
    </w:p>
    <w:p w14:paraId="283FDA86" w14:textId="77777777" w:rsidR="00C10B36" w:rsidRPr="00BA77B0" w:rsidRDefault="00C10B36" w:rsidP="00367936">
      <w:pPr>
        <w:rPr>
          <w:rFonts w:ascii="Arial" w:hAnsi="Arial" w:cs="Arial"/>
          <w:sz w:val="24"/>
          <w:szCs w:val="24"/>
        </w:rPr>
      </w:pPr>
    </w:p>
    <w:p w14:paraId="39B6AB92" w14:textId="77777777" w:rsidR="00C10B36" w:rsidRPr="00BA77B0" w:rsidRDefault="00C10B36" w:rsidP="00367936">
      <w:pPr>
        <w:rPr>
          <w:rFonts w:ascii="Arial" w:hAnsi="Arial" w:cs="Arial"/>
          <w:sz w:val="24"/>
          <w:szCs w:val="24"/>
        </w:rPr>
      </w:pPr>
    </w:p>
    <w:p w14:paraId="612A31DD" w14:textId="77777777" w:rsidR="00C10B36" w:rsidRPr="00BA77B0" w:rsidRDefault="00C10B36" w:rsidP="00367936">
      <w:pPr>
        <w:rPr>
          <w:rFonts w:ascii="Arial" w:hAnsi="Arial" w:cs="Arial"/>
          <w:sz w:val="24"/>
          <w:szCs w:val="24"/>
        </w:rPr>
      </w:pPr>
    </w:p>
    <w:p w14:paraId="5026A8AA" w14:textId="77777777" w:rsidR="00C10B36" w:rsidRPr="00BA77B0" w:rsidRDefault="00C10B36" w:rsidP="00367936">
      <w:pPr>
        <w:rPr>
          <w:rFonts w:ascii="Arial" w:hAnsi="Arial" w:cs="Arial"/>
          <w:sz w:val="24"/>
          <w:szCs w:val="24"/>
        </w:rPr>
      </w:pPr>
    </w:p>
    <w:p w14:paraId="7734403A" w14:textId="77777777" w:rsidR="00C10B36" w:rsidRPr="00BA77B0" w:rsidRDefault="00C10B36" w:rsidP="00367936">
      <w:pPr>
        <w:rPr>
          <w:rFonts w:ascii="Arial" w:hAnsi="Arial" w:cs="Arial"/>
          <w:sz w:val="24"/>
          <w:szCs w:val="24"/>
        </w:rPr>
      </w:pPr>
    </w:p>
    <w:p w14:paraId="1511E15A" w14:textId="77777777" w:rsidR="00C10B36" w:rsidRPr="00BA77B0" w:rsidRDefault="00C10B36" w:rsidP="00367936">
      <w:pPr>
        <w:rPr>
          <w:rFonts w:ascii="Arial" w:hAnsi="Arial" w:cs="Arial"/>
          <w:sz w:val="24"/>
          <w:szCs w:val="24"/>
        </w:rPr>
      </w:pPr>
    </w:p>
    <w:p w14:paraId="768C83BF" w14:textId="77777777" w:rsidR="00C10B36" w:rsidRPr="00BA77B0" w:rsidRDefault="00C10B36" w:rsidP="00367936">
      <w:pPr>
        <w:rPr>
          <w:rFonts w:ascii="Arial" w:hAnsi="Arial" w:cs="Arial"/>
          <w:sz w:val="24"/>
          <w:szCs w:val="24"/>
        </w:rPr>
      </w:pPr>
    </w:p>
    <w:p w14:paraId="30F51DEC" w14:textId="77777777" w:rsidR="00C10B36" w:rsidRPr="00BA77B0" w:rsidRDefault="00C10B36" w:rsidP="00367936">
      <w:pPr>
        <w:rPr>
          <w:rFonts w:ascii="Arial" w:hAnsi="Arial" w:cs="Arial"/>
          <w:sz w:val="24"/>
          <w:szCs w:val="24"/>
        </w:rPr>
      </w:pPr>
    </w:p>
    <w:p w14:paraId="2BEA4D61" w14:textId="77777777" w:rsidR="00C10B36" w:rsidRPr="00BA77B0" w:rsidRDefault="00C10B36" w:rsidP="00367936">
      <w:pPr>
        <w:rPr>
          <w:rFonts w:ascii="Arial" w:hAnsi="Arial" w:cs="Arial"/>
          <w:sz w:val="24"/>
          <w:szCs w:val="24"/>
        </w:rPr>
      </w:pPr>
    </w:p>
    <w:p w14:paraId="6CACA6A2" w14:textId="77777777" w:rsidR="00C10B36" w:rsidRPr="00BA77B0" w:rsidRDefault="00C10B36" w:rsidP="00367936">
      <w:pPr>
        <w:rPr>
          <w:rFonts w:ascii="Arial" w:hAnsi="Arial" w:cs="Arial"/>
          <w:sz w:val="24"/>
          <w:szCs w:val="24"/>
        </w:rPr>
      </w:pPr>
    </w:p>
    <w:p w14:paraId="248228EF" w14:textId="77777777" w:rsidR="00C10B36" w:rsidRPr="00BA77B0" w:rsidRDefault="00C10B36" w:rsidP="00367936">
      <w:pPr>
        <w:rPr>
          <w:rFonts w:ascii="Arial" w:hAnsi="Arial" w:cs="Arial"/>
          <w:sz w:val="24"/>
          <w:szCs w:val="24"/>
        </w:rPr>
      </w:pPr>
    </w:p>
    <w:p w14:paraId="4E1A1D51" w14:textId="77777777" w:rsidR="00C10B36" w:rsidRPr="00BA77B0" w:rsidRDefault="00C10B36" w:rsidP="00367936">
      <w:pPr>
        <w:rPr>
          <w:rFonts w:ascii="Arial" w:hAnsi="Arial" w:cs="Arial"/>
          <w:sz w:val="24"/>
          <w:szCs w:val="24"/>
        </w:rPr>
      </w:pPr>
    </w:p>
    <w:p w14:paraId="224E8490" w14:textId="7C0E0F14" w:rsidR="00C10B36" w:rsidRPr="00BA77B0" w:rsidRDefault="00C10B36" w:rsidP="00367936">
      <w:pPr>
        <w:rPr>
          <w:rFonts w:ascii="Arial" w:hAnsi="Arial" w:cs="Arial"/>
          <w:sz w:val="24"/>
          <w:szCs w:val="24"/>
        </w:rPr>
      </w:pPr>
    </w:p>
    <w:p w14:paraId="517722B7" w14:textId="77777777" w:rsidR="00EB7743" w:rsidRPr="00BA77B0" w:rsidRDefault="00EB7743" w:rsidP="00367936">
      <w:pPr>
        <w:rPr>
          <w:rFonts w:ascii="Arial" w:hAnsi="Arial" w:cs="Arial"/>
          <w:sz w:val="24"/>
          <w:szCs w:val="24"/>
        </w:rPr>
      </w:pPr>
    </w:p>
    <w:p w14:paraId="583620D7" w14:textId="77777777" w:rsidR="00EB7743" w:rsidRPr="00EB7743" w:rsidRDefault="00EB7743" w:rsidP="00367936"/>
    <w:sectPr w:rsidR="00EB7743" w:rsidRPr="00EB7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936"/>
    <w:rsid w:val="00033BB6"/>
    <w:rsid w:val="00037165"/>
    <w:rsid w:val="00046B7F"/>
    <w:rsid w:val="00060FCA"/>
    <w:rsid w:val="000918D5"/>
    <w:rsid w:val="000A0AB8"/>
    <w:rsid w:val="000C1A8A"/>
    <w:rsid w:val="001510EA"/>
    <w:rsid w:val="00157683"/>
    <w:rsid w:val="001C447D"/>
    <w:rsid w:val="001D6B6B"/>
    <w:rsid w:val="002424FE"/>
    <w:rsid w:val="002B275B"/>
    <w:rsid w:val="002E104A"/>
    <w:rsid w:val="0031088E"/>
    <w:rsid w:val="00367936"/>
    <w:rsid w:val="003A36F4"/>
    <w:rsid w:val="003A64F4"/>
    <w:rsid w:val="003C2C6A"/>
    <w:rsid w:val="00421ECE"/>
    <w:rsid w:val="00457920"/>
    <w:rsid w:val="00483FEF"/>
    <w:rsid w:val="004C14C1"/>
    <w:rsid w:val="004F34E1"/>
    <w:rsid w:val="00521771"/>
    <w:rsid w:val="005247D3"/>
    <w:rsid w:val="00533BD4"/>
    <w:rsid w:val="005970AD"/>
    <w:rsid w:val="005F49B2"/>
    <w:rsid w:val="0060316C"/>
    <w:rsid w:val="006032F5"/>
    <w:rsid w:val="00626A42"/>
    <w:rsid w:val="00633D26"/>
    <w:rsid w:val="00673AC5"/>
    <w:rsid w:val="006855C7"/>
    <w:rsid w:val="0068787A"/>
    <w:rsid w:val="006934F9"/>
    <w:rsid w:val="006A0695"/>
    <w:rsid w:val="006B0282"/>
    <w:rsid w:val="006E1299"/>
    <w:rsid w:val="00731CD4"/>
    <w:rsid w:val="00764391"/>
    <w:rsid w:val="00767485"/>
    <w:rsid w:val="00794966"/>
    <w:rsid w:val="007A7414"/>
    <w:rsid w:val="00833201"/>
    <w:rsid w:val="00864FDA"/>
    <w:rsid w:val="008D0489"/>
    <w:rsid w:val="008E1E15"/>
    <w:rsid w:val="0091677A"/>
    <w:rsid w:val="009357D4"/>
    <w:rsid w:val="0093761D"/>
    <w:rsid w:val="009503B0"/>
    <w:rsid w:val="00995DDF"/>
    <w:rsid w:val="009C75BC"/>
    <w:rsid w:val="009F504A"/>
    <w:rsid w:val="00A16AFB"/>
    <w:rsid w:val="00A3118A"/>
    <w:rsid w:val="00A62435"/>
    <w:rsid w:val="00AF73A0"/>
    <w:rsid w:val="00B06B3F"/>
    <w:rsid w:val="00B51D0C"/>
    <w:rsid w:val="00B9306A"/>
    <w:rsid w:val="00BA77B0"/>
    <w:rsid w:val="00C02C93"/>
    <w:rsid w:val="00C10B36"/>
    <w:rsid w:val="00CB4EF7"/>
    <w:rsid w:val="00CD5CFD"/>
    <w:rsid w:val="00D60899"/>
    <w:rsid w:val="00D9095A"/>
    <w:rsid w:val="00E0143B"/>
    <w:rsid w:val="00E04225"/>
    <w:rsid w:val="00E20F47"/>
    <w:rsid w:val="00E24B80"/>
    <w:rsid w:val="00E62067"/>
    <w:rsid w:val="00E6266B"/>
    <w:rsid w:val="00E81788"/>
    <w:rsid w:val="00E87DE9"/>
    <w:rsid w:val="00EB7743"/>
    <w:rsid w:val="00ED7756"/>
    <w:rsid w:val="00EE54E5"/>
    <w:rsid w:val="00F12508"/>
    <w:rsid w:val="00F354ED"/>
    <w:rsid w:val="00F65E0E"/>
    <w:rsid w:val="00FC11A6"/>
    <w:rsid w:val="00FE6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62CE9"/>
  <w15:chartTrackingRefBased/>
  <w15:docId w15:val="{09A3B337-4EEF-4E48-834B-B4A9E7381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7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7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7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7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79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79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79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79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7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7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7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7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7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936"/>
    <w:rPr>
      <w:rFonts w:eastAsiaTheme="majorEastAsia" w:cstheme="majorBidi"/>
      <w:color w:val="272727" w:themeColor="text1" w:themeTint="D8"/>
    </w:rPr>
  </w:style>
  <w:style w:type="paragraph" w:styleId="Title">
    <w:name w:val="Title"/>
    <w:basedOn w:val="Normal"/>
    <w:next w:val="Normal"/>
    <w:link w:val="TitleChar"/>
    <w:uiPriority w:val="10"/>
    <w:qFormat/>
    <w:rsid w:val="00367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9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936"/>
    <w:pPr>
      <w:spacing w:before="160"/>
      <w:jc w:val="center"/>
    </w:pPr>
    <w:rPr>
      <w:i/>
      <w:iCs/>
      <w:color w:val="404040" w:themeColor="text1" w:themeTint="BF"/>
    </w:rPr>
  </w:style>
  <w:style w:type="character" w:customStyle="1" w:styleId="QuoteChar">
    <w:name w:val="Quote Char"/>
    <w:basedOn w:val="DefaultParagraphFont"/>
    <w:link w:val="Quote"/>
    <w:uiPriority w:val="29"/>
    <w:rsid w:val="00367936"/>
    <w:rPr>
      <w:i/>
      <w:iCs/>
      <w:color w:val="404040" w:themeColor="text1" w:themeTint="BF"/>
    </w:rPr>
  </w:style>
  <w:style w:type="paragraph" w:styleId="ListParagraph">
    <w:name w:val="List Paragraph"/>
    <w:basedOn w:val="Normal"/>
    <w:uiPriority w:val="34"/>
    <w:qFormat/>
    <w:rsid w:val="00367936"/>
    <w:pPr>
      <w:ind w:left="720"/>
      <w:contextualSpacing/>
    </w:pPr>
  </w:style>
  <w:style w:type="character" w:styleId="IntenseEmphasis">
    <w:name w:val="Intense Emphasis"/>
    <w:basedOn w:val="DefaultParagraphFont"/>
    <w:uiPriority w:val="21"/>
    <w:qFormat/>
    <w:rsid w:val="00367936"/>
    <w:rPr>
      <w:i/>
      <w:iCs/>
      <w:color w:val="0F4761" w:themeColor="accent1" w:themeShade="BF"/>
    </w:rPr>
  </w:style>
  <w:style w:type="paragraph" w:styleId="IntenseQuote">
    <w:name w:val="Intense Quote"/>
    <w:basedOn w:val="Normal"/>
    <w:next w:val="Normal"/>
    <w:link w:val="IntenseQuoteChar"/>
    <w:uiPriority w:val="30"/>
    <w:qFormat/>
    <w:rsid w:val="00367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7936"/>
    <w:rPr>
      <w:i/>
      <w:iCs/>
      <w:color w:val="0F4761" w:themeColor="accent1" w:themeShade="BF"/>
    </w:rPr>
  </w:style>
  <w:style w:type="character" w:styleId="IntenseReference">
    <w:name w:val="Intense Reference"/>
    <w:basedOn w:val="DefaultParagraphFont"/>
    <w:uiPriority w:val="32"/>
    <w:qFormat/>
    <w:rsid w:val="00367936"/>
    <w:rPr>
      <w:b/>
      <w:bCs/>
      <w:smallCaps/>
      <w:color w:val="0F4761" w:themeColor="accent1" w:themeShade="BF"/>
      <w:spacing w:val="5"/>
    </w:rPr>
  </w:style>
  <w:style w:type="character" w:styleId="Hyperlink">
    <w:name w:val="Hyperlink"/>
    <w:basedOn w:val="DefaultParagraphFont"/>
    <w:uiPriority w:val="99"/>
    <w:unhideWhenUsed/>
    <w:rsid w:val="002B275B"/>
    <w:rPr>
      <w:color w:val="467886" w:themeColor="hyperlink"/>
      <w:u w:val="single"/>
    </w:rPr>
  </w:style>
  <w:style w:type="character" w:styleId="UnresolvedMention">
    <w:name w:val="Unresolved Mention"/>
    <w:basedOn w:val="DefaultParagraphFont"/>
    <w:uiPriority w:val="99"/>
    <w:semiHidden/>
    <w:unhideWhenUsed/>
    <w:rsid w:val="009376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brarysearch.uwtsd.ac.uk/discovery/search?vid=44WHELF_UWTSD:44WHELF_UWTSD_VU1&amp;lang=en&amp;mode=advanced" TargetMode="External"/><Relationship Id="rId5" Type="http://schemas.openxmlformats.org/officeDocument/2006/relationships/hyperlink" Target="https://www.mybib.com/" TargetMode="External"/><Relationship Id="rId4" Type="http://schemas.openxmlformats.org/officeDocument/2006/relationships/hyperlink" Target="https://quillbot.com/grammar-check?utm_medium=cpc&amp;utm_source=bing&amp;utm_campaign=revenue_grammarChecker_tier1_fasma_bing_search_english_null&amp;utm_term=grammarly%20check%20sentence&amp;utm_content=&amp;campaign_type=search-428285965&amp;click_id=42bae406e93f156ece768d9a4e2c9043&amp;campaign_id=428285965&amp;adgroup_id=1339206606997656&amp;ad_id=&amp;keyword=grammarly%20check%20sentence&amp;placement=&amp;target=&amp;network=o&amp;msclkid=42bae406e93f156ece768d9a4e2c9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8113</Words>
  <Characters>46245</Characters>
  <Application>Microsoft Office Word</Application>
  <DocSecurity>0</DocSecurity>
  <Lines>385</Lines>
  <Paragraphs>108</Paragraphs>
  <ScaleCrop>false</ScaleCrop>
  <Company/>
  <LinksUpToDate>false</LinksUpToDate>
  <CharactersWithSpaces>54250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dc:creator>
  <cp:keywords/>
  <dc:description/>
  <cp:lastModifiedBy>Chloe Thomas</cp:lastModifiedBy>
  <cp:revision>81</cp:revision>
  <dcterms:created xsi:type="dcterms:W3CDTF">2026-02-23T18:58:00Z</dcterms:created>
  <dcterms:modified xsi:type="dcterms:W3CDTF">2026-02-24T22:32:00Z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8d090d7c-422d-40c2-b57b-b56a710f9662</vt:lpwstr>
  </property>
</Properties>
</file>